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21"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29" w:lineRule="exact"/>
        <w:rPr>
          <w:sz w:val="24"/>
          <w:szCs w:val="24"/>
          <w:color w:val="auto"/>
        </w:rPr>
      </w:pPr>
    </w:p>
    <w:p>
      <w:pPr>
        <w:ind w:left="360" w:right="2200" w:hanging="334"/>
        <w:spacing w:after="0" w:line="267"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QUARTERLY REPORT PURSUANT TO SECTION 13 OR 15(d) OF THE SECURITIES EXCHANGE ACT OF 1934 For the quarterly period ended March 31, 2021</w:t>
      </w:r>
    </w:p>
    <w:p>
      <w:pPr>
        <w:spacing w:after="0" w:line="1" w:lineRule="exact"/>
        <w:rPr>
          <w:rFonts w:ascii="MS PGothic" w:cs="MS PGothic" w:eastAsia="MS PGothic" w:hAnsi="MS PGothic"/>
          <w:sz w:val="18"/>
          <w:szCs w:val="18"/>
          <w:color w:val="auto"/>
        </w:rPr>
      </w:pPr>
    </w:p>
    <w:p>
      <w:pPr>
        <w:ind w:left="1660"/>
        <w:spacing w:after="0"/>
        <w:rPr>
          <w:rFonts w:ascii="MS PGothic" w:cs="MS PGothic" w:eastAsia="MS PGothic" w:hAnsi="MS PGothic"/>
          <w:sz w:val="18"/>
          <w:szCs w:val="18"/>
          <w:color w:val="auto"/>
        </w:rPr>
      </w:pPr>
      <w:r>
        <w:rPr>
          <w:rFonts w:ascii="Arial" w:cs="Arial" w:eastAsia="Arial" w:hAnsi="Arial"/>
          <w:sz w:val="17"/>
          <w:szCs w:val="17"/>
          <w:b w:val="1"/>
          <w:bCs w:val="1"/>
          <w:color w:val="auto"/>
        </w:rPr>
        <w:t>OR</w:t>
      </w:r>
    </w:p>
    <w:p>
      <w:pPr>
        <w:spacing w:after="0" w:line="30" w:lineRule="exact"/>
        <w:rPr>
          <w:sz w:val="24"/>
          <w:szCs w:val="24"/>
          <w:color w:val="auto"/>
        </w:rPr>
      </w:pPr>
    </w:p>
    <w:p>
      <w:pPr>
        <w:ind w:left="360" w:right="2180" w:hanging="334"/>
        <w:spacing w:after="0" w:line="295" w:lineRule="auto"/>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0-19034</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REGENERON PHARMACEUTICALS,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2980" w:type="dxa"/>
            <w:vAlign w:val="bottom"/>
            <w:gridSpan w:val="2"/>
          </w:tcPr>
          <w:p>
            <w:pPr>
              <w:jc w:val="center"/>
              <w:ind w:right="1510"/>
              <w:spacing w:after="0"/>
              <w:rPr>
                <w:sz w:val="20"/>
                <w:szCs w:val="20"/>
                <w:color w:val="auto"/>
              </w:rPr>
            </w:pPr>
            <w:r>
              <w:rPr>
                <w:rFonts w:ascii="Arial" w:cs="Arial" w:eastAsia="Arial" w:hAnsi="Arial"/>
                <w:sz w:val="18"/>
                <w:szCs w:val="18"/>
                <w:b w:val="1"/>
                <w:bCs w:val="1"/>
                <w:color w:val="auto"/>
                <w:w w:val="95"/>
              </w:rPr>
              <w:t>New York</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2"/>
          </w:tcPr>
          <w:p>
            <w:pPr>
              <w:jc w:val="right"/>
              <w:ind w:right="1124"/>
              <w:spacing w:after="0"/>
              <w:rPr>
                <w:sz w:val="20"/>
                <w:szCs w:val="20"/>
                <w:color w:val="auto"/>
              </w:rPr>
            </w:pPr>
            <w:r>
              <w:rPr>
                <w:rFonts w:ascii="Arial" w:cs="Arial" w:eastAsia="Arial" w:hAnsi="Arial"/>
                <w:sz w:val="18"/>
                <w:szCs w:val="18"/>
                <w:b w:val="1"/>
                <w:bCs w:val="1"/>
                <w:color w:val="auto"/>
              </w:rPr>
              <w:t>13-3444607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gridSpan w:val="3"/>
          </w:tcPr>
          <w:p>
            <w:pPr>
              <w:jc w:val="center"/>
              <w:ind w:left="377"/>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3"/>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Arial" w:cs="Arial" w:eastAsia="Arial" w:hAnsi="Arial"/>
                <w:sz w:val="18"/>
                <w:szCs w:val="18"/>
                <w:i w:val="1"/>
                <w:iCs w:val="1"/>
                <w:color w:val="auto"/>
                <w:w w:val="91"/>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(914) 847-7000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gridSpan w:val="6"/>
          </w:tcPr>
          <w:p>
            <w:pPr>
              <w:jc w:val="center"/>
              <w:ind w:right="23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i w:val="1"/>
                <w:iCs w:val="1"/>
                <w:color w:val="auto"/>
                <w:w w:val="90"/>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i w:val="1"/>
                <w:iCs w:val="1"/>
                <w:color w:val="auto"/>
                <w:w w:val="90"/>
              </w:rPr>
              <w:t>Trading Symbol</w:t>
            </w:r>
          </w:p>
        </w:tc>
        <w:tc>
          <w:tcPr>
            <w:tcW w:w="360" w:type="dxa"/>
            <w:vAlign w:val="bottom"/>
          </w:tcPr>
          <w:p>
            <w:pPr>
              <w:spacing w:after="0"/>
              <w:rPr>
                <w:sz w:val="24"/>
                <w:szCs w:val="24"/>
                <w:color w:val="auto"/>
              </w:rPr>
            </w:pPr>
          </w:p>
        </w:tc>
        <w:tc>
          <w:tcPr>
            <w:tcW w:w="3660" w:type="dxa"/>
            <w:vAlign w:val="bottom"/>
            <w:gridSpan w:val="3"/>
          </w:tcPr>
          <w:p>
            <w:pPr>
              <w:jc w:val="center"/>
              <w:ind w:left="170"/>
              <w:spacing w:after="0"/>
              <w:rPr>
                <w:sz w:val="20"/>
                <w:szCs w:val="20"/>
                <w:color w:val="auto"/>
              </w:rPr>
            </w:pPr>
            <w:r>
              <w:rPr>
                <w:rFonts w:ascii="Arial" w:cs="Arial" w:eastAsia="Arial" w:hAnsi="Arial"/>
                <w:sz w:val="18"/>
                <w:szCs w:val="18"/>
                <w:i w:val="1"/>
                <w:iCs w:val="1"/>
                <w:color w:val="auto"/>
                <w:w w:val="88"/>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297"/>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REGN</w:t>
            </w:r>
          </w:p>
        </w:tc>
        <w:tc>
          <w:tcPr>
            <w:tcW w:w="380" w:type="dxa"/>
            <w:vAlign w:val="bottom"/>
          </w:tcPr>
          <w:p>
            <w:pPr>
              <w:spacing w:after="0"/>
              <w:rPr>
                <w:sz w:val="21"/>
                <w:szCs w:val="21"/>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0200" w:type="dxa"/>
            <w:vAlign w:val="bottom"/>
            <w:gridSpan w:val="8"/>
          </w:tcPr>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200" w:type="dxa"/>
            <w:vAlign w:val="bottom"/>
            <w:gridSpan w:val="8"/>
          </w:tcPr>
          <w:p>
            <w:pPr>
              <w:spacing w:after="0" w:line="158" w:lineRule="exact"/>
              <w:rPr>
                <w:sz w:val="20"/>
                <w:szCs w:val="20"/>
                <w:color w:val="auto"/>
              </w:rPr>
            </w:pPr>
            <w:r>
              <w:rPr>
                <w:rFonts w:ascii="Arial" w:cs="Arial" w:eastAsia="Arial" w:hAnsi="Arial"/>
                <w:sz w:val="16"/>
                <w:szCs w:val="16"/>
                <w:color w:val="auto"/>
                <w:w w:val="99"/>
              </w:rPr>
              <w:t>of 1934 during the preceding 12 months (or for such shorter period that the registrant was required to file such reports), and (2) has been subject</w:t>
            </w:r>
          </w:p>
        </w:tc>
        <w:tc>
          <w:tcPr>
            <w:tcW w:w="480" w:type="dxa"/>
            <w:vAlign w:val="bottom"/>
            <w:vMerge w:val="restart"/>
          </w:tcPr>
          <w:p>
            <w:pPr>
              <w:ind w:left="140"/>
              <w:spacing w:after="0" w:line="196" w:lineRule="exact"/>
              <w:rPr>
                <w:sz w:val="20"/>
                <w:szCs w:val="20"/>
                <w:color w:val="auto"/>
              </w:rPr>
            </w:pPr>
            <w:r>
              <w:rPr>
                <w:rFonts w:ascii="Arial" w:cs="Arial" w:eastAsia="Arial" w:hAnsi="Arial"/>
                <w:sz w:val="13"/>
                <w:szCs w:val="13"/>
                <w:color w:val="auto"/>
                <w:w w:val="85"/>
              </w:rPr>
              <w:t xml:space="preserve">No </w:t>
            </w:r>
            <w:r>
              <w:rPr>
                <w:rFonts w:ascii="MS PGothic" w:cs="MS PGothic" w:eastAsia="MS PGothic" w:hAnsi="MS PGothic"/>
                <w:sz w:val="17"/>
                <w:szCs w:val="17"/>
                <w:color w:val="auto"/>
                <w:w w:val="85"/>
              </w:rPr>
              <w:t>☐</w:t>
            </w:r>
          </w:p>
        </w:tc>
        <w:tc>
          <w:tcPr>
            <w:tcW w:w="0" w:type="dxa"/>
            <w:vAlign w:val="bottom"/>
          </w:tcPr>
          <w:p>
            <w:pPr>
              <w:spacing w:after="0"/>
              <w:rPr>
                <w:sz w:val="1"/>
                <w:szCs w:val="1"/>
                <w:color w:val="auto"/>
              </w:rPr>
            </w:pPr>
          </w:p>
        </w:tc>
      </w:tr>
      <w:tr>
        <w:trPr>
          <w:trHeight w:val="274"/>
        </w:trPr>
        <w:tc>
          <w:tcPr>
            <w:tcW w:w="5040" w:type="dxa"/>
            <w:vAlign w:val="bottom"/>
            <w:gridSpan w:val="3"/>
          </w:tcPr>
          <w:p>
            <w:pPr>
              <w:spacing w:after="0"/>
              <w:rPr>
                <w:sz w:val="20"/>
                <w:szCs w:val="20"/>
                <w:color w:val="auto"/>
              </w:rPr>
            </w:pPr>
            <w:r>
              <w:rPr>
                <w:rFonts w:ascii="Arial" w:cs="Arial" w:eastAsia="Arial" w:hAnsi="Arial"/>
                <w:sz w:val="16"/>
                <w:szCs w:val="16"/>
                <w:color w:val="auto"/>
              </w:rPr>
              <w:t>to such filing requirements for the past 90 days.</w:t>
            </w: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80" w:type="dxa"/>
            <w:vAlign w:val="bottom"/>
            <w:gridSpan w:val="2"/>
          </w:tcPr>
          <w:p>
            <w:pPr>
              <w:ind w:left="2740"/>
              <w:spacing w:after="0" w:line="196"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0" w:type="dxa"/>
            <w:vAlign w:val="bottom"/>
            <w:gridSpan w:val="8"/>
          </w:tcPr>
          <w:p>
            <w:pPr>
              <w:spacing w:after="0" w:line="158" w:lineRule="exact"/>
              <w:rPr>
                <w:sz w:val="20"/>
                <w:szCs w:val="20"/>
                <w:color w:val="auto"/>
              </w:rPr>
            </w:pPr>
            <w:r>
              <w:rPr>
                <w:rFonts w:ascii="Arial" w:cs="Arial" w:eastAsia="Arial" w:hAnsi="Arial"/>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Arial" w:cs="Arial" w:eastAsia="Arial" w:hAnsi="Arial"/>
                <w:sz w:val="13"/>
                <w:szCs w:val="13"/>
                <w:color w:val="auto"/>
                <w:w w:val="85"/>
              </w:rPr>
              <w:t xml:space="preserve">No </w:t>
            </w:r>
            <w:r>
              <w:rPr>
                <w:rFonts w:ascii="MS PGothic" w:cs="MS PGothic" w:eastAsia="MS PGothic" w:hAnsi="MS PGothic"/>
                <w:sz w:val="17"/>
                <w:szCs w:val="17"/>
                <w:color w:val="auto"/>
                <w:w w:val="85"/>
              </w:rPr>
              <w:t>☐</w:t>
            </w:r>
          </w:p>
        </w:tc>
        <w:tc>
          <w:tcPr>
            <w:tcW w:w="0" w:type="dxa"/>
            <w:vAlign w:val="bottom"/>
          </w:tcPr>
          <w:p>
            <w:pPr>
              <w:spacing w:after="0"/>
              <w:rPr>
                <w:sz w:val="1"/>
                <w:szCs w:val="1"/>
                <w:color w:val="auto"/>
              </w:rPr>
            </w:pPr>
          </w:p>
        </w:tc>
      </w:tr>
      <w:tr>
        <w:trPr>
          <w:trHeight w:val="283"/>
        </w:trPr>
        <w:tc>
          <w:tcPr>
            <w:tcW w:w="5040" w:type="dxa"/>
            <w:vAlign w:val="bottom"/>
            <w:gridSpan w:val="3"/>
          </w:tcPr>
          <w:p>
            <w:pPr>
              <w:spacing w:after="0"/>
              <w:rPr>
                <w:sz w:val="20"/>
                <w:szCs w:val="20"/>
                <w:color w:val="auto"/>
              </w:rPr>
            </w:pPr>
            <w:r>
              <w:rPr>
                <w:rFonts w:ascii="Arial" w:cs="Arial" w:eastAsia="Arial" w:hAnsi="Arial"/>
                <w:sz w:val="16"/>
                <w:szCs w:val="16"/>
                <w:color w:val="auto"/>
              </w:rPr>
              <w:t>submit such files).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2"/>
          </w:tcPr>
          <w:p>
            <w:pPr>
              <w:ind w:left="2740"/>
              <w:spacing w:after="0" w:line="196"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both"/>
        <w:ind w:left="20" w:right="16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280"/>
              <w:spacing w:after="0"/>
              <w:rPr>
                <w:sz w:val="20"/>
                <w:szCs w:val="20"/>
                <w:color w:val="auto"/>
              </w:rPr>
            </w:pPr>
            <w:r>
              <w:rPr>
                <w:rFonts w:ascii="Arial" w:cs="Arial" w:eastAsia="Arial" w:hAnsi="Arial"/>
                <w:sz w:val="16"/>
                <w:szCs w:val="16"/>
                <w:color w:val="auto"/>
              </w:rPr>
              <w:t>Large accelerated</w:t>
            </w:r>
          </w:p>
        </w:tc>
        <w:tc>
          <w:tcPr>
            <w:tcW w:w="1700" w:type="dxa"/>
            <w:vAlign w:val="bottom"/>
            <w:vMerge w:val="restart"/>
          </w:tcPr>
          <w:p>
            <w:pPr>
              <w:ind w:left="160"/>
              <w:spacing w:after="0" w:line="19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7"/>
                <w:szCs w:val="17"/>
                <w:color w:val="auto"/>
              </w:rPr>
              <w:t>☐</w:t>
            </w:r>
          </w:p>
        </w:tc>
        <w:tc>
          <w:tcPr>
            <w:tcW w:w="2280" w:type="dxa"/>
            <w:vAlign w:val="bottom"/>
            <w:vMerge w:val="restart"/>
          </w:tcPr>
          <w:p>
            <w:pPr>
              <w:ind w:left="240"/>
              <w:spacing w:after="0" w:line="196"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Smaller reporting</w:t>
            </w:r>
          </w:p>
        </w:tc>
        <w:tc>
          <w:tcPr>
            <w:tcW w:w="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Emerging growth</w:t>
            </w:r>
          </w:p>
        </w:tc>
        <w:tc>
          <w:tcPr>
            <w:tcW w:w="560" w:type="dxa"/>
            <w:vAlign w:val="bottom"/>
            <w:vMerge w:val="restart"/>
          </w:tcPr>
          <w:p>
            <w:pPr>
              <w:jc w:val="right"/>
              <w:ind w:right="299"/>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780" w:type="dxa"/>
            <w:vAlign w:val="bottom"/>
          </w:tcPr>
          <w:p>
            <w:pPr>
              <w:ind w:left="1140"/>
              <w:spacing w:after="0" w:line="196" w:lineRule="exact"/>
              <w:rPr>
                <w:sz w:val="20"/>
                <w:szCs w:val="20"/>
                <w:color w:val="auto"/>
              </w:rPr>
            </w:pPr>
            <w:r>
              <w:rPr>
                <w:rFonts w:ascii="Arial" w:cs="Arial" w:eastAsia="Arial" w:hAnsi="Arial"/>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company</w:t>
            </w:r>
          </w:p>
        </w:tc>
        <w:tc>
          <w:tcPr>
            <w:tcW w:w="62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company</w:t>
            </w:r>
          </w:p>
        </w:tc>
        <w:tc>
          <w:tcPr>
            <w:tcW w:w="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600" w:type="dxa"/>
            <w:vAlign w:val="bottom"/>
            <w:gridSpan w:val="6"/>
          </w:tcPr>
          <w:p>
            <w:pPr>
              <w:spacing w:after="0"/>
              <w:rPr>
                <w:sz w:val="20"/>
                <w:szCs w:val="20"/>
                <w:color w:val="auto"/>
              </w:rPr>
            </w:pPr>
            <w:r>
              <w:rPr>
                <w:rFonts w:ascii="Arial" w:cs="Arial" w:eastAsia="Arial" w:hAnsi="Arial"/>
                <w:sz w:val="16"/>
                <w:szCs w:val="16"/>
                <w:color w:val="auto"/>
                <w:w w:val="94"/>
              </w:rPr>
              <w:t>If an emerging growth company, indicate by check mark if the registrant has elected not to use the extended transition period for complying with</w:t>
            </w:r>
          </w:p>
        </w:tc>
        <w:tc>
          <w:tcPr>
            <w:tcW w:w="560" w:type="dxa"/>
            <w:vAlign w:val="bottom"/>
            <w:vMerge w:val="restart"/>
          </w:tcPr>
          <w:p>
            <w:pPr>
              <w:jc w:val="right"/>
              <w:ind w:right="99"/>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380" w:type="dxa"/>
            <w:vAlign w:val="bottom"/>
            <w:gridSpan w:val="4"/>
          </w:tcPr>
          <w:p>
            <w:pPr>
              <w:spacing w:after="0"/>
              <w:rPr>
                <w:sz w:val="20"/>
                <w:szCs w:val="20"/>
                <w:color w:val="auto"/>
              </w:rPr>
            </w:pPr>
            <w:r>
              <w:rPr>
                <w:rFonts w:ascii="Arial" w:cs="Arial" w:eastAsia="Arial" w:hAnsi="Arial"/>
                <w:sz w:val="16"/>
                <w:szCs w:val="16"/>
                <w:color w:val="auto"/>
                <w:w w:val="97"/>
              </w:rPr>
              <w:t>any new or revised financial accounting standards provided pursuant to Section 13(a) of the Exchange Act.</w:t>
            </w: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380" w:type="dxa"/>
            <w:vAlign w:val="bottom"/>
            <w:gridSpan w:val="4"/>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jc w:val="right"/>
              <w:ind w:right="99"/>
              <w:spacing w:after="0" w:line="196" w:lineRule="exact"/>
              <w:rPr>
                <w:sz w:val="20"/>
                <w:szCs w:val="20"/>
                <w:color w:val="auto"/>
              </w:rPr>
            </w:pPr>
            <w:r>
              <w:rPr>
                <w:rFonts w:ascii="Arial" w:cs="Arial" w:eastAsia="Arial" w:hAnsi="Arial"/>
                <w:sz w:val="13"/>
                <w:szCs w:val="13"/>
                <w:color w:val="auto"/>
                <w:w w:val="83"/>
              </w:rPr>
              <w:t xml:space="preserve">Yes </w:t>
            </w:r>
            <w:r>
              <w:rPr>
                <w:rFonts w:ascii="MS PGothic" w:cs="MS PGothic" w:eastAsia="MS PGothic" w:hAnsi="MS PGothic"/>
                <w:sz w:val="17"/>
                <w:szCs w:val="17"/>
                <w:color w:val="auto"/>
                <w:w w:val="83"/>
              </w:rPr>
              <w:t>☐</w:t>
            </w:r>
          </w:p>
        </w:tc>
        <w:tc>
          <w:tcPr>
            <w:tcW w:w="520" w:type="dxa"/>
            <w:vAlign w:val="bottom"/>
          </w:tcPr>
          <w:p>
            <w:pPr>
              <w:ind w:left="180"/>
              <w:spacing w:after="0" w:line="196" w:lineRule="exact"/>
              <w:rPr>
                <w:sz w:val="20"/>
                <w:szCs w:val="20"/>
                <w:color w:val="auto"/>
              </w:rPr>
            </w:pPr>
            <w:r>
              <w:rPr>
                <w:rFonts w:ascii="Arial" w:cs="Arial" w:eastAsia="Arial" w:hAnsi="Arial"/>
                <w:sz w:val="13"/>
                <w:szCs w:val="13"/>
                <w:color w:val="auto"/>
                <w:w w:val="85"/>
              </w:rPr>
              <w:t xml:space="preserve">No </w:t>
            </w:r>
            <w:r>
              <w:rPr>
                <w:rFonts w:ascii="MS PGothic" w:cs="MS PGothic" w:eastAsia="MS PGothic" w:hAnsi="MS PGothic"/>
                <w:sz w:val="17"/>
                <w:szCs w:val="17"/>
                <w:color w:val="auto"/>
                <w:w w:val="85"/>
              </w:rPr>
              <w:t>☒</w:t>
            </w: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6"/>
          <w:szCs w:val="16"/>
          <w:color w:val="auto"/>
        </w:rPr>
        <w:t>The number of shares outstanding of each of the registrant's classes of common stock as of April 13, 2021:</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24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Class of Common Stock</w:t>
            </w:r>
          </w:p>
        </w:tc>
        <w:tc>
          <w:tcPr>
            <w:tcW w:w="320" w:type="dxa"/>
            <w:vAlign w:val="bottom"/>
          </w:tcPr>
          <w:p>
            <w:pPr>
              <w:spacing w:after="0"/>
              <w:rPr>
                <w:sz w:val="18"/>
                <w:szCs w:val="18"/>
                <w:color w:val="auto"/>
              </w:rPr>
            </w:pPr>
          </w:p>
        </w:tc>
        <w:tc>
          <w:tcPr>
            <w:tcW w:w="32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Number of Shares</w:t>
            </w:r>
          </w:p>
        </w:tc>
        <w:tc>
          <w:tcPr>
            <w:tcW w:w="2220" w:type="dxa"/>
            <w:vAlign w:val="bottom"/>
          </w:tcPr>
          <w:p>
            <w:pPr>
              <w:spacing w:after="0"/>
              <w:rPr>
                <w:sz w:val="18"/>
                <w:szCs w:val="18"/>
                <w:color w:val="auto"/>
              </w:rPr>
            </w:pPr>
          </w:p>
        </w:tc>
      </w:tr>
      <w:tr>
        <w:trPr>
          <w:trHeight w:val="207"/>
        </w:trPr>
        <w:tc>
          <w:tcPr>
            <w:tcW w:w="2240" w:type="dxa"/>
            <w:vAlign w:val="bottom"/>
          </w:tcPr>
          <w:p>
            <w:pPr>
              <w:spacing w:after="0"/>
              <w:rPr>
                <w:sz w:val="17"/>
                <w:szCs w:val="17"/>
                <w:color w:val="auto"/>
              </w:rPr>
            </w:pPr>
          </w:p>
        </w:tc>
        <w:tc>
          <w:tcPr>
            <w:tcW w:w="358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Class A Stock, $.001 par value</w:t>
            </w:r>
          </w:p>
        </w:tc>
        <w:tc>
          <w:tcPr>
            <w:tcW w:w="3200" w:type="dxa"/>
            <w:vAlign w:val="bottom"/>
          </w:tcPr>
          <w:p>
            <w:pPr>
              <w:jc w:val="right"/>
              <w:ind w:right="1199"/>
              <w:spacing w:after="0"/>
              <w:rPr>
                <w:sz w:val="20"/>
                <w:szCs w:val="20"/>
                <w:color w:val="auto"/>
              </w:rPr>
            </w:pPr>
            <w:r>
              <w:rPr>
                <w:rFonts w:ascii="Arial" w:cs="Arial" w:eastAsia="Arial" w:hAnsi="Arial"/>
                <w:sz w:val="16"/>
                <w:szCs w:val="16"/>
                <w:color w:val="auto"/>
              </w:rPr>
              <w:t>1,848,970</w:t>
            </w:r>
          </w:p>
        </w:tc>
        <w:tc>
          <w:tcPr>
            <w:tcW w:w="22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Common Stock, $.001 par value</w:t>
            </w:r>
          </w:p>
        </w:tc>
        <w:tc>
          <w:tcPr>
            <w:tcW w:w="3200" w:type="dxa"/>
            <w:vAlign w:val="bottom"/>
          </w:tcPr>
          <w:p>
            <w:pPr>
              <w:jc w:val="right"/>
              <w:ind w:right="1119"/>
              <w:spacing w:after="0"/>
              <w:rPr>
                <w:sz w:val="20"/>
                <w:szCs w:val="20"/>
                <w:color w:val="auto"/>
              </w:rPr>
            </w:pPr>
            <w:r>
              <w:rPr>
                <w:rFonts w:ascii="Arial" w:cs="Arial" w:eastAsia="Arial" w:hAnsi="Arial"/>
                <w:sz w:val="16"/>
                <w:szCs w:val="16"/>
                <w:color w:val="auto"/>
              </w:rPr>
              <w:t>104,694,835</w:t>
            </w:r>
          </w:p>
        </w:tc>
        <w:tc>
          <w:tcPr>
            <w:tcW w:w="2220" w:type="dxa"/>
            <w:vAlign w:val="bottom"/>
          </w:tcPr>
          <w:p>
            <w:pPr>
              <w:spacing w:after="0"/>
              <w:rPr>
                <w:sz w:val="18"/>
                <w:szCs w:val="18"/>
                <w:color w:val="auto"/>
              </w:rPr>
            </w:pPr>
          </w:p>
        </w:tc>
      </w:tr>
      <w:tr>
        <w:trPr>
          <w:trHeight w:val="1012"/>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Page Numbers</w:t>
            </w: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1160" w:type="dxa"/>
            <w:vAlign w:val="bottom"/>
            <w:gridSpan w:val="5"/>
            <w:shd w:val="clear" w:color="auto" w:fill="CCEEFF"/>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7700" w:type="dxa"/>
            <w:vAlign w:val="bottom"/>
            <w:gridSpan w:val="19"/>
            <w:shd w:val="clear" w:color="auto" w:fill="CCEEFF"/>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1160" w:type="dxa"/>
            <w:vAlign w:val="bottom"/>
            <w:gridSpan w:val="5"/>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7700" w:type="dxa"/>
            <w:vAlign w:val="bottom"/>
            <w:gridSpan w:val="19"/>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640" w:type="dxa"/>
            <w:vAlign w:val="bottom"/>
            <w:gridSpan w:val="4"/>
            <w:shd w:val="clear" w:color="auto" w:fill="CCEEFF"/>
          </w:tcPr>
          <w:p>
            <w:pPr>
              <w:jc w:val="center"/>
              <w:ind w:left="390"/>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700" w:type="dxa"/>
            <w:vAlign w:val="bottom"/>
            <w:gridSpan w:val="19"/>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March 31, 2021 and December 31, 2020</w:t>
              </w:r>
            </w:hyperlink>
          </w:p>
        </w:tc>
        <w:tc>
          <w:tcPr>
            <w:tcW w:w="640" w:type="dxa"/>
            <w:vAlign w:val="bottom"/>
            <w:gridSpan w:val="4"/>
            <w:shd w:val="clear" w:color="auto" w:fill="CCEEFF"/>
          </w:tcPr>
          <w:p>
            <w:pPr>
              <w:jc w:val="center"/>
              <w:ind w:left="390"/>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700" w:type="dxa"/>
            <w:vAlign w:val="bottom"/>
            <w:gridSpan w:val="19"/>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and Comprehensive Income for the Three</w:t>
              </w:r>
            </w:hyperlink>
          </w:p>
        </w:tc>
        <w:tc>
          <w:tcPr>
            <w:tcW w:w="640" w:type="dxa"/>
            <w:vAlign w:val="bottom"/>
            <w:gridSpan w:val="4"/>
            <w:shd w:val="clear" w:color="auto" w:fill="CCEEFF"/>
          </w:tcPr>
          <w:p>
            <w:pPr>
              <w:jc w:val="center"/>
              <w:ind w:left="390"/>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76"/>
        </w:trPr>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70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Months Ended March 31, 2021 and 2020</w:t>
              </w:r>
            </w:hyperlink>
          </w:p>
        </w:tc>
        <w:tc>
          <w:tcPr>
            <w:tcW w:w="2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700" w:type="dxa"/>
            <w:vAlign w:val="bottom"/>
            <w:gridSpan w:val="19"/>
            <w:shd w:val="clear" w:color="auto" w:fill="CCEEFF"/>
          </w:tcPr>
          <w:p>
            <w:pPr>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Stockholders' Equity for the Three Months Ended March</w:t>
              </w:r>
            </w:hyperlink>
          </w:p>
        </w:tc>
        <w:tc>
          <w:tcPr>
            <w:tcW w:w="640" w:type="dxa"/>
            <w:vAlign w:val="bottom"/>
            <w:gridSpan w:val="4"/>
            <w:shd w:val="clear" w:color="auto" w:fill="CCEEFF"/>
          </w:tcPr>
          <w:p>
            <w:pPr>
              <w:jc w:val="center"/>
              <w:ind w:left="390"/>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76"/>
        </w:trPr>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960" w:type="dxa"/>
            <w:vAlign w:val="bottom"/>
            <w:tcBorders>
              <w:top w:val="single" w:sz="8" w:color="0000FF"/>
            </w:tcBorders>
            <w:gridSpan w:val="18"/>
            <w:shd w:val="clear" w:color="auto" w:fill="CCEEFF"/>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31, 2021 and 2020</w:t>
              </w:r>
            </w:hyperlink>
          </w:p>
        </w:tc>
        <w:tc>
          <w:tcPr>
            <w:tcW w:w="7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700" w:type="dxa"/>
            <w:vAlign w:val="bottom"/>
            <w:gridSpan w:val="19"/>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Three Months Ended March 31,</w:t>
              </w:r>
            </w:hyperlink>
          </w:p>
        </w:tc>
        <w:tc>
          <w:tcPr>
            <w:tcW w:w="640" w:type="dxa"/>
            <w:vAlign w:val="bottom"/>
            <w:gridSpan w:val="4"/>
            <w:shd w:val="clear" w:color="auto" w:fill="CCEEFF"/>
          </w:tcPr>
          <w:p>
            <w:pPr>
              <w:jc w:val="center"/>
              <w:ind w:left="390"/>
              <w:spacing w:after="0" w:line="189"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76"/>
        </w:trPr>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58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2021 and 2020</w:t>
              </w:r>
            </w:hyperlink>
          </w:p>
        </w:tc>
        <w:tc>
          <w:tcPr>
            <w:tcW w:w="1120" w:type="dxa"/>
            <w:vAlign w:val="bottom"/>
            <w:tcBorders>
              <w:top w:val="single" w:sz="8" w:color="CCEEFF"/>
            </w:tcBorders>
            <w:gridSpan w:val="3"/>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700" w:type="dxa"/>
            <w:vAlign w:val="bottom"/>
            <w:gridSpan w:val="19"/>
            <w:shd w:val="clear" w:color="auto" w:fill="CCEEFF"/>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640" w:type="dxa"/>
            <w:vAlign w:val="bottom"/>
            <w:gridSpan w:val="4"/>
            <w:shd w:val="clear" w:color="auto" w:fill="CCEEFF"/>
          </w:tcPr>
          <w:p>
            <w:pPr>
              <w:jc w:val="center"/>
              <w:ind w:left="390"/>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1160" w:type="dxa"/>
            <w:vAlign w:val="bottom"/>
            <w:gridSpan w:val="5"/>
            <w:shd w:val="clear" w:color="auto" w:fill="CCEEFF"/>
          </w:tcPr>
          <w:p>
            <w:pPr>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Item 2.</w:t>
              </w:r>
            </w:hyperlink>
          </w:p>
        </w:tc>
        <w:tc>
          <w:tcPr>
            <w:tcW w:w="7700" w:type="dxa"/>
            <w:vAlign w:val="bottom"/>
            <w:gridSpan w:val="19"/>
            <w:shd w:val="clear" w:color="auto" w:fill="CCEEFF"/>
          </w:tcPr>
          <w:p>
            <w:pPr>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1120" w:type="dxa"/>
            <w:vAlign w:val="bottom"/>
            <w:gridSpan w:val="5"/>
            <w:shd w:val="clear" w:color="auto" w:fill="CCEEFF"/>
          </w:tcPr>
          <w:p>
            <w:pPr>
              <w:jc w:val="center"/>
              <w:ind w:right="20"/>
              <w:spacing w:after="0" w:line="189"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1160" w:type="dxa"/>
            <w:vAlign w:val="bottom"/>
            <w:gridSpan w:val="5"/>
            <w:shd w:val="clear" w:color="auto" w:fill="CCEEFF"/>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7700" w:type="dxa"/>
            <w:vAlign w:val="bottom"/>
            <w:gridSpan w:val="19"/>
            <w:shd w:val="clear" w:color="auto" w:fill="CCEEFF"/>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1120" w:type="dxa"/>
            <w:vAlign w:val="bottom"/>
            <w:gridSpan w:val="5"/>
            <w:shd w:val="clear" w:color="auto" w:fill="CCEEFF"/>
          </w:tcPr>
          <w:p>
            <w:pPr>
              <w:jc w:val="center"/>
              <w:ind w:right="20"/>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1160" w:type="dxa"/>
            <w:vAlign w:val="bottom"/>
            <w:gridSpan w:val="5"/>
            <w:shd w:val="clear" w:color="auto" w:fill="CCEEFF"/>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Item 4.</w:t>
              </w:r>
            </w:hyperlink>
          </w:p>
        </w:tc>
        <w:tc>
          <w:tcPr>
            <w:tcW w:w="7700" w:type="dxa"/>
            <w:vAlign w:val="bottom"/>
            <w:gridSpan w:val="19"/>
            <w:shd w:val="clear" w:color="auto" w:fill="CCEEFF"/>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1120" w:type="dxa"/>
            <w:vAlign w:val="bottom"/>
            <w:gridSpan w:val="5"/>
            <w:shd w:val="clear" w:color="auto" w:fill="CCEEFF"/>
          </w:tcPr>
          <w:p>
            <w:pPr>
              <w:jc w:val="center"/>
              <w:ind w:right="20"/>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45</w:t>
              </w:r>
            </w:hyperlink>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1160" w:type="dxa"/>
            <w:vAlign w:val="bottom"/>
            <w:gridSpan w:val="5"/>
            <w:shd w:val="clear" w:color="auto" w:fill="CCEEFF"/>
          </w:tcPr>
          <w:p>
            <w:pPr>
              <w:spacing w:after="0" w:line="189" w:lineRule="exact"/>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PART II</w:t>
              </w:r>
            </w:hyperlink>
          </w:p>
        </w:tc>
        <w:tc>
          <w:tcPr>
            <w:tcW w:w="7700" w:type="dxa"/>
            <w:vAlign w:val="bottom"/>
            <w:gridSpan w:val="19"/>
            <w:shd w:val="clear" w:color="auto" w:fill="CCEEFF"/>
          </w:tcPr>
          <w:p>
            <w:pPr>
              <w:spacing w:after="0" w:line="189" w:lineRule="exact"/>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OTHER INFORMATION</w:t>
              </w:r>
            </w:hyperlink>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1160" w:type="dxa"/>
            <w:vAlign w:val="bottom"/>
            <w:gridSpan w:val="5"/>
            <w:shd w:val="clear" w:color="auto" w:fill="CCEEFF"/>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Item 1.</w:t>
              </w:r>
            </w:hyperlink>
          </w:p>
        </w:tc>
        <w:tc>
          <w:tcPr>
            <w:tcW w:w="7700" w:type="dxa"/>
            <w:vAlign w:val="bottom"/>
            <w:gridSpan w:val="19"/>
            <w:shd w:val="clear" w:color="auto" w:fill="CCEEFF"/>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1120" w:type="dxa"/>
            <w:vAlign w:val="bottom"/>
            <w:gridSpan w:val="5"/>
            <w:shd w:val="clear" w:color="auto" w:fill="CCEEFF"/>
          </w:tcPr>
          <w:p>
            <w:pPr>
              <w:jc w:val="center"/>
              <w:ind w:right="20"/>
              <w:spacing w:after="0" w:line="189"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1160" w:type="dxa"/>
            <w:vAlign w:val="bottom"/>
            <w:gridSpan w:val="5"/>
            <w:shd w:val="clear" w:color="auto" w:fill="CCEEFF"/>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Item 1A.</w:t>
              </w:r>
            </w:hyperlink>
          </w:p>
        </w:tc>
        <w:tc>
          <w:tcPr>
            <w:tcW w:w="7700" w:type="dxa"/>
            <w:vAlign w:val="bottom"/>
            <w:gridSpan w:val="19"/>
            <w:shd w:val="clear" w:color="auto" w:fill="CCEEFF"/>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1120" w:type="dxa"/>
            <w:vAlign w:val="bottom"/>
            <w:gridSpan w:val="5"/>
            <w:shd w:val="clear" w:color="auto" w:fill="CCEEFF"/>
          </w:tcPr>
          <w:p>
            <w:pPr>
              <w:jc w:val="center"/>
              <w:ind w:right="20"/>
              <w:spacing w:after="0" w:line="189"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1160" w:type="dxa"/>
            <w:vAlign w:val="bottom"/>
            <w:gridSpan w:val="5"/>
            <w:shd w:val="clear" w:color="auto" w:fill="CCEEFF"/>
          </w:tcPr>
          <w:p>
            <w:pPr>
              <w:spacing w:after="0" w:line="189" w:lineRule="exact"/>
              <w:rPr>
                <w:rFonts w:ascii="Arial" w:cs="Arial" w:eastAsia="Arial" w:hAnsi="Arial"/>
                <w:sz w:val="18"/>
                <w:szCs w:val="18"/>
                <w:color w:val="0000FF"/>
              </w:rPr>
            </w:pPr>
            <w:hyperlink w:anchor="page80">
              <w:r>
                <w:rPr>
                  <w:rFonts w:ascii="Arial" w:cs="Arial" w:eastAsia="Arial" w:hAnsi="Arial"/>
                  <w:sz w:val="18"/>
                  <w:szCs w:val="18"/>
                  <w:color w:val="0000FF"/>
                </w:rPr>
                <w:t>Item 2.</w:t>
              </w:r>
            </w:hyperlink>
          </w:p>
        </w:tc>
        <w:tc>
          <w:tcPr>
            <w:tcW w:w="7700" w:type="dxa"/>
            <w:vAlign w:val="bottom"/>
            <w:gridSpan w:val="19"/>
            <w:shd w:val="clear" w:color="auto" w:fill="CCEEFF"/>
          </w:tcPr>
          <w:p>
            <w:pPr>
              <w:spacing w:after="0" w:line="189" w:lineRule="exact"/>
              <w:rPr>
                <w:rFonts w:ascii="Arial" w:cs="Arial" w:eastAsia="Arial" w:hAnsi="Arial"/>
                <w:sz w:val="18"/>
                <w:szCs w:val="18"/>
                <w:color w:val="0000FF"/>
              </w:rPr>
            </w:pPr>
            <w:hyperlink w:anchor="page80">
              <w:r>
                <w:rPr>
                  <w:rFonts w:ascii="Arial" w:cs="Arial" w:eastAsia="Arial" w:hAnsi="Arial"/>
                  <w:sz w:val="18"/>
                  <w:szCs w:val="18"/>
                  <w:color w:val="0000FF"/>
                </w:rPr>
                <w:t>Unregistered Sales of Equity Securities and Use of Proceeds</w:t>
              </w:r>
            </w:hyperlink>
          </w:p>
        </w:tc>
        <w:tc>
          <w:tcPr>
            <w:tcW w:w="1120" w:type="dxa"/>
            <w:vAlign w:val="bottom"/>
            <w:gridSpan w:val="5"/>
            <w:shd w:val="clear" w:color="auto" w:fill="CCEEFF"/>
          </w:tcPr>
          <w:p>
            <w:pPr>
              <w:jc w:val="center"/>
              <w:ind w:right="20"/>
              <w:spacing w:after="0" w:line="189"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80</w:t>
              </w:r>
            </w:hyperlink>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81">
              <w:r>
                <w:rPr>
                  <w:rFonts w:ascii="Arial" w:cs="Arial" w:eastAsia="Arial" w:hAnsi="Arial"/>
                  <w:sz w:val="18"/>
                  <w:szCs w:val="18"/>
                  <w:color w:val="0000FF"/>
                  <w:w w:val="90"/>
                </w:rPr>
                <w:t>Item 6.</w:t>
              </w:r>
            </w:hyperlink>
          </w:p>
        </w:tc>
        <w:tc>
          <w:tcPr>
            <w:tcW w:w="640" w:type="dxa"/>
            <w:vAlign w:val="bottom"/>
            <w:gridSpan w:val="4"/>
            <w:shd w:val="clear" w:color="auto" w:fill="CCEEFF"/>
          </w:tcPr>
          <w:p>
            <w:pPr>
              <w:spacing w:after="0"/>
              <w:rPr>
                <w:sz w:val="18"/>
                <w:szCs w:val="18"/>
                <w:color w:val="auto"/>
              </w:rPr>
            </w:pPr>
          </w:p>
        </w:tc>
        <w:tc>
          <w:tcPr>
            <w:tcW w:w="600" w:type="dxa"/>
            <w:vAlign w:val="bottom"/>
            <w:gridSpan w:val="2"/>
            <w:shd w:val="clear" w:color="auto" w:fill="CCEEFF"/>
          </w:tcPr>
          <w:p>
            <w:pPr>
              <w:spacing w:after="0" w:line="189" w:lineRule="exact"/>
              <w:rPr>
                <w:rFonts w:ascii="Arial" w:cs="Arial" w:eastAsia="Arial" w:hAnsi="Arial"/>
                <w:sz w:val="18"/>
                <w:szCs w:val="18"/>
                <w:color w:val="0000FF"/>
                <w:w w:val="91"/>
              </w:rPr>
            </w:pPr>
            <w:hyperlink w:anchor="page81">
              <w:r>
                <w:rPr>
                  <w:rFonts w:ascii="Arial" w:cs="Arial" w:eastAsia="Arial" w:hAnsi="Arial"/>
                  <w:sz w:val="18"/>
                  <w:szCs w:val="18"/>
                  <w:color w:val="0000FF"/>
                  <w:w w:val="91"/>
                </w:rPr>
                <w:t>Exhibits</w:t>
              </w:r>
            </w:hyperlink>
          </w:p>
        </w:tc>
        <w:tc>
          <w:tcPr>
            <w:tcW w:w="7100" w:type="dxa"/>
            <w:vAlign w:val="bottom"/>
            <w:gridSpan w:val="17"/>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right="480"/>
              <w:spacing w:after="0" w:line="189"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80</w:t>
              </w:r>
            </w:hyperlink>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8860" w:type="dxa"/>
            <w:vAlign w:val="bottom"/>
            <w:gridSpan w:val="24"/>
            <w:shd w:val="clear" w:color="auto" w:fill="CCEEFF"/>
          </w:tcPr>
          <w:p>
            <w:pPr>
              <w:spacing w:after="0" w:line="189" w:lineRule="exact"/>
              <w:rPr>
                <w:rFonts w:ascii="Arial" w:cs="Arial" w:eastAsia="Arial" w:hAnsi="Arial"/>
                <w:sz w:val="18"/>
                <w:szCs w:val="18"/>
                <w:b w:val="1"/>
                <w:bCs w:val="1"/>
                <w:color w:val="0000FF"/>
              </w:rPr>
            </w:pPr>
            <w:hyperlink w:anchor="page81">
              <w:r>
                <w:rPr>
                  <w:rFonts w:ascii="Arial" w:cs="Arial" w:eastAsia="Arial" w:hAnsi="Arial"/>
                  <w:sz w:val="18"/>
                  <w:szCs w:val="18"/>
                  <w:b w:val="1"/>
                  <w:bCs w:val="1"/>
                  <w:color w:val="0000FF"/>
                </w:rPr>
                <w:t>SIGNATURE PAGE</w:t>
              </w:r>
            </w:hyperlink>
          </w:p>
        </w:tc>
        <w:tc>
          <w:tcPr>
            <w:tcW w:w="1120" w:type="dxa"/>
            <w:vAlign w:val="bottom"/>
            <w:gridSpan w:val="5"/>
            <w:shd w:val="clear" w:color="auto" w:fill="CCEEFF"/>
          </w:tcPr>
          <w:p>
            <w:pPr>
              <w:jc w:val="center"/>
              <w:ind w:right="20"/>
              <w:spacing w:after="0" w:line="189"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81</w:t>
              </w:r>
            </w:hyperlink>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188" w:lineRule="auto"/>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w:t>
      </w:r>
      <w:r>
        <w:rPr>
          <w:rFonts w:ascii="Arial" w:cs="Arial" w:eastAsia="Arial" w:hAnsi="Arial"/>
          <w:sz w:val="18"/>
          <w:szCs w:val="18"/>
          <w:color w:val="auto"/>
        </w:rPr>
        <w:t>," "Evkeeza</w:t>
      </w:r>
      <w:r>
        <w:rPr>
          <w:rFonts w:ascii="Arial" w:cs="Arial" w:eastAsia="Arial" w:hAnsi="Arial"/>
          <w:sz w:val="23"/>
          <w:szCs w:val="23"/>
          <w:color w:val="auto"/>
          <w:vertAlign w:val="superscript"/>
        </w:rPr>
        <w:t>™</w:t>
      </w:r>
      <w:r>
        <w:rPr>
          <w:rFonts w:ascii="Arial" w:cs="Arial" w:eastAsia="Arial" w:hAnsi="Arial"/>
          <w:sz w:val="18"/>
          <w:szCs w:val="18"/>
          <w:color w:val="auto"/>
        </w:rPr>
        <w:t>," "EYLEA</w:t>
      </w:r>
      <w:r>
        <w:rPr>
          <w:rFonts w:ascii="Arial" w:cs="Arial" w:eastAsia="Arial" w:hAnsi="Arial"/>
          <w:sz w:val="23"/>
          <w:szCs w:val="23"/>
          <w:color w:val="auto"/>
          <w:vertAlign w:val="superscript"/>
        </w:rPr>
        <w:t>®</w:t>
      </w:r>
      <w:r>
        <w:rPr>
          <w:rFonts w:ascii="Arial" w:cs="Arial" w:eastAsia="Arial" w:hAnsi="Arial"/>
          <w:sz w:val="18"/>
          <w:szCs w:val="18"/>
          <w:color w:val="auto"/>
        </w:rPr>
        <w:t>," "Inmazeb</w:t>
      </w:r>
      <w:r>
        <w:rPr>
          <w:rFonts w:ascii="Arial" w:cs="Arial" w:eastAsia="Arial" w:hAnsi="Arial"/>
          <w:sz w:val="23"/>
          <w:szCs w:val="23"/>
          <w:color w:val="auto"/>
          <w:vertAlign w:val="superscript"/>
        </w:rPr>
        <w:t>™</w:t>
      </w:r>
      <w:r>
        <w:rPr>
          <w:rFonts w:ascii="Arial" w:cs="Arial" w:eastAsia="Arial" w:hAnsi="Arial"/>
          <w:sz w:val="18"/>
          <w:szCs w:val="18"/>
          <w:color w:val="auto"/>
        </w:rPr>
        <w:t>," "Libtayo</w:t>
      </w:r>
      <w:r>
        <w:rPr>
          <w:rFonts w:ascii="Arial" w:cs="Arial" w:eastAsia="Arial" w:hAnsi="Arial"/>
          <w:sz w:val="23"/>
          <w:szCs w:val="23"/>
          <w:color w:val="auto"/>
          <w:vertAlign w:val="superscript"/>
        </w:rPr>
        <w:t>®</w:t>
      </w:r>
      <w:r>
        <w:rPr>
          <w:rFonts w:ascii="Arial" w:cs="Arial" w:eastAsia="Arial" w:hAnsi="Arial"/>
          <w:sz w:val="18"/>
          <w:szCs w:val="18"/>
          <w:color w:val="auto"/>
        </w:rPr>
        <w:t>" (in the United States), "Praluent</w:t>
      </w:r>
      <w:r>
        <w:rPr>
          <w:rFonts w:ascii="Arial" w:cs="Arial" w:eastAsia="Arial" w:hAnsi="Arial"/>
          <w:sz w:val="23"/>
          <w:szCs w:val="23"/>
          <w:color w:val="auto"/>
          <w:vertAlign w:val="superscript"/>
        </w:rPr>
        <w:t>®</w:t>
      </w:r>
      <w:r>
        <w:rPr>
          <w:rFonts w:ascii="Arial" w:cs="Arial" w:eastAsia="Arial" w:hAnsi="Arial"/>
          <w:sz w:val="18"/>
          <w:szCs w:val="18"/>
          <w:color w:val="auto"/>
        </w:rPr>
        <w:t>" (in the United States), "REGEN-COV™," "Regeneron</w:t>
      </w:r>
      <w:r>
        <w:rPr>
          <w:rFonts w:ascii="Arial" w:cs="Arial" w:eastAsia="Arial" w:hAnsi="Arial"/>
          <w:sz w:val="23"/>
          <w:szCs w:val="23"/>
          <w:color w:val="auto"/>
          <w:vertAlign w:val="superscript"/>
        </w:rPr>
        <w:t>®</w:t>
      </w:r>
      <w:r>
        <w:rPr>
          <w:rFonts w:ascii="Arial" w:cs="Arial" w:eastAsia="Arial" w:hAnsi="Arial"/>
          <w:sz w:val="18"/>
          <w:szCs w:val="18"/>
          <w:color w:val="auto"/>
        </w:rPr>
        <w:t>," "Regeneron Genetics Center</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Veloci-Bi</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VelociHum</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VelociT</w:t>
      </w:r>
      <w:r>
        <w:rPr>
          <w:rFonts w:ascii="Arial" w:cs="Arial" w:eastAsia="Arial" w:hAnsi="Arial"/>
          <w:sz w:val="23"/>
          <w:szCs w:val="23"/>
          <w:color w:val="auto"/>
          <w:vertAlign w:val="superscript"/>
        </w:rPr>
        <w:t>™</w:t>
      </w:r>
      <w:r>
        <w:rPr>
          <w:rFonts w:ascii="Arial" w:cs="Arial" w:eastAsia="Arial" w:hAnsi="Arial"/>
          <w:sz w:val="18"/>
          <w:szCs w:val="18"/>
          <w:color w:val="auto"/>
        </w:rPr>
        <w:t>," and "ZALTRAP</w:t>
      </w:r>
      <w:r>
        <w:rPr>
          <w:rFonts w:ascii="Arial" w:cs="Arial" w:eastAsia="Arial" w:hAnsi="Arial"/>
          <w:sz w:val="23"/>
          <w:szCs w:val="23"/>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719455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1,393.3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1,916.6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9,779.1</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1,644.2</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Finance lease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2,697.4</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tcPr>
          <w:p>
            <w:pPr>
              <w:ind w:left="220"/>
              <w:spacing w:after="0" w:line="176" w:lineRule="exact"/>
              <w:rPr>
                <w:sz w:val="20"/>
                <w:szCs w:val="20"/>
                <w:color w:val="auto"/>
              </w:rPr>
            </w:pPr>
            <w:r>
              <w:rPr>
                <w:rFonts w:ascii="Arial" w:cs="Arial" w:eastAsia="Arial" w:hAnsi="Arial"/>
                <w:sz w:val="18"/>
                <w:szCs w:val="18"/>
                <w:color w:val="auto"/>
                <w:w w:val="93"/>
              </w:rPr>
              <w:t>Class A Stock, convertible, $.001 par value; 40,000,000 shares authorized; shares issued and outstanding -</w:t>
            </w: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400"/>
              <w:spacing w:after="0"/>
              <w:rPr>
                <w:sz w:val="20"/>
                <w:szCs w:val="20"/>
                <w:color w:val="auto"/>
              </w:rPr>
            </w:pPr>
            <w:r>
              <w:rPr>
                <w:rFonts w:ascii="Arial" w:cs="Arial" w:eastAsia="Arial" w:hAnsi="Arial"/>
                <w:sz w:val="18"/>
                <w:szCs w:val="18"/>
                <w:color w:val="auto"/>
              </w:rPr>
              <w:t>1,848,970 in 2021 and 2020</w:t>
            </w:r>
          </w:p>
        </w:tc>
        <w:tc>
          <w:tcPr>
            <w:tcW w:w="2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Common Stock, $.001 par value; 320,000,000 shares authorized; shares issued - 121,899,178 in 2021 and</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121,533,460 in 2020</w:t>
            </w: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6,887.8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6,716.2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10,893.0</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17,104,177 shares in 2021 and 16,431,520 shares in 2020</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11,025.3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114"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Three Months Ended</w:t>
      </w:r>
    </w:p>
    <w:p>
      <w:pPr>
        <w:ind w:left="932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product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Collaboration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528.3</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1,828.2</w:t>
            </w:r>
          </w:p>
        </w:tc>
      </w:tr>
      <w:tr>
        <w:trPr>
          <w:trHeight w:val="196"/>
        </w:trPr>
        <w:tc>
          <w:tcPr>
            <w:tcW w:w="8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367.3</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1,128.1</w:t>
            </w:r>
          </w:p>
        </w:tc>
      </w:tr>
      <w:tr>
        <w:trPr>
          <w:trHeight w:val="196"/>
        </w:trPr>
        <w:tc>
          <w:tcPr>
            <w:tcW w:w="8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700.1</w:t>
            </w:r>
          </w:p>
        </w:tc>
      </w:tr>
      <w:tr>
        <w:trPr>
          <w:trHeight w:val="196"/>
        </w:trPr>
        <w:tc>
          <w:tcPr>
            <w:tcW w:w="8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8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19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19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16"/>
        </w:trPr>
        <w:tc>
          <w:tcPr>
            <w:tcW w:w="8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624.6</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Unrealized loss on debt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millions)</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w w:val="99"/>
              </w:rPr>
              <w:t>Class A Stock</w:t>
            </w:r>
          </w:p>
        </w:tc>
        <w:tc>
          <w:tcPr>
            <w:tcW w:w="80" w:type="dxa"/>
            <w:vAlign w:val="bottom"/>
            <w:vMerge w:val="restart"/>
          </w:tcPr>
          <w:p>
            <w:pPr>
              <w:spacing w:after="0"/>
              <w:rPr>
                <w:sz w:val="14"/>
                <w:szCs w:val="14"/>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5"/>
              </w:rPr>
              <w:t>Common Stock</w:t>
            </w:r>
          </w:p>
        </w:tc>
        <w:tc>
          <w:tcPr>
            <w:tcW w:w="80" w:type="dxa"/>
            <w:vAlign w:val="bottom"/>
            <w:vMerge w:val="restart"/>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Other</w:t>
            </w:r>
          </w:p>
        </w:tc>
        <w:tc>
          <w:tcPr>
            <w:tcW w:w="142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91"/>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gridSpan w:val="2"/>
          </w:tcPr>
          <w:p>
            <w:pPr>
              <w:jc w:val="center"/>
              <w:ind w:right="120"/>
              <w:spacing w:after="0" w:line="142" w:lineRule="exact"/>
              <w:rPr>
                <w:sz w:val="20"/>
                <w:szCs w:val="20"/>
                <w:color w:val="auto"/>
              </w:rPr>
            </w:pPr>
            <w:r>
              <w:rPr>
                <w:rFonts w:ascii="Arial" w:cs="Arial" w:eastAsia="Arial" w:hAnsi="Arial"/>
                <w:sz w:val="16"/>
                <w:szCs w:val="16"/>
                <w:b w:val="1"/>
                <w:bCs w:val="1"/>
                <w:color w:val="auto"/>
                <w:w w:val="93"/>
              </w:rPr>
              <w:t>Paid-in</w:t>
            </w:r>
          </w:p>
        </w:tc>
        <w:tc>
          <w:tcPr>
            <w:tcW w:w="880" w:type="dxa"/>
            <w:vAlign w:val="bottom"/>
            <w:gridSpan w:val="3"/>
          </w:tcPr>
          <w:p>
            <w:pPr>
              <w:ind w:left="80"/>
              <w:spacing w:after="0" w:line="142" w:lineRule="exact"/>
              <w:rPr>
                <w:sz w:val="20"/>
                <w:szCs w:val="20"/>
                <w:color w:val="auto"/>
              </w:rPr>
            </w:pPr>
            <w:r>
              <w:rPr>
                <w:rFonts w:ascii="Arial" w:cs="Arial" w:eastAsia="Arial" w:hAnsi="Arial"/>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6"/>
              </w:rPr>
              <w:t>Comprehensive</w:t>
            </w:r>
          </w:p>
        </w:tc>
        <w:tc>
          <w:tcPr>
            <w:tcW w:w="142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6"/>
              </w:rPr>
              <w:t>Shares</w:t>
            </w: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9"/>
              </w:rPr>
              <w:t>Shares</w:t>
            </w:r>
          </w:p>
        </w:tc>
        <w:tc>
          <w:tcPr>
            <w:tcW w:w="70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880" w:type="dxa"/>
            <w:vAlign w:val="bottom"/>
            <w:gridSpan w:val="3"/>
          </w:tcPr>
          <w:p>
            <w:pPr>
              <w:ind w:left="80"/>
              <w:spacing w:after="0"/>
              <w:rPr>
                <w:sz w:val="20"/>
                <w:szCs w:val="20"/>
                <w:color w:val="auto"/>
              </w:rPr>
            </w:pPr>
            <w:r>
              <w:rPr>
                <w:rFonts w:ascii="Arial" w:cs="Arial" w:eastAsia="Arial" w:hAnsi="Arial"/>
                <w:sz w:val="16"/>
                <w:szCs w:val="16"/>
                <w:b w:val="1"/>
                <w:bCs w:val="1"/>
                <w:color w:val="auto"/>
              </w:rPr>
              <w:t>Earnings</w:t>
            </w: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Income (Loss)</w:t>
            </w:r>
          </w:p>
        </w:tc>
        <w:tc>
          <w:tcPr>
            <w:tcW w:w="620" w:type="dxa"/>
            <w:vAlign w:val="bottom"/>
            <w:gridSpan w:val="2"/>
          </w:tcPr>
          <w:p>
            <w:pPr>
              <w:ind w:left="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7"/>
                <w:szCs w:val="17"/>
                <w:color w:val="auto"/>
              </w:rPr>
            </w:pPr>
          </w:p>
        </w:tc>
        <w:tc>
          <w:tcPr>
            <w:tcW w:w="820" w:type="dxa"/>
            <w:vAlign w:val="bottom"/>
          </w:tcPr>
          <w:p>
            <w:pPr>
              <w:jc w:val="right"/>
              <w:ind w:right="1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$ 6,716.2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10,893.0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(6,613.3)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11,025.3</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180"/>
              <w:spacing w:after="0" w:line="162" w:lineRule="exact"/>
              <w:rPr>
                <w:sz w:val="20"/>
                <w:szCs w:val="20"/>
                <w:color w:val="auto"/>
              </w:rPr>
            </w:pPr>
            <w:r>
              <w:rPr>
                <w:rFonts w:ascii="Arial" w:cs="Arial" w:eastAsia="Arial" w:hAnsi="Arial"/>
                <w:sz w:val="16"/>
                <w:szCs w:val="16"/>
                <w:color w:val="auto"/>
                <w:w w:val="94"/>
              </w:rPr>
              <w:t>awards granted under long-term incentive</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2"/>
        </w:trPr>
        <w:tc>
          <w:tcPr>
            <w:tcW w:w="3000" w:type="dxa"/>
            <w:vAlign w:val="bottom"/>
          </w:tcPr>
          <w:p>
            <w:pPr>
              <w:ind w:left="180"/>
              <w:spacing w:after="0"/>
              <w:rPr>
                <w:sz w:val="20"/>
                <w:szCs w:val="20"/>
                <w:color w:val="auto"/>
              </w:rPr>
            </w:pPr>
            <w:r>
              <w:rPr>
                <w:rFonts w:ascii="Arial" w:cs="Arial" w:eastAsia="Arial" w:hAnsi="Arial"/>
                <w:sz w:val="16"/>
                <w:szCs w:val="16"/>
                <w:color w:val="auto"/>
              </w:rPr>
              <w:t>plans</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9"/>
              </w:rPr>
              <w:t>Common Stock tendered upon exercise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stock options and vesting of restricted</w:t>
            </w: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60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w w:val="98"/>
              </w:rPr>
              <w:t>Issuance/distribution of Common Stock for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3000" w:type="dxa"/>
            <w:vAlign w:val="bottom"/>
          </w:tcPr>
          <w:p>
            <w:pPr>
              <w:ind w:left="180"/>
              <w:spacing w:after="0"/>
              <w:rPr>
                <w:sz w:val="20"/>
                <w:szCs w:val="20"/>
                <w:color w:val="auto"/>
              </w:rPr>
            </w:pPr>
            <w:r>
              <w:rPr>
                <w:rFonts w:ascii="Arial" w:cs="Arial" w:eastAsia="Arial" w:hAnsi="Arial"/>
                <w:sz w:val="16"/>
                <w:szCs w:val="16"/>
                <w:color w:val="auto"/>
              </w:rPr>
              <w:t>401(k) Savings Plan</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$ 6,887.8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12,008.2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(6,935.3)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11,977.0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$ 4,428.6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7,379.8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11,089.7</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180"/>
              <w:spacing w:after="0" w:line="162" w:lineRule="exact"/>
              <w:rPr>
                <w:sz w:val="20"/>
                <w:szCs w:val="20"/>
                <w:color w:val="auto"/>
              </w:rPr>
            </w:pPr>
            <w:r>
              <w:rPr>
                <w:rFonts w:ascii="Arial" w:cs="Arial" w:eastAsia="Arial" w:hAnsi="Arial"/>
                <w:sz w:val="16"/>
                <w:szCs w:val="16"/>
                <w:color w:val="auto"/>
                <w:w w:val="94"/>
              </w:rPr>
              <w:t>awards granted under long-term incentive</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817.4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12"/>
        </w:trPr>
        <w:tc>
          <w:tcPr>
            <w:tcW w:w="3000" w:type="dxa"/>
            <w:vAlign w:val="bottom"/>
          </w:tcPr>
          <w:p>
            <w:pPr>
              <w:ind w:left="180"/>
              <w:spacing w:after="0"/>
              <w:rPr>
                <w:sz w:val="20"/>
                <w:szCs w:val="20"/>
                <w:color w:val="auto"/>
              </w:rPr>
            </w:pPr>
            <w:r>
              <w:rPr>
                <w:rFonts w:ascii="Arial" w:cs="Arial" w:eastAsia="Arial" w:hAnsi="Arial"/>
                <w:sz w:val="16"/>
                <w:szCs w:val="16"/>
                <w:color w:val="auto"/>
              </w:rPr>
              <w:t>plans</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9"/>
              </w:rPr>
              <w:t>Common Stock tendered upon exercise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stock options and vesting of restricted</w:t>
            </w: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60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w w:val="98"/>
              </w:rPr>
              <w:t>Issuance/distribution of Common Stock for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2"/>
        </w:trPr>
        <w:tc>
          <w:tcPr>
            <w:tcW w:w="3000" w:type="dxa"/>
            <w:vAlign w:val="bottom"/>
          </w:tcPr>
          <w:p>
            <w:pPr>
              <w:ind w:left="180"/>
              <w:spacing w:after="0"/>
              <w:rPr>
                <w:sz w:val="20"/>
                <w:szCs w:val="20"/>
                <w:color w:val="auto"/>
              </w:rPr>
            </w:pPr>
            <w:r>
              <w:rPr>
                <w:rFonts w:ascii="Arial" w:cs="Arial" w:eastAsia="Arial" w:hAnsi="Arial"/>
                <w:sz w:val="16"/>
                <w:szCs w:val="16"/>
                <w:color w:val="auto"/>
              </w:rPr>
              <w:t>401(k) Savings Plan</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$ 5,211.4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8,004.4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12,133.0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20320</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46355</wp:posOffset>
            </wp:positionV>
            <wp:extent cx="6986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73"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80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83"/>
        </w:trPr>
        <w:tc>
          <w:tcPr>
            <w:tcW w:w="1160" w:type="dxa"/>
            <w:vAlign w:val="bottom"/>
            <w:tcBorders>
              <w:top w:val="single" w:sz="8" w:color="0000FF"/>
            </w:tcBorders>
          </w:tcPr>
          <w:p>
            <w:pPr>
              <w:spacing w:after="0"/>
              <w:rPr>
                <w:sz w:val="24"/>
                <w:szCs w:val="24"/>
                <w:color w:val="auto"/>
              </w:rPr>
            </w:pPr>
          </w:p>
        </w:tc>
        <w:tc>
          <w:tcPr>
            <w:tcW w:w="6900" w:type="dxa"/>
            <w:vAlign w:val="bottom"/>
          </w:tcPr>
          <w:p>
            <w:pPr>
              <w:jc w:val="center"/>
              <w:ind w:left="193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48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00" w:type="dxa"/>
            <w:vAlign w:val="bottom"/>
          </w:tcPr>
          <w:p>
            <w:pPr>
              <w:jc w:val="center"/>
              <w:ind w:left="1950"/>
              <w:spacing w:after="0"/>
              <w:rPr>
                <w:sz w:val="20"/>
                <w:szCs w:val="20"/>
                <w:color w:val="auto"/>
              </w:rPr>
            </w:pPr>
            <w:r>
              <w:rPr>
                <w:rFonts w:ascii="Arial" w:cs="Arial" w:eastAsia="Arial" w:hAnsi="Arial"/>
                <w:sz w:val="18"/>
                <w:szCs w:val="18"/>
                <w:b w:val="1"/>
                <w:bCs w:val="1"/>
                <w:i w:val="1"/>
                <w:iCs w:val="1"/>
                <w:color w:val="auto"/>
                <w:w w:val="93"/>
              </w:rPr>
              <w:t>(In millions)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7"/>
        </w:trPr>
        <w:tc>
          <w:tcPr>
            <w:tcW w:w="11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11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19"/>
                <w:szCs w:val="19"/>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1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1,115.2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624.6</w:t>
            </w:r>
          </w:p>
        </w:tc>
      </w:tr>
      <w:tr>
        <w:trPr>
          <w:trHeight w:val="229"/>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60" w:type="dxa"/>
            <w:vAlign w:val="bottom"/>
            <w:gridSpan w:val="2"/>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Non-cash compensation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r>
      <w:tr>
        <w:trPr>
          <w:trHeight w:val="230"/>
        </w:trPr>
        <w:tc>
          <w:tcPr>
            <w:tcW w:w="8060" w:type="dxa"/>
            <w:vAlign w:val="bottom"/>
            <w:gridSpan w:val="2"/>
          </w:tcPr>
          <w:p>
            <w:pPr>
              <w:ind w:left="480"/>
              <w:spacing w:after="0"/>
              <w:rPr>
                <w:sz w:val="20"/>
                <w:szCs w:val="20"/>
                <w:color w:val="auto"/>
              </w:rPr>
            </w:pPr>
            <w:r>
              <w:rPr>
                <w:rFonts w:ascii="Arial" w:cs="Arial" w:eastAsia="Arial" w:hAnsi="Arial"/>
                <w:sz w:val="18"/>
                <w:szCs w:val="18"/>
                <w:color w:val="auto"/>
              </w:rPr>
              <w:t>Other non-cash items,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29"/>
        </w:trPr>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8060" w:type="dxa"/>
            <w:vAlign w:val="bottom"/>
            <w:gridSpan w:val="2"/>
          </w:tcPr>
          <w:p>
            <w:pPr>
              <w:ind w:left="4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Increase in accounts receivable,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29"/>
        </w:trPr>
        <w:tc>
          <w:tcPr>
            <w:tcW w:w="8060" w:type="dxa"/>
            <w:vAlign w:val="bottom"/>
            <w:gridSpan w:val="2"/>
          </w:tcPr>
          <w:p>
            <w:pPr>
              <w:ind w:left="68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29"/>
        </w:trPr>
        <w:tc>
          <w:tcPr>
            <w:tcW w:w="8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(Increase) decrease in prepaid expenses and 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30"/>
        </w:trPr>
        <w:tc>
          <w:tcPr>
            <w:tcW w:w="8060" w:type="dxa"/>
            <w:vAlign w:val="bottom"/>
            <w:gridSpan w:val="2"/>
          </w:tcPr>
          <w:p>
            <w:pPr>
              <w:ind w:left="680"/>
              <w:spacing w:after="0"/>
              <w:rPr>
                <w:sz w:val="20"/>
                <w:szCs w:val="20"/>
                <w:color w:val="auto"/>
              </w:rPr>
            </w:pPr>
            <w:r>
              <w:rPr>
                <w:rFonts w:ascii="Arial" w:cs="Arial" w:eastAsia="Arial" w:hAnsi="Arial"/>
                <w:sz w:val="18"/>
                <w:szCs w:val="18"/>
                <w:color w:val="auto"/>
              </w:rPr>
              <w:t>(Decrease) increase in deferred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29"/>
        </w:trPr>
        <w:tc>
          <w:tcPr>
            <w:tcW w:w="8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Decrease in accounts payable, 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23"/>
        </w:trPr>
        <w:tc>
          <w:tcPr>
            <w:tcW w:w="8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adjustments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r>
      <w:tr>
        <w:trPr>
          <w:trHeight w:val="196"/>
        </w:trPr>
        <w:tc>
          <w:tcPr>
            <w:tcW w:w="116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Purchases of marketable and other securities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(714.3)</w:t>
            </w:r>
          </w:p>
        </w:tc>
      </w:tr>
      <w:tr>
        <w:trPr>
          <w:trHeight w:val="23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or maturities of marketable and other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r>
      <w:tr>
        <w:trPr>
          <w:trHeight w:val="230"/>
        </w:trPr>
        <w:tc>
          <w:tcPr>
            <w:tcW w:w="8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r>
      <w:tr>
        <w:trPr>
          <w:trHeight w:val="196"/>
        </w:trPr>
        <w:tc>
          <w:tcPr>
            <w:tcW w:w="116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811.4</w:t>
            </w:r>
          </w:p>
        </w:tc>
      </w:tr>
      <w:tr>
        <w:trPr>
          <w:trHeight w:val="23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30"/>
        </w:trPr>
        <w:tc>
          <w:tcPr>
            <w:tcW w:w="8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r>
      <w:tr>
        <w:trPr>
          <w:trHeight w:val="196"/>
        </w:trPr>
        <w:tc>
          <w:tcPr>
            <w:tcW w:w="116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r>
      <w:tr>
        <w:trPr>
          <w:trHeight w:val="216"/>
        </w:trPr>
        <w:tc>
          <w:tcPr>
            <w:tcW w:w="80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r>
      <w:tr>
        <w:trPr>
          <w:trHeight w:val="196"/>
        </w:trPr>
        <w:tc>
          <w:tcPr>
            <w:tcW w:w="116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5"/>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2,220.7</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377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037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1" w:right="47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2020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consist of the following:</w:t>
      </w:r>
    </w:p>
    <w:p>
      <w:pPr>
        <w:spacing w:after="0" w:line="248"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50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7"/>
                <w:szCs w:val="17"/>
                <w:color w:val="auto"/>
              </w:rPr>
            </w:pPr>
          </w:p>
        </w:tc>
        <w:tc>
          <w:tcPr>
            <w:tcW w:w="22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30"/>
        </w:trPr>
        <w:tc>
          <w:tcPr>
            <w:tcW w:w="504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0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Net Product Sales in the United States</w:t>
            </w:r>
          </w:p>
        </w:tc>
        <w:tc>
          <w:tcPr>
            <w:tcW w:w="220" w:type="dxa"/>
            <w:vAlign w:val="bottom"/>
          </w:tcPr>
          <w:p>
            <w:pPr>
              <w:spacing w:after="0"/>
              <w:rPr>
                <w:sz w:val="15"/>
                <w:szCs w:val="15"/>
                <w:color w:val="auto"/>
              </w:rPr>
            </w:pPr>
          </w:p>
        </w:tc>
        <w:tc>
          <w:tcPr>
            <w:tcW w:w="940" w:type="dxa"/>
            <w:vAlign w:val="bottom"/>
          </w:tcPr>
          <w:p>
            <w:pPr>
              <w:jc w:val="right"/>
              <w:ind w:right="33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1"/>
        </w:trPr>
        <w:tc>
          <w:tcPr>
            <w:tcW w:w="292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REGEN-COV™ (casirivimab with imdevimab)</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Evkeeza™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2120" w:right="1960" w:firstLine="5"/>
        <w:spacing w:after="0" w:line="208" w:lineRule="auto"/>
        <w:tabs>
          <w:tab w:leader="none" w:pos="2213"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Effective April 1, 2020, the Company became solely responsible for the development and commercialization of Praluent in the United States and records net product sales of Praluent in the United States. See Note 3 for further details.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product sales to certain customers that accounted for more than 10% of total gross product revenue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 Sales to each of these customers as a percentage of the Company's total gross product revenue are as follows:</w:t>
      </w:r>
    </w:p>
    <w:p>
      <w:pPr>
        <w:spacing w:after="0" w:line="249" w:lineRule="exact"/>
        <w:rPr>
          <w:sz w:val="20"/>
          <w:szCs w:val="20"/>
          <w:color w:val="auto"/>
        </w:rPr>
      </w:pPr>
    </w:p>
    <w:p>
      <w:pPr>
        <w:jc w:val="center"/>
        <w:ind w:left="4040"/>
        <w:spacing w:after="0"/>
        <w:rPr>
          <w:sz w:val="20"/>
          <w:szCs w:val="20"/>
          <w:color w:val="auto"/>
        </w:rPr>
      </w:pPr>
      <w:r>
        <w:rPr>
          <w:rFonts w:ascii="Arial" w:cs="Arial" w:eastAsia="Arial" w:hAnsi="Arial"/>
          <w:sz w:val="18"/>
          <w:szCs w:val="18"/>
          <w:b w:val="1"/>
          <w:bCs w:val="1"/>
          <w:color w:val="auto"/>
        </w:rPr>
        <w:t>Three Months Ended</w:t>
      </w:r>
    </w:p>
    <w:p>
      <w:pPr>
        <w:jc w:val="center"/>
        <w:ind w:left="408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4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5"/>
        </w:trPr>
        <w:tc>
          <w:tcPr>
            <w:tcW w:w="41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9"/>
              </w:rPr>
              <w:t>Besse Medical, a subsidiary of AmerisourceBergen</w:t>
            </w:r>
          </w:p>
        </w:tc>
        <w:tc>
          <w:tcPr>
            <w:tcW w:w="8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46 %</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w w:val="92"/>
              </w:rPr>
              <w:t>54 %</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00" w:type="dxa"/>
            <w:vAlign w:val="bottom"/>
          </w:tcPr>
          <w:p>
            <w:pPr>
              <w:jc w:val="right"/>
              <w:spacing w:after="0"/>
              <w:rPr>
                <w:sz w:val="20"/>
                <w:szCs w:val="20"/>
                <w:color w:val="auto"/>
              </w:rPr>
            </w:pPr>
            <w:r>
              <w:rPr>
                <w:rFonts w:ascii="Arial" w:cs="Arial" w:eastAsia="Arial" w:hAnsi="Arial"/>
                <w:sz w:val="18"/>
                <w:szCs w:val="18"/>
                <w:color w:val="auto"/>
                <w:w w:val="92"/>
              </w:rPr>
              <w:t>29 %</w:t>
            </w:r>
          </w:p>
        </w:tc>
        <w:tc>
          <w:tcPr>
            <w:tcW w:w="120" w:type="dxa"/>
            <w:vAlign w:val="bottom"/>
          </w:tcPr>
          <w:p>
            <w:pPr>
              <w:spacing w:after="0"/>
              <w:rPr>
                <w:sz w:val="19"/>
                <w:szCs w:val="19"/>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w w:val="92"/>
              </w:rPr>
              <w:t>36 %</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 (see Note 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and December 31, 2020, the Company had $3.173 billion and $3.112 billion, respectively, of trade accounts receivable that were recorded within Accounts receivable, net.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License, and Other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collaborations with Sanofi are detailed below:</w:t>
      </w:r>
    </w:p>
    <w:p>
      <w:pPr>
        <w:spacing w:after="0" w:line="275"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Three Months Ended</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28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Statement of Operations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line="20" w:lineRule="exact"/>
              <w:rPr>
                <w:sz w:val="1"/>
                <w:szCs w:val="1"/>
                <w:color w:val="auto"/>
              </w:rPr>
            </w:pPr>
          </w:p>
        </w:tc>
      </w:tr>
      <w:tr>
        <w:trPr>
          <w:trHeight w:val="229"/>
        </w:trPr>
        <w:tc>
          <w:tcPr>
            <w:tcW w:w="4180" w:type="dxa"/>
            <w:vAlign w:val="bottom"/>
            <w:vMerge w:val="continue"/>
          </w:tcPr>
          <w:p>
            <w:pPr>
              <w:spacing w:after="0"/>
              <w:rPr>
                <w:sz w:val="19"/>
                <w:szCs w:val="19"/>
                <w:color w:val="auto"/>
              </w:rPr>
            </w:pPr>
          </w:p>
        </w:tc>
        <w:tc>
          <w:tcPr>
            <w:tcW w:w="2840" w:type="dxa"/>
            <w:vAlign w:val="bottom"/>
            <w:gridSpan w:val="2"/>
          </w:tcPr>
          <w:p>
            <w:pPr>
              <w:ind w:left="84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220"/>
              <w:spacing w:after="0" w:line="176" w:lineRule="exact"/>
              <w:rPr>
                <w:sz w:val="20"/>
                <w:szCs w:val="20"/>
                <w:color w:val="auto"/>
              </w:rPr>
            </w:pPr>
            <w:r>
              <w:rPr>
                <w:rFonts w:ascii="Arial" w:cs="Arial" w:eastAsia="Arial" w:hAnsi="Arial"/>
                <w:sz w:val="18"/>
                <w:szCs w:val="18"/>
                <w:color w:val="auto"/>
              </w:rPr>
              <w:t>Regeneron's share of profits in connection with</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Collaboration revenue</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4180" w:type="dxa"/>
            <w:vAlign w:val="bottom"/>
          </w:tcPr>
          <w:p>
            <w:pPr>
              <w:ind w:left="380"/>
              <w:spacing w:after="0"/>
              <w:rPr>
                <w:sz w:val="20"/>
                <w:szCs w:val="20"/>
                <w:color w:val="auto"/>
              </w:rPr>
            </w:pPr>
            <w:r>
              <w:rPr>
                <w:rFonts w:ascii="Arial" w:cs="Arial" w:eastAsia="Arial" w:hAnsi="Arial"/>
                <w:sz w:val="18"/>
                <w:szCs w:val="18"/>
                <w:color w:val="auto"/>
              </w:rPr>
              <w:t>commercialization of antibodies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Reimbursement for manufacturing of commercial</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Collaboration revenue</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supplies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220"/>
              <w:spacing w:after="0" w:line="176" w:lineRule="exact"/>
              <w:rPr>
                <w:sz w:val="20"/>
                <w:szCs w:val="20"/>
                <w:color w:val="auto"/>
              </w:rPr>
            </w:pPr>
            <w:r>
              <w:rPr>
                <w:rFonts w:ascii="Arial" w:cs="Arial" w:eastAsia="Arial" w:hAnsi="Arial"/>
                <w:sz w:val="18"/>
                <w:szCs w:val="18"/>
                <w:color w:val="auto"/>
              </w:rPr>
              <w:t>Reimbursement of research and development</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418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2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Regeneron's obligation for its share of Sanofi</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Research and development expense</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 expenses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220"/>
              <w:spacing w:after="0" w:line="176" w:lineRule="exact"/>
              <w:rPr>
                <w:sz w:val="20"/>
                <w:szCs w:val="20"/>
                <w:color w:val="auto"/>
              </w:rPr>
            </w:pPr>
            <w:r>
              <w:rPr>
                <w:rFonts w:ascii="Arial" w:cs="Arial" w:eastAsia="Arial" w:hAnsi="Arial"/>
                <w:sz w:val="18"/>
                <w:szCs w:val="18"/>
                <w:color w:val="auto"/>
              </w:rPr>
              <w:t>Reimbursement of commercialization-related</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Reduction of Selling, general, and</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0"/>
        </w:trPr>
        <w:tc>
          <w:tcPr>
            <w:tcW w:w="418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administrative expense</w:t>
            </w:r>
          </w:p>
        </w:tc>
        <w:tc>
          <w:tcPr>
            <w:tcW w:w="2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8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Immuno-oncology:</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Regeneron's share of losses in connection with</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commercialization of Libtayo outside the United</w:t>
            </w: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220"/>
              <w:spacing w:after="0" w:line="176" w:lineRule="exact"/>
              <w:rPr>
                <w:sz w:val="20"/>
                <w:szCs w:val="20"/>
                <w:color w:val="auto"/>
              </w:rPr>
            </w:pPr>
            <w:r>
              <w:rPr>
                <w:rFonts w:ascii="Arial" w:cs="Arial" w:eastAsia="Arial" w:hAnsi="Arial"/>
                <w:sz w:val="18"/>
                <w:szCs w:val="18"/>
                <w:color w:val="auto"/>
              </w:rPr>
              <w:t>Reimbursement for manufacturing of commercial</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Collaboration revenue</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180" w:type="dxa"/>
            <w:vAlign w:val="bottom"/>
          </w:tcPr>
          <w:p>
            <w:pPr>
              <w:ind w:left="380"/>
              <w:spacing w:after="0"/>
              <w:rPr>
                <w:sz w:val="20"/>
                <w:szCs w:val="20"/>
                <w:color w:val="auto"/>
              </w:rPr>
            </w:pPr>
            <w:r>
              <w:rPr>
                <w:rFonts w:ascii="Arial" w:cs="Arial" w:eastAsia="Arial" w:hAnsi="Arial"/>
                <w:sz w:val="18"/>
                <w:szCs w:val="18"/>
                <w:color w:val="auto"/>
              </w:rPr>
              <w:t>supplies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Reimbursement of research and development</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220"/>
              <w:spacing w:after="0" w:line="176" w:lineRule="exact"/>
              <w:rPr>
                <w:sz w:val="20"/>
                <w:szCs w:val="20"/>
                <w:color w:val="auto"/>
              </w:rPr>
            </w:pPr>
            <w:r>
              <w:rPr>
                <w:rFonts w:ascii="Arial" w:cs="Arial" w:eastAsia="Arial" w:hAnsi="Arial"/>
                <w:sz w:val="18"/>
                <w:szCs w:val="18"/>
                <w:color w:val="auto"/>
              </w:rPr>
              <w:t>Reimbursement of commercialization-related</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Reduction of Selling, general, and</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418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administrative expense</w:t>
            </w:r>
          </w:p>
        </w:tc>
        <w:tc>
          <w:tcPr>
            <w:tcW w:w="2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Regeneron's obligation for Sanofi's share of Libtayo</w:t>
            </w:r>
          </w:p>
        </w:tc>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goods sold</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 gross profits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220"/>
              <w:spacing w:after="0" w:line="176" w:lineRule="exact"/>
              <w:rPr>
                <w:sz w:val="20"/>
                <w:szCs w:val="20"/>
                <w:color w:val="auto"/>
              </w:rPr>
            </w:pPr>
            <w:r>
              <w:rPr>
                <w:rFonts w:ascii="Arial" w:cs="Arial" w:eastAsia="Arial" w:hAnsi="Arial"/>
                <w:sz w:val="18"/>
                <w:szCs w:val="18"/>
                <w:color w:val="auto"/>
              </w:rPr>
              <w:t>Amounts recognized in connection with up-front</w:t>
            </w: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operating income</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4180" w:type="dxa"/>
            <w:vAlign w:val="bottom"/>
          </w:tcPr>
          <w:p>
            <w:pPr>
              <w:ind w:left="380"/>
              <w:spacing w:after="0"/>
              <w:rPr>
                <w:sz w:val="20"/>
                <w:szCs w:val="20"/>
                <w:color w:val="auto"/>
              </w:rPr>
            </w:pPr>
            <w:r>
              <w:rPr>
                <w:rFonts w:ascii="Arial" w:cs="Arial" w:eastAsia="Arial" w:hAnsi="Arial"/>
                <w:sz w:val="18"/>
                <w:szCs w:val="18"/>
                <w:color w:val="auto"/>
              </w:rPr>
              <w:t>payments received</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party to a global, strategic collaboration with Sanofi to research, develop, and commercialize fully human monoclonal antibodies (the</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"Antibody Collaboration"), which currently consists of Dupixent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(dupilumab), Kevzara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(sarilumab), and itepekimab</w:t>
      </w:r>
      <w:r>
        <w:rPr>
          <w:rFonts w:ascii="Arial" w:cs="Arial" w:eastAsia="Arial" w:hAnsi="Arial"/>
          <w:sz w:val="20"/>
          <w:szCs w:val="20"/>
          <w:i w:val="1"/>
          <w:iCs w:val="1"/>
          <w:color w:val="auto"/>
        </w:rPr>
        <w:t>.</w:t>
      </w:r>
      <w:r>
        <w:rPr>
          <w:rFonts w:ascii="Arial" w:cs="Arial" w:eastAsia="Arial" w:hAnsi="Arial"/>
          <w:sz w:val="17"/>
          <w:szCs w:val="17"/>
          <w:color w:val="auto"/>
        </w:rPr>
        <w:t xml:space="preserve"> Under the terms of the Antibody License and Collaboration Agreement ("LCA"), Sanofi is generally responsible for funding 80%–100% of agreed-upon development costs.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Sanofi leads commercialization activities for products under the Antibody Collaboration, subject to the Company's right to co-commercialize such products. In addition to profit and loss sharing, the Company is entitled to receive sales milestone payments from Sanofi.</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Antibody Collaboration with Sanofi:</w:t>
      </w:r>
    </w:p>
    <w:p>
      <w:pPr>
        <w:spacing w:after="0" w:line="181" w:lineRule="exact"/>
        <w:rPr>
          <w:sz w:val="20"/>
          <w:szCs w:val="20"/>
          <w:color w:val="auto"/>
        </w:rPr>
      </w:pPr>
    </w:p>
    <w:tbl>
      <w:tblPr>
        <w:tblLayout w:type="fixed"/>
        <w:tblInd w:w="228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383.4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347.7</w:t>
            </w:r>
          </w:p>
        </w:tc>
      </w:tr>
    </w:tbl>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became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 See Note 12 for discussion of legal proceedings related to Praluent.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party to a collaboration with Sanofi to research,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December 31, 2018, the Company and Sanofi entered into the Amended IO Discovery Agreement, which narrowed the scope of the existing discovery and development activities conducted by the Company under the 2015 IO Discovery Agreement to developing therapeutic bispecific antibodies targeting (i) BCMA and CD3 (the "BCMAxCD3 Program") and (ii) MUC16 and CD3 (the "MUC16xCD3 Program") through clinical proof-of-concept. During the first quarter of 2021, Sanofi did not exercise its options to license rights to these product candidates; as a result, we retain the exclusive right to develop and commercialize such product candidates and Sanofi will receive a royalty on sales (if any). In addition, the Company has no further obligations to to develop drug product candidates under the Amended IO Discovery Agreement.</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IO License and Collaboration Agreement, the parties are co-developing and co-commercializing Libtayo (cemiplimab), an antibody targeting the receptor known as programmed cell death protein 1 (PD-1). The parties share equally, on an ongoing basis, agreed-upon development and commercialization expenses for Libtayo. The Company has principal control over the development of Libtayo and leads commercialization activities in the United States (see Note 2 for related product sales information), while Sanofi leads commercialization activities outside of the United States. The parties share equally in profits and losses in connection with the commercialization of Libtayo.</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IO Collaboration with Sanofi:</w:t>
      </w:r>
    </w:p>
    <w:p>
      <w:pPr>
        <w:spacing w:after="0" w:line="181"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payments received from Sanofi for which recognition has been deferred.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the estimated consideration under the IO Collaboration related to the Company's obligation that was unsatisfied (or partially unsatisfied) as of March 31, 2021 was $515.4 million. This amount is expected to be recognized over the remaining period in which the Company is obligated to satisfy its obligation in connection with performing development activities.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party to a license and collaboration agreement with Bayer for the global development and commercialization of EYLEA outside the United States. All agreed upon EYLEA development expenses incurred by the Company and Bayer are shared equally. Bayer markets EYLEA outside the United States, where, for countries other than Japan, the companies share equally in profits and losses from sales of EYLEA. In Japan, the Company is currently entitled to receive a tiered percentage of between 33.5% and 40.0% of EYLEA net product sales through 2021, and thereafter, the companies will share equally in profits and losses from sales of EYLEA.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Bayer EYLEA collaboration are as follows:</w:t>
      </w:r>
    </w:p>
    <w:p>
      <w:pPr>
        <w:spacing w:after="0" w:line="275"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19"/>
                <w:szCs w:val="19"/>
                <w:color w:val="auto"/>
              </w:rPr>
            </w:pPr>
          </w:p>
        </w:tc>
        <w:tc>
          <w:tcPr>
            <w:tcW w:w="25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Statement of Operations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52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line="20" w:lineRule="exact"/>
              <w:rPr>
                <w:sz w:val="1"/>
                <w:szCs w:val="1"/>
                <w:color w:val="auto"/>
              </w:rPr>
            </w:pPr>
          </w:p>
        </w:tc>
      </w:tr>
      <w:tr>
        <w:trPr>
          <w:trHeight w:val="229"/>
        </w:trPr>
        <w:tc>
          <w:tcPr>
            <w:tcW w:w="4300" w:type="dxa"/>
            <w:vAlign w:val="bottom"/>
            <w:vMerge w:val="continue"/>
          </w:tcPr>
          <w:p>
            <w:pPr>
              <w:spacing w:after="0"/>
              <w:rPr>
                <w:sz w:val="19"/>
                <w:szCs w:val="19"/>
                <w:color w:val="auto"/>
              </w:rPr>
            </w:pPr>
          </w:p>
        </w:tc>
        <w:tc>
          <w:tcPr>
            <w:tcW w:w="2520" w:type="dxa"/>
            <w:vAlign w:val="bottom"/>
            <w:gridSpan w:val="2"/>
          </w:tcPr>
          <w:p>
            <w:pPr>
              <w:ind w:left="700"/>
              <w:spacing w:after="0"/>
              <w:rPr>
                <w:sz w:val="20"/>
                <w:szCs w:val="20"/>
                <w:color w:val="auto"/>
              </w:rPr>
            </w:pPr>
            <w:r>
              <w:rPr>
                <w:rFonts w:ascii="Arial" w:cs="Arial" w:eastAsia="Arial" w:hAnsi="Arial"/>
                <w:sz w:val="18"/>
                <w:szCs w:val="18"/>
                <w:b w:val="1"/>
                <w:bCs w:val="1"/>
                <w:color w:val="auto"/>
              </w:rPr>
              <w:t>Classification</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Regeneron's net profit in connection with</w:t>
            </w:r>
          </w:p>
        </w:tc>
        <w:tc>
          <w:tcPr>
            <w:tcW w:w="24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rPr>
              <w:t>commercialization of EYLEA outside the United</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2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States</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20"/>
              <w:spacing w:after="0" w:line="176" w:lineRule="exact"/>
              <w:rPr>
                <w:sz w:val="20"/>
                <w:szCs w:val="20"/>
                <w:color w:val="auto"/>
              </w:rPr>
            </w:pPr>
            <w:r>
              <w:rPr>
                <w:rFonts w:ascii="Arial" w:cs="Arial" w:eastAsia="Arial" w:hAnsi="Arial"/>
                <w:sz w:val="18"/>
                <w:szCs w:val="18"/>
                <w:color w:val="auto"/>
              </w:rPr>
              <w:t>Reimbursement for manufacturing of commercial</w:t>
            </w:r>
          </w:p>
        </w:tc>
        <w:tc>
          <w:tcPr>
            <w:tcW w:w="2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Collaboration revenue</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rPr>
              <w:t>supplies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Reimbursement of research and development expenses</w:t>
            </w:r>
          </w:p>
        </w:tc>
        <w:tc>
          <w:tcPr>
            <w:tcW w:w="2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00" w:type="dxa"/>
            <w:vAlign w:val="bottom"/>
          </w:tcPr>
          <w:p>
            <w:pPr>
              <w:ind w:left="20"/>
              <w:spacing w:after="0" w:line="176" w:lineRule="exact"/>
              <w:rPr>
                <w:sz w:val="20"/>
                <w:szCs w:val="20"/>
                <w:color w:val="auto"/>
              </w:rPr>
            </w:pPr>
            <w:r>
              <w:rPr>
                <w:rFonts w:ascii="Arial" w:cs="Arial" w:eastAsia="Arial" w:hAnsi="Arial"/>
                <w:sz w:val="18"/>
                <w:szCs w:val="18"/>
                <w:color w:val="auto"/>
                <w:w w:val="99"/>
              </w:rPr>
              <w:t>Regeneron's obligation for its share of Bayer research</w:t>
            </w:r>
          </w:p>
        </w:tc>
        <w:tc>
          <w:tcPr>
            <w:tcW w:w="2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Research and development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and development expenses</w:t>
            </w: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2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our Bayer EYLEA collaboration:</w:t>
      </w:r>
    </w:p>
    <w:p>
      <w:pPr>
        <w:spacing w:after="0" w:line="181" w:lineRule="exact"/>
        <w:rPr>
          <w:sz w:val="20"/>
          <w:szCs w:val="20"/>
          <w:color w:val="auto"/>
        </w:rPr>
      </w:pPr>
    </w:p>
    <w:tbl>
      <w:tblPr>
        <w:tblLayout w:type="fixed"/>
        <w:tblInd w:w="228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99.7</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Teva are parties to a collaboration agreement (the "Teva Collaboration Agreement") to develop and commercialize fasinumab globally, excluding certain Asian countries that are subject to our collaboration agreement with Mitsubishi Tanabe Pharma Corporation. The Company leads global development activities, and the parties share development costs equally, on an ongoing basis, under a global development plan. The Company is also responsible for the manufacture and supply of fasinumab globally.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collaboration with Teva are as follows:</w:t>
      </w:r>
    </w:p>
    <w:p>
      <w:pPr>
        <w:spacing w:after="0" w:line="289"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5"/>
              </w:rPr>
              <w:t>Three Months Ended</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2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Statement of Operations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6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line="20" w:lineRule="exact"/>
              <w:rPr>
                <w:sz w:val="1"/>
                <w:szCs w:val="1"/>
                <w:color w:val="auto"/>
              </w:rPr>
            </w:pPr>
          </w:p>
        </w:tc>
      </w:tr>
      <w:tr>
        <w:trPr>
          <w:trHeight w:val="230"/>
        </w:trPr>
        <w:tc>
          <w:tcPr>
            <w:tcW w:w="4400" w:type="dxa"/>
            <w:vAlign w:val="bottom"/>
            <w:vMerge w:val="continue"/>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Classification</w:t>
            </w: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w w:val="97"/>
              </w:rPr>
              <w:t>Reimbursement of research and development expenses</w:t>
            </w:r>
          </w:p>
        </w:tc>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Reduction of Research and</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line="176" w:lineRule="exact"/>
              <w:rPr>
                <w:sz w:val="20"/>
                <w:szCs w:val="20"/>
                <w:color w:val="auto"/>
              </w:rPr>
            </w:pPr>
            <w:r>
              <w:rPr>
                <w:rFonts w:ascii="Arial" w:cs="Arial" w:eastAsia="Arial" w:hAnsi="Arial"/>
                <w:sz w:val="18"/>
                <w:szCs w:val="18"/>
                <w:color w:val="auto"/>
              </w:rPr>
              <w:t>Amounts recognized in connection with up-front and</w:t>
            </w:r>
          </w:p>
        </w:tc>
        <w:tc>
          <w:tcPr>
            <w:tcW w:w="2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operating income</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4400" w:type="dxa"/>
            <w:vAlign w:val="bottom"/>
          </w:tcPr>
          <w:p>
            <w:pPr>
              <w:ind w:left="160"/>
              <w:spacing w:after="0"/>
              <w:rPr>
                <w:sz w:val="20"/>
                <w:szCs w:val="20"/>
                <w:color w:val="auto"/>
              </w:rPr>
            </w:pPr>
            <w:r>
              <w:rPr>
                <w:rFonts w:ascii="Arial" w:cs="Arial" w:eastAsia="Arial" w:hAnsi="Arial"/>
                <w:sz w:val="18"/>
                <w:szCs w:val="18"/>
                <w:color w:val="auto"/>
              </w:rPr>
              <w:t>development milestone payments received</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Teva Collaboration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80" w:type="dxa"/>
            <w:vAlign w:val="bottom"/>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8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26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60" w:type="dxa"/>
            <w:vAlign w:val="bottom"/>
          </w:tcPr>
          <w:p>
            <w:pPr>
              <w:spacing w:after="0"/>
              <w:rPr>
                <w:sz w:val="19"/>
                <w:szCs w:val="19"/>
                <w:color w:val="auto"/>
              </w:rPr>
            </w:pPr>
          </w:p>
        </w:tc>
      </w:tr>
      <w:tr>
        <w:trPr>
          <w:trHeight w:val="230"/>
        </w:trPr>
        <w:tc>
          <w:tcPr>
            <w:tcW w:w="228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Other liabilities</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66.8</w:t>
            </w:r>
          </w:p>
        </w:tc>
        <w:tc>
          <w:tcPr>
            <w:tcW w:w="2260" w:type="dxa"/>
            <w:vAlign w:val="bottom"/>
          </w:tcPr>
          <w:p>
            <w:pPr>
              <w:spacing w:after="0"/>
              <w:rPr>
                <w:sz w:val="20"/>
                <w:szCs w:val="20"/>
                <w:color w:val="auto"/>
              </w:rPr>
            </w:pPr>
          </w:p>
        </w:tc>
      </w:tr>
      <w:tr>
        <w:trPr>
          <w:trHeight w:val="647"/>
        </w:trPr>
        <w:tc>
          <w:tcPr>
            <w:tcW w:w="2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9</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8"/>
        </w:trPr>
        <w:tc>
          <w:tcPr>
            <w:tcW w:w="22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and development milestone payments received from Teva for which recognition has been deferred.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the estimated consideration under the Teva Collaboration Agreement related to the Company's obligation that was unsatisfied (or partially unsatisfied) as of March 31, 2021 was $123.9 million. This amount is expected to be recognized over the remaining period in which the Company is obligated to satisfy its obligation in connection with performing development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 Government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first quarter of 2020, we announced an expansion of our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 In July 2020, we entered into an agreement with entities acting at the direction of BARDA and the U.S. Department of Defense to manufacture and deliver filled and finished drug product of REGEN-COV to the U.S. government. During the first quarter of 2021, the Company completed its final deliveries of drug product under this agreement. See Note 2 for REGEN-COV net product sales recognized in connection with this agreement during the three months ended March 31, 2021.</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is obligated to purchase all filled and finished doses of drug product delivered by June 30, 2021, and may accept doses during the period from July 1, 2021 through September 30, 2021 at its discretion. The U.S. government will acquire doses at the lowest treatment dose authorized or approved by the FDA for the indication authorized under the EUA, resulting in payments to the Company of up to $2.625 billion in the aggregate. During the three months ended March 31, 2021, we did not recognize any net product sales in connection with this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Roche</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August 2020, we entered into a collaboration agreement (the "Roche Collaboration Agreement") with Roche to develop, manufacture, and distribute the casirivimab with imdevimab antibody cocktail (known as REGEN-COV in the United States). We continue to lead global development activities for casirivimab with imdevimab, and the parties jointly fund certain ongoing studies, as well as any mutually agreed additional new global studies to evaluate further the potential of casirivimab with imdevimab in treating or preventing COVID-19. Roche will be responsible for securing regulatory approvals outside the United States, following the initial European Medicines Agency ("EMA") approval (if any), and conducting any additional studies specifically required for approval by regulators outside the United States.</w:t>
      </w:r>
    </w:p>
    <w:p>
      <w:pPr>
        <w:spacing w:after="0" w:line="12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Under the terms of the agreement, each party is obligated to dedicate a certain amount of manufacturing capacity to casirivimab with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the Roche Collaboration Agreement are as follows:</w:t>
      </w: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25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Statement of Operations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93"/>
              </w:rPr>
              <w:t>March 31,</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5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line="20" w:lineRule="exact"/>
              <w:rPr>
                <w:sz w:val="1"/>
                <w:szCs w:val="1"/>
                <w:color w:val="auto"/>
              </w:rPr>
            </w:pPr>
          </w:p>
        </w:tc>
      </w:tr>
      <w:tr>
        <w:trPr>
          <w:trHeight w:val="230"/>
        </w:trPr>
        <w:tc>
          <w:tcPr>
            <w:tcW w:w="4320" w:type="dxa"/>
            <w:vAlign w:val="bottom"/>
            <w:vMerge w:val="continue"/>
          </w:tcPr>
          <w:p>
            <w:pPr>
              <w:spacing w:after="0"/>
              <w:rPr>
                <w:sz w:val="19"/>
                <w:szCs w:val="19"/>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Classification</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2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Regeneron's share of gross profits in connection with</w:t>
            </w:r>
          </w:p>
        </w:tc>
        <w:tc>
          <w:tcPr>
            <w:tcW w:w="24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3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of casirivimab with imdevimab</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w w:val="95"/>
              </w:rPr>
              <w:t>Reimbursement of research and development expenses</w:t>
            </w:r>
          </w:p>
        </w:tc>
        <w:tc>
          <w:tcPr>
            <w:tcW w:w="2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Reduction of Research and</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86.8</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254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2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Roche Collaboration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9"/>
                <w:szCs w:val="19"/>
                <w:color w:val="auto"/>
              </w:rPr>
            </w:pPr>
          </w:p>
        </w:tc>
        <w:tc>
          <w:tcPr>
            <w:tcW w:w="368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280" w:type="dxa"/>
            <w:vAlign w:val="bottom"/>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8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26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260" w:type="dxa"/>
            <w:vAlign w:val="bottom"/>
          </w:tcPr>
          <w:p>
            <w:pPr>
              <w:spacing w:after="0"/>
              <w:rPr>
                <w:sz w:val="19"/>
                <w:szCs w:val="19"/>
                <w:color w:val="auto"/>
              </w:rPr>
            </w:pPr>
          </w:p>
        </w:tc>
      </w:tr>
      <w:tr>
        <w:trPr>
          <w:trHeight w:val="715"/>
        </w:trPr>
        <w:tc>
          <w:tcPr>
            <w:tcW w:w="2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10</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8"/>
        </w:trPr>
        <w:tc>
          <w:tcPr>
            <w:tcW w:w="22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167" w:lineRule="exact"/>
        <w:rPr>
          <w:sz w:val="20"/>
          <w:szCs w:val="20"/>
          <w:color w:val="auto"/>
        </w:rPr>
      </w:pPr>
    </w:p>
    <w:tbl>
      <w:tblPr>
        <w:tblLayout w:type="fixed"/>
        <w:tblInd w:w="224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7"/>
              </w:rPr>
              <w:t>Three Months Ended</w:t>
            </w:r>
          </w:p>
        </w:tc>
      </w:tr>
      <w:tr>
        <w:trPr>
          <w:trHeight w:val="229"/>
        </w:trPr>
        <w:tc>
          <w:tcPr>
            <w:tcW w:w="4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19"/>
                <w:szCs w:val="19"/>
                <w:color w:val="auto"/>
              </w:rPr>
            </w:pPr>
          </w:p>
        </w:tc>
      </w:tr>
      <w:tr>
        <w:trPr>
          <w:trHeight w:val="223"/>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 basic and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r>
      <w:tr>
        <w:trPr>
          <w:trHeight w:val="270"/>
        </w:trPr>
        <w:tc>
          <w:tcPr>
            <w:tcW w:w="4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basic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Restricted stock</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300" w:type="dxa"/>
            <w:vAlign w:val="bottom"/>
            <w:gridSpan w:val="5"/>
          </w:tcPr>
          <w:p>
            <w:pPr>
              <w:jc w:val="center"/>
              <w:ind w:right="3180"/>
              <w:spacing w:after="0"/>
              <w:rPr>
                <w:sz w:val="20"/>
                <w:szCs w:val="20"/>
                <w:color w:val="auto"/>
              </w:rPr>
            </w:pPr>
            <w:r>
              <w:rPr>
                <w:rFonts w:ascii="Arial" w:cs="Arial" w:eastAsia="Arial" w:hAnsi="Arial"/>
                <w:sz w:val="18"/>
                <w:szCs w:val="18"/>
                <w:b w:val="1"/>
                <w:bCs w:val="1"/>
                <w:color w:val="auto"/>
                <w:w w:val="92"/>
              </w:rPr>
              <w:t>Three Months Ended</w:t>
            </w:r>
          </w:p>
        </w:tc>
      </w:tr>
      <w:tr>
        <w:trPr>
          <w:trHeight w:val="229"/>
        </w:trPr>
        <w:tc>
          <w:tcPr>
            <w:tcW w:w="3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6"/>
              </w:rPr>
              <w:t>March 31,</w:t>
            </w:r>
          </w:p>
        </w:tc>
        <w:tc>
          <w:tcPr>
            <w:tcW w:w="680" w:type="dxa"/>
            <w:vAlign w:val="bottom"/>
            <w:tcBorders>
              <w:bottom w:val="single" w:sz="8" w:color="auto"/>
            </w:tcBorders>
          </w:tcPr>
          <w:p>
            <w:pPr>
              <w:spacing w:after="0"/>
              <w:rPr>
                <w:sz w:val="19"/>
                <w:szCs w:val="19"/>
                <w:color w:val="auto"/>
              </w:rPr>
            </w:pPr>
          </w:p>
        </w:tc>
        <w:tc>
          <w:tcPr>
            <w:tcW w:w="3140" w:type="dxa"/>
            <w:vAlign w:val="bottom"/>
          </w:tcPr>
          <w:p>
            <w:pPr>
              <w:spacing w:after="0"/>
              <w:rPr>
                <w:sz w:val="19"/>
                <w:szCs w:val="19"/>
                <w:color w:val="auto"/>
              </w:rPr>
            </w:pPr>
          </w:p>
        </w:tc>
      </w:tr>
      <w:tr>
        <w:trPr>
          <w:trHeight w:val="223"/>
        </w:trPr>
        <w:tc>
          <w:tcPr>
            <w:tcW w:w="3140" w:type="dxa"/>
            <w:vAlign w:val="bottom"/>
          </w:tcPr>
          <w:p>
            <w:pPr>
              <w:spacing w:after="0"/>
              <w:rPr>
                <w:sz w:val="19"/>
                <w:szCs w:val="19"/>
                <w:color w:val="auto"/>
              </w:rPr>
            </w:pPr>
          </w:p>
        </w:tc>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(Shares in millions)</w:t>
            </w:r>
          </w:p>
        </w:tc>
        <w:tc>
          <w:tcPr>
            <w:tcW w:w="8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2020</w:t>
            </w:r>
          </w:p>
        </w:tc>
        <w:tc>
          <w:tcPr>
            <w:tcW w:w="3140" w:type="dxa"/>
            <w:vAlign w:val="bottom"/>
          </w:tcPr>
          <w:p>
            <w:pPr>
              <w:spacing w:after="0"/>
              <w:rPr>
                <w:sz w:val="19"/>
                <w:szCs w:val="19"/>
                <w:color w:val="auto"/>
              </w:rPr>
            </w:pPr>
          </w:p>
        </w:tc>
      </w:tr>
      <w:tr>
        <w:trPr>
          <w:trHeight w:val="223"/>
        </w:trPr>
        <w:tc>
          <w:tcPr>
            <w:tcW w:w="3140" w:type="dxa"/>
            <w:vAlign w:val="bottom"/>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140" w:type="dxa"/>
            <w:vAlign w:val="bottom"/>
          </w:tcPr>
          <w:p>
            <w:pPr>
              <w:spacing w:after="0"/>
              <w:rPr>
                <w:sz w:val="19"/>
                <w:szCs w:val="19"/>
                <w:color w:val="auto"/>
              </w:rPr>
            </w:pPr>
          </w:p>
        </w:tc>
      </w:tr>
      <w:tr>
        <w:trPr>
          <w:trHeight w:val="797"/>
        </w:trPr>
        <w:tc>
          <w:tcPr>
            <w:tcW w:w="3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58"/>
        </w:trPr>
        <w:tc>
          <w:tcPr>
            <w:tcW w:w="31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as of March 31, 2021 and December 31, 2020 consist of both available-for-sale debt securities of investment grade issuers (see below and Note 6) as well as equity securities of publicly traded companies (see Note 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w w:val="94"/>
              </w:rPr>
              <w:t>Unrealized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04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As of March 31, 2021</w:t>
            </w:r>
          </w:p>
        </w:tc>
        <w:tc>
          <w:tcPr>
            <w:tcW w:w="180" w:type="dxa"/>
            <w:vAlign w:val="bottom"/>
          </w:tcPr>
          <w:p>
            <w:pPr>
              <w:spacing w:after="0"/>
              <w:rPr>
                <w:sz w:val="15"/>
                <w:szCs w:val="15"/>
                <w:color w:val="auto"/>
              </w:rPr>
            </w:pPr>
          </w:p>
        </w:tc>
        <w:tc>
          <w:tcPr>
            <w:tcW w:w="1240" w:type="dxa"/>
            <w:vAlign w:val="bottom"/>
            <w:gridSpan w:val="2"/>
          </w:tcPr>
          <w:p>
            <w:pPr>
              <w:ind w:left="80"/>
              <w:spacing w:after="0" w:line="182" w:lineRule="exact"/>
              <w:rPr>
                <w:sz w:val="20"/>
                <w:szCs w:val="20"/>
                <w:color w:val="auto"/>
              </w:rPr>
            </w:pPr>
            <w:r>
              <w:rPr>
                <w:rFonts w:ascii="Arial" w:cs="Arial" w:eastAsia="Arial" w:hAnsi="Arial"/>
                <w:sz w:val="18"/>
                <w:szCs w:val="18"/>
                <w:b w:val="1"/>
                <w:bCs w:val="1"/>
                <w:color w:val="auto"/>
              </w:rPr>
              <w:t>Cost Basis</w:t>
            </w: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Losses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50"/>
              <w:spacing w:after="0" w:line="182" w:lineRule="exact"/>
              <w:rPr>
                <w:sz w:val="20"/>
                <w:szCs w:val="20"/>
                <w:color w:val="auto"/>
              </w:rPr>
            </w:pPr>
            <w:r>
              <w:rPr>
                <w:rFonts w:ascii="Arial" w:cs="Arial" w:eastAsia="Arial" w:hAnsi="Arial"/>
                <w:sz w:val="18"/>
                <w:szCs w:val="18"/>
                <w:b w:val="1"/>
                <w:bCs w:val="1"/>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3,632.2</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U.S. government and government agency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487.8</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Sovereign bonds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254.3</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4,584.1</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29.3</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0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As of December 31, 2020</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U.S. government and government agency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Sovereign bonds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276.1</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3,649.2</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40.1</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3,689.1</w:t>
            </w: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March 31, 2021 mature at various dates through March 2026. The fair values of available-for-sale debt securities by contractual maturity consist of the following:</w:t>
      </w:r>
    </w:p>
    <w:p>
      <w:pPr>
        <w:spacing w:after="0" w:line="247"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Maturities after one year through five years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2,295.8</w:t>
            </w:r>
          </w:p>
        </w:tc>
      </w:tr>
      <w:tr>
        <w:trPr>
          <w:trHeight w:val="248"/>
        </w:trPr>
        <w:tc>
          <w:tcPr>
            <w:tcW w:w="4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Less than 12 Months</w:t>
            </w:r>
          </w:p>
        </w:tc>
        <w:tc>
          <w:tcPr>
            <w:tcW w:w="2600" w:type="dxa"/>
            <w:vAlign w:val="bottom"/>
            <w:gridSpan w:val="4"/>
          </w:tcPr>
          <w:p>
            <w:pPr>
              <w:ind w:left="42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00" w:type="dxa"/>
            <w:vAlign w:val="bottom"/>
            <w:gridSpan w:val="4"/>
          </w:tcPr>
          <w:p>
            <w:pPr>
              <w:ind w:left="20"/>
              <w:spacing w:after="0" w:line="169" w:lineRule="exact"/>
              <w:rPr>
                <w:sz w:val="20"/>
                <w:szCs w:val="20"/>
                <w:color w:val="auto"/>
              </w:rPr>
            </w:pPr>
            <w:r>
              <w:rPr>
                <w:rFonts w:ascii="Arial" w:cs="Arial" w:eastAsia="Arial" w:hAnsi="Arial"/>
                <w:sz w:val="18"/>
                <w:szCs w:val="18"/>
                <w:i w:val="1"/>
                <w:iCs w:val="1"/>
                <w:color w:val="auto"/>
              </w:rPr>
              <w:t>(In millions)</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4"/>
                <w:szCs w:val="14"/>
                <w:color w:val="auto"/>
              </w:rPr>
            </w:pPr>
          </w:p>
        </w:tc>
        <w:tc>
          <w:tcPr>
            <w:tcW w:w="130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8"/>
                <w:szCs w:val="18"/>
                <w:b w:val="1"/>
                <w:bCs w:val="1"/>
                <w:color w:val="auto"/>
              </w:rPr>
              <w:t>Fair Value</w:t>
            </w:r>
          </w:p>
        </w:tc>
        <w:tc>
          <w:tcPr>
            <w:tcW w:w="1200" w:type="dxa"/>
            <w:vAlign w:val="bottom"/>
            <w:tcBorders>
              <w:top w:val="single" w:sz="8" w:color="auto"/>
            </w:tcBorders>
          </w:tcPr>
          <w:p>
            <w:pPr>
              <w:ind w:left="180"/>
              <w:spacing w:after="0" w:line="169"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189"/>
        </w:trPr>
        <w:tc>
          <w:tcPr>
            <w:tcW w:w="3500" w:type="dxa"/>
            <w:vAlign w:val="bottom"/>
            <w:gridSpan w:val="4"/>
          </w:tcPr>
          <w:p>
            <w:pPr>
              <w:ind w:left="20"/>
              <w:spacing w:after="0" w:line="189" w:lineRule="exact"/>
              <w:rPr>
                <w:sz w:val="20"/>
                <w:szCs w:val="20"/>
                <w:color w:val="auto"/>
              </w:rPr>
            </w:pPr>
            <w:r>
              <w:rPr>
                <w:rFonts w:ascii="Arial" w:cs="Arial" w:eastAsia="Arial" w:hAnsi="Arial"/>
                <w:sz w:val="18"/>
                <w:szCs w:val="18"/>
                <w:b w:val="1"/>
                <w:bCs w:val="1"/>
                <w:color w:val="auto"/>
              </w:rPr>
              <w:t>As of March 31, 2021</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80"/>
              </w:rPr>
              <w:t>Loss</w:t>
            </w:r>
          </w:p>
        </w:tc>
        <w:tc>
          <w:tcPr>
            <w:tcW w:w="1300" w:type="dxa"/>
            <w:vAlign w:val="bottom"/>
            <w:gridSpan w:val="2"/>
            <w:vMerge w:val="continue"/>
          </w:tcPr>
          <w:p>
            <w:pPr>
              <w:spacing w:after="0"/>
              <w:rPr>
                <w:sz w:val="16"/>
                <w:szCs w:val="16"/>
                <w:color w:val="auto"/>
              </w:rPr>
            </w:pPr>
          </w:p>
        </w:tc>
        <w:tc>
          <w:tcPr>
            <w:tcW w:w="1300" w:type="dxa"/>
            <w:vAlign w:val="bottom"/>
            <w:gridSpan w:val="2"/>
          </w:tcPr>
          <w:p>
            <w:pPr>
              <w:ind w:left="420"/>
              <w:spacing w:after="0" w:line="189"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0"/>
              <w:spacing w:after="0" w:line="189" w:lineRule="exact"/>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75"/>
        </w:trPr>
        <w:tc>
          <w:tcPr>
            <w:tcW w:w="350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U.S. government and government agency</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gridSpan w:val="3"/>
          </w:tcPr>
          <w:p>
            <w:pPr>
              <w:ind w:left="16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00" w:type="dxa"/>
            <w:vAlign w:val="bottom"/>
            <w:gridSpan w:val="4"/>
          </w:tcPr>
          <w:p>
            <w:pPr>
              <w:ind w:left="20"/>
              <w:spacing w:after="0" w:line="189" w:lineRule="exact"/>
              <w:rPr>
                <w:sz w:val="20"/>
                <w:szCs w:val="20"/>
                <w:color w:val="auto"/>
              </w:rPr>
            </w:pPr>
            <w:r>
              <w:rPr>
                <w:rFonts w:ascii="Arial" w:cs="Arial" w:eastAsia="Arial" w:hAnsi="Arial"/>
                <w:sz w:val="18"/>
                <w:szCs w:val="18"/>
                <w:b w:val="1"/>
                <w:bCs w:val="1"/>
                <w:color w:val="auto"/>
              </w:rPr>
              <w:t>As of December 31, 2020</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realized losses on sales of marketable securities, and realized gains were not material, for the three months ended March 31, 2021 and 2020.</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marketable securities, for the three months ended March 31, 2021 and 2020, amounts reclassified from Accumulated other comprehensive income into Other income (expense), net were related to realized gains on sales of available-for-sale debt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10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w:t>
      </w:r>
    </w:p>
    <w:p>
      <w:pPr>
        <w:spacing w:after="0" w:line="23"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Significant other unobservable inputs</w:t>
      </w:r>
    </w:p>
    <w:p>
      <w:pPr>
        <w:spacing w:after="0" w:line="166"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Fair Value Measurements at Reporting Date</w:t>
            </w:r>
          </w:p>
        </w:tc>
      </w:tr>
      <w:tr>
        <w:trPr>
          <w:trHeight w:val="182"/>
        </w:trPr>
        <w:tc>
          <w:tcPr>
            <w:tcW w:w="516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As of March 31, 2021</w:t>
            </w:r>
          </w:p>
        </w:tc>
        <w:tc>
          <w:tcPr>
            <w:tcW w:w="280" w:type="dxa"/>
            <w:vAlign w:val="bottom"/>
          </w:tcPr>
          <w:p>
            <w:pPr>
              <w:spacing w:after="0"/>
              <w:rPr>
                <w:sz w:val="15"/>
                <w:szCs w:val="15"/>
                <w:color w:val="auto"/>
              </w:rPr>
            </w:pPr>
          </w:p>
        </w:tc>
        <w:tc>
          <w:tcPr>
            <w:tcW w:w="1540" w:type="dxa"/>
            <w:vAlign w:val="bottom"/>
            <w:gridSpan w:val="2"/>
          </w:tcPr>
          <w:p>
            <w:pPr>
              <w:ind w:left="160"/>
              <w:spacing w:after="0" w:line="182" w:lineRule="exact"/>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15"/>
                <w:szCs w:val="15"/>
                <w:color w:val="auto"/>
              </w:rPr>
            </w:pPr>
          </w:p>
        </w:tc>
        <w:tc>
          <w:tcPr>
            <w:tcW w:w="1500" w:type="dxa"/>
            <w:vAlign w:val="bottom"/>
            <w:gridSpan w:val="2"/>
          </w:tcPr>
          <w:p>
            <w:pPr>
              <w:ind w:left="240"/>
              <w:spacing w:after="0" w:line="182" w:lineRule="exact"/>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5"/>
                <w:szCs w:val="15"/>
                <w:color w:val="auto"/>
              </w:rPr>
            </w:pPr>
          </w:p>
        </w:tc>
        <w:tc>
          <w:tcPr>
            <w:tcW w:w="136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Level 2</w:t>
            </w:r>
          </w:p>
        </w:tc>
      </w:tr>
      <w:tr>
        <w:trPr>
          <w:trHeight w:val="21"/>
        </w:trPr>
        <w:tc>
          <w:tcPr>
            <w:tcW w:w="16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5160" w:type="dxa"/>
            <w:vAlign w:val="bottom"/>
            <w:gridSpan w:val="3"/>
          </w:tcPr>
          <w:p>
            <w:pPr>
              <w:ind w:left="200"/>
              <w:spacing w:after="0"/>
              <w:rPr>
                <w:sz w:val="20"/>
                <w:szCs w:val="20"/>
                <w:color w:val="auto"/>
              </w:rPr>
            </w:pPr>
            <w:r>
              <w:rPr>
                <w:rFonts w:ascii="Arial" w:cs="Arial" w:eastAsia="Arial" w:hAnsi="Arial"/>
                <w:sz w:val="18"/>
                <w:szCs w:val="18"/>
                <w:color w:val="auto"/>
              </w:rPr>
              <w:t>Corporate bonds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3,632.2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3,632.2</w:t>
            </w:r>
          </w:p>
        </w:tc>
      </w:tr>
      <w:tr>
        <w:trPr>
          <w:trHeight w:val="229"/>
        </w:trPr>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r>
      <w:tr>
        <w:trPr>
          <w:trHeight w:val="230"/>
        </w:trPr>
        <w:tc>
          <w:tcPr>
            <w:tcW w:w="5160" w:type="dxa"/>
            <w:vAlign w:val="bottom"/>
            <w:gridSpan w:val="3"/>
          </w:tcPr>
          <w:p>
            <w:pPr>
              <w:ind w:left="200"/>
              <w:spacing w:after="0"/>
              <w:rPr>
                <w:sz w:val="20"/>
                <w:szCs w:val="20"/>
                <w:color w:val="auto"/>
              </w:rPr>
            </w:pPr>
            <w:r>
              <w:rPr>
                <w:rFonts w:ascii="Arial" w:cs="Arial" w:eastAsia="Arial" w:hAnsi="Arial"/>
                <w:sz w:val="18"/>
                <w:szCs w:val="18"/>
                <w:color w:val="auto"/>
              </w:rPr>
              <w:t>Sovereign bonds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29"/>
        </w:trPr>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r>
      <w:tr>
        <w:trPr>
          <w:trHeight w:val="229"/>
        </w:trPr>
        <w:tc>
          <w:tcPr>
            <w:tcW w:w="5160" w:type="dxa"/>
            <w:vAlign w:val="bottom"/>
            <w:gridSpan w:val="3"/>
          </w:tcPr>
          <w:p>
            <w:pPr>
              <w:ind w:left="20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167.2</w:t>
            </w:r>
          </w:p>
        </w:tc>
      </w:tr>
      <w:tr>
        <w:trPr>
          <w:trHeight w:val="230"/>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 (unrestricted)</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Equity securities (restricted)</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1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4,607.2</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190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As of December 31, 2020</w:t>
            </w:r>
          </w:p>
        </w:tc>
        <w:tc>
          <w:tcPr>
            <w:tcW w:w="3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Available-for-sale debt securities: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w:t>
            </w:r>
          </w:p>
        </w:tc>
      </w:tr>
      <w:tr>
        <w:trPr>
          <w:trHeight w:val="230"/>
        </w:trPr>
        <w:tc>
          <w:tcPr>
            <w:tcW w:w="5160" w:type="dxa"/>
            <w:vAlign w:val="bottom"/>
            <w:gridSpan w:val="3"/>
          </w:tcPr>
          <w:p>
            <w:pPr>
              <w:ind w:left="200"/>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30"/>
        </w:trPr>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Sovereign bonds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5160" w:type="dxa"/>
            <w:vAlign w:val="bottom"/>
            <w:gridSpan w:val="3"/>
          </w:tcPr>
          <w:p>
            <w:pPr>
              <w:ind w:left="20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276.1</w:t>
            </w:r>
          </w:p>
        </w:tc>
      </w:tr>
      <w:tr>
        <w:trPr>
          <w:trHeight w:val="229"/>
        </w:trPr>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Equity securities (unrestricted)</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 (restricted)</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certain restricted equity securities as of March 31, 2021 which are subject to transfer restrictions that expire at various dates through 2024.</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2021 and 2020, we recorded $143.9 million of net unrealized gains and $56.8 million of net unrealized losses, respectively, on equity securities in Other income (expense), net.</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investments summarized in the table above, as of March 31, 2021 and December 31, 2020, the Company had $40.0 million and $59.2 million, respectively, in equity investments that do not have a readily determinable fair value. These investments are recorded within Other noncurrent assets.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long-term debt (see Note 8), which was determined based on Level 2 inputs, was estimated to be $1.803 billion and $1.958 billion as of March 31, 2021 and December 31, 2020, respectively.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51"/>
        </w:trPr>
        <w:tc>
          <w:tcPr>
            <w:tcW w:w="540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0"/>
        </w:trPr>
        <w:tc>
          <w:tcPr>
            <w:tcW w:w="2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500" w:type="dxa"/>
            <w:vAlign w:val="bottom"/>
          </w:tcPr>
          <w:p>
            <w:pPr>
              <w:spacing w:after="0"/>
              <w:rPr>
                <w:sz w:val="20"/>
                <w:szCs w:val="20"/>
                <w:color w:val="auto"/>
              </w:rPr>
            </w:pPr>
          </w:p>
        </w:tc>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250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r>
      <w:tr>
        <w:trPr>
          <w:trHeight w:val="229"/>
        </w:trPr>
        <w:tc>
          <w:tcPr>
            <w:tcW w:w="250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904.6</w:t>
            </w:r>
          </w:p>
        </w:tc>
      </w:tr>
      <w:tr>
        <w:trPr>
          <w:trHeight w:val="230"/>
        </w:trPr>
        <w:tc>
          <w:tcPr>
            <w:tcW w:w="250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29"/>
        </w:trPr>
        <w:tc>
          <w:tcPr>
            <w:tcW w:w="2500" w:type="dxa"/>
            <w:vAlign w:val="bottom"/>
          </w:tcPr>
          <w:p>
            <w:pPr>
              <w:spacing w:after="0"/>
              <w:rPr>
                <w:sz w:val="19"/>
                <w:szCs w:val="19"/>
                <w:color w:val="auto"/>
              </w:rPr>
            </w:pPr>
          </w:p>
        </w:tc>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costs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w:t>
            </w:r>
          </w:p>
        </w:tc>
      </w:tr>
      <w:tr>
        <w:trPr>
          <w:trHeight w:val="248"/>
        </w:trPr>
        <w:tc>
          <w:tcPr>
            <w:tcW w:w="250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w:t>
            </w:r>
          </w:p>
        </w:tc>
      </w:tr>
      <w:tr>
        <w:trPr>
          <w:trHeight w:val="20"/>
        </w:trPr>
        <w:tc>
          <w:tcPr>
            <w:tcW w:w="250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Deferred costs represent the costs of product manufactured and shipped to the Company's collaborators for which recognition of revenue has been deferred.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2020, we issued and sold $1.250 billion aggregate principal amount of senior unsecured notes due 2030 and $750 million aggregate principal amount of senior unsecured notes due 2050. Long-term debt in connection with our senior unsecured notes (collectively, the "Notes"), net of underwriting discounts and offering expenses, consists of the following:</w:t>
      </w:r>
    </w:p>
    <w:p>
      <w:pPr>
        <w:spacing w:after="0" w:line="153" w:lineRule="exact"/>
        <w:rPr>
          <w:sz w:val="20"/>
          <w:szCs w:val="20"/>
          <w:color w:val="auto"/>
        </w:rPr>
      </w:pPr>
    </w:p>
    <w:tbl>
      <w:tblPr>
        <w:tblLayout w:type="fixed"/>
        <w:tblInd w:w="242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1.750% Senior Notes due September 2030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2.800% Senior Notes due September 2050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w:t>
            </w:r>
          </w:p>
        </w:tc>
      </w:tr>
      <w:tr>
        <w:trPr>
          <w:trHeight w:val="248"/>
        </w:trPr>
        <w:tc>
          <w:tcPr>
            <w:tcW w:w="4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related to the Notes for the three months ended March 31, 2021 was $11.1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subject to U.S. federal, state, and foreign income taxes. The Company's effective tax rate was 11.0% and 6.6% for the three months ended March 31, 2021 and 2020, respectively. The Company's effective tax rate for the three months ended March 31, 2021 was positively impacted, compared to the U.S. federal statutory rate, primarily by the reversal of liabilities related to uncertain tax positions, stock-based compensation, income earned in foreign jurisdictions with tax rates lower than the U.S. federal statutory rate, and federal tax credits for research activities. The Company's federal income tax returns for 2015 through 2018 are currently under audit by the Internal Revenue Service ("IRS"). During the first quarter of 2021, we reduced the amount of liabilities for uncertain tax positions related to the Company’s federal income tax returns for 2015 and 2016, and the audits of such tax years are expected to conclude in the next 12 months. The Company's effective tax rate for the three months ended March 31, 2020 was positively impacted, compared to the U.S. federal statutory rate, primarily by stock-based compensation, and, to a lesser extent, income earned in foreign jurisdictions with tax rates lower than the U.S. federal statutory rate and federal tax credits for research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2019, our board of directors authorized a share repurchase program to repurchase up to $1.0 billion of our Common Stock. The share repurchase program permitted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During the three months ended March 31, 2020, we repurchased 719,167 shares of our Common Stock under the program and recorded the cost of the shares received, or $272.8 million, as Treasury Stock. As of December 31, 2020, the Company had repurchased the entire $1.0 billion it was authorized to repurchase under the program.</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2021, our board of directors authorized a new share repurchase program to repurchase up to $1.5 billion of our Common Stock. The share repurchase program was approved under terms substantially similar to the November 2019 share repurchase program described above. Repurchases may be made from time to time at management’s discretion, and the timing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During the three months ended March 31, 2021, we repurchased 690,265 shares of our Common Stock under the program and recorded the cost of the shares received, or $323.5 million, as Treasury Stock. As of March 31, 2021, $1.177 billion remained available for share repurchases under the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2018, the Company and Sanofi entered into a letter agreement (the "Letter Agreement") in connection with, among other matters, the allocation of additional funds to certain activities relating to dupilumab and itepekimab (collectively, the "Dupilumab/Itepekimab Eligible Investments"). Pursuant to the Letter Agreement, we agreed to allow Sanofi to satisfy its funding obligations with respect to Dupilumab/Itepekimab Eligible Investments, as well as Libtayo development costs, for quarterly periods ending on September 30, 2020 by selling our Common Stock owned by Sanofi. During the three months ended March 31, 2020, Sanofi elected to sell, and we elected to purchase (by issuing a credit towards the amount owed by Sanofi), 43,627 shares of our Common Stock to satisfy Sanofi's funding obligation related to Libtayo development costs, and we recorded the cost of the shares received, or $21.4 million, as Treasury Stock. In addition, during the three months ended March 31, 2020, Sanofi elected to sell, and we elected to purchase (in cash), 85,287 shares of our Common Stock in connection with Sanofi's funding obligation for Dupilumab/Itepekimab Eligible Investments, and recorded the cost of the shares received, or $41.8 million, as Treasury Stock.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Statement of Cash Flows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139"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55"/>
        </w:trPr>
        <w:tc>
          <w:tcPr>
            <w:tcW w:w="56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Total cash, cash equivalents, and restricted cash shown in the Condensed</w:t>
            </w: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2,220.7</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Consolidated Statement of Cash Flows</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included in accounts payable, accrued expenses, and other liabilities:</w:t>
      </w:r>
    </w:p>
    <w:p>
      <w:pPr>
        <w:spacing w:after="0" w:line="194"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26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Pr>
          <w:p>
            <w:pPr>
              <w:jc w:val="center"/>
              <w:ind w:left="350"/>
              <w:spacing w:after="0"/>
              <w:rPr>
                <w:sz w:val="20"/>
                <w:szCs w:val="20"/>
                <w:color w:val="auto"/>
              </w:rPr>
            </w:pPr>
            <w:r>
              <w:rPr>
                <w:rFonts w:ascii="Arial" w:cs="Arial" w:eastAsia="Arial" w:hAnsi="Arial"/>
                <w:sz w:val="18"/>
                <w:szCs w:val="18"/>
                <w:b w:val="1"/>
                <w:bCs w:val="1"/>
                <w:color w:val="auto"/>
                <w:w w:val="96"/>
              </w:rPr>
              <w:t>March 31,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Note 10, during the three months ended March 31, 2020, we purchased (by issuing a credit towards the amount owed by Sanofi) shares of our Common Stock from Sanofi to satisfy Sanofi's funding obligation related to Libtayo development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1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March 31, 2021 and December 31, 2020, the Company's accruals for loss contingencies were not material. If the Company were unable to prevail in any such proceedings, its consolidated financial position, results of operations, and future cash flows may be materially impacted.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greater detail below, the Company is currently a party to patent infringement actions initiated by Amgen Inc. (and/or its affiliated entities) against the Company and/or Sanofi (and/or the Company's and Sanofi's respective affiliated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entities) in a number of jurisdictions relating to Praluent. See Note 3 for a description of the Company's and Sanofi's arrangement regarding the costs resulting from or associated with such actions.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Amgen has asserted claims of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As described in greater detail under "Second Jury Trial and Appeal" below, on February 11, 2021, the Federal Circuit (as defined below) affirmed the lower court's decision that certain of Amgen's asserted patent claims are invalid based on lack of enablement.</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First Jury Trial and Appeal. </w:t>
      </w:r>
      <w:r>
        <w:rPr>
          <w:rFonts w:ascii="Arial" w:cs="Arial" w:eastAsia="Arial" w:hAnsi="Arial"/>
          <w:sz w:val="18"/>
          <w:szCs w:val="18"/>
          <w:color w:val="auto"/>
        </w:rPr>
        <w:t>The first jury trial in this litigation (the "First Trial") was held in the United States District Court for the District of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Second Jury Trial and Appeal. </w:t>
      </w:r>
      <w:r>
        <w:rPr>
          <w:rFonts w:ascii="Arial" w:cs="Arial" w:eastAsia="Arial" w:hAnsi="Arial"/>
          <w:sz w:val="16"/>
          <w:szCs w:val="16"/>
          <w:color w:val="auto"/>
        </w:rPr>
        <w:t>On January 3, 2019, the District Court held oral argument in the remanded proceedings on the Company and the Sanofi</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defendants' motion for judgment on the pleadings regarding Amgen's willful infringement claim. On January 18, 2019, the District Court entered an order</w:t>
      </w:r>
    </w:p>
    <w:p>
      <w:pPr>
        <w:jc w:val="both"/>
        <w:ind w:firstLine="8"/>
        <w:spacing w:after="0" w:line="285" w:lineRule="auto"/>
        <w:tabs>
          <w:tab w:leader="none" w:pos="217" w:val="left"/>
        </w:tabs>
        <w:numPr>
          <w:ilvl w:val="0"/>
          <w:numId w:val="5"/>
        </w:numPr>
        <w:rPr>
          <w:rFonts w:ascii="Arial" w:cs="Arial" w:eastAsia="Arial" w:hAnsi="Arial"/>
          <w:sz w:val="16"/>
          <w:szCs w:val="16"/>
          <w:color w:val="auto"/>
        </w:rPr>
      </w:pPr>
      <w:r>
        <w:rPr>
          <w:rFonts w:ascii="Arial" w:cs="Arial" w:eastAsia="Arial" w:hAnsi="Arial"/>
          <w:sz w:val="16"/>
          <w:szCs w:val="16"/>
          <w:color w:val="auto"/>
        </w:rPr>
        <w:t>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August 28, 2019, the District Court ruled as a matter of law that Amgen's asserted patent claims are invalid based on lack of enablement. The District Court also conditionally denied the Company and the Sanofi defendants' motion for a new trial. On October 23, 2019, Amgen filed a notice of appeal of the District Court's decision with the Federal Circuit. An oral hearing before the Federal Circuit was held on December 9, 2020. On February 11, 2021, the Federal Circuit affirmed the District Court's decision that certain of Amgen's asserted patent claims are invalid based on lack of enablement. On April 14, 2021, Amgen filed a petition for a rehearing en banc.</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Injunctive Relief Proceedings. </w:t>
      </w:r>
      <w:r>
        <w:rPr>
          <w:rFonts w:ascii="Arial" w:cs="Arial" w:eastAsia="Arial" w:hAnsi="Arial"/>
          <w:sz w:val="18"/>
          <w:szCs w:val="18"/>
          <w:color w:val="auto"/>
        </w:rPr>
        <w:t>On March 18, 2019, Amgen filed a renewed motion for a permanent injunction to prohibit the Company and the Sanofi</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from Commercializing Praluent in the United States (a "Permanent Injunction"), and an oral hearing on this motion was held in June 2019. Previously, the Federal Circuit stayed and then vacated a Permanent Injunction granted by the District Court in connection with the First Trial. On August 28, 2019, the District Court dismissed as moot Amgen's renewed motion for a Permanent Injunction.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Amgen has asserted European Patent No. 2,215,124 (the "'124 Patent"), which pertains to PCSK9 monoclonal antibodies, in the countries in Europe discussed below. As described in greater detail under "EPO Proceedings" below, in October 2020 the '124 Patent claims directed to compositions of matter and medical use were ruled invalid by the Technical Board of Appeal (the "TBA") of the European Patent Office (the "EPO"). This decision has impacted or will impact each of the infringement proceedings based on the '124 Patent discussed below.</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EPO Proceedings. </w:t>
      </w:r>
      <w:r>
        <w:rPr>
          <w:rFonts w:ascii="Arial" w:cs="Arial" w:eastAsia="Arial" w:hAnsi="Arial"/>
          <w:sz w:val="17"/>
          <w:szCs w:val="17"/>
          <w:color w:val="auto"/>
        </w:rPr>
        <w:t>The '124 Patent was subject to opposition proceedings in the EPO seeking to invalidate certain of its claims, which were initiated by</w:t>
      </w:r>
      <w:r>
        <w:rPr>
          <w:rFonts w:ascii="Arial" w:cs="Arial" w:eastAsia="Arial" w:hAnsi="Arial"/>
          <w:sz w:val="17"/>
          <w:szCs w:val="17"/>
          <w:i w:val="1"/>
          <w:iCs w:val="1"/>
          <w:color w:val="auto"/>
        </w:rPr>
        <w:t xml:space="preserve"> </w:t>
      </w:r>
      <w:r>
        <w:rPr>
          <w:rFonts w:ascii="Arial" w:cs="Arial" w:eastAsia="Arial" w:hAnsi="Arial"/>
          <w:sz w:val="17"/>
          <w:szCs w:val="17"/>
          <w:color w:val="auto"/>
        </w:rPr>
        <w:t>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An oral hearing on the oppositions against the '124 Patent was held on November 28–30, 2018, at which the Opposition Division upheld the validity of the '124 Patent's claims in amended form. The Company and Sanofi filed notices of appeal to the TBA on November 30, 2018.</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oral hearing before the TBA was held on October 28–29, 2020, at which the TBA ruled that the '124 Patent claims directed to compositions of matter and medical use relevant to Praluent were invalid based on a lack of inventive step.</w:t>
      </w:r>
    </w:p>
    <w:p>
      <w:pPr>
        <w:spacing w:after="0" w:line="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United Kingdom. </w:t>
      </w:r>
      <w:r>
        <w:rPr>
          <w:rFonts w:ascii="Arial" w:cs="Arial" w:eastAsia="Arial" w:hAnsi="Arial"/>
          <w:sz w:val="16"/>
          <w:szCs w:val="16"/>
          <w:color w:val="auto"/>
        </w:rPr>
        <w:t>On July 25, 2016, Amgen filed a lawsuit against Regeneron, Sanofi-Aventis Groupe S.A., Sanofi-Synthelabo Limited, Aventis Pharma</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Sanofi Winthrop Industrie S.A., and Sanofi-Aventis Deutschland GmbH in the English High Court of Justice, Chancery Division, Patents Court, in London, seeking a declaration of infringement of the '124 Patent by Praluent. The lawsuit also seeks a permanent injunction, damages, an accounting of profits, and costs and interest. On February 8, 2017, the court temporarily stayed this litigation on terms mutually agreed by the parties. On October 22, 2020, the court lifted the stay upon application by the Company and the Sanofi defendants, and the case will proceed in due course.</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Germany. </w:t>
      </w:r>
      <w:r>
        <w:rPr>
          <w:rFonts w:ascii="Arial" w:cs="Arial" w:eastAsia="Arial" w:hAnsi="Arial"/>
          <w:sz w:val="17"/>
          <w:szCs w:val="17"/>
          <w:color w:val="auto"/>
        </w:rPr>
        <w:t>On July 25, 2016, Amgen filed a lawsuit for infringement of the '124 Patent against Regeneron, Sanofi-Aventis Groupe S.A., Sanofi Winthrop</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 S.A., and Sanofi-Aventis Deutschland GmbH in the Regional Court of Düsseldorf, 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above). Following Amgen's request to reopen the proceedings in light of the issuance of the Preliminary Opinion, the Düsseldorf Regional Court held an oral hearing on September 11, 2018 and ruled on December 10, 2018 that the infringement proceedings would be reopened. On July 11, 2019, the Düsseldorf Regional Court found that Praluent infringes the '124 Patent and granted an injunction prohibiting the Company and Sanofi's manufacture, sale, and marketing of Praluent in Germany (the "July 11 Decision"). Amgen subsequently enforced the injunction and, as a result, commercialization of Praluent in Germany was discontinued. On July 12, 2019, the Company and Sanofi appealed the July 11 Decision to the Higher Regional Court of Düsseldorf (the "Higher Regional Court"). On August 5, 2019 and October 31, 2019, the Higher Regional Court denied the Company and Sanofi's requests for a stay of preliminary enforcement of the July 11 Decision pending the appeal on the merits. On November 3, 2020, Amgen filed a motion withdrawing this lawsuit without prejudice. An oral hearing on the merits of the appeal to the Higher Regional Court was held on November 5, 2020, at which the Higher Regional Court overturned the July 11 Decision.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France. </w:t>
      </w:r>
      <w:r>
        <w:rPr>
          <w:rFonts w:ascii="Arial" w:cs="Arial" w:eastAsia="Arial" w:hAnsi="Arial"/>
          <w:sz w:val="16"/>
          <w:szCs w:val="16"/>
          <w:color w:val="auto"/>
        </w:rPr>
        <w:t>On September 26, 2016, Amgen filed a lawsuit for infringement of the '124 Patent in the Tribunal de grande instance in Paris, France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Regeneron, Sanofi-Aventis Groupe S.A., Sanofi Winthrop Industrie S.A.,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(originally scheduled for February 12, 2019) has yet to be rescheduled.</w:t>
      </w:r>
    </w:p>
    <w:p>
      <w:pPr>
        <w:spacing w:after="0" w:line="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The Netherlands. </w:t>
      </w:r>
      <w:r>
        <w:rPr>
          <w:rFonts w:ascii="Arial" w:cs="Arial" w:eastAsia="Arial" w:hAnsi="Arial"/>
          <w:sz w:val="16"/>
          <w:szCs w:val="16"/>
          <w:color w:val="auto"/>
        </w:rPr>
        <w:t>On December 17, 2019, Amgen initiated a lawsuit alleging infringement of the Dutch designation of the '124 Patent in the District Court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Hague in the Netherlands, against Sanofi-Aventis Netherlands B.V. and Sanofi-Aventis Groupe S.A. The Company has not been named as a defendant in this action. Amgen alleges, among other things, patent infringement based on the production, importation, and commercialization of Praluent (alirocumab) in the Netherlands. Amgen's requests are made on an accelerated basis and include, among other things, a request for a permanent injunction, damages, an order for customer information, a recall order, a destruction order, and an order for costs. On February 8, 2021, the lawsuit was dismissed.</w:t>
      </w:r>
    </w:p>
    <w:p>
      <w:pPr>
        <w:spacing w:after="0" w:line="9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Italy. </w:t>
      </w:r>
      <w:r>
        <w:rPr>
          <w:rFonts w:ascii="Arial" w:cs="Arial" w:eastAsia="Arial" w:hAnsi="Arial"/>
          <w:sz w:val="18"/>
          <w:szCs w:val="18"/>
          <w:color w:val="auto"/>
        </w:rPr>
        <w:t>On December 20, 2019, Amgen filed a lawsuit for infringement of the Italian designation of the '124 Patent in the Tribunale di Milano - Enterprise</w:t>
      </w:r>
      <w:r>
        <w:rPr>
          <w:rFonts w:ascii="Arial" w:cs="Arial" w:eastAsia="Arial" w:hAnsi="Arial"/>
          <w:sz w:val="18"/>
          <w:szCs w:val="18"/>
          <w:i w:val="1"/>
          <w:iCs w:val="1"/>
          <w:color w:val="auto"/>
        </w:rPr>
        <w:t xml:space="preserve"> </w:t>
      </w:r>
      <w:r>
        <w:rPr>
          <w:rFonts w:ascii="Arial" w:cs="Arial" w:eastAsia="Arial" w:hAnsi="Arial"/>
          <w:sz w:val="18"/>
          <w:szCs w:val="18"/>
          <w:color w:val="auto"/>
        </w:rPr>
        <w:t>Chamber in Milan, Italy, against Sanofi-Aventis Groupe S.A., Sanofi Chimie, and Sanofi SpA. The Company has not been named as a defendant in this action. Amgen alleges that the production, importation, and commercialization of Praluent (alirocumab) in Italy infringes the '124 Patent. The writ of summons filed by Amgen seeks, among other things, a declaration of infringement, a permanent injunction, withdrawal of product from the market, and damages. On June 24, 2020, Amgen also filed a preliminary injunction motion against the Sanofi parties. On August 12, 2020, the court denied Amgen's preliminary injunction motion. On February 9, 2021, the lawsuit was dismissed.</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Spain. </w:t>
      </w:r>
      <w:r>
        <w:rPr>
          <w:rFonts w:ascii="Arial" w:cs="Arial" w:eastAsia="Arial" w:hAnsi="Arial"/>
          <w:sz w:val="18"/>
          <w:szCs w:val="18"/>
          <w:color w:val="auto"/>
        </w:rPr>
        <w:t>On December 20, 2019, Amgen also filed a lawsuit alleging infringement of the Spanish designation of the '124 Patent in the Juzgado de lo</w:t>
      </w:r>
      <w:r>
        <w:rPr>
          <w:rFonts w:ascii="Arial" w:cs="Arial" w:eastAsia="Arial" w:hAnsi="Arial"/>
          <w:sz w:val="18"/>
          <w:szCs w:val="18"/>
          <w:i w:val="1"/>
          <w:iCs w:val="1"/>
          <w:color w:val="auto"/>
        </w:rPr>
        <w:t xml:space="preserve"> </w:t>
      </w:r>
      <w:r>
        <w:rPr>
          <w:rFonts w:ascii="Arial" w:cs="Arial" w:eastAsia="Arial" w:hAnsi="Arial"/>
          <w:sz w:val="18"/>
          <w:szCs w:val="18"/>
          <w:color w:val="auto"/>
        </w:rPr>
        <w:t>Mercantil No. 5 (Commercial Court) in Barcelona, Spain, against Sanofi-Aventis, S.A. The Company was not named as a defendant in this action. Amgen alleged, among other things, patent infringement based on the manufacture, offering for sale, introduction into the market, use, and importation or possession of Praluent (alirocumab) in Spain. Amgen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sought, among other things, a permanent injunction, withdrawal of Praluent from the market, seizure and destruction of Praluent from the market and in storage, and damages in the form of lost profits and costs and expenses. On May 12, 2020, the court stayed this lawsuit until October 30, 2020 on terms mutually agreed by the parties. On October 30, 2020, the stay was automatically lifted. On November 2, 2020, Amgen filed a motion withdrawing this lawsuit; and, on February 1, 2021, the lawsuit was dismissed.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March 23, 2017, the Company, Sanofi-Aventis U.S. LLC, and Genzyme Corporation initiated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hearings on the Additional IPR Petitions before the PTAB were held on November 14, 2018. On February 14, 2019, the PTAB issued final written decisions on the Additional IPR Petitions, invalidating all 17 claims of the '487 Patent as obvious based on one of the Additional IPR Petitions while declining to hold the challenged claims of the '487 Patent invalid based on the other. In April 2019, the parties filed notices of appeal with the Federal Circuit appealing the PTAB's respective adverse final written decisions on the Additional IPR Petitions, and oral argument was held on August 5, 2020. On October 13, 2020, the Federal Circuit affirmed the PTAB's decision on the Additional IPR Petition that invalidated all 17 claims of the '487 Patent as obvious. On March 11, 2021, Immunex filed a petition for writ of certiorari with the United States Supreme Court. The '487 Patent expired in May 2020 following Immunex's filing of a terminal disclaimer with the USPTO.</w:t>
      </w:r>
    </w:p>
    <w:p>
      <w:pPr>
        <w:spacing w:after="0" w:line="10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 for summary judgment on the issue of indefiniteness of the '487 Patent claims was held on July 12, 2018. On August 24, 2018, the court issued an order denying this motion and construed the disputed claim terms as proposed by Amgen. On February 28, 2019, the court granted a joint stipulation by the parties to stay the litigation pending resolution of the appeals of the PTAB's final written decisions on the Additional IPR Petitions discussed above.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the Company and Sanofi initiated opposition proceedings in the EPO against Immunex's European Patent No. 2,990,420 (the "'420</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 a divisional patent of the '665 Patent (</w:t>
      </w:r>
      <w:r>
        <w:rPr>
          <w:rFonts w:ascii="Arial" w:cs="Arial" w:eastAsia="Arial" w:hAnsi="Arial"/>
          <w:sz w:val="18"/>
          <w:szCs w:val="18"/>
          <w:i w:val="1"/>
          <w:iCs w:val="1"/>
          <w:color w:val="auto"/>
        </w:rPr>
        <w:t>i.e.</w:t>
      </w:r>
      <w:r>
        <w:rPr>
          <w:rFonts w:ascii="Arial" w:cs="Arial" w:eastAsia="Arial" w:hAnsi="Arial"/>
          <w:sz w:val="18"/>
          <w:szCs w:val="18"/>
          <w:color w:val="auto"/>
        </w:rPr>
        <w:t>,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The original patent term of the Immunex patents is set to expire in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7, 2021, Chengdu Kanghong Pharmaceutical Group Co., Ltd. filed an IPR petition in the USPTO against the Company' s U.S. Patent No. 10,464,992 (the "'992 Patent") and a post-grant review petition against the Company's U.S. Patent No. 10,828,345 (the "'345 Patent") seeking declarations of invalidity of the '992 Patent and '345 Patent.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 Pre-filled Syringe</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Novartis also requested a permanent limited exclusion order forbidding entry into the United States of EYLEA PFS or components thereof; a permanent cease-and-desist order from the importation, sale, offer for sale, advertising, packaging, or solicitation of any sale by the Company of EYLEA PFS or components thereof; and a bond should the Company continue to import EYLEA PFS (if found to infringe) during, if applicable, any 60-day Presidential review period (</w:t>
      </w:r>
      <w:r>
        <w:rPr>
          <w:rFonts w:ascii="Arial" w:cs="Arial" w:eastAsia="Arial" w:hAnsi="Arial"/>
          <w:sz w:val="17"/>
          <w:szCs w:val="17"/>
          <w:i w:val="1"/>
          <w:iCs w:val="1"/>
          <w:color w:val="auto"/>
        </w:rPr>
        <w:t>i.e.</w:t>
      </w:r>
      <w:r>
        <w:rPr>
          <w:rFonts w:ascii="Arial" w:cs="Arial" w:eastAsia="Arial" w:hAnsi="Arial"/>
          <w:sz w:val="17"/>
          <w:szCs w:val="17"/>
          <w:color w:val="auto"/>
        </w:rPr>
        <w:t>, the period when the President of the United States (or his designee) can disapprove any ITC decision to issue an exclusion order or cease-and-desist order). The ITC instituted the investigation on July 22, 2020 and a trial was scheduled for April 19–23, 2021. On March 26, 2021, the staff attorney appointed by the ITC's Office of Unfair Import Investigations ("OUII")—an independent government party to the case representing the public interest—determined that the '631 Patent is invalid on several grounds. On April 8, 2021, Novartis moved to terminate the ITC investigation in its entirety based on its withdrawal of the complaint; and, on May 3, 2021, the ITC terminated the investigation.</w:t>
      </w:r>
    </w:p>
    <w:p>
      <w:pPr>
        <w:spacing w:after="0" w:line="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19, 2020, Novartis also filed a patent infringement lawsuit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treble damages, costs and expenses of the lawsuits, and attorneys' fees. On July 30, 2020, the court granted the Company's motion to stay these proceedings until a determination in the ITC proceedings discussed above, including any appeals therefrom, becomes final. On April 8, 2021, Novartis requested that the stay of this lawsuit be lifted.</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16, 2020, the Company initiated two IPR petitions in the USPTO seeking a declaration of invalidity of the '631 Patent on two separate grounds. On January 15, 2021, the USPTO declined to institute an IPR proceeding on procedural grounds in light of the pending ITC investigation discussed above; the other IPR petition has been withdrawn. Following Novartis's motion to terminate the ITC investigation discussed above, on April 16, 2021 the Company filed a new IPR petition seeking a declaration of invalidity of the '631 Patent based on the same grounds that were the basis for the OUII staff attorney's determination discussed above.</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Related to "Most Favored Nation" Interim Final Rule</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11, 2020, the Company filed a lawsuit in the United States District Court for the Southern District of New York against the U.S. Department of Health and Human Services, the Secretary of HHS, the Centers for Medicare &amp; Medicaid Services ("CMS"), and the Administrator of CMS seeking declaratory and injunctive relief related to the interim final rule with comment period entitled "Most Favored Nation (MFN) Model" issued on November 20, 2020 by HHS, acting through CMS. On the same day, the Company filed a motion for a preliminary injunction and temporary restraining order, seeking to prevent implementation of the MFN Rule. On December 22, 2020, the court heard oral argument on the Company's motion for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preliminary injunction and temporary restraining order. On December 31, 2020, the court granted the Company's motion and issued a preliminary injunction. On February 2, 2021, the government stated to the court that the Solicitor General had determined not to appeal the preliminary injunction. On February 10, 2021, the court entered a 90-day stay of the litigation.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fasinumab</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21, 2020, the Company and Teva Pharmaceutical Industries Limited ("Teva") filed a lawsuit against Rinat Neurosciences Corp. ("Rinat"), a wholly owned subsidiary of Pfizer Inc., in the English High Court of Justice in London, seeking invalidation and revocation of Rinat's European Patent No. 2,270,048 (the "'048 Patent"), European Patent No. 1,871,416 (the "'416 Patent"), and European Patent No. 2,305,711 (the "'711 Patent"), each of which pertains to the use of NGF monoclonal antibodies to treat certain symptoms in patients suffering from osteoarthritis. On July 21, 2020, Rinat filed its defense and counterclaim seeking a declaration of infringement of the '048 Patent by fasinumab. The counterclaim also seeks a permanent injunction, damages, an accounting of profits, and costs and interest. On December 15, 2020, Rinat filed an amended defense and counterclaim seeking a declaration of infringement of the '711 Patent by fasinumab. On May 5, 2021, the court stayed this litigation on terms mutually agreed by the parties.</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'048 Patent is subject to opposition proceedings in the EPO, which were initiated by the Company on August 10, 2016 and two other opponents on August 11, 2016. On January 3, 2018, the Opposition Division of the EPO issued a preliminary, non-binding opinion regarding the validity of the '048 Patent, indicating that it considered the granted patent to be invalid. An oral hearing on the oppositions against the '048 Patent was held on November 29– 30, 2018, at which the Opposition Division upheld the validity of the '048 Patent's claims in amended form. The Company filed a notice of appeal to the TBA of the EPO on March 7, 2019. On October 21, 2020, Teva filed a notice of intervention with the TBA to take part in the appeal proceedings as an intervener. An oral hearing before the TBA has been scheduled for April 5–6, 2022.</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'711 Patent is also subject to opposition proceedings in the EPO, which were initiated by the Company on May 1, 2018. On January 31, 2019, the Opposition Division of the EPO issued a preliminary, non-binding opinion regarding the validity of the '711 Patent, indicating that it considered the granted patent to be invalid. An oral hearing on the opposition against the '711 Patent was held on December 3, 2019, at which the Opposition Division upheld the validity of the '711 Patent's claims in amended form. The Company filed a notice of appeal to the TBA on December 20, 2019. An oral hearing before the TBA has been scheduled for July 29, 2021. On January 29, 2021, Teva filed a notice of intervention with the TBA to take part in the appeal proceedings as an intervener.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REGEN-COV (casirivimab with imdevimab)</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5, 2020, Allele Biotechnology and Pharmaceuticals, Inc. ("Allele") filed a lawsuit against the Company in the United States District Court for the Southern District of New York, asserting infringement of U.S. Patent No. 10,221,221 (the "'221 Patent"). Allele seeks a judgment of patent infringement of the '221 Patent, a judgment that such infringement was willful, and an award of monetary damages (together with interest), treble damages, costs and expenses of the lawsuit, and attorneys' fees.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Matters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Arial" w:cs="Arial" w:eastAsia="Arial" w:hAnsi="Arial"/>
          <w:sz w:val="23"/>
          <w:szCs w:val="23"/>
          <w:color w:val="auto"/>
          <w:vertAlign w:val="superscript"/>
        </w:rPr>
        <w:t>®</w:t>
      </w:r>
      <w:r>
        <w:rPr>
          <w:rFonts w:ascii="Arial" w:cs="Arial" w:eastAsia="Arial" w:hAnsi="Arial"/>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On December 4, 2020, the court denied the motion to dismiss.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The Company is cooperating with this investigation.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UnitedHealthcare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17, 2020, UnitedHealthcare Insurance Company and United Healthcare Services, Inc. (collectively, "UHC") filed a lawsuit against the Company in the United States District Court for the Southern District of New York alleging UHC has been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damaged by the conduct alleged in the civil complaint filed by the U.S. Attorney's Office for the District of Massachusetts discussed under "Department of Justice Matters" above. UHC alleges causes of action under state law and the federal Racketeer Influenced and Corrupt Organizations Act and seeks monetary damages and equitable relief. On March 1, 2021, the Company filed a motion to dismiss the complaint in its entirety. On March 25, 2021, UHC filed an amended complaint; and, on April 22, 2021, the Company filed a motion to dismiss this amended complaint in its entirety.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Demand</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or about September 30, 2020, the Company's board of directors received a demand letter from a purported shareholder of the Company. The demand alleges that Regeneron and its shareholders have been damaged by the conduct alleged in the civil complaint filed by the U.S. Attorney's Office for the District of Massachusetts discussed under "Department of Justice Matters" above. The demand letter requests that the Company's board of directors investigate alleged breaches of fiduciary duty by its officers and directors and other alleged violations of law and corporate governance practices and procedures; bring legal action against the persons responsible for causing the alleged damages; and implement and maintain an effective system of internal controls, compliance mechanisms, and corporate governance practices and procedures. The Company's board of directors, working with outside counsel, investigated and evaluated the allegations in the demand letter and has concluded that pursuing the claims alleged in the demand would not be in the Company's best interests at this time.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(collectively, "Regeneron’s Products"), and the global economy; the nature, timing, and possible success and therapeutic applications of Regeneron's Products and product candidates being developed by Regeneron and/or its collaborators (collectively, "Regeneron's Product Candidates") and research and clinical programs now underway or planned, including without limitation EYLEA</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(dupilumab) Injection, Libtayo</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(cemiplimab) Injection, Praluent</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(sarilumab) Injection, Evkeeza</w:t>
      </w:r>
      <w:r>
        <w:rPr>
          <w:rFonts w:ascii="Arial" w:cs="Arial" w:eastAsia="Arial" w:hAnsi="Arial"/>
          <w:sz w:val="9"/>
          <w:szCs w:val="9"/>
          <w:color w:val="auto"/>
        </w:rPr>
        <w:t>TM</w:t>
      </w:r>
      <w:r>
        <w:rPr>
          <w:rFonts w:ascii="Arial" w:cs="Arial" w:eastAsia="Arial" w:hAnsi="Arial"/>
          <w:sz w:val="16"/>
          <w:szCs w:val="16"/>
          <w:i w:val="1"/>
          <w:iCs w:val="1"/>
          <w:color w:val="auto"/>
        </w:rPr>
        <w:t xml:space="preserve"> (evinacumab), Inmazeb</w:t>
      </w:r>
      <w:r>
        <w:rPr>
          <w:rFonts w:ascii="Arial" w:cs="Arial" w:eastAsia="Arial" w:hAnsi="Arial"/>
          <w:sz w:val="9"/>
          <w:szCs w:val="9"/>
          <w:color w:val="auto"/>
        </w:rPr>
        <w:t>TM</w:t>
      </w:r>
      <w:r>
        <w:rPr>
          <w:rFonts w:ascii="Arial" w:cs="Arial" w:eastAsia="Arial" w:hAnsi="Arial"/>
          <w:sz w:val="16"/>
          <w:szCs w:val="16"/>
          <w:i w:val="1"/>
          <w:iCs w:val="1"/>
          <w:color w:val="auto"/>
        </w:rPr>
        <w:t xml:space="preserve"> (atoltivimab, maftivimab, and odesivimab-ebgn), REGEN-COV™ (casirivimab with imdevimab), fasinumab, garetosmab, pozelimab, odronextamab, itepekimab, REGN5458, REGN5713-5714-5715, Regeneron's other oncology programs (including its costimulatory bispecific portfolio), Regeneron's and its collaborators' earlier-stage programs, and the use of human genetics in Regeneron's research programs; the likelihood and timing of achieving any of our anticipated development milestones referenced in this report;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our late-stage product candidates and new indications for Regeneron's Products, including without limitation those listed above;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(such as EYLEA, Dupixent, Libtayo, Praluent, Kevzara, Evkeeza, and Inmazeb), research and clinical programs, and business, including those relating to patient privacy; determinations by regulatory and administrative governmental authorities which may delay or restrict our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as well as Regeneron's agreement with Roche relating to the casirivimab with imdevimab antibody cocktail (known as REGEN-COV in the United States), to be cancelled or terminated; and risks associated with intellectual property of other parties and pending or future litigation relating thereto (including without limitation the patent litigation and other related proceedings relating to EYLEA, Dupixent, Praluent, and REGEN-COV described further in Note 12 to our Condensed Consolidated Financial Statements included in this report), other litigation and other proceedings and government investigations relating to the Company and/or its operations (including without limitation those described in Note 12 to our Condensed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900"/>
        <w:spacing w:after="0" w:line="414" w:lineRule="auto"/>
        <w:rPr>
          <w:sz w:val="20"/>
          <w:szCs w:val="20"/>
          <w:color w:val="auto"/>
        </w:rPr>
      </w:pPr>
      <w:r>
        <w:rPr>
          <w:rFonts w:ascii="Arial" w:cs="Arial" w:eastAsia="Arial" w:hAnsi="Arial"/>
          <w:sz w:val="18"/>
          <w:szCs w:val="18"/>
          <w:i w:val="1"/>
          <w:iCs w:val="1"/>
          <w:color w:val="auto"/>
        </w:rPr>
        <w:t xml:space="preserve">obligation to update (publicly or otherwise) any forward-looking statement, whether as a result of new information, future events, or otherwise.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hematologic conditions, infectious diseases, and rare diseases.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Selected financial information is summarized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51"/>
        </w:trPr>
        <w:tc>
          <w:tcPr>
            <w:tcW w:w="2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6"/>
              </w:rPr>
              <w:t>Three Months Ended</w:t>
            </w:r>
          </w:p>
        </w:tc>
      </w:tr>
      <w:tr>
        <w:trPr>
          <w:trHeight w:val="230"/>
        </w:trPr>
        <w:tc>
          <w:tcPr>
            <w:tcW w:w="26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266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1,828.2</w:t>
            </w:r>
          </w:p>
        </w:tc>
      </w:tr>
      <w:tr>
        <w:trPr>
          <w:trHeight w:val="229"/>
        </w:trPr>
        <w:tc>
          <w:tcPr>
            <w:tcW w:w="266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1,115.2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624.6</w:t>
            </w:r>
          </w:p>
        </w:tc>
      </w:tr>
      <w:tr>
        <w:trPr>
          <w:trHeight w:val="230"/>
        </w:trPr>
        <w:tc>
          <w:tcPr>
            <w:tcW w:w="266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bl>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purposes of this report, references to our products encompass products marketed or otherwise commercialized by us and/or our collaborators and references to our product candidates encompass product candidates in development by us and/or our collaborators (in the case of collaborated products or product candidates under the terms of the applicable collaboration agreements), unless otherwise stated or required by the context.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Products that have received marketing approval are summarized in the table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Territory</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312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Product</w:t>
            </w:r>
          </w:p>
        </w:tc>
        <w:tc>
          <w:tcPr>
            <w:tcW w:w="180" w:type="dxa"/>
            <w:vAlign w:val="bottom"/>
            <w:tcBorders>
              <w:bottom w:val="single" w:sz="8" w:color="CCEEFF"/>
            </w:tcBorders>
          </w:tcPr>
          <w:p>
            <w:pPr>
              <w:spacing w:after="0"/>
              <w:rPr>
                <w:sz w:val="20"/>
                <w:szCs w:val="20"/>
                <w:color w:val="auto"/>
              </w:rPr>
            </w:pPr>
          </w:p>
        </w:tc>
        <w:tc>
          <w:tcPr>
            <w:tcW w:w="346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Disease Area</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rPr>
              <w:t>EU</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8"/>
                <w:szCs w:val="18"/>
                <w:b w:val="1"/>
                <w:bCs w:val="1"/>
                <w:color w:val="auto"/>
                <w:w w:val="92"/>
              </w:rPr>
              <w:t>ROW</w:t>
            </w:r>
            <w:r>
              <w:rPr>
                <w:rFonts w:ascii="Arial" w:cs="Arial" w:eastAsia="Arial" w:hAnsi="Arial"/>
                <w:sz w:val="23"/>
                <w:szCs w:val="23"/>
                <w:b w:val="1"/>
                <w:bCs w:val="1"/>
                <w:color w:val="auto"/>
                <w:w w:val="92"/>
                <w:vertAlign w:val="superscript"/>
              </w:rPr>
              <w:t>(4)</w:t>
            </w:r>
          </w:p>
        </w:tc>
        <w:tc>
          <w:tcPr>
            <w:tcW w:w="160" w:type="dxa"/>
            <w:vAlign w:val="bottom"/>
          </w:tcPr>
          <w:p>
            <w:pPr>
              <w:spacing w:after="0"/>
              <w:rPr>
                <w:sz w:val="20"/>
                <w:szCs w:val="20"/>
                <w:color w:val="auto"/>
              </w:rPr>
            </w:pPr>
          </w:p>
        </w:tc>
      </w:tr>
      <w:tr>
        <w:trPr>
          <w:trHeight w:val="169"/>
        </w:trPr>
        <w:tc>
          <w:tcPr>
            <w:tcW w:w="180" w:type="dxa"/>
            <w:vAlign w:val="bottom"/>
          </w:tcPr>
          <w:p>
            <w:pPr>
              <w:spacing w:after="0"/>
              <w:rPr>
                <w:sz w:val="14"/>
                <w:szCs w:val="14"/>
                <w:color w:val="auto"/>
              </w:rPr>
            </w:pPr>
          </w:p>
        </w:tc>
        <w:tc>
          <w:tcPr>
            <w:tcW w:w="312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EYLEA (aflibercept) Injection</w:t>
            </w:r>
            <w:r>
              <w:rPr>
                <w:rFonts w:ascii="Arial" w:cs="Arial" w:eastAsia="Arial" w:hAnsi="Arial"/>
                <w:sz w:val="19"/>
                <w:szCs w:val="19"/>
                <w:color w:val="auto"/>
                <w:vertAlign w:val="superscript"/>
              </w:rPr>
              <w:t>(1)</w:t>
            </w:r>
          </w:p>
        </w:tc>
        <w:tc>
          <w:tcPr>
            <w:tcW w:w="180" w:type="dxa"/>
            <w:vAlign w:val="bottom"/>
            <w:shd w:val="clear" w:color="auto" w:fill="CCEEFF"/>
          </w:tcPr>
          <w:p>
            <w:pPr>
              <w:ind w:left="60"/>
              <w:spacing w:after="0" w:line="169" w:lineRule="exact"/>
              <w:rPr>
                <w:sz w:val="20"/>
                <w:szCs w:val="20"/>
                <w:color w:val="auto"/>
              </w:rPr>
            </w:pPr>
            <w:r>
              <w:rPr>
                <w:rFonts w:ascii="Arial" w:cs="Arial" w:eastAsia="Arial" w:hAnsi="Arial"/>
                <w:sz w:val="18"/>
                <w:szCs w:val="18"/>
                <w:color w:val="auto"/>
              </w:rPr>
              <w:t>-</w:t>
            </w:r>
          </w:p>
        </w:tc>
        <w:tc>
          <w:tcPr>
            <w:tcW w:w="34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1"/>
              </w:rPr>
              <w:t>Neovascular age-related macular degeneration</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210"/>
              <w:spacing w:after="0" w:line="169"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00"/>
              <w:spacing w:after="0" w:line="169" w:lineRule="exact"/>
              <w:rPr>
                <w:sz w:val="20"/>
                <w:szCs w:val="20"/>
                <w:color w:val="auto"/>
              </w:rPr>
            </w:pPr>
            <w:r>
              <w:rPr>
                <w:rFonts w:ascii="Arial" w:cs="Arial" w:eastAsia="Arial" w:hAnsi="Arial"/>
                <w:sz w:val="18"/>
                <w:szCs w:val="18"/>
                <w:color w:val="auto"/>
                <w:w w:val="99"/>
              </w:rPr>
              <w:t>a</w:t>
            </w:r>
          </w:p>
        </w:tc>
        <w:tc>
          <w:tcPr>
            <w:tcW w:w="9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4"/>
                <w:szCs w:val="14"/>
                <w:color w:val="auto"/>
              </w:rPr>
            </w:pPr>
          </w:p>
        </w:tc>
      </w:tr>
      <w:tr>
        <w:trPr>
          <w:trHeight w:val="230"/>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("wet AMD")</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Diabetic macular edema ("DME")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9"/>
                <w:szCs w:val="19"/>
                <w:color w:val="auto"/>
              </w:rPr>
            </w:pPr>
          </w:p>
        </w:tc>
      </w:tr>
      <w:tr>
        <w:trPr>
          <w:trHeight w:val="175"/>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3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Macular edema following retinal vein</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occlusion ("RVO"), which includes macular</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r>
      <w:tr>
        <w:trPr>
          <w:trHeight w:val="175"/>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edema following central retinal vein occlusion</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r>
      <w:tr>
        <w:trPr>
          <w:trHeight w:val="175"/>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("CRVO") and macular edema following</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r>
      <w:tr>
        <w:trPr>
          <w:trHeight w:val="230"/>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branch retinal vein occlusion ("BRVO")</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175"/>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3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Myopic choroidal neovascularization</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5"/>
                <w:szCs w:val="15"/>
                <w:color w:val="auto"/>
              </w:rPr>
            </w:pPr>
          </w:p>
        </w:tc>
      </w:tr>
      <w:tr>
        <w:trPr>
          <w:trHeight w:val="230"/>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("mCNV")</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Diabetic retinopathy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80" w:type="dxa"/>
            <w:vAlign w:val="bottom"/>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Neovascular glaucoma ("NVG")</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w:t>
            </w:r>
          </w:p>
        </w:tc>
        <w:tc>
          <w:tcPr>
            <w:tcW w:w="94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29"/>
        </w:trPr>
        <w:tc>
          <w:tcPr>
            <w:tcW w:w="180" w:type="dxa"/>
            <w:vAlign w:val="bottom"/>
          </w:tcPr>
          <w:p>
            <w:pPr>
              <w:spacing w:after="0"/>
              <w:rPr>
                <w:sz w:val="19"/>
                <w:szCs w:val="19"/>
                <w:color w:val="auto"/>
              </w:rPr>
            </w:pPr>
          </w:p>
        </w:tc>
        <w:tc>
          <w:tcPr>
            <w:tcW w:w="3120" w:type="dxa"/>
            <w:vAlign w:val="bottom"/>
          </w:tcPr>
          <w:p>
            <w:pPr>
              <w:ind w:left="20"/>
              <w:spacing w:after="0" w:line="229"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3"/>
                <w:szCs w:val="23"/>
                <w:color w:val="auto"/>
                <w:vertAlign w:val="superscript"/>
              </w:rPr>
              <w:t>(2)</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3460" w:type="dxa"/>
            <w:vAlign w:val="bottom"/>
          </w:tcPr>
          <w:p>
            <w:pPr>
              <w:spacing w:after="0" w:line="229" w:lineRule="exact"/>
              <w:rPr>
                <w:sz w:val="20"/>
                <w:szCs w:val="20"/>
                <w:color w:val="auto"/>
              </w:rPr>
            </w:pPr>
            <w:r>
              <w:rPr>
                <w:rFonts w:ascii="Arial" w:cs="Arial" w:eastAsia="Arial" w:hAnsi="Arial"/>
                <w:sz w:val="18"/>
                <w:szCs w:val="18"/>
                <w:color w:val="auto"/>
                <w:w w:val="92"/>
              </w:rPr>
              <w:t>Atopic dermatitis (in adults and adolescents)</w:t>
            </w:r>
            <w:r>
              <w:rPr>
                <w:rFonts w:ascii="Arial" w:cs="Arial" w:eastAsia="Arial" w:hAnsi="Arial"/>
                <w:sz w:val="23"/>
                <w:szCs w:val="23"/>
                <w:color w:val="auto"/>
                <w:w w:val="92"/>
                <w:vertAlign w:val="superscript"/>
              </w:rPr>
              <w:t>(5)</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600" w:type="dxa"/>
            <w:vAlign w:val="bottom"/>
          </w:tcPr>
          <w:p>
            <w:pPr>
              <w:jc w:val="center"/>
              <w:ind w:left="210"/>
              <w:spacing w:after="0"/>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a</w:t>
            </w:r>
          </w:p>
        </w:tc>
      </w:tr>
      <w:tr>
        <w:trPr>
          <w:trHeight w:val="176"/>
        </w:trPr>
        <w:tc>
          <w:tcPr>
            <w:tcW w:w="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640" w:type="dxa"/>
            <w:vAlign w:val="bottom"/>
            <w:gridSpan w:val="2"/>
          </w:tcPr>
          <w:p>
            <w:pPr>
              <w:ind w:left="60"/>
              <w:spacing w:after="0" w:line="176" w:lineRule="exact"/>
              <w:rPr>
                <w:sz w:val="20"/>
                <w:szCs w:val="20"/>
                <w:color w:val="auto"/>
              </w:rPr>
            </w:pPr>
            <w:r>
              <w:rPr>
                <w:rFonts w:ascii="Arial" w:cs="Arial" w:eastAsia="Arial" w:hAnsi="Arial"/>
                <w:sz w:val="18"/>
                <w:szCs w:val="18"/>
                <w:color w:val="auto"/>
                <w:w w:val="97"/>
              </w:rPr>
              <w:t>- Atopic dermatitis (in pediatrics 6–11 years of</w:t>
            </w:r>
          </w:p>
        </w:tc>
        <w:tc>
          <w:tcPr>
            <w:tcW w:w="12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5"/>
                <w:szCs w:val="15"/>
                <w:color w:val="auto"/>
              </w:rPr>
            </w:pPr>
          </w:p>
        </w:tc>
        <w:tc>
          <w:tcPr>
            <w:tcW w:w="600" w:type="dxa"/>
            <w:vAlign w:val="bottom"/>
          </w:tcPr>
          <w:p>
            <w:pPr>
              <w:jc w:val="center"/>
              <w:ind w:left="21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a</w:t>
            </w:r>
          </w:p>
        </w:tc>
      </w:tr>
      <w:tr>
        <w:trPr>
          <w:trHeight w:val="229"/>
        </w:trPr>
        <w:tc>
          <w:tcPr>
            <w:tcW w:w="1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age)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640" w:type="dxa"/>
            <w:vAlign w:val="bottom"/>
            <w:gridSpan w:val="2"/>
          </w:tcPr>
          <w:p>
            <w:pPr>
              <w:ind w:left="60"/>
              <w:spacing w:after="0"/>
              <w:rPr>
                <w:sz w:val="20"/>
                <w:szCs w:val="20"/>
                <w:color w:val="auto"/>
              </w:rPr>
            </w:pPr>
            <w:r>
              <w:rPr>
                <w:rFonts w:ascii="Arial" w:cs="Arial" w:eastAsia="Arial" w:hAnsi="Arial"/>
                <w:sz w:val="18"/>
                <w:szCs w:val="18"/>
                <w:color w:val="auto"/>
              </w:rPr>
              <w:t>- Asthma (in adults and adolescents)</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600" w:type="dxa"/>
            <w:vAlign w:val="bottom"/>
          </w:tcPr>
          <w:p>
            <w:pPr>
              <w:jc w:val="center"/>
              <w:ind w:left="210"/>
              <w:spacing w:after="0"/>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a</w:t>
            </w:r>
          </w:p>
        </w:tc>
      </w:tr>
      <w:tr>
        <w:trPr>
          <w:trHeight w:val="176"/>
        </w:trPr>
        <w:tc>
          <w:tcPr>
            <w:tcW w:w="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64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 Chronic rhinosinusitis with nasal polyposis</w:t>
            </w:r>
          </w:p>
        </w:tc>
        <w:tc>
          <w:tcPr>
            <w:tcW w:w="12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5"/>
                <w:szCs w:val="15"/>
                <w:color w:val="auto"/>
              </w:rPr>
            </w:pPr>
          </w:p>
        </w:tc>
        <w:tc>
          <w:tcPr>
            <w:tcW w:w="600" w:type="dxa"/>
            <w:vAlign w:val="bottom"/>
          </w:tcPr>
          <w:p>
            <w:pPr>
              <w:jc w:val="center"/>
              <w:ind w:left="21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110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a</w:t>
            </w:r>
          </w:p>
        </w:tc>
      </w:tr>
      <w:tr>
        <w:trPr>
          <w:trHeight w:val="230"/>
        </w:trPr>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("CRSwNP")</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66"/>
        </w:trPr>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40" w:type="dxa"/>
            <w:vAlign w:val="bottom"/>
            <w:gridSpan w:val="2"/>
          </w:tcPr>
          <w:p>
            <w:pPr>
              <w:ind w:left="22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8"/>
        </w:trPr>
        <w:tc>
          <w:tcPr>
            <w:tcW w:w="1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Territory</w:t>
            </w:r>
          </w:p>
        </w:tc>
        <w:tc>
          <w:tcPr>
            <w:tcW w:w="940" w:type="dxa"/>
            <w:vAlign w:val="bottom"/>
            <w:tcBorders>
              <w:bottom w:val="single" w:sz="8" w:color="auto"/>
            </w:tcBorders>
          </w:tcPr>
          <w:p>
            <w:pPr>
              <w:spacing w:after="0"/>
              <w:rPr>
                <w:sz w:val="20"/>
                <w:szCs w:val="20"/>
                <w:color w:val="auto"/>
              </w:rPr>
            </w:pPr>
          </w:p>
        </w:tc>
      </w:tr>
      <w:tr>
        <w:trPr>
          <w:trHeight w:val="250"/>
        </w:trPr>
        <w:tc>
          <w:tcPr>
            <w:tcW w:w="31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b w:val="1"/>
                <w:bCs w:val="1"/>
                <w:i w:val="1"/>
                <w:iCs w:val="1"/>
                <w:color w:val="auto"/>
              </w:rPr>
              <w:t>(continued)</w:t>
            </w:r>
          </w:p>
        </w:tc>
        <w:tc>
          <w:tcPr>
            <w:tcW w:w="180" w:type="dxa"/>
            <w:vAlign w:val="bottom"/>
            <w:tcBorders>
              <w:bottom w:val="single" w:sz="8" w:color="CCEEFF"/>
            </w:tcBorders>
          </w:tcPr>
          <w:p>
            <w:pPr>
              <w:spacing w:after="0"/>
              <w:rPr>
                <w:sz w:val="21"/>
                <w:szCs w:val="21"/>
                <w:color w:val="auto"/>
              </w:rPr>
            </w:pPr>
          </w:p>
        </w:tc>
        <w:tc>
          <w:tcPr>
            <w:tcW w:w="348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Disease Area</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rPr>
              <w:t>EU</w:t>
            </w: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b w:val="1"/>
                <w:bCs w:val="1"/>
                <w:color w:val="auto"/>
                <w:w w:val="98"/>
                <w:vertAlign w:val="subscript"/>
              </w:rPr>
              <w:t>ROW</w:t>
            </w:r>
            <w:r>
              <w:rPr>
                <w:rFonts w:ascii="Arial" w:cs="Arial" w:eastAsia="Arial" w:hAnsi="Arial"/>
                <w:sz w:val="11"/>
                <w:szCs w:val="11"/>
                <w:b w:val="1"/>
                <w:bCs w:val="1"/>
                <w:color w:val="auto"/>
                <w:w w:val="98"/>
              </w:rPr>
              <w:t>(4)</w:t>
            </w:r>
          </w:p>
        </w:tc>
      </w:tr>
      <w:tr>
        <w:trPr>
          <w:trHeight w:val="169"/>
        </w:trPr>
        <w:tc>
          <w:tcPr>
            <w:tcW w:w="31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Libtayo (cemiplimab) Injection</w:t>
            </w:r>
            <w:r>
              <w:rPr>
                <w:rFonts w:ascii="Arial" w:cs="Arial" w:eastAsia="Arial" w:hAnsi="Arial"/>
                <w:sz w:val="19"/>
                <w:szCs w:val="19"/>
                <w:color w:val="auto"/>
                <w:vertAlign w:val="superscript"/>
              </w:rPr>
              <w:t>(2)</w:t>
            </w:r>
          </w:p>
        </w:tc>
        <w:tc>
          <w:tcPr>
            <w:tcW w:w="180" w:type="dxa"/>
            <w:vAlign w:val="bottom"/>
            <w:shd w:val="clear" w:color="auto" w:fill="CCEEFF"/>
          </w:tcPr>
          <w:p>
            <w:pPr>
              <w:ind w:left="60"/>
              <w:spacing w:after="0" w:line="169" w:lineRule="exact"/>
              <w:rPr>
                <w:sz w:val="20"/>
                <w:szCs w:val="20"/>
                <w:color w:val="auto"/>
              </w:rPr>
            </w:pPr>
            <w:r>
              <w:rPr>
                <w:rFonts w:ascii="Arial" w:cs="Arial" w:eastAsia="Arial" w:hAnsi="Arial"/>
                <w:sz w:val="18"/>
                <w:szCs w:val="18"/>
                <w:color w:val="auto"/>
              </w:rPr>
              <w:t>-</w:t>
            </w:r>
          </w:p>
        </w:tc>
        <w:tc>
          <w:tcPr>
            <w:tcW w:w="34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8"/>
              </w:rPr>
              <w:t>Metastatic or locally advanced first-line non-</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30"/>
        </w:trPr>
        <w:tc>
          <w:tcPr>
            <w:tcW w:w="3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small cell lung cancer ("NSCLC")</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5"/>
        </w:trPr>
        <w:tc>
          <w:tcPr>
            <w:tcW w:w="310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3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Metastatic or locally advanced basal cell</w:t>
            </w:r>
          </w:p>
        </w:tc>
        <w:tc>
          <w:tcPr>
            <w:tcW w:w="10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30"/>
        </w:trPr>
        <w:tc>
          <w:tcPr>
            <w:tcW w:w="3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carcinoma ("BCC")</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5"/>
        </w:trPr>
        <w:tc>
          <w:tcPr>
            <w:tcW w:w="310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3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Metastatic or locally advanced cutaneous</w:t>
            </w:r>
          </w:p>
        </w:tc>
        <w:tc>
          <w:tcPr>
            <w:tcW w:w="10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30"/>
        </w:trPr>
        <w:tc>
          <w:tcPr>
            <w:tcW w:w="3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squamous cell carcinoma ("CSCC")</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6"/>
                <w:szCs w:val="16"/>
                <w:color w:val="auto"/>
              </w:rPr>
              <w:t>Praluent (alirocumab) Injection</w:t>
            </w:r>
            <w:r>
              <w:rPr>
                <w:rFonts w:ascii="Arial" w:cs="Arial" w:eastAsia="Arial" w:hAnsi="Arial"/>
                <w:sz w:val="20"/>
                <w:szCs w:val="20"/>
                <w:color w:val="auto"/>
                <w:vertAlign w:val="superscript"/>
              </w:rPr>
              <w:t>(3)</w:t>
            </w:r>
          </w:p>
        </w:tc>
        <w:tc>
          <w:tcPr>
            <w:tcW w:w="180" w:type="dxa"/>
            <w:vAlign w:val="bottom"/>
          </w:tcPr>
          <w:p>
            <w:pPr>
              <w:ind w:left="60"/>
              <w:spacing w:after="0" w:line="176" w:lineRule="exact"/>
              <w:rPr>
                <w:sz w:val="20"/>
                <w:szCs w:val="20"/>
                <w:color w:val="auto"/>
              </w:rPr>
            </w:pPr>
            <w:r>
              <w:rPr>
                <w:rFonts w:ascii="Arial" w:cs="Arial" w:eastAsia="Arial" w:hAnsi="Arial"/>
                <w:sz w:val="18"/>
                <w:szCs w:val="18"/>
                <w:color w:val="auto"/>
              </w:rPr>
              <w:t>-</w:t>
            </w:r>
          </w:p>
        </w:tc>
        <w:tc>
          <w:tcPr>
            <w:tcW w:w="3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LDL-lowering in heterozygous familial</w:t>
            </w: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600" w:type="dxa"/>
            <w:vAlign w:val="bottom"/>
          </w:tcPr>
          <w:p>
            <w:pPr>
              <w:jc w:val="center"/>
              <w:ind w:left="210"/>
              <w:spacing w:after="0" w:line="176" w:lineRule="exact"/>
              <w:rPr>
                <w:sz w:val="20"/>
                <w:szCs w:val="20"/>
                <w:color w:val="auto"/>
              </w:rPr>
            </w:pPr>
            <w:r>
              <w:rPr>
                <w:rFonts w:ascii="Arial" w:cs="Arial" w:eastAsia="Arial" w:hAnsi="Arial"/>
                <w:sz w:val="18"/>
                <w:szCs w:val="18"/>
                <w:color w:val="auto"/>
                <w:w w:val="99"/>
              </w:rPr>
              <w:t>a</w:t>
            </w:r>
          </w:p>
        </w:tc>
        <w:tc>
          <w:tcPr>
            <w:tcW w:w="1360" w:type="dxa"/>
            <w:vAlign w:val="bottom"/>
            <w:gridSpan w:val="3"/>
          </w:tcPr>
          <w:p>
            <w:pPr>
              <w:jc w:val="center"/>
              <w:ind w:left="344"/>
              <w:spacing w:after="0"/>
              <w:rPr>
                <w:sz w:val="20"/>
                <w:szCs w:val="20"/>
                <w:color w:val="auto"/>
              </w:rPr>
            </w:pPr>
            <w:r>
              <w:rPr>
                <w:rFonts w:ascii="Arial" w:cs="Arial" w:eastAsia="Arial" w:hAnsi="Arial"/>
                <w:sz w:val="13"/>
                <w:szCs w:val="13"/>
                <w:color w:val="auto"/>
                <w:w w:val="87"/>
              </w:rPr>
              <w:t>(7)</w:t>
            </w:r>
          </w:p>
        </w:tc>
        <w:tc>
          <w:tcPr>
            <w:tcW w:w="10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176"/>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hypercholesterolemia ("HeFH") or clinical</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atherosclerotic cardiovascular disease</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9"/>
        </w:trPr>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("ASCVD")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6"/>
        </w:trPr>
        <w:tc>
          <w:tcPr>
            <w:tcW w:w="3100" w:type="dxa"/>
            <w:vAlign w:val="bottom"/>
          </w:tcPr>
          <w:p>
            <w:pPr>
              <w:spacing w:after="0"/>
              <w:rPr>
                <w:sz w:val="15"/>
                <w:szCs w:val="15"/>
                <w:color w:val="auto"/>
              </w:rPr>
            </w:pPr>
          </w:p>
        </w:tc>
        <w:tc>
          <w:tcPr>
            <w:tcW w:w="37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 Cardiovascular risk reduction in patients with</w:t>
            </w: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600" w:type="dxa"/>
            <w:vAlign w:val="bottom"/>
          </w:tcPr>
          <w:p>
            <w:pPr>
              <w:jc w:val="center"/>
              <w:ind w:left="21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29"/>
        </w:trPr>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established cardiovascular disease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6"/>
        </w:trPr>
        <w:tc>
          <w:tcPr>
            <w:tcW w:w="3100" w:type="dxa"/>
            <w:vAlign w:val="bottom"/>
          </w:tcPr>
          <w:p>
            <w:pPr>
              <w:spacing w:after="0"/>
              <w:rPr>
                <w:sz w:val="15"/>
                <w:szCs w:val="15"/>
                <w:color w:val="auto"/>
              </w:rPr>
            </w:pPr>
          </w:p>
        </w:tc>
        <w:tc>
          <w:tcPr>
            <w:tcW w:w="37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 Homozygous familial hypercholesterolemia</w:t>
            </w: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0"/>
        </w:trPr>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("HoFH")</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Kevzara (sarilumab) Solution for</w:t>
            </w:r>
          </w:p>
        </w:tc>
        <w:tc>
          <w:tcPr>
            <w:tcW w:w="3780" w:type="dxa"/>
            <w:vAlign w:val="bottom"/>
            <w:gridSpan w:val="3"/>
            <w:shd w:val="clear" w:color="auto" w:fill="CCEEFF"/>
          </w:tcPr>
          <w:p>
            <w:pPr>
              <w:ind w:left="60"/>
              <w:spacing w:after="0" w:line="176" w:lineRule="exact"/>
              <w:rPr>
                <w:sz w:val="20"/>
                <w:szCs w:val="20"/>
                <w:color w:val="auto"/>
              </w:rPr>
            </w:pPr>
            <w:r>
              <w:rPr>
                <w:rFonts w:ascii="Arial" w:cs="Arial" w:eastAsia="Arial" w:hAnsi="Arial"/>
                <w:sz w:val="18"/>
                <w:szCs w:val="18"/>
                <w:color w:val="auto"/>
              </w:rPr>
              <w:t>- Rheumatoid arthritis ("RA")</w:t>
            </w:r>
          </w:p>
        </w:tc>
        <w:tc>
          <w:tcPr>
            <w:tcW w:w="10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30"/>
        </w:trPr>
        <w:tc>
          <w:tcPr>
            <w:tcW w:w="3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Evkeeza (evinacumab) Injection</w:t>
            </w:r>
          </w:p>
        </w:tc>
        <w:tc>
          <w:tcPr>
            <w:tcW w:w="3780" w:type="dxa"/>
            <w:vAlign w:val="bottom"/>
            <w:gridSpan w:val="3"/>
          </w:tcPr>
          <w:p>
            <w:pPr>
              <w:ind w:left="60"/>
              <w:spacing w:after="0"/>
              <w:rPr>
                <w:sz w:val="20"/>
                <w:szCs w:val="20"/>
                <w:color w:val="auto"/>
              </w:rPr>
            </w:pPr>
            <w:r>
              <w:rPr>
                <w:rFonts w:ascii="Arial" w:cs="Arial" w:eastAsia="Arial" w:hAnsi="Arial"/>
                <w:sz w:val="18"/>
                <w:szCs w:val="18"/>
                <w:color w:val="auto"/>
              </w:rPr>
              <w:t>- HoFH (in adults and adolescents)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6"/>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Inmazeb (atoltivimab, maftivimab, and</w:t>
            </w:r>
          </w:p>
        </w:tc>
        <w:tc>
          <w:tcPr>
            <w:tcW w:w="3780" w:type="dxa"/>
            <w:vAlign w:val="bottom"/>
            <w:gridSpan w:val="3"/>
            <w:shd w:val="clear" w:color="auto" w:fill="CCEEFF"/>
          </w:tcPr>
          <w:p>
            <w:pPr>
              <w:ind w:left="60"/>
              <w:spacing w:after="0" w:line="176" w:lineRule="exact"/>
              <w:rPr>
                <w:sz w:val="20"/>
                <w:szCs w:val="20"/>
                <w:color w:val="auto"/>
              </w:rPr>
            </w:pPr>
            <w:r>
              <w:rPr>
                <w:rFonts w:ascii="Arial" w:cs="Arial" w:eastAsia="Arial" w:hAnsi="Arial"/>
                <w:sz w:val="18"/>
                <w:szCs w:val="18"/>
                <w:color w:val="auto"/>
              </w:rPr>
              <w:t xml:space="preserve">- Infection caused by </w:t>
            </w:r>
            <w:r>
              <w:rPr>
                <w:rFonts w:ascii="Arial" w:cs="Arial" w:eastAsia="Arial" w:hAnsi="Arial"/>
                <w:sz w:val="18"/>
                <w:szCs w:val="18"/>
                <w:i w:val="1"/>
                <w:iCs w:val="1"/>
                <w:color w:val="auto"/>
              </w:rPr>
              <w:t>Zaire ebolavirus</w:t>
            </w:r>
          </w:p>
        </w:tc>
        <w:tc>
          <w:tcPr>
            <w:tcW w:w="10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odesivimab-ebgn) Injection</w:t>
            </w:r>
          </w:p>
        </w:tc>
        <w:tc>
          <w:tcPr>
            <w:tcW w:w="1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6"/>
                <w:szCs w:val="16"/>
                <w:color w:val="auto"/>
              </w:rPr>
              <w:t>ARCALYST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(rilonacept) Injection for</w:t>
            </w:r>
          </w:p>
        </w:tc>
        <w:tc>
          <w:tcPr>
            <w:tcW w:w="37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 Cryopyrin-associated periodic syndromes</w:t>
            </w: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6"/>
                <w:szCs w:val="16"/>
                <w:color w:val="auto"/>
              </w:rPr>
              <w:t>Subcutaneous Use</w:t>
            </w:r>
            <w:r>
              <w:rPr>
                <w:rFonts w:ascii="Arial" w:cs="Arial" w:eastAsia="Arial" w:hAnsi="Arial"/>
                <w:sz w:val="20"/>
                <w:szCs w:val="20"/>
                <w:color w:val="auto"/>
                <w:vertAlign w:val="superscript"/>
              </w:rPr>
              <w:t>(8)</w:t>
            </w:r>
          </w:p>
        </w:tc>
        <w:tc>
          <w:tcPr>
            <w:tcW w:w="180" w:type="dxa"/>
            <w:vAlign w:val="bottom"/>
          </w:tcPr>
          <w:p>
            <w:pPr>
              <w:spacing w:after="0"/>
              <w:rPr>
                <w:sz w:val="15"/>
                <w:szCs w:val="15"/>
                <w:color w:val="auto"/>
              </w:rPr>
            </w:pPr>
          </w:p>
        </w:tc>
        <w:tc>
          <w:tcPr>
            <w:tcW w:w="3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("CAPS"), including familial cold auto-</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inflammatory syndrome ("FCAS") and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9"/>
        </w:trPr>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Muckle-Wells syndrome ("MWS")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6"/>
        </w:trPr>
        <w:tc>
          <w:tcPr>
            <w:tcW w:w="3100" w:type="dxa"/>
            <w:vAlign w:val="bottom"/>
          </w:tcPr>
          <w:p>
            <w:pPr>
              <w:spacing w:after="0"/>
              <w:rPr>
                <w:sz w:val="15"/>
                <w:szCs w:val="15"/>
                <w:color w:val="auto"/>
              </w:rPr>
            </w:pPr>
          </w:p>
        </w:tc>
        <w:tc>
          <w:tcPr>
            <w:tcW w:w="3780" w:type="dxa"/>
            <w:vAlign w:val="bottom"/>
            <w:gridSpan w:val="3"/>
          </w:tcPr>
          <w:p>
            <w:pPr>
              <w:ind w:left="60"/>
              <w:spacing w:after="0" w:line="176" w:lineRule="exact"/>
              <w:rPr>
                <w:sz w:val="20"/>
                <w:szCs w:val="20"/>
                <w:color w:val="auto"/>
              </w:rPr>
            </w:pPr>
            <w:r>
              <w:rPr>
                <w:rFonts w:ascii="Arial" w:cs="Arial" w:eastAsia="Arial" w:hAnsi="Arial"/>
                <w:sz w:val="18"/>
                <w:szCs w:val="18"/>
                <w:color w:val="auto"/>
                <w:w w:val="98"/>
              </w:rPr>
              <w:t>- Deficiency of interleukin-1 receptor antagonist</w:t>
            </w: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9"/>
        </w:trPr>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("DIRA") (in adults and pediatrics)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6"/>
        </w:trPr>
        <w:tc>
          <w:tcPr>
            <w:tcW w:w="3100" w:type="dxa"/>
            <w:vAlign w:val="bottom"/>
          </w:tcPr>
          <w:p>
            <w:pPr>
              <w:spacing w:after="0"/>
              <w:rPr>
                <w:sz w:val="15"/>
                <w:szCs w:val="15"/>
                <w:color w:val="auto"/>
              </w:rPr>
            </w:pPr>
          </w:p>
        </w:tc>
        <w:tc>
          <w:tcPr>
            <w:tcW w:w="37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 Recurrent pericarditis (in adults and</w:t>
            </w: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0"/>
        </w:trPr>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adolescents)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ZALTRAP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(ziv-aflibercept) Injection for</w:t>
            </w:r>
          </w:p>
        </w:tc>
        <w:tc>
          <w:tcPr>
            <w:tcW w:w="3780" w:type="dxa"/>
            <w:vAlign w:val="bottom"/>
            <w:gridSpan w:val="3"/>
            <w:shd w:val="clear" w:color="auto" w:fill="CCEEFF"/>
          </w:tcPr>
          <w:p>
            <w:pPr>
              <w:ind w:left="60"/>
              <w:spacing w:after="0" w:line="176" w:lineRule="exact"/>
              <w:rPr>
                <w:sz w:val="20"/>
                <w:szCs w:val="20"/>
                <w:color w:val="auto"/>
              </w:rPr>
            </w:pPr>
            <w:r>
              <w:rPr>
                <w:rFonts w:ascii="Arial" w:cs="Arial" w:eastAsia="Arial" w:hAnsi="Arial"/>
                <w:sz w:val="18"/>
                <w:szCs w:val="18"/>
                <w:color w:val="auto"/>
              </w:rPr>
              <w:t>- Metastatic colorectal cancer ("mCRC")</w:t>
            </w:r>
          </w:p>
        </w:tc>
        <w:tc>
          <w:tcPr>
            <w:tcW w:w="10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99"/>
              </w:rPr>
              <w:t>a</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a</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a</w:t>
            </w:r>
          </w:p>
        </w:tc>
      </w:tr>
      <w:tr>
        <w:trPr>
          <w:trHeight w:val="230"/>
        </w:trPr>
        <w:tc>
          <w:tcPr>
            <w:tcW w:w="3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Intravenous Infusion</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98" w:lineRule="exact"/>
        <w:rPr>
          <w:sz w:val="20"/>
          <w:szCs w:val="20"/>
          <w:color w:val="auto"/>
        </w:rPr>
      </w:pPr>
    </w:p>
    <w:p>
      <w:pPr>
        <w:ind w:left="420" w:right="100"/>
        <w:spacing w:after="0"/>
        <w:rPr>
          <w:sz w:val="20"/>
          <w:szCs w:val="20"/>
          <w:color w:val="auto"/>
        </w:rPr>
      </w:pPr>
      <w:r>
        <w:rPr>
          <w:rFonts w:ascii="Arial" w:cs="Arial" w:eastAsia="Arial" w:hAnsi="Arial"/>
          <w:sz w:val="16"/>
          <w:szCs w:val="16"/>
          <w:color w:val="auto"/>
        </w:rPr>
        <w:t>Note 1: Refer to "Net Product Sales of Regeneron-Discovered Products" section below for information regarding whether net product sales for a particular product are recorded by us or others</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 2: Product is approved for use in adults, unless otherwise noted, in the disease area described above</w:t>
      </w:r>
    </w:p>
    <w:p>
      <w:pPr>
        <w:spacing w:after="0" w:line="8" w:lineRule="exact"/>
        <w:rPr>
          <w:sz w:val="20"/>
          <w:szCs w:val="20"/>
          <w:color w:val="auto"/>
        </w:rPr>
      </w:pPr>
    </w:p>
    <w:p>
      <w:pPr>
        <w:ind w:left="580" w:hanging="169"/>
        <w:spacing w:after="0"/>
        <w:tabs>
          <w:tab w:leader="none" w:pos="5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In collaboration with Bayer outside the United States</w:t>
      </w:r>
    </w:p>
    <w:p>
      <w:pPr>
        <w:spacing w:after="0" w:line="23" w:lineRule="exact"/>
        <w:rPr>
          <w:rFonts w:ascii="Arial" w:cs="Arial" w:eastAsia="Arial" w:hAnsi="Arial"/>
          <w:sz w:val="20"/>
          <w:szCs w:val="20"/>
          <w:color w:val="auto"/>
          <w:vertAlign w:val="superscript"/>
        </w:rPr>
      </w:pPr>
    </w:p>
    <w:p>
      <w:pPr>
        <w:ind w:left="580" w:hanging="169"/>
        <w:spacing w:after="0" w:line="200" w:lineRule="auto"/>
        <w:tabs>
          <w:tab w:leader="none" w:pos="5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In collaboration with Sanofi</w:t>
      </w:r>
    </w:p>
    <w:p>
      <w:pPr>
        <w:spacing w:after="0" w:line="24" w:lineRule="exact"/>
        <w:rPr>
          <w:rFonts w:ascii="Arial" w:cs="Arial" w:eastAsia="Arial" w:hAnsi="Arial"/>
          <w:sz w:val="20"/>
          <w:szCs w:val="20"/>
          <w:color w:val="auto"/>
          <w:vertAlign w:val="superscript"/>
        </w:rPr>
      </w:pPr>
    </w:p>
    <w:p>
      <w:pPr>
        <w:ind w:left="420" w:right="40" w:hanging="9"/>
        <w:spacing w:after="0" w:line="199" w:lineRule="auto"/>
        <w:tabs>
          <w:tab w:leader="none" w:pos="597"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Pursuant to a 2020 agreement, the Company is solely responsible for the development and commercialization of Praluent in the United States, and Sanofi is solely responsible for the development and commercialization of Praluent outside of the United States (and Sanofi pays us a royalty on net product sales of Praluent outside the United States).</w:t>
      </w:r>
    </w:p>
    <w:p>
      <w:pPr>
        <w:spacing w:after="0" w:line="11" w:lineRule="exact"/>
        <w:rPr>
          <w:rFonts w:ascii="Arial" w:cs="Arial" w:eastAsia="Arial" w:hAnsi="Arial"/>
          <w:sz w:val="22"/>
          <w:szCs w:val="22"/>
          <w:color w:val="auto"/>
          <w:vertAlign w:val="superscript"/>
        </w:rPr>
      </w:pPr>
    </w:p>
    <w:p>
      <w:pPr>
        <w:ind w:left="420" w:right="640" w:hanging="9"/>
        <w:spacing w:after="0" w:line="202" w:lineRule="auto"/>
        <w:tabs>
          <w:tab w:leader="none" w:pos="597"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Rest of world. Checkmark in this column indicates that the product has received marketing approval in at least one country outside of the United States, European Union ("EU"), or Japan.</w:t>
      </w:r>
    </w:p>
    <w:p>
      <w:pPr>
        <w:ind w:left="580" w:hanging="169"/>
        <w:spacing w:after="0" w:line="225" w:lineRule="auto"/>
        <w:tabs>
          <w:tab w:leader="none" w:pos="5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Approval in Japan is for adults and adolescents 15 years of age and older</w:t>
      </w:r>
    </w:p>
    <w:p>
      <w:pPr>
        <w:spacing w:after="0" w:line="24" w:lineRule="exact"/>
        <w:rPr>
          <w:rFonts w:ascii="Arial" w:cs="Arial" w:eastAsia="Arial" w:hAnsi="Arial"/>
          <w:sz w:val="20"/>
          <w:szCs w:val="20"/>
          <w:color w:val="auto"/>
          <w:vertAlign w:val="superscript"/>
        </w:rPr>
      </w:pPr>
    </w:p>
    <w:p>
      <w:pPr>
        <w:ind w:left="420" w:right="420" w:hanging="9"/>
        <w:spacing w:after="0" w:line="194" w:lineRule="auto"/>
        <w:tabs>
          <w:tab w:leader="none" w:pos="597"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Pursuant to a 2015 amended and restated ZALTRAP agreement, Sanofi is solely responsible for the development and commercialization of ZALTRAP, and Sanofi pays us a percentage of aggregate net product sales of ZALTRAP</w:t>
      </w:r>
    </w:p>
    <w:p>
      <w:pPr>
        <w:spacing w:after="0" w:line="1" w:lineRule="exact"/>
        <w:rPr>
          <w:rFonts w:ascii="Arial" w:cs="Arial" w:eastAsia="Arial" w:hAnsi="Arial"/>
          <w:sz w:val="22"/>
          <w:szCs w:val="22"/>
          <w:color w:val="auto"/>
          <w:vertAlign w:val="superscript"/>
        </w:rPr>
      </w:pPr>
    </w:p>
    <w:p>
      <w:pPr>
        <w:ind w:left="580" w:hanging="169"/>
        <w:spacing w:after="0" w:line="225" w:lineRule="auto"/>
        <w:tabs>
          <w:tab w:leader="none" w:pos="5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No longer marketed by Sanofi in Japan</w:t>
      </w: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73" w:right="49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0" w:right="200" w:hanging="9"/>
        <w:spacing w:after="0" w:line="203" w:lineRule="auto"/>
        <w:tabs>
          <w:tab w:leader="none" w:pos="601"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color w:val="auto"/>
        </w:rPr>
        <w:t>Pursuant to a 2017 license agreement with Kiniksa Pharmaceuticals, Ltd., we granted Kiniksa the right to develop and commercialize certain new indications for ARCALYST. In March 2021, Kiniksa received marketing approval for its first new indication of ARCALYST in the United States; consequently we granted U.S. commercial rights to ARCALYST for all previously approved indications and Kiniksa pays us a share of ARCALYST profits. Refer to "Collaboration, License, and Other Agreements - Kiniksa" section below for further details.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REGEN-COV - Emergency Use Authorization</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2020, the antibody cocktail casirivimab with imdevimab administered together, known as REGEN-COV in the United States, received Emergency Use Authorization ("EUA") from the U.S. Food and Drug Administration ("FDA") for the treatment of mild to moderate COVID-19 in adults, as well as in pediatric patients at least 12 years of age and weighing at least 40 kg, who have received positive results of direct SARS-CoV-2 viral testing and are at high risk for progressing to severe COVID-19 and/or hospitalization. The EUA is temporary and does not replace a formal Biologics License Application ("BLA") submission review and approval process. This use is authorized only for the duration of the declaration that circumstances exist justifying the authorization of the emergency use, unless terminated or revoked sooner. See information regarding ongoing clinical trials of REGEN-COV below.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Sales of Regeneron-Discovered Products</w:t>
      </w:r>
    </w:p>
    <w:p>
      <w:pPr>
        <w:spacing w:after="0" w:line="27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Three Months Ended</w:t>
      </w:r>
    </w:p>
    <w:p>
      <w:pPr>
        <w:ind w:left="566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253"/>
              <w:spacing w:after="0"/>
              <w:rPr>
                <w:sz w:val="20"/>
                <w:szCs w:val="20"/>
                <w:color w:val="auto"/>
              </w:rPr>
            </w:pPr>
            <w:r>
              <w:rPr>
                <w:rFonts w:ascii="Arial" w:cs="Arial" w:eastAsia="Arial" w:hAnsi="Arial"/>
                <w:sz w:val="18"/>
                <w:szCs w:val="18"/>
                <w:b w:val="1"/>
                <w:bCs w:val="1"/>
                <w:color w:val="auto"/>
              </w:rPr>
              <w:t>% Change</w:t>
            </w:r>
          </w:p>
        </w:tc>
      </w:tr>
      <w:tr>
        <w:trPr>
          <w:trHeight w:val="223"/>
        </w:trPr>
        <w:tc>
          <w:tcPr>
            <w:tcW w:w="246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ROW</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ROW</w:t>
            </w:r>
          </w:p>
        </w:tc>
        <w:tc>
          <w:tcPr>
            <w:tcW w:w="2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right"/>
              <w:ind w:right="173"/>
              <w:spacing w:after="0"/>
              <w:rPr>
                <w:sz w:val="20"/>
                <w:szCs w:val="20"/>
                <w:color w:val="auto"/>
              </w:rPr>
            </w:pPr>
            <w:r>
              <w:rPr>
                <w:rFonts w:ascii="Arial" w:cs="Arial" w:eastAsia="Arial" w:hAnsi="Arial"/>
                <w:sz w:val="18"/>
                <w:szCs w:val="18"/>
                <w:b w:val="1"/>
                <w:bCs w:val="1"/>
                <w:color w:val="auto"/>
              </w:rPr>
              <w:t>(Total Sales)</w:t>
            </w:r>
          </w:p>
        </w:tc>
      </w:tr>
      <w:tr>
        <w:trPr>
          <w:trHeight w:val="223"/>
        </w:trPr>
        <w:tc>
          <w:tcPr>
            <w:tcW w:w="24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2460" w:type="dxa"/>
            <w:vAlign w:val="bottom"/>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679.0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855.2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24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246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24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2460" w:type="dxa"/>
            <w:vAlign w:val="bottom"/>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4"/>
                <w:szCs w:val="14"/>
                <w:color w:val="auto"/>
              </w:rPr>
              <w:t>(h)</w:t>
            </w:r>
          </w:p>
        </w:tc>
      </w:tr>
      <w:tr>
        <w:trPr>
          <w:trHeight w:val="230"/>
        </w:trPr>
        <w:tc>
          <w:tcPr>
            <w:tcW w:w="24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30"/>
        </w:trPr>
        <w:tc>
          <w:tcPr>
            <w:tcW w:w="2460" w:type="dxa"/>
            <w:vAlign w:val="bottom"/>
          </w:tcPr>
          <w:p>
            <w:pPr>
              <w:spacing w:after="0" w:line="230"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24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bl>
    <w:p>
      <w:pPr>
        <w:spacing w:after="0" w:line="98" w:lineRule="exact"/>
        <w:rPr>
          <w:sz w:val="20"/>
          <w:szCs w:val="20"/>
          <w:color w:val="auto"/>
        </w:rPr>
      </w:pPr>
    </w:p>
    <w:p>
      <w:pPr>
        <w:ind w:left="260" w:right="160" w:firstLine="2"/>
        <w:spacing w:after="0" w:line="226" w:lineRule="auto"/>
        <w:tabs>
          <w:tab w:leader="none" w:pos="43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9" w:lineRule="exact"/>
        <w:rPr>
          <w:rFonts w:ascii="Arial" w:cs="Arial" w:eastAsia="Arial" w:hAnsi="Arial"/>
          <w:sz w:val="20"/>
          <w:szCs w:val="20"/>
          <w:color w:val="auto"/>
          <w:vertAlign w:val="superscript"/>
        </w:rPr>
      </w:pPr>
    </w:p>
    <w:p>
      <w:pPr>
        <w:ind w:left="260" w:right="400" w:firstLine="2"/>
        <w:spacing w:after="0" w:line="213" w:lineRule="auto"/>
        <w:tabs>
          <w:tab w:leader="none" w:pos="437"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Sanofi records global net product sales of Dupixent, Kevzara, and ZALTRAP. The Company records its share of profits/losses in connection with global sales of Dupixent and Kevzara, and Sanofi pays the Company a percentage of net sales of ZALTRAP.</w:t>
      </w:r>
    </w:p>
    <w:p>
      <w:pPr>
        <w:spacing w:after="0" w:line="10" w:lineRule="exact"/>
        <w:rPr>
          <w:rFonts w:ascii="Arial" w:cs="Arial" w:eastAsia="Arial" w:hAnsi="Arial"/>
          <w:sz w:val="21"/>
          <w:szCs w:val="21"/>
          <w:color w:val="auto"/>
          <w:vertAlign w:val="superscript"/>
        </w:rPr>
      </w:pPr>
    </w:p>
    <w:p>
      <w:pPr>
        <w:ind w:left="260" w:right="340" w:firstLine="2"/>
        <w:spacing w:after="0" w:line="213" w:lineRule="auto"/>
        <w:tabs>
          <w:tab w:leader="none" w:pos="43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Libtayo in the United States and Sanofi records net product sales of Libtayo outside the United States. The parties equally share profits/losses in connection with global sales of Libtayo.</w:t>
      </w:r>
    </w:p>
    <w:p>
      <w:pPr>
        <w:spacing w:after="0" w:line="24" w:lineRule="exact"/>
        <w:rPr>
          <w:rFonts w:ascii="Arial" w:cs="Arial" w:eastAsia="Arial" w:hAnsi="Arial"/>
          <w:sz w:val="21"/>
          <w:szCs w:val="21"/>
          <w:color w:val="auto"/>
          <w:vertAlign w:val="superscript"/>
        </w:rPr>
      </w:pPr>
    </w:p>
    <w:p>
      <w:pPr>
        <w:ind w:left="260" w:right="320" w:firstLine="2"/>
        <w:spacing w:after="0" w:line="230" w:lineRule="auto"/>
        <w:tabs>
          <w:tab w:leader="none" w:pos="441"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 Refer to "Collaboration, License, and Other Agreements - Sanofi" section below for further details.</w:t>
      </w:r>
    </w:p>
    <w:p>
      <w:pPr>
        <w:spacing w:after="0" w:line="11" w:lineRule="exact"/>
        <w:rPr>
          <w:rFonts w:ascii="Arial" w:cs="Arial" w:eastAsia="Arial" w:hAnsi="Arial"/>
          <w:sz w:val="20"/>
          <w:szCs w:val="20"/>
          <w:color w:val="auto"/>
          <w:vertAlign w:val="superscript"/>
        </w:rPr>
      </w:pPr>
    </w:p>
    <w:p>
      <w:pPr>
        <w:ind w:left="260" w:right="220" w:firstLine="2"/>
        <w:spacing w:after="0" w:line="226" w:lineRule="auto"/>
        <w:tabs>
          <w:tab w:leader="none" w:pos="43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REGEN-COV in connection with its agreements with the U.S. government. Roche records net product sales of the antibody cocktail outside the United States and the parties share gross profits from global sales. Refer to "Agreements Related to COVID-19" below for further details.</w:t>
      </w:r>
    </w:p>
    <w:p>
      <w:pPr>
        <w:ind w:left="420" w:hanging="158"/>
        <w:spacing w:after="0" w:line="196" w:lineRule="auto"/>
        <w:tabs>
          <w:tab w:leader="none" w:pos="42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Regeneron records net product sales of Evkeeza in the United States.</w:t>
      </w:r>
    </w:p>
    <w:p>
      <w:pPr>
        <w:spacing w:after="0" w:line="23" w:lineRule="exact"/>
        <w:rPr>
          <w:rFonts w:ascii="Arial" w:cs="Arial" w:eastAsia="Arial" w:hAnsi="Arial"/>
          <w:sz w:val="23"/>
          <w:szCs w:val="23"/>
          <w:color w:val="auto"/>
          <w:vertAlign w:val="superscript"/>
        </w:rPr>
      </w:pPr>
    </w:p>
    <w:p>
      <w:pPr>
        <w:jc w:val="both"/>
        <w:ind w:left="260" w:right="380" w:firstLine="2"/>
        <w:spacing w:after="0" w:line="211" w:lineRule="auto"/>
        <w:tabs>
          <w:tab w:leader="none" w:pos="437"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Effective April 1, 2021, Kiniksa records net product sales of ARCALYST in the United States and pays us a share of ARCALYST profits. Prior to April 1, 2021, Regeneron recorded net product sales of ARCALYST in the United States. Refer to "Products" section above and "Collaboration, License, and Other Agreements - Kiniksa" section below for further details.</w:t>
      </w:r>
    </w:p>
    <w:p>
      <w:pPr>
        <w:ind w:left="440" w:hanging="178"/>
        <w:spacing w:after="0" w:line="214" w:lineRule="auto"/>
        <w:tabs>
          <w:tab w:leader="none" w:pos="44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Percentage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 in Clinical Development</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Product candidates in clinical development, which are being developed by us and/or our collaborators, are summarized in the table below. 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platforms. We continue to invest in the development of enabling technologies to assist in our efforts to identify, develop, manufacture, and commercialize new product candidates.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and our collaborators conduct clinical trials in multiple countries across the world. The COVID-19 pandemic and the restrictions adopted around the globe to reduce the spread of the disease have impacted and may continue to impact our clinical development programs. We continue to evaluate the impact of the COVID-19 pandemic on an individual trial basis and oversee trial management while also working to ensure patient safety and provide sufficient supply of product candidates for the studies. The ultimate impact (including possible delays in recruiting and/or obtaining data) resulting from the COVID-19 pandemic will depend, among other factors, on the extent of the pandemic in the areas with study sites and patient populations. It is possible that the COVID-19 pandemic may cause clinical disruptions beyond those we have described. In addition, there may be delays in the timing of regulatory review and other projected milestones discussed in the table below.</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Part II, Item 1A. "Risk Factors" for a description of these and other risks and uncertainties that may affect our clinical programs, including those related to the COVID-19 pandemic.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7" w:name="page28"/>
    <w:bookmarkEnd w:id="27"/>
    <w:p>
      <w:pPr>
        <w:spacing w:after="0" w:line="209" w:lineRule="auto"/>
        <w:framePr w:w="260" w:h="160" w:wrap="auto" w:vAnchor="page" w:hAnchor="page" w:x="5820" w:y="11306"/>
        <w:rPr>
          <w:rFonts w:ascii="Arial" w:cs="Arial" w:eastAsia="Arial" w:hAnsi="Arial"/>
          <w:sz w:val="16"/>
          <w:szCs w:val="16"/>
          <w:color w:val="auto"/>
        </w:rPr>
      </w:pPr>
      <w:r>
        <w:rPr>
          <w:rFonts w:ascii="Arial" w:cs="Arial" w:eastAsia="Arial" w:hAnsi="Arial"/>
          <w:sz w:val="16"/>
          <w:szCs w:val="16"/>
          <w:color w:val="auto"/>
        </w:rPr>
        <w:t>27</w:t>
      </w: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Clinical Program</w:t>
            </w:r>
          </w:p>
        </w:tc>
        <w:tc>
          <w:tcPr>
            <w:tcW w:w="118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Phase 1</w:t>
            </w:r>
          </w:p>
        </w:tc>
        <w:tc>
          <w:tcPr>
            <w:tcW w:w="14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Phase 3</w:t>
            </w: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Regulatory</w:t>
            </w:r>
          </w:p>
        </w:tc>
        <w:tc>
          <w:tcPr>
            <w:tcW w:w="19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2021 Events to Date</w:t>
            </w: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30"/>
        </w:trPr>
        <w:tc>
          <w:tcPr>
            <w:tcW w:w="186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300" w:type="dxa"/>
            <w:vAlign w:val="bottom"/>
            <w:gridSpan w:val="2"/>
          </w:tcPr>
          <w:p>
            <w:pPr>
              <w:ind w:left="280"/>
              <w:spacing w:after="0" w:line="230" w:lineRule="exact"/>
              <w:rPr>
                <w:sz w:val="20"/>
                <w:szCs w:val="20"/>
                <w:color w:val="auto"/>
              </w:rPr>
            </w:pPr>
            <w:r>
              <w:rPr>
                <w:rFonts w:ascii="Arial" w:cs="Arial" w:eastAsia="Arial" w:hAnsi="Arial"/>
                <w:sz w:val="18"/>
                <w:szCs w:val="18"/>
                <w:b w:val="1"/>
                <w:bCs w:val="1"/>
                <w:color w:val="auto"/>
              </w:rPr>
              <w:t>Review</w:t>
            </w:r>
            <w:r>
              <w:rPr>
                <w:rFonts w:ascii="Arial" w:cs="Arial" w:eastAsia="Arial" w:hAnsi="Arial"/>
                <w:sz w:val="23"/>
                <w:szCs w:val="23"/>
                <w:b w:val="1"/>
                <w:bCs w:val="1"/>
                <w:color w:val="auto"/>
                <w:vertAlign w:val="superscript"/>
              </w:rPr>
              <w:t>(i)</w:t>
            </w:r>
          </w:p>
        </w:tc>
        <w:tc>
          <w:tcPr>
            <w:tcW w:w="1940" w:type="dxa"/>
            <w:vAlign w:val="bottom"/>
            <w:gridSpan w:val="2"/>
            <w:vMerge w:val="continue"/>
          </w:tcPr>
          <w:p>
            <w:pPr>
              <w:spacing w:after="0"/>
              <w:rPr>
                <w:sz w:val="19"/>
                <w:szCs w:val="19"/>
                <w:color w:val="auto"/>
              </w:rPr>
            </w:pPr>
          </w:p>
        </w:tc>
        <w:tc>
          <w:tcPr>
            <w:tcW w:w="1840" w:type="dxa"/>
            <w:vAlign w:val="bottom"/>
          </w:tcPr>
          <w:p>
            <w:pPr>
              <w:ind w:left="44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tc>
        <w:tc>
          <w:tcPr>
            <w:tcW w:w="0" w:type="dxa"/>
            <w:vAlign w:val="bottom"/>
          </w:tcPr>
          <w:p>
            <w:pPr>
              <w:spacing w:after="0"/>
              <w:rPr>
                <w:sz w:val="1"/>
                <w:szCs w:val="1"/>
                <w:color w:val="auto"/>
              </w:rPr>
            </w:pPr>
          </w:p>
        </w:tc>
      </w:tr>
      <w:tr>
        <w:trPr>
          <w:trHeight w:val="74"/>
        </w:trPr>
        <w:tc>
          <w:tcPr>
            <w:tcW w:w="1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1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00" w:type="dxa"/>
            <w:vAlign w:val="bottom"/>
            <w:shd w:val="clear" w:color="auto" w:fill="ACACAC"/>
          </w:tcPr>
          <w:p>
            <w:pPr>
              <w:spacing w:after="0"/>
              <w:rPr>
                <w:sz w:val="19"/>
                <w:szCs w:val="19"/>
                <w:color w:val="auto"/>
              </w:rPr>
            </w:pPr>
          </w:p>
        </w:tc>
        <w:tc>
          <w:tcPr>
            <w:tcW w:w="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880" w:type="dxa"/>
            <w:vAlign w:val="bottom"/>
            <w:gridSpan w:val="4"/>
            <w:shd w:val="clear" w:color="auto" w:fill="ACACAC"/>
          </w:tcPr>
          <w:p>
            <w:pPr>
              <w:ind w:left="440"/>
              <w:spacing w:after="0"/>
              <w:rPr>
                <w:sz w:val="20"/>
                <w:szCs w:val="20"/>
                <w:color w:val="auto"/>
              </w:rPr>
            </w:pPr>
            <w:r>
              <w:rPr>
                <w:rFonts w:ascii="Arial" w:cs="Arial" w:eastAsia="Arial" w:hAnsi="Arial"/>
                <w:sz w:val="18"/>
                <w:szCs w:val="18"/>
                <w:b w:val="1"/>
                <w:bCs w:val="1"/>
                <w:color w:val="auto"/>
              </w:rPr>
              <w:t>Ophthalmology</w:t>
            </w:r>
          </w:p>
        </w:tc>
        <w:tc>
          <w:tcPr>
            <w:tcW w:w="18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EYLEA</w:t>
            </w:r>
            <w:r>
              <w:rPr>
                <w:rFonts w:ascii="Arial" w:cs="Arial" w:eastAsia="Arial" w:hAnsi="Arial"/>
                <w:sz w:val="20"/>
                <w:szCs w:val="20"/>
                <w:b w:val="1"/>
                <w:bCs w:val="1"/>
                <w:color w:val="auto"/>
                <w:vertAlign w:val="superscript"/>
              </w:rPr>
              <w:t>(b)</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–High-dose</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–Retinopathy of</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–Initial results from</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–Submit sBLA for</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formulation in wet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prematurity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National Institutes of</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every-16-weeks dosing</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AMD</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("ROP")</w:t>
            </w:r>
            <w:r>
              <w:rPr>
                <w:rFonts w:ascii="Arial" w:cs="Arial" w:eastAsia="Arial" w:hAnsi="Arial"/>
                <w:sz w:val="20"/>
                <w:szCs w:val="20"/>
                <w:color w:val="auto"/>
                <w:vertAlign w:val="superscript"/>
              </w:rPr>
              <w:t>(c)</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Health ("NIH")-</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regimen in patients with</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sponsored Protocol W</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NPDR (second half</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–High-dose</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trial in non-proliferative</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68"/>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gridSpan w:val="2"/>
            <w:vMerge w:val="continue"/>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4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diabetic retinopathy</w:t>
            </w:r>
          </w:p>
        </w:tc>
        <w:tc>
          <w:tcPr>
            <w:tcW w:w="1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8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formulation in wet</w:t>
            </w: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40" w:type="dxa"/>
            <w:vAlign w:val="bottom"/>
            <w:gridSpan w:val="2"/>
            <w:vMerge w:val="continue"/>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gridSpan w:val="2"/>
            <w:vMerge w:val="continue"/>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4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("NPDR") were</w:t>
            </w:r>
          </w:p>
        </w:tc>
        <w:tc>
          <w:tcPr>
            <w:tcW w:w="184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108"/>
        </w:trPr>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AMD</w:t>
            </w: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40" w:type="dxa"/>
            <w:vAlign w:val="bottom"/>
            <w:gridSpan w:val="2"/>
            <w:vMerge w:val="continue"/>
            <w:shd w:val="clear" w:color="auto" w:fill="CCEEFF"/>
          </w:tcPr>
          <w:p>
            <w:pPr>
              <w:spacing w:after="0"/>
              <w:rPr>
                <w:sz w:val="9"/>
                <w:szCs w:val="9"/>
                <w:color w:val="auto"/>
              </w:rPr>
            </w:pPr>
          </w:p>
        </w:tc>
        <w:tc>
          <w:tcPr>
            <w:tcW w:w="18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gridSpan w:val="2"/>
            <w:vMerge w:val="continue"/>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4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announced; data</w:t>
            </w:r>
          </w:p>
        </w:tc>
        <w:tc>
          <w:tcPr>
            <w:tcW w:w="184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Phase 2 study for high-</w:t>
            </w:r>
          </w:p>
        </w:tc>
        <w:tc>
          <w:tcPr>
            <w:tcW w:w="0" w:type="dxa"/>
            <w:vAlign w:val="bottom"/>
          </w:tcPr>
          <w:p>
            <w:pPr>
              <w:spacing w:after="0"/>
              <w:rPr>
                <w:sz w:val="1"/>
                <w:szCs w:val="1"/>
                <w:color w:val="auto"/>
              </w:rPr>
            </w:pPr>
          </w:p>
        </w:tc>
      </w:tr>
      <w:tr>
        <w:trPr>
          <w:trHeight w:val="53"/>
        </w:trPr>
        <w:tc>
          <w:tcPr>
            <w:tcW w:w="1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940" w:type="dxa"/>
            <w:vAlign w:val="bottom"/>
            <w:gridSpan w:val="2"/>
            <w:vMerge w:val="continue"/>
            <w:shd w:val="clear" w:color="auto" w:fill="CCEEFF"/>
          </w:tcPr>
          <w:p>
            <w:pPr>
              <w:spacing w:after="0"/>
              <w:rPr>
                <w:sz w:val="4"/>
                <w:szCs w:val="4"/>
                <w:color w:val="auto"/>
              </w:rPr>
            </w:pPr>
          </w:p>
        </w:tc>
        <w:tc>
          <w:tcPr>
            <w:tcW w:w="18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–High-dose</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confirmed results from</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dose formulation in wet</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vMerge w:val="continue"/>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Company-sponsored</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AMD (second half</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formulation in</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PANORAMA trial and</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DME</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demonstrated reduced</w:t>
            </w:r>
          </w:p>
        </w:tc>
        <w:tc>
          <w:tcPr>
            <w:tcW w:w="1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2"/>
              </w:rPr>
              <w:t>–Complete enrollment in</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risk of developing</w:t>
            </w:r>
          </w:p>
        </w:tc>
        <w:tc>
          <w:tcPr>
            <w:tcW w:w="1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vision-threatening</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Phase 3 high-dose</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complications with</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formulation studies</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every-16-weeks dosing</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regimen</w:t>
            </w: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3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1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00" w:type="dxa"/>
            <w:vAlign w:val="bottom"/>
            <w:shd w:val="clear" w:color="auto" w:fill="ACACAC"/>
          </w:tcPr>
          <w:p>
            <w:pPr>
              <w:spacing w:after="0"/>
              <w:rPr>
                <w:sz w:val="19"/>
                <w:szCs w:val="19"/>
                <w:color w:val="auto"/>
              </w:rPr>
            </w:pPr>
          </w:p>
        </w:tc>
        <w:tc>
          <w:tcPr>
            <w:tcW w:w="3020" w:type="dxa"/>
            <w:vAlign w:val="bottom"/>
            <w:gridSpan w:val="6"/>
            <w:shd w:val="clear" w:color="auto" w:fill="ACACAC"/>
          </w:tcPr>
          <w:p>
            <w:pPr>
              <w:ind w:left="40"/>
              <w:spacing w:after="0"/>
              <w:rPr>
                <w:sz w:val="20"/>
                <w:szCs w:val="20"/>
                <w:color w:val="auto"/>
              </w:rPr>
            </w:pPr>
            <w:r>
              <w:rPr>
                <w:rFonts w:ascii="Arial" w:cs="Arial" w:eastAsia="Arial" w:hAnsi="Arial"/>
                <w:sz w:val="18"/>
                <w:szCs w:val="18"/>
                <w:b w:val="1"/>
                <w:bCs w:val="1"/>
                <w:color w:val="auto"/>
              </w:rPr>
              <w:t>Immunology &amp; Inflammation</w:t>
            </w:r>
          </w:p>
        </w:tc>
        <w:tc>
          <w:tcPr>
            <w:tcW w:w="18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Dupixent (dupilumab)</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–Peanut allergy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1300" w:type="dxa"/>
            <w:vAlign w:val="bottom"/>
            <w:gridSpan w:val="2"/>
          </w:tcPr>
          <w:p>
            <w:pPr>
              <w:spacing w:after="0"/>
              <w:rPr>
                <w:sz w:val="20"/>
                <w:szCs w:val="20"/>
                <w:color w:val="auto"/>
              </w:rPr>
            </w:pPr>
            <w:r>
              <w:rPr>
                <w:rFonts w:ascii="Arial" w:cs="Arial" w:eastAsia="Arial" w:hAnsi="Arial"/>
                <w:sz w:val="18"/>
                <w:szCs w:val="18"/>
                <w:color w:val="auto"/>
              </w:rPr>
              <w:t>–Asthma in</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w w:val="99"/>
              </w:rPr>
              <w:t>–Reported that Phase 2</w:t>
            </w:r>
          </w:p>
        </w:tc>
        <w:tc>
          <w:tcPr>
            <w:tcW w:w="1840" w:type="dxa"/>
            <w:vAlign w:val="bottom"/>
          </w:tcPr>
          <w:p>
            <w:pPr>
              <w:ind w:left="20"/>
              <w:spacing w:after="0"/>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107"/>
        </w:trPr>
        <w:tc>
          <w:tcPr>
            <w:tcW w:w="186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w:t>
            </w: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in pediatrics (6</w:t>
            </w:r>
          </w:p>
        </w:tc>
        <w:tc>
          <w:tcPr>
            <w:tcW w:w="1300" w:type="dxa"/>
            <w:vAlign w:val="bottom"/>
            <w:gridSpan w:val="2"/>
            <w:vMerge w:val="restart"/>
          </w:tcPr>
          <w:p>
            <w:pPr>
              <w:spacing w:after="0" w:line="176" w:lineRule="exact"/>
              <w:rPr>
                <w:sz w:val="20"/>
                <w:szCs w:val="20"/>
                <w:color w:val="auto"/>
              </w:rPr>
            </w:pPr>
            <w:r>
              <w:rPr>
                <w:rFonts w:ascii="Arial" w:cs="Arial" w:eastAsia="Arial" w:hAnsi="Arial"/>
                <w:sz w:val="18"/>
                <w:szCs w:val="18"/>
                <w:color w:val="auto"/>
                <w:w w:val="99"/>
              </w:rPr>
              <w:t>pediatrics (6–11</w:t>
            </w:r>
          </w:p>
        </w:tc>
        <w:tc>
          <w:tcPr>
            <w:tcW w:w="19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trial of Dupixent in</w:t>
            </w:r>
          </w:p>
        </w:tc>
        <w:tc>
          <w:tcPr>
            <w:tcW w:w="1840" w:type="dxa"/>
            <w:vAlign w:val="bottom"/>
            <w:vMerge w:val="restart"/>
          </w:tcPr>
          <w:p>
            <w:pPr>
              <w:ind w:left="20"/>
              <w:spacing w:after="0" w:line="176" w:lineRule="exact"/>
              <w:rPr>
                <w:sz w:val="20"/>
                <w:szCs w:val="20"/>
                <w:color w:val="auto"/>
              </w:rPr>
            </w:pPr>
            <w:r>
              <w:rPr>
                <w:rFonts w:ascii="Arial" w:cs="Arial" w:eastAsia="Arial" w:hAnsi="Arial"/>
                <w:sz w:val="18"/>
                <w:szCs w:val="18"/>
                <w:color w:val="auto"/>
                <w:w w:val="93"/>
              </w:rPr>
              <w:t>Phase 3 study for atopic</w:t>
            </w:r>
          </w:p>
        </w:tc>
        <w:tc>
          <w:tcPr>
            <w:tcW w:w="0" w:type="dxa"/>
            <w:vAlign w:val="bottom"/>
          </w:tcPr>
          <w:p>
            <w:pPr>
              <w:spacing w:after="0"/>
              <w:rPr>
                <w:sz w:val="1"/>
                <w:szCs w:val="1"/>
                <w:color w:val="auto"/>
              </w:rPr>
            </w:pPr>
          </w:p>
        </w:tc>
      </w:tr>
      <w:tr>
        <w:trPr>
          <w:trHeight w:val="68"/>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Antibody to IL-4R</w:t>
            </w: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vMerge w:val="restart"/>
          </w:tcPr>
          <w:p>
            <w:pPr>
              <w:ind w:left="20"/>
              <w:spacing w:after="0"/>
              <w:rPr>
                <w:sz w:val="20"/>
                <w:szCs w:val="20"/>
                <w:color w:val="auto"/>
              </w:rPr>
            </w:pPr>
            <w:r>
              <w:rPr>
                <w:rFonts w:ascii="Arial" w:cs="Arial" w:eastAsia="Arial" w:hAnsi="Arial"/>
                <w:sz w:val="18"/>
                <w:szCs w:val="18"/>
                <w:color w:val="auto"/>
              </w:rPr>
              <w:t>–Grass allergy</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86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months–5 years of</w:t>
            </w:r>
          </w:p>
        </w:tc>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rPr>
              <w:t>years of age)</w:t>
            </w: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combination with</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dermatitis in pediatric</w:t>
            </w: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alpha subunit</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age) (Phase 2/3)</w:t>
            </w:r>
            <w:r>
              <w:rPr>
                <w:rFonts w:ascii="Arial" w:cs="Arial" w:eastAsia="Arial" w:hAnsi="Arial"/>
                <w:sz w:val="20"/>
                <w:szCs w:val="20"/>
                <w:color w:val="auto"/>
                <w:vertAlign w:val="superscript"/>
              </w:rPr>
              <w:t>(d)</w:t>
            </w:r>
          </w:p>
        </w:tc>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rPr>
              <w:t>(U.S. and EU)</w:t>
            </w: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Aimmune Therapeutics'</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patients (6 months–5</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AR101, an oral</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years of age) (second</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–Asthma in</w:t>
            </w:r>
          </w:p>
        </w:tc>
        <w:tc>
          <w:tcPr>
            <w:tcW w:w="1300" w:type="dxa"/>
            <w:vAlign w:val="bottom"/>
            <w:gridSpan w:val="2"/>
          </w:tcPr>
          <w:p>
            <w:pPr>
              <w:spacing w:after="0"/>
              <w:rPr>
                <w:sz w:val="20"/>
                <w:szCs w:val="20"/>
                <w:color w:val="auto"/>
              </w:rPr>
            </w:pPr>
            <w:r>
              <w:rPr>
                <w:rFonts w:ascii="Arial" w:cs="Arial" w:eastAsia="Arial" w:hAnsi="Arial"/>
                <w:sz w:val="18"/>
                <w:szCs w:val="18"/>
                <w:color w:val="auto"/>
              </w:rPr>
              <w:t>–Asthma longer</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immunotherapy, in</w:t>
            </w:r>
          </w:p>
        </w:tc>
        <w:tc>
          <w:tcPr>
            <w:tcW w:w="1840" w:type="dxa"/>
            <w:vAlign w:val="bottom"/>
          </w:tcPr>
          <w:p>
            <w:pPr>
              <w:ind w:left="20"/>
              <w:spacing w:after="0"/>
              <w:rPr>
                <w:sz w:val="20"/>
                <w:szCs w:val="20"/>
                <w:color w:val="auto"/>
              </w:rPr>
            </w:pPr>
            <w:r>
              <w:rPr>
                <w:rFonts w:ascii="Arial" w:cs="Arial" w:eastAsia="Arial" w:hAnsi="Arial"/>
                <w:sz w:val="18"/>
                <w:szCs w:val="18"/>
                <w:color w:val="auto"/>
              </w:rPr>
              <w:t>half 2021)</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pediatrics (6–11</w:t>
            </w:r>
          </w:p>
        </w:tc>
        <w:tc>
          <w:tcPr>
            <w:tcW w:w="1300" w:type="dxa"/>
            <w:vAlign w:val="bottom"/>
            <w:gridSpan w:val="2"/>
            <w:vMerge w:val="restart"/>
          </w:tcPr>
          <w:p>
            <w:pPr>
              <w:spacing w:after="0" w:line="176" w:lineRule="exact"/>
              <w:rPr>
                <w:sz w:val="20"/>
                <w:szCs w:val="20"/>
                <w:color w:val="auto"/>
              </w:rPr>
            </w:pPr>
            <w:r>
              <w:rPr>
                <w:rFonts w:ascii="Arial" w:cs="Arial" w:eastAsia="Arial" w:hAnsi="Arial"/>
                <w:sz w:val="18"/>
                <w:szCs w:val="18"/>
                <w:color w:val="auto"/>
              </w:rPr>
              <w:t>term efficacy</w:t>
            </w:r>
          </w:p>
        </w:tc>
        <w:tc>
          <w:tcPr>
            <w:tcW w:w="194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pediatric patients with</w:t>
            </w: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9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peanut allergy met its</w:t>
            </w: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years of age)</w:t>
            </w:r>
          </w:p>
        </w:tc>
        <w:tc>
          <w:tcPr>
            <w:tcW w:w="1300" w:type="dxa"/>
            <w:vAlign w:val="bottom"/>
            <w:gridSpan w:val="2"/>
            <w:vMerge w:val="restart"/>
          </w:tcPr>
          <w:p>
            <w:pPr>
              <w:spacing w:after="0" w:line="176" w:lineRule="exact"/>
              <w:rPr>
                <w:sz w:val="20"/>
                <w:szCs w:val="20"/>
                <w:color w:val="auto"/>
              </w:rPr>
            </w:pPr>
            <w:r>
              <w:rPr>
                <w:rFonts w:ascii="Arial" w:cs="Arial" w:eastAsia="Arial" w:hAnsi="Arial"/>
                <w:sz w:val="18"/>
                <w:szCs w:val="18"/>
                <w:color w:val="auto"/>
              </w:rPr>
              <w:t>and safety in</w:t>
            </w:r>
          </w:p>
        </w:tc>
        <w:tc>
          <w:tcPr>
            <w:tcW w:w="1940" w:type="dxa"/>
            <w:vAlign w:val="bottom"/>
            <w:gridSpan w:val="2"/>
            <w:vMerge w:val="continue"/>
          </w:tcPr>
          <w:p>
            <w:pPr>
              <w:spacing w:after="0"/>
              <w:rPr>
                <w:sz w:val="9"/>
                <w:szCs w:val="9"/>
                <w:color w:val="auto"/>
              </w:rPr>
            </w:pPr>
          </w:p>
        </w:tc>
        <w:tc>
          <w:tcPr>
            <w:tcW w:w="18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–FDA decision on</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9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primary and key</w:t>
            </w: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spacing w:after="0" w:line="176" w:lineRule="exact"/>
              <w:rPr>
                <w:sz w:val="20"/>
                <w:szCs w:val="20"/>
                <w:color w:val="auto"/>
              </w:rPr>
            </w:pPr>
            <w:r>
              <w:rPr>
                <w:rFonts w:ascii="Arial" w:cs="Arial" w:eastAsia="Arial" w:hAnsi="Arial"/>
                <w:sz w:val="18"/>
                <w:szCs w:val="18"/>
                <w:color w:val="auto"/>
              </w:rPr>
              <w:t>adults and</w:t>
            </w:r>
          </w:p>
        </w:tc>
        <w:tc>
          <w:tcPr>
            <w:tcW w:w="1940" w:type="dxa"/>
            <w:vAlign w:val="bottom"/>
            <w:gridSpan w:val="2"/>
            <w:vMerge w:val="continue"/>
          </w:tcPr>
          <w:p>
            <w:pPr>
              <w:spacing w:after="0"/>
              <w:rPr>
                <w:sz w:val="9"/>
                <w:szCs w:val="9"/>
                <w:color w:val="auto"/>
              </w:rPr>
            </w:pPr>
          </w:p>
        </w:tc>
        <w:tc>
          <w:tcPr>
            <w:tcW w:w="18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supplemental BLA</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940" w:type="dxa"/>
            <w:vAlign w:val="bottom"/>
            <w:gridSpan w:val="2"/>
            <w:vMerge w:val="restart"/>
          </w:tcPr>
          <w:p>
            <w:pPr>
              <w:ind w:left="20"/>
              <w:spacing w:after="0"/>
              <w:rPr>
                <w:sz w:val="20"/>
                <w:szCs w:val="20"/>
                <w:color w:val="auto"/>
              </w:rPr>
            </w:pPr>
            <w:r>
              <w:rPr>
                <w:rFonts w:ascii="Arial" w:cs="Arial" w:eastAsia="Arial" w:hAnsi="Arial"/>
                <w:sz w:val="18"/>
                <w:szCs w:val="18"/>
                <w:color w:val="auto"/>
              </w:rPr>
              <w:t>secondary endpoint</w:t>
            </w: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–Eosinophilic</w:t>
            </w:r>
          </w:p>
        </w:tc>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rPr>
              <w:t>adolescents</w:t>
            </w:r>
          </w:p>
        </w:tc>
        <w:tc>
          <w:tcPr>
            <w:tcW w:w="1940" w:type="dxa"/>
            <w:vAlign w:val="bottom"/>
            <w:gridSpan w:val="2"/>
            <w:vMerge w:val="continue"/>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("sBLA") (target action</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300" w:type="dxa"/>
            <w:vAlign w:val="bottom"/>
            <w:gridSpan w:val="2"/>
            <w:vMerge w:val="restart"/>
          </w:tcPr>
          <w:p>
            <w:pPr>
              <w:spacing w:after="0"/>
              <w:rPr>
                <w:sz w:val="20"/>
                <w:szCs w:val="20"/>
                <w:color w:val="auto"/>
              </w:rPr>
            </w:pPr>
            <w:r>
              <w:rPr>
                <w:rFonts w:ascii="Arial" w:cs="Arial" w:eastAsia="Arial" w:hAnsi="Arial"/>
                <w:sz w:val="18"/>
                <w:szCs w:val="18"/>
                <w:color w:val="auto"/>
              </w:rPr>
              <w:t>(U.S.)</w:t>
            </w: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date of October 21,</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esophagitis ("EoE")</w:t>
            </w:r>
          </w:p>
        </w:tc>
        <w:tc>
          <w:tcPr>
            <w:tcW w:w="1300" w:type="dxa"/>
            <w:vAlign w:val="bottom"/>
            <w:gridSpan w:val="2"/>
            <w:vMerge w:val="continue"/>
          </w:tcPr>
          <w:p>
            <w:pPr>
              <w:spacing w:after="0"/>
              <w:rPr>
                <w:sz w:val="15"/>
                <w:szCs w:val="15"/>
                <w:color w:val="auto"/>
              </w:rPr>
            </w:pPr>
          </w:p>
        </w:tc>
        <w:tc>
          <w:tcPr>
            <w:tcW w:w="1940" w:type="dxa"/>
            <w:vAlign w:val="bottom"/>
            <w:gridSpan w:val="2"/>
            <w:vMerge w:val="restart"/>
          </w:tcPr>
          <w:p>
            <w:pPr>
              <w:ind w:left="20"/>
              <w:spacing w:after="0"/>
              <w:rPr>
                <w:sz w:val="20"/>
                <w:szCs w:val="20"/>
                <w:color w:val="auto"/>
              </w:rPr>
            </w:pPr>
            <w:r>
              <w:rPr>
                <w:rFonts w:ascii="Arial" w:cs="Arial" w:eastAsia="Arial" w:hAnsi="Arial"/>
                <w:sz w:val="18"/>
                <w:szCs w:val="18"/>
                <w:color w:val="auto"/>
                <w:w w:val="98"/>
              </w:rPr>
              <w:t>–Initiated Phase 3 study</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20"/>
                <w:szCs w:val="20"/>
                <w:color w:val="auto"/>
                <w:vertAlign w:val="superscript"/>
              </w:rPr>
              <w:t>(c)</w:t>
            </w:r>
            <w:r>
              <w:rPr>
                <w:rFonts w:ascii="Arial" w:cs="Arial" w:eastAsia="Arial" w:hAnsi="Arial"/>
                <w:sz w:val="16"/>
                <w:szCs w:val="16"/>
                <w:color w:val="auto"/>
              </w:rPr>
              <w:t xml:space="preserve"> in adults</w:t>
            </w:r>
            <w:r>
              <w:rPr>
                <w:rFonts w:ascii="Arial" w:cs="Arial" w:eastAsia="Arial" w:hAnsi="Arial"/>
                <w:sz w:val="20"/>
                <w:szCs w:val="20"/>
                <w:color w:val="auto"/>
                <w:vertAlign w:val="superscript"/>
              </w:rPr>
              <w:t>(d)</w:t>
            </w:r>
            <w:r>
              <w:rPr>
                <w:rFonts w:ascii="Arial" w:cs="Arial" w:eastAsia="Arial" w:hAnsi="Arial"/>
                <w:sz w:val="16"/>
                <w:szCs w:val="16"/>
                <w:color w:val="auto"/>
              </w:rPr>
              <w:t>,</w:t>
            </w:r>
          </w:p>
        </w:tc>
        <w:tc>
          <w:tcPr>
            <w:tcW w:w="1300" w:type="dxa"/>
            <w:vAlign w:val="bottom"/>
            <w:gridSpan w:val="2"/>
            <w:vMerge w:val="restart"/>
          </w:tcPr>
          <w:p>
            <w:pPr>
              <w:spacing w:after="0"/>
              <w:rPr>
                <w:sz w:val="20"/>
                <w:szCs w:val="20"/>
                <w:color w:val="auto"/>
              </w:rPr>
            </w:pPr>
            <w:r>
              <w:rPr>
                <w:rFonts w:ascii="Arial" w:cs="Arial" w:eastAsia="Arial" w:hAnsi="Arial"/>
                <w:sz w:val="18"/>
                <w:szCs w:val="18"/>
                <w:color w:val="auto"/>
              </w:rPr>
              <w:t>–200 mg auto-</w:t>
            </w:r>
          </w:p>
        </w:tc>
        <w:tc>
          <w:tcPr>
            <w:tcW w:w="1940" w:type="dxa"/>
            <w:vAlign w:val="bottom"/>
            <w:gridSpan w:val="2"/>
            <w:vMerge w:val="continue"/>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2021) and European</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adolescents</w:t>
            </w:r>
            <w:r>
              <w:rPr>
                <w:rFonts w:ascii="Arial" w:cs="Arial" w:eastAsia="Arial" w:hAnsi="Arial"/>
                <w:sz w:val="20"/>
                <w:szCs w:val="20"/>
                <w:color w:val="auto"/>
                <w:vertAlign w:val="superscript"/>
              </w:rPr>
              <w:t>(d)</w:t>
            </w:r>
            <w:r>
              <w:rPr>
                <w:rFonts w:ascii="Arial" w:cs="Arial" w:eastAsia="Arial" w:hAnsi="Arial"/>
                <w:sz w:val="16"/>
                <w:szCs w:val="16"/>
                <w:color w:val="auto"/>
              </w:rPr>
              <w:t>, and</w:t>
            </w:r>
          </w:p>
        </w:tc>
        <w:tc>
          <w:tcPr>
            <w:tcW w:w="1300" w:type="dxa"/>
            <w:vAlign w:val="bottom"/>
            <w:gridSpan w:val="2"/>
            <w:vMerge w:val="continue"/>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 hand and foot atopic</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Commission ("EC")</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pediatrics</w:t>
            </w:r>
          </w:p>
        </w:tc>
        <w:tc>
          <w:tcPr>
            <w:tcW w:w="1300" w:type="dxa"/>
            <w:vAlign w:val="bottom"/>
            <w:gridSpan w:val="2"/>
            <w:vMerge w:val="restart"/>
          </w:tcPr>
          <w:p>
            <w:pPr>
              <w:spacing w:after="0"/>
              <w:rPr>
                <w:sz w:val="20"/>
                <w:szCs w:val="20"/>
                <w:color w:val="auto"/>
              </w:rPr>
            </w:pPr>
            <w:r>
              <w:rPr>
                <w:rFonts w:ascii="Arial" w:cs="Arial" w:eastAsia="Arial" w:hAnsi="Arial"/>
                <w:sz w:val="18"/>
                <w:szCs w:val="18"/>
                <w:color w:val="auto"/>
              </w:rPr>
              <w:t>injector (U.S.)</w:t>
            </w:r>
          </w:p>
        </w:tc>
        <w:tc>
          <w:tcPr>
            <w:tcW w:w="194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dermatitis</w:t>
            </w:r>
          </w:p>
        </w:tc>
        <w:tc>
          <w:tcPr>
            <w:tcW w:w="1840" w:type="dxa"/>
            <w:vAlign w:val="bottom"/>
          </w:tcPr>
          <w:p>
            <w:pPr>
              <w:ind w:left="20"/>
              <w:spacing w:after="0" w:line="108" w:lineRule="exact"/>
              <w:rPr>
                <w:sz w:val="20"/>
                <w:szCs w:val="20"/>
                <w:color w:val="auto"/>
              </w:rPr>
            </w:pPr>
            <w:r>
              <w:rPr>
                <w:rFonts w:ascii="Arial" w:cs="Arial" w:eastAsia="Arial" w:hAnsi="Arial"/>
                <w:sz w:val="12"/>
                <w:szCs w:val="12"/>
                <w:color w:val="auto"/>
              </w:rPr>
              <w:t>decision on regulatory</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submission (first half</w:t>
            </w: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–Chronic</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2022) for asthma in</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1"/>
              </w:rPr>
              <w:t>pediatrics (6–11 years of</w:t>
            </w:r>
          </w:p>
        </w:tc>
        <w:tc>
          <w:tcPr>
            <w:tcW w:w="0" w:type="dxa"/>
            <w:vAlign w:val="bottom"/>
          </w:tcPr>
          <w:p>
            <w:pPr>
              <w:spacing w:after="0"/>
              <w:rPr>
                <w:sz w:val="1"/>
                <w:szCs w:val="1"/>
                <w:color w:val="auto"/>
              </w:rPr>
            </w:pPr>
          </w:p>
        </w:tc>
      </w:tr>
      <w:tr>
        <w:trPr>
          <w:trHeight w:val="150"/>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ind w:left="20"/>
              <w:spacing w:after="0" w:line="150" w:lineRule="exact"/>
              <w:rPr>
                <w:sz w:val="20"/>
                <w:szCs w:val="20"/>
                <w:color w:val="auto"/>
              </w:rPr>
            </w:pPr>
            <w:r>
              <w:rPr>
                <w:rFonts w:ascii="Arial" w:cs="Arial" w:eastAsia="Arial" w:hAnsi="Arial"/>
                <w:sz w:val="17"/>
                <w:szCs w:val="17"/>
                <w:color w:val="auto"/>
              </w:rPr>
              <w:t>obstructive</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ind w:left="20"/>
              <w:spacing w:after="0" w:line="150" w:lineRule="exact"/>
              <w:rPr>
                <w:sz w:val="20"/>
                <w:szCs w:val="20"/>
                <w:color w:val="auto"/>
              </w:rPr>
            </w:pPr>
            <w:r>
              <w:rPr>
                <w:rFonts w:ascii="Arial" w:cs="Arial" w:eastAsia="Arial" w:hAnsi="Arial"/>
                <w:sz w:val="17"/>
                <w:szCs w:val="17"/>
                <w:color w:val="auto"/>
              </w:rPr>
              <w:t>age)</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ind w:left="20"/>
              <w:spacing w:after="0" w:line="160" w:lineRule="exact"/>
              <w:rPr>
                <w:sz w:val="20"/>
                <w:szCs w:val="20"/>
                <w:color w:val="auto"/>
              </w:rPr>
            </w:pPr>
            <w:r>
              <w:rPr>
                <w:rFonts w:ascii="Arial" w:cs="Arial" w:eastAsia="Arial" w:hAnsi="Arial"/>
                <w:sz w:val="18"/>
                <w:szCs w:val="18"/>
                <w:color w:val="auto"/>
              </w:rPr>
              <w:t>pulmonary disease</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("COPD")</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w w:val="94"/>
              </w:rPr>
              <w:t>–FDA decision on sBLA</w:t>
            </w: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–Bullous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9"/>
              </w:rPr>
              <w:t>for asthma longer term</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3"/>
              </w:rPr>
              <w:t>efficacy and safety label</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pemphigoid (Phase</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update (second half</w:t>
            </w:r>
          </w:p>
        </w:tc>
        <w:tc>
          <w:tcPr>
            <w:tcW w:w="0" w:type="dxa"/>
            <w:vAlign w:val="bottom"/>
          </w:tcPr>
          <w:p>
            <w:pPr>
              <w:spacing w:after="0"/>
              <w:rPr>
                <w:sz w:val="1"/>
                <w:szCs w:val="1"/>
                <w:color w:val="auto"/>
              </w:rPr>
            </w:pPr>
          </w:p>
        </w:tc>
      </w:tr>
      <w:tr>
        <w:trPr>
          <w:trHeight w:val="30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2/3)</w:t>
            </w:r>
            <w:r>
              <w:rPr>
                <w:rFonts w:ascii="Arial" w:cs="Arial" w:eastAsia="Arial" w:hAnsi="Arial"/>
                <w:sz w:val="23"/>
                <w:szCs w:val="23"/>
                <w:color w:val="auto"/>
                <w:vertAlign w:val="superscript"/>
              </w:rPr>
              <w:t>(c)</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90"/>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–Chronic</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spontaneous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Part B of the Phase 3</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urticaria</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study in adults and</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adolescents with EoE</w:t>
            </w: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–Prurigo nodularis</w:t>
            </w: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925"/>
        </w:trPr>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18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Phase 1</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15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Phase 3</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Regulatory</w:t>
            </w:r>
          </w:p>
        </w:tc>
        <w:tc>
          <w:tcPr>
            <w:tcW w:w="19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2021 Events to Date</w:t>
            </w: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30"/>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18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320" w:type="dxa"/>
            <w:vAlign w:val="bottom"/>
            <w:gridSpan w:val="2"/>
          </w:tcPr>
          <w:p>
            <w:pPr>
              <w:jc w:val="center"/>
              <w:ind w:right="60"/>
              <w:spacing w:after="0" w:line="230" w:lineRule="exact"/>
              <w:rPr>
                <w:sz w:val="20"/>
                <w:szCs w:val="20"/>
                <w:color w:val="auto"/>
              </w:rPr>
            </w:pPr>
            <w:r>
              <w:rPr>
                <w:rFonts w:ascii="Arial" w:cs="Arial" w:eastAsia="Arial" w:hAnsi="Arial"/>
                <w:sz w:val="18"/>
                <w:szCs w:val="18"/>
                <w:b w:val="1"/>
                <w:bCs w:val="1"/>
                <w:color w:val="auto"/>
                <w:w w:val="86"/>
              </w:rPr>
              <w:t>Review</w:t>
            </w:r>
            <w:r>
              <w:rPr>
                <w:rFonts w:ascii="Arial" w:cs="Arial" w:eastAsia="Arial" w:hAnsi="Arial"/>
                <w:sz w:val="23"/>
                <w:szCs w:val="23"/>
                <w:b w:val="1"/>
                <w:bCs w:val="1"/>
                <w:color w:val="auto"/>
                <w:w w:val="86"/>
                <w:vertAlign w:val="superscript"/>
              </w:rPr>
              <w:t>(i)</w:t>
            </w:r>
          </w:p>
        </w:tc>
        <w:tc>
          <w:tcPr>
            <w:tcW w:w="1920" w:type="dxa"/>
            <w:vAlign w:val="bottom"/>
            <w:gridSpan w:val="2"/>
            <w:vMerge w:val="continue"/>
          </w:tcPr>
          <w:p>
            <w:pPr>
              <w:spacing w:after="0"/>
              <w:rPr>
                <w:sz w:val="19"/>
                <w:szCs w:val="19"/>
                <w:color w:val="auto"/>
              </w:rPr>
            </w:pPr>
          </w:p>
        </w:tc>
        <w:tc>
          <w:tcPr>
            <w:tcW w:w="1840" w:type="dxa"/>
            <w:vAlign w:val="bottom"/>
          </w:tcPr>
          <w:p>
            <w:pPr>
              <w:ind w:left="44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4"/>
              </w:rPr>
              <w:t>Dupixent (dupilumab)</w:t>
            </w: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–Allergic</w:t>
            </w:r>
          </w:p>
        </w:tc>
        <w:tc>
          <w:tcPr>
            <w:tcW w:w="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107"/>
        </w:trPr>
        <w:tc>
          <w:tcPr>
            <w:tcW w:w="186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w:t>
            </w: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bronchopulmonary</w:t>
            </w: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Phase 2 monotherapy</w:t>
            </w:r>
          </w:p>
        </w:tc>
        <w:tc>
          <w:tcPr>
            <w:tcW w:w="0" w:type="dxa"/>
            <w:vAlign w:val="bottom"/>
          </w:tcPr>
          <w:p>
            <w:pPr>
              <w:spacing w:after="0"/>
              <w:rPr>
                <w:sz w:val="1"/>
                <w:szCs w:val="1"/>
                <w:color w:val="auto"/>
              </w:rPr>
            </w:pPr>
          </w:p>
        </w:tc>
      </w:tr>
      <w:tr>
        <w:trPr>
          <w:trHeight w:val="68"/>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(continued)</w:t>
            </w: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86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aspergillosis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9"/>
              </w:rPr>
              <w:t>study in peanut allergy</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("ABPA")</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296"/>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–Chronic inducible</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w w:val="94"/>
              </w:rPr>
              <w:t>–FDA decision on sBLA</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urticaria</w:t>
            </w: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4"/>
              </w:rPr>
              <w:t>for 200 mg auto-injector</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–Chronic sinusitis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(target action date of</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June 15, 2021)</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without nasal</w:t>
            </w: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polyposis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80"/>
        </w:trPr>
        <w:tc>
          <w:tcPr>
            <w:tcW w:w="1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–Allergic fungal</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Phase 3 chronic</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rhinosinusitis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spontaneous urticaria</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ind w:left="20"/>
              <w:spacing w:after="0" w:line="135" w:lineRule="exact"/>
              <w:rPr>
                <w:sz w:val="20"/>
                <w:szCs w:val="20"/>
                <w:color w:val="auto"/>
              </w:rPr>
            </w:pPr>
            <w:r>
              <w:rPr>
                <w:rFonts w:ascii="Arial" w:cs="Arial" w:eastAsia="Arial" w:hAnsi="Arial"/>
                <w:sz w:val="15"/>
                <w:szCs w:val="15"/>
                <w:color w:val="auto"/>
              </w:rPr>
              <w:t>and prurigo nodularis</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studies (second half</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Kevzara (sarilumab)</w:t>
            </w:r>
            <w:r>
              <w:rPr>
                <w:rFonts w:ascii="Arial" w:cs="Arial" w:eastAsia="Arial" w:hAnsi="Arial"/>
                <w:sz w:val="20"/>
                <w:szCs w:val="20"/>
                <w:b w:val="1"/>
                <w:bCs w:val="1"/>
                <w:color w:val="auto"/>
                <w:vertAlign w:val="superscript"/>
              </w:rPr>
              <w:t>(a)</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–Polyarticular-</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Antibody to IL-6R</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course juvenile</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idiopathic arthritis</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("pcJIA")</w:t>
            </w: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–Systemic juvenile</w:t>
            </w: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idiopathic arthritis</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("sJIA")</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Itepekimab</w:t>
            </w:r>
            <w:r>
              <w:rPr>
                <w:rFonts w:ascii="Arial" w:cs="Arial" w:eastAsia="Arial" w:hAnsi="Arial"/>
                <w:sz w:val="20"/>
                <w:szCs w:val="20"/>
                <w:b w:val="1"/>
                <w:bCs w:val="1"/>
                <w:color w:val="auto"/>
                <w:vertAlign w:val="superscript"/>
              </w:rPr>
              <w:t>(a)</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–COPD</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(REGN3500)</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IL-33</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REGN1908-1909</w:t>
            </w:r>
            <w:r>
              <w:rPr>
                <w:rFonts w:ascii="Arial" w:cs="Arial" w:eastAsia="Arial" w:hAnsi="Arial"/>
                <w:sz w:val="20"/>
                <w:szCs w:val="20"/>
                <w:b w:val="1"/>
                <w:bCs w:val="1"/>
                <w:color w:val="auto"/>
                <w:vertAlign w:val="superscript"/>
              </w:rPr>
              <w:t>(f)</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–Cat allergy</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–Reported that Phase 2</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–Initiate Phase 3 study</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Multi-antibody therapy</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study in cat allergic</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in cat allergic asthmatics</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to Fel d 1</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patients with mild</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asthma met its primary</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and key secondary</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endpoints</w:t>
            </w: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73" w:right="339" w:bottom="1440" w:gutter="0" w:footer="0" w:header="0"/>
        </w:sectPr>
      </w:pPr>
    </w:p>
    <w:p>
      <w:pPr>
        <w:ind w:left="20"/>
        <w:spacing w:after="0" w:line="234" w:lineRule="auto"/>
        <w:tabs>
          <w:tab w:leader="none" w:pos="4580" w:val="left"/>
        </w:tabs>
        <w:rPr>
          <w:sz w:val="20"/>
          <w:szCs w:val="20"/>
          <w:color w:val="auto"/>
        </w:rPr>
      </w:pPr>
      <w:r>
        <w:rPr>
          <w:rFonts w:ascii="Arial" w:cs="Arial" w:eastAsia="Arial" w:hAnsi="Arial"/>
          <w:sz w:val="18"/>
          <w:szCs w:val="18"/>
          <w:b w:val="1"/>
          <w:bCs w:val="1"/>
          <w:color w:val="auto"/>
        </w:rPr>
        <w:t>REGN5713-5714-5715</w:t>
      </w:r>
      <w:r>
        <w:rPr>
          <w:sz w:val="20"/>
          <w:szCs w:val="20"/>
          <w:color w:val="auto"/>
        </w:rPr>
        <w:tab/>
      </w:r>
      <w:r>
        <w:rPr>
          <w:rFonts w:ascii="Arial" w:cs="Arial" w:eastAsia="Arial" w:hAnsi="Arial"/>
          <w:sz w:val="17"/>
          <w:szCs w:val="17"/>
          <w:color w:val="auto"/>
        </w:rPr>
        <w:t>–Birch allergy</w:t>
      </w:r>
    </w:p>
    <w:p>
      <w:pPr>
        <w:ind w:left="20"/>
        <w:spacing w:after="0" w:line="203" w:lineRule="auto"/>
        <w:rPr>
          <w:sz w:val="20"/>
          <w:szCs w:val="20"/>
          <w:color w:val="auto"/>
        </w:rPr>
      </w:pPr>
      <w:r>
        <w:rPr>
          <w:rFonts w:ascii="Arial" w:cs="Arial" w:eastAsia="Arial" w:hAnsi="Arial"/>
          <w:sz w:val="18"/>
          <w:szCs w:val="18"/>
          <w:i w:val="1"/>
          <w:iCs w:val="1"/>
          <w:color w:val="auto"/>
        </w:rPr>
        <w:t>Multi-antibody therapy</w:t>
      </w:r>
    </w:p>
    <w:p>
      <w:pPr>
        <w:ind w:left="20"/>
        <w:spacing w:after="0"/>
        <w:rPr>
          <w:sz w:val="20"/>
          <w:szCs w:val="20"/>
          <w:color w:val="auto"/>
        </w:rPr>
      </w:pPr>
      <w:r>
        <w:rPr>
          <w:rFonts w:ascii="Arial" w:cs="Arial" w:eastAsia="Arial" w:hAnsi="Arial"/>
          <w:sz w:val="18"/>
          <w:szCs w:val="18"/>
          <w:i w:val="1"/>
          <w:iCs w:val="1"/>
          <w:color w:val="auto"/>
        </w:rPr>
        <w:t>to Bet v 1</w:t>
      </w:r>
    </w:p>
    <w:p>
      <w:pPr>
        <w:spacing w:after="0" w:line="163"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REGN6490</w:t>
      </w:r>
      <w:r>
        <w:rPr>
          <w:sz w:val="20"/>
          <w:szCs w:val="20"/>
          <w:color w:val="auto"/>
        </w:rPr>
        <w:tab/>
      </w:r>
      <w:r>
        <w:rPr>
          <w:rFonts w:ascii="Arial" w:cs="Arial" w:eastAsia="Arial" w:hAnsi="Arial"/>
          <w:sz w:val="18"/>
          <w:szCs w:val="18"/>
          <w:color w:val="auto"/>
        </w:rPr>
        <w:t>–Palmo-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368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20"/>
        <w:spacing w:after="0" w:line="234" w:lineRule="auto"/>
        <w:tabs>
          <w:tab w:leader="none" w:pos="1860" w:val="left"/>
        </w:tabs>
        <w:rPr>
          <w:sz w:val="20"/>
          <w:szCs w:val="20"/>
          <w:color w:val="auto"/>
        </w:rPr>
      </w:pPr>
      <w:r>
        <w:rPr>
          <w:rFonts w:ascii="Arial" w:cs="Arial" w:eastAsia="Arial" w:hAnsi="Arial"/>
          <w:sz w:val="18"/>
          <w:szCs w:val="18"/>
          <w:i w:val="1"/>
          <w:iCs w:val="1"/>
          <w:color w:val="auto"/>
        </w:rPr>
        <w:t>Antibody to IL-36R</w:t>
      </w:r>
      <w:r>
        <w:rPr>
          <w:sz w:val="20"/>
          <w:szCs w:val="20"/>
          <w:color w:val="auto"/>
        </w:rPr>
        <w:tab/>
      </w:r>
      <w:r>
        <w:rPr>
          <w:rFonts w:ascii="Arial" w:cs="Arial" w:eastAsia="Arial" w:hAnsi="Arial"/>
          <w:sz w:val="16"/>
          <w:szCs w:val="16"/>
          <w:color w:val="auto"/>
        </w:rPr>
        <w:t>plantar</w:t>
      </w:r>
    </w:p>
    <w:p>
      <w:pPr>
        <w:ind w:left="1880"/>
        <w:spacing w:after="0"/>
        <w:rPr>
          <w:sz w:val="20"/>
          <w:szCs w:val="20"/>
          <w:color w:val="auto"/>
        </w:rPr>
      </w:pPr>
      <w:r>
        <w:rPr>
          <w:rFonts w:ascii="Arial" w:cs="Arial" w:eastAsia="Arial" w:hAnsi="Arial"/>
          <w:sz w:val="18"/>
          <w:szCs w:val="18"/>
          <w:color w:val="auto"/>
        </w:rPr>
        <w:t>pustulosis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700" w:type="dxa"/>
            <w:vAlign w:val="bottom"/>
            <w:gridSpan w:val="2"/>
          </w:tcPr>
          <w:p>
            <w:pPr>
              <w:ind w:left="320"/>
              <w:spacing w:after="0"/>
              <w:rPr>
                <w:sz w:val="20"/>
                <w:szCs w:val="20"/>
                <w:color w:val="auto"/>
              </w:rPr>
            </w:pPr>
            <w:r>
              <w:rPr>
                <w:rFonts w:ascii="Arial" w:cs="Arial" w:eastAsia="Arial" w:hAnsi="Arial"/>
                <w:sz w:val="18"/>
                <w:szCs w:val="18"/>
                <w:b w:val="1"/>
                <w:bCs w:val="1"/>
                <w:color w:val="auto"/>
              </w:rPr>
              <w:t>Solid Organ Oncology</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b w:val="1"/>
                <w:bCs w:val="1"/>
                <w:color w:val="auto"/>
              </w:rPr>
              <w:t>Libtayo (cemiplimab)</w:t>
            </w:r>
          </w:p>
        </w:tc>
        <w:tc>
          <w:tcPr>
            <w:tcW w:w="2060" w:type="dxa"/>
            <w:vAlign w:val="bottom"/>
          </w:tcPr>
          <w:p>
            <w:pPr>
              <w:ind w:left="680"/>
              <w:spacing w:after="0"/>
              <w:rPr>
                <w:sz w:val="20"/>
                <w:szCs w:val="20"/>
                <w:color w:val="auto"/>
              </w:rPr>
            </w:pPr>
            <w:r>
              <w:rPr>
                <w:rFonts w:ascii="Arial" w:cs="Arial" w:eastAsia="Arial" w:hAnsi="Arial"/>
                <w:sz w:val="18"/>
                <w:szCs w:val="18"/>
                <w:color w:val="auto"/>
              </w:rPr>
              <w:t>–BCC (pivotal</w:t>
            </w:r>
          </w:p>
        </w:tc>
        <w:tc>
          <w:tcPr>
            <w:tcW w:w="1660" w:type="dxa"/>
            <w:vAlign w:val="bottom"/>
          </w:tcPr>
          <w:p>
            <w:pPr>
              <w:ind w:left="160"/>
              <w:spacing w:after="0"/>
              <w:rPr>
                <w:sz w:val="20"/>
                <w:szCs w:val="20"/>
                <w:color w:val="auto"/>
              </w:rPr>
            </w:pPr>
            <w:r>
              <w:rPr>
                <w:rFonts w:ascii="Arial" w:cs="Arial" w:eastAsia="Arial" w:hAnsi="Arial"/>
                <w:sz w:val="18"/>
                <w:szCs w:val="18"/>
                <w:color w:val="auto"/>
                <w:w w:val="98"/>
              </w:rPr>
              <w:t>–First-line NSCLC,</w:t>
            </w:r>
          </w:p>
        </w:tc>
        <w:tc>
          <w:tcPr>
            <w:tcW w:w="1040" w:type="dxa"/>
            <w:vAlign w:val="bottom"/>
          </w:tcPr>
          <w:p>
            <w:pPr>
              <w:ind w:left="80"/>
              <w:spacing w:after="0"/>
              <w:rPr>
                <w:sz w:val="20"/>
                <w:szCs w:val="20"/>
                <w:color w:val="auto"/>
              </w:rPr>
            </w:pPr>
            <w:r>
              <w:rPr>
                <w:rFonts w:ascii="Arial" w:cs="Arial" w:eastAsia="Arial" w:hAnsi="Arial"/>
                <w:sz w:val="18"/>
                <w:szCs w:val="18"/>
                <w:color w:val="auto"/>
              </w:rPr>
              <w:t>–First-line</w:t>
            </w:r>
          </w:p>
        </w:tc>
        <w:tc>
          <w:tcPr>
            <w:tcW w:w="0" w:type="dxa"/>
            <w:vAlign w:val="bottom"/>
          </w:tcPr>
          <w:p>
            <w:pPr>
              <w:spacing w:after="0"/>
              <w:rPr>
                <w:sz w:val="1"/>
                <w:szCs w:val="1"/>
                <w:color w:val="auto"/>
              </w:rPr>
            </w:pPr>
          </w:p>
        </w:tc>
      </w:tr>
      <w:tr>
        <w:trPr>
          <w:trHeight w:val="107"/>
        </w:trPr>
        <w:tc>
          <w:tcPr>
            <w:tcW w:w="2360" w:type="dxa"/>
            <w:vAlign w:val="bottom"/>
          </w:tcPr>
          <w:p>
            <w:pPr>
              <w:spacing w:after="0" w:line="107" w:lineRule="exact"/>
              <w:rPr>
                <w:sz w:val="20"/>
                <w:szCs w:val="20"/>
                <w:color w:val="auto"/>
              </w:rPr>
            </w:pPr>
            <w:r>
              <w:rPr>
                <w:rFonts w:ascii="Arial" w:cs="Arial" w:eastAsia="Arial" w:hAnsi="Arial"/>
                <w:sz w:val="12"/>
                <w:szCs w:val="12"/>
                <w:b w:val="1"/>
                <w:bCs w:val="1"/>
                <w:color w:val="auto"/>
              </w:rPr>
              <w:t>(a)(h)</w:t>
            </w:r>
          </w:p>
        </w:tc>
        <w:tc>
          <w:tcPr>
            <w:tcW w:w="2060" w:type="dxa"/>
            <w:vAlign w:val="bottom"/>
            <w:vMerge w:val="restart"/>
          </w:tcPr>
          <w:p>
            <w:pPr>
              <w:ind w:left="680"/>
              <w:spacing w:after="0" w:line="176" w:lineRule="exact"/>
              <w:rPr>
                <w:sz w:val="20"/>
                <w:szCs w:val="20"/>
                <w:color w:val="auto"/>
              </w:rPr>
            </w:pPr>
            <w:r>
              <w:rPr>
                <w:rFonts w:ascii="Arial" w:cs="Arial" w:eastAsia="Arial" w:hAnsi="Arial"/>
                <w:sz w:val="18"/>
                <w:szCs w:val="18"/>
                <w:color w:val="auto"/>
              </w:rPr>
              <w:t>study)</w:t>
            </w:r>
          </w:p>
        </w:tc>
        <w:tc>
          <w:tcPr>
            <w:tcW w:w="1660" w:type="dxa"/>
            <w:vAlign w:val="bottom"/>
            <w:vMerge w:val="restart"/>
          </w:tcPr>
          <w:p>
            <w:pPr>
              <w:ind w:left="160"/>
              <w:spacing w:after="0" w:line="176" w:lineRule="exact"/>
              <w:rPr>
                <w:sz w:val="20"/>
                <w:szCs w:val="20"/>
                <w:color w:val="auto"/>
              </w:rPr>
            </w:pPr>
            <w:r>
              <w:rPr>
                <w:rFonts w:ascii="Arial" w:cs="Arial" w:eastAsia="Arial" w:hAnsi="Arial"/>
                <w:sz w:val="18"/>
                <w:szCs w:val="18"/>
                <w:color w:val="auto"/>
              </w:rPr>
              <w:t>chemotherapy</w:t>
            </w:r>
          </w:p>
        </w:tc>
        <w:tc>
          <w:tcPr>
            <w:tcW w:w="1040" w:type="dxa"/>
            <w:vAlign w:val="bottom"/>
            <w:vMerge w:val="restart"/>
          </w:tcPr>
          <w:p>
            <w:pPr>
              <w:ind w:left="80"/>
              <w:spacing w:after="0" w:line="176" w:lineRule="exact"/>
              <w:rPr>
                <w:sz w:val="20"/>
                <w:szCs w:val="20"/>
                <w:color w:val="auto"/>
              </w:rPr>
            </w:pPr>
            <w:r>
              <w:rPr>
                <w:rFonts w:ascii="Arial" w:cs="Arial" w:eastAsia="Arial" w:hAnsi="Arial"/>
                <w:sz w:val="18"/>
                <w:szCs w:val="18"/>
                <w:color w:val="auto"/>
              </w:rPr>
              <w:t>NSCLC,</w:t>
            </w:r>
          </w:p>
        </w:tc>
        <w:tc>
          <w:tcPr>
            <w:tcW w:w="0" w:type="dxa"/>
            <w:vAlign w:val="bottom"/>
          </w:tcPr>
          <w:p>
            <w:pPr>
              <w:spacing w:after="0"/>
              <w:rPr>
                <w:sz w:val="1"/>
                <w:szCs w:val="1"/>
                <w:color w:val="auto"/>
              </w:rPr>
            </w:pPr>
          </w:p>
        </w:tc>
      </w:tr>
      <w:tr>
        <w:trPr>
          <w:trHeight w:val="68"/>
        </w:trPr>
        <w:tc>
          <w:tcPr>
            <w:tcW w:w="2360" w:type="dxa"/>
            <w:vAlign w:val="bottom"/>
            <w:vMerge w:val="restart"/>
          </w:tcPr>
          <w:p>
            <w:pPr>
              <w:spacing w:after="0"/>
              <w:rPr>
                <w:sz w:val="20"/>
                <w:szCs w:val="20"/>
                <w:color w:val="auto"/>
              </w:rPr>
            </w:pPr>
            <w:r>
              <w:rPr>
                <w:rFonts w:ascii="Arial" w:cs="Arial" w:eastAsia="Arial" w:hAnsi="Arial"/>
                <w:sz w:val="18"/>
                <w:szCs w:val="18"/>
                <w:i w:val="1"/>
                <w:iCs w:val="1"/>
                <w:color w:val="auto"/>
              </w:rPr>
              <w:t>Antibody to PD-1</w:t>
            </w:r>
          </w:p>
        </w:tc>
        <w:tc>
          <w:tcPr>
            <w:tcW w:w="20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36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1660" w:type="dxa"/>
            <w:vAlign w:val="bottom"/>
          </w:tcPr>
          <w:p>
            <w:pPr>
              <w:ind w:left="160"/>
              <w:spacing w:after="0" w:line="176" w:lineRule="exact"/>
              <w:rPr>
                <w:sz w:val="20"/>
                <w:szCs w:val="20"/>
                <w:color w:val="auto"/>
              </w:rPr>
            </w:pPr>
            <w:r>
              <w:rPr>
                <w:rFonts w:ascii="Arial" w:cs="Arial" w:eastAsia="Arial" w:hAnsi="Arial"/>
                <w:sz w:val="18"/>
                <w:szCs w:val="18"/>
                <w:color w:val="auto"/>
              </w:rPr>
              <w:t>combination</w:t>
            </w:r>
          </w:p>
        </w:tc>
        <w:tc>
          <w:tcPr>
            <w:tcW w:w="1040" w:type="dxa"/>
            <w:vAlign w:val="bottom"/>
          </w:tcPr>
          <w:p>
            <w:pPr>
              <w:ind w:left="80"/>
              <w:spacing w:after="0" w:line="176" w:lineRule="exact"/>
              <w:rPr>
                <w:sz w:val="20"/>
                <w:szCs w:val="20"/>
                <w:color w:val="auto"/>
              </w:rPr>
            </w:pPr>
            <w:r>
              <w:rPr>
                <w:rFonts w:ascii="Arial" w:cs="Arial" w:eastAsia="Arial" w:hAnsi="Arial"/>
                <w:sz w:val="18"/>
                <w:szCs w:val="18"/>
                <w:color w:val="auto"/>
                <w:w w:val="89"/>
              </w:rPr>
              <w:t>monotherapy</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060" w:type="dxa"/>
            <w:vAlign w:val="bottom"/>
          </w:tcPr>
          <w:p>
            <w:pPr>
              <w:ind w:left="680"/>
              <w:spacing w:after="0"/>
              <w:rPr>
                <w:sz w:val="20"/>
                <w:szCs w:val="20"/>
                <w:color w:val="auto"/>
              </w:rPr>
            </w:pPr>
            <w:r>
              <w:rPr>
                <w:rFonts w:ascii="Arial" w:cs="Arial" w:eastAsia="Arial" w:hAnsi="Arial"/>
                <w:sz w:val="18"/>
                <w:szCs w:val="18"/>
                <w:color w:val="auto"/>
              </w:rPr>
              <w:t>–Metastatic 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auto"/>
              </w:rPr>
              <w:t>–Second-line</w:t>
            </w:r>
          </w:p>
        </w:tc>
        <w:tc>
          <w:tcPr>
            <w:tcW w:w="1040" w:type="dxa"/>
            <w:vAlign w:val="bottom"/>
          </w:tcPr>
          <w:p>
            <w:pPr>
              <w:ind w:left="80"/>
              <w:spacing w:after="0"/>
              <w:rPr>
                <w:sz w:val="20"/>
                <w:szCs w:val="20"/>
                <w:color w:val="auto"/>
              </w:rPr>
            </w:pPr>
            <w:r>
              <w:rPr>
                <w:rFonts w:ascii="Arial" w:cs="Arial" w:eastAsia="Arial" w:hAnsi="Arial"/>
                <w:sz w:val="18"/>
                <w:szCs w:val="18"/>
                <w:color w:val="auto"/>
              </w:rPr>
              <w:t>(EU)</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2060" w:type="dxa"/>
            <w:vAlign w:val="bottom"/>
          </w:tcPr>
          <w:p>
            <w:pPr>
              <w:ind w:left="680"/>
              <w:spacing w:after="0" w:line="176" w:lineRule="exact"/>
              <w:rPr>
                <w:sz w:val="20"/>
                <w:szCs w:val="20"/>
                <w:color w:val="auto"/>
              </w:rPr>
            </w:pPr>
            <w:r>
              <w:rPr>
                <w:rFonts w:ascii="Arial" w:cs="Arial" w:eastAsia="Arial" w:hAnsi="Arial"/>
                <w:sz w:val="18"/>
                <w:szCs w:val="18"/>
                <w:color w:val="auto"/>
              </w:rPr>
              <w:t>locally advanced</w:t>
            </w:r>
          </w:p>
        </w:tc>
        <w:tc>
          <w:tcPr>
            <w:tcW w:w="1660" w:type="dxa"/>
            <w:vAlign w:val="bottom"/>
            <w:vMerge w:val="continue"/>
          </w:tcPr>
          <w:p>
            <w:pPr>
              <w:spacing w:after="0"/>
              <w:rPr>
                <w:sz w:val="15"/>
                <w:szCs w:val="15"/>
                <w:color w:val="auto"/>
              </w:rPr>
            </w:pP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–Advanced</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2060" w:type="dxa"/>
            <w:vAlign w:val="bottom"/>
          </w:tcPr>
          <w:p>
            <w:pPr>
              <w:ind w:left="680"/>
              <w:spacing w:after="0" w:line="176" w:lineRule="exact"/>
              <w:rPr>
                <w:sz w:val="20"/>
                <w:szCs w:val="20"/>
                <w:color w:val="auto"/>
              </w:rPr>
            </w:pPr>
            <w:r>
              <w:rPr>
                <w:rFonts w:ascii="Arial" w:cs="Arial" w:eastAsia="Arial" w:hAnsi="Arial"/>
                <w:sz w:val="16"/>
                <w:szCs w:val="16"/>
                <w:color w:val="auto"/>
              </w:rPr>
              <w:t>CSCC</w:t>
            </w:r>
            <w:r>
              <w:rPr>
                <w:rFonts w:ascii="Arial" w:cs="Arial" w:eastAsia="Arial" w:hAnsi="Arial"/>
                <w:sz w:val="20"/>
                <w:szCs w:val="20"/>
                <w:color w:val="auto"/>
                <w:vertAlign w:val="superscript"/>
              </w:rPr>
              <w:t>(d)</w:t>
            </w:r>
          </w:p>
        </w:tc>
        <w:tc>
          <w:tcPr>
            <w:tcW w:w="1660" w:type="dxa"/>
            <w:vAlign w:val="bottom"/>
          </w:tcPr>
          <w:p>
            <w:pPr>
              <w:ind w:left="160"/>
              <w:spacing w:after="0" w:line="176" w:lineRule="exact"/>
              <w:rPr>
                <w:sz w:val="20"/>
                <w:szCs w:val="20"/>
                <w:color w:val="auto"/>
              </w:rPr>
            </w:pPr>
            <w:r>
              <w:rPr>
                <w:rFonts w:ascii="Arial" w:cs="Arial" w:eastAsia="Arial" w:hAnsi="Arial"/>
                <w:sz w:val="16"/>
                <w:szCs w:val="16"/>
                <w:color w:val="auto"/>
              </w:rPr>
              <w:t>cervical cancer</w:t>
            </w:r>
            <w:r>
              <w:rPr>
                <w:rFonts w:ascii="Arial" w:cs="Arial" w:eastAsia="Arial" w:hAnsi="Arial"/>
                <w:sz w:val="20"/>
                <w:szCs w:val="20"/>
                <w:color w:val="auto"/>
                <w:vertAlign w:val="superscript"/>
              </w:rPr>
              <w:t>(e)</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BCC (EU)</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-1036955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060"/>
        <w:spacing w:after="0" w:line="235" w:lineRule="auto"/>
        <w:rPr>
          <w:sz w:val="20"/>
          <w:szCs w:val="20"/>
          <w:color w:val="auto"/>
        </w:rPr>
      </w:pPr>
      <w:r>
        <w:rPr>
          <w:rFonts w:ascii="Arial" w:cs="Arial" w:eastAsia="Arial" w:hAnsi="Arial"/>
          <w:sz w:val="18"/>
          <w:szCs w:val="18"/>
          <w:color w:val="auto"/>
        </w:rPr>
        <w:t>–Neoadjuvant</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CSCC</w:t>
      </w:r>
    </w:p>
    <w:p>
      <w:pPr>
        <w:spacing w:after="0" w:line="20" w:lineRule="exact"/>
        <w:rPr>
          <w:sz w:val="20"/>
          <w:szCs w:val="20"/>
          <w:color w:val="auto"/>
        </w:rPr>
      </w:pPr>
      <w:r>
        <w:rPr>
          <w:sz w:val="20"/>
          <w:szCs w:val="20"/>
          <w:color w:val="auto"/>
        </w:rPr>
        <w:br w:type="column"/>
      </w:r>
    </w:p>
    <w:p>
      <w:pPr>
        <w:ind w:left="1920"/>
        <w:spacing w:after="0" w:line="221" w:lineRule="auto"/>
        <w:rPr>
          <w:sz w:val="20"/>
          <w:szCs w:val="20"/>
          <w:color w:val="auto"/>
        </w:rPr>
      </w:pPr>
      <w:r>
        <w:rPr>
          <w:rFonts w:ascii="Arial" w:cs="Arial" w:eastAsia="Arial" w:hAnsi="Arial"/>
          <w:sz w:val="18"/>
          <w:szCs w:val="18"/>
          <w:color w:val="auto"/>
        </w:rPr>
        <w:t>–Report results from</w:t>
      </w:r>
    </w:p>
    <w:p>
      <w:pPr>
        <w:ind w:left="1920"/>
        <w:spacing w:after="0" w:line="229" w:lineRule="auto"/>
        <w:rPr>
          <w:sz w:val="20"/>
          <w:szCs w:val="20"/>
          <w:color w:val="auto"/>
        </w:rPr>
      </w:pPr>
      <w:r>
        <w:rPr>
          <w:rFonts w:ascii="Arial" w:cs="Arial" w:eastAsia="Arial" w:hAnsi="Arial"/>
          <w:sz w:val="16"/>
          <w:szCs w:val="16"/>
          <w:color w:val="auto"/>
        </w:rPr>
        <w:t>initial Phase 3 study in</w:t>
      </w:r>
    </w:p>
    <w:p>
      <w:pPr>
        <w:ind w:left="1920"/>
        <w:spacing w:after="0" w:line="215" w:lineRule="auto"/>
        <w:rPr>
          <w:sz w:val="20"/>
          <w:szCs w:val="20"/>
          <w:color w:val="auto"/>
        </w:rPr>
      </w:pPr>
      <w:r>
        <w:rPr>
          <w:rFonts w:ascii="Arial" w:cs="Arial" w:eastAsia="Arial" w:hAnsi="Arial"/>
          <w:sz w:val="17"/>
          <w:szCs w:val="17"/>
          <w:color w:val="auto"/>
        </w:rPr>
        <w:t>birch allergy (second</w:t>
      </w:r>
    </w:p>
    <w:p>
      <w:pPr>
        <w:ind w:left="1920"/>
        <w:spacing w:after="0"/>
        <w:rPr>
          <w:sz w:val="20"/>
          <w:szCs w:val="20"/>
          <w:color w:val="auto"/>
        </w:rPr>
      </w:pPr>
      <w:r>
        <w:rPr>
          <w:rFonts w:ascii="Arial" w:cs="Arial" w:eastAsia="Arial" w:hAnsi="Arial"/>
          <w:sz w:val="18"/>
          <w:szCs w:val="18"/>
          <w:color w:val="auto"/>
        </w:rPr>
        <w:t>half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auto"/>
              </w:rPr>
              <w:t>–Approved by FDA for</w:t>
            </w:r>
          </w:p>
        </w:tc>
        <w:tc>
          <w:tcPr>
            <w:tcW w:w="1700" w:type="dxa"/>
            <w:vAlign w:val="bottom"/>
          </w:tcPr>
          <w:p>
            <w:pPr>
              <w:ind w:left="100"/>
              <w:spacing w:after="0"/>
              <w:rPr>
                <w:sz w:val="20"/>
                <w:szCs w:val="20"/>
                <w:color w:val="auto"/>
              </w:rPr>
            </w:pPr>
            <w:r>
              <w:rPr>
                <w:rFonts w:ascii="Arial" w:cs="Arial" w:eastAsia="Arial" w:hAnsi="Arial"/>
                <w:sz w:val="18"/>
                <w:szCs w:val="18"/>
                <w:color w:val="auto"/>
              </w:rPr>
              <w:t>–EC decision on</w:t>
            </w:r>
          </w:p>
        </w:tc>
        <w:tc>
          <w:tcPr>
            <w:tcW w:w="0" w:type="dxa"/>
            <w:vAlign w:val="bottom"/>
          </w:tcPr>
          <w:p>
            <w:pPr>
              <w:spacing w:after="0"/>
              <w:rPr>
                <w:sz w:val="1"/>
                <w:szCs w:val="1"/>
                <w:color w:val="auto"/>
              </w:rPr>
            </w:pPr>
          </w:p>
        </w:tc>
      </w:tr>
      <w:tr>
        <w:trPr>
          <w:trHeight w:val="175"/>
        </w:trPr>
        <w:tc>
          <w:tcPr>
            <w:tcW w:w="1820" w:type="dxa"/>
            <w:vAlign w:val="bottom"/>
          </w:tcPr>
          <w:p>
            <w:pPr>
              <w:spacing w:after="0" w:line="176" w:lineRule="exact"/>
              <w:rPr>
                <w:sz w:val="20"/>
                <w:szCs w:val="20"/>
                <w:color w:val="auto"/>
              </w:rPr>
            </w:pPr>
            <w:r>
              <w:rPr>
                <w:rFonts w:ascii="Arial" w:cs="Arial" w:eastAsia="Arial" w:hAnsi="Arial"/>
                <w:sz w:val="18"/>
                <w:szCs w:val="18"/>
                <w:color w:val="auto"/>
              </w:rPr>
              <w:t>first-line NSCLC,</w:t>
            </w:r>
          </w:p>
        </w:tc>
        <w:tc>
          <w:tcPr>
            <w:tcW w:w="1700" w:type="dxa"/>
            <w:vAlign w:val="bottom"/>
          </w:tcPr>
          <w:p>
            <w:pPr>
              <w:ind w:left="100"/>
              <w:spacing w:after="0" w:line="176" w:lineRule="exact"/>
              <w:rPr>
                <w:sz w:val="20"/>
                <w:szCs w:val="20"/>
                <w:color w:val="auto"/>
              </w:rPr>
            </w:pPr>
            <w:r>
              <w:rPr>
                <w:rFonts w:ascii="Arial" w:cs="Arial" w:eastAsia="Arial" w:hAnsi="Arial"/>
                <w:sz w:val="18"/>
                <w:szCs w:val="18"/>
                <w:color w:val="auto"/>
                <w:w w:val="90"/>
              </w:rPr>
              <w:t>regulatory submission</w:t>
            </w:r>
          </w:p>
        </w:tc>
        <w:tc>
          <w:tcPr>
            <w:tcW w:w="0" w:type="dxa"/>
            <w:vAlign w:val="bottom"/>
          </w:tcPr>
          <w:p>
            <w:pPr>
              <w:spacing w:after="0"/>
              <w:rPr>
                <w:sz w:val="1"/>
                <w:szCs w:val="1"/>
                <w:color w:val="auto"/>
              </w:rPr>
            </w:pPr>
          </w:p>
        </w:tc>
      </w:tr>
      <w:tr>
        <w:trPr>
          <w:trHeight w:val="175"/>
        </w:trPr>
        <w:tc>
          <w:tcPr>
            <w:tcW w:w="1820" w:type="dxa"/>
            <w:vAlign w:val="bottom"/>
          </w:tcPr>
          <w:p>
            <w:pPr>
              <w:spacing w:after="0" w:line="176" w:lineRule="exact"/>
              <w:rPr>
                <w:sz w:val="20"/>
                <w:szCs w:val="20"/>
                <w:color w:val="auto"/>
              </w:rPr>
            </w:pPr>
            <w:r>
              <w:rPr>
                <w:rFonts w:ascii="Arial" w:cs="Arial" w:eastAsia="Arial" w:hAnsi="Arial"/>
                <w:sz w:val="18"/>
                <w:szCs w:val="18"/>
                <w:color w:val="auto"/>
              </w:rPr>
              <w:t>monotherapy</w:t>
            </w:r>
          </w:p>
        </w:tc>
        <w:tc>
          <w:tcPr>
            <w:tcW w:w="1700" w:type="dxa"/>
            <w:vAlign w:val="bottom"/>
          </w:tcPr>
          <w:p>
            <w:pPr>
              <w:ind w:left="100"/>
              <w:spacing w:after="0" w:line="176" w:lineRule="exact"/>
              <w:rPr>
                <w:sz w:val="20"/>
                <w:szCs w:val="20"/>
                <w:color w:val="auto"/>
              </w:rPr>
            </w:pPr>
            <w:r>
              <w:rPr>
                <w:rFonts w:ascii="Arial" w:cs="Arial" w:eastAsia="Arial" w:hAnsi="Arial"/>
                <w:sz w:val="18"/>
                <w:szCs w:val="18"/>
                <w:color w:val="auto"/>
                <w:w w:val="98"/>
              </w:rPr>
              <w:t>for first-line NSCLC,</w:t>
            </w:r>
          </w:p>
        </w:tc>
        <w:tc>
          <w:tcPr>
            <w:tcW w:w="0" w:type="dxa"/>
            <w:vAlign w:val="bottom"/>
          </w:tcPr>
          <w:p>
            <w:pPr>
              <w:spacing w:after="0"/>
              <w:rPr>
                <w:sz w:val="1"/>
                <w:szCs w:val="1"/>
                <w:color w:val="auto"/>
              </w:rPr>
            </w:pPr>
          </w:p>
        </w:tc>
      </w:tr>
      <w:tr>
        <w:trPr>
          <w:trHeight w:val="175"/>
        </w:trPr>
        <w:tc>
          <w:tcPr>
            <w:tcW w:w="1820" w:type="dxa"/>
            <w:vAlign w:val="bottom"/>
            <w:vMerge w:val="restart"/>
          </w:tcPr>
          <w:p>
            <w:pPr>
              <w:spacing w:after="0"/>
              <w:rPr>
                <w:sz w:val="20"/>
                <w:szCs w:val="20"/>
                <w:color w:val="auto"/>
              </w:rPr>
            </w:pPr>
            <w:r>
              <w:rPr>
                <w:rFonts w:ascii="Arial" w:cs="Arial" w:eastAsia="Arial" w:hAnsi="Arial"/>
                <w:sz w:val="18"/>
                <w:szCs w:val="18"/>
                <w:color w:val="auto"/>
              </w:rPr>
              <w:t>–Approved by FDA for</w:t>
            </w:r>
          </w:p>
        </w:tc>
        <w:tc>
          <w:tcPr>
            <w:tcW w:w="1700" w:type="dxa"/>
            <w:vAlign w:val="bottom"/>
          </w:tcPr>
          <w:p>
            <w:pPr>
              <w:ind w:left="100"/>
              <w:spacing w:after="0" w:line="176" w:lineRule="exact"/>
              <w:rPr>
                <w:sz w:val="20"/>
                <w:szCs w:val="20"/>
                <w:color w:val="auto"/>
              </w:rPr>
            </w:pPr>
            <w:r>
              <w:rPr>
                <w:rFonts w:ascii="Arial" w:cs="Arial" w:eastAsia="Arial" w:hAnsi="Arial"/>
                <w:sz w:val="18"/>
                <w:szCs w:val="18"/>
                <w:color w:val="auto"/>
              </w:rPr>
              <w:t>monotherapy (mid-</w:t>
            </w:r>
          </w:p>
        </w:tc>
        <w:tc>
          <w:tcPr>
            <w:tcW w:w="0" w:type="dxa"/>
            <w:vAlign w:val="bottom"/>
          </w:tcPr>
          <w:p>
            <w:pPr>
              <w:spacing w:after="0"/>
              <w:rPr>
                <w:sz w:val="1"/>
                <w:szCs w:val="1"/>
                <w:color w:val="auto"/>
              </w:rPr>
            </w:pPr>
          </w:p>
        </w:tc>
      </w:tr>
      <w:tr>
        <w:trPr>
          <w:trHeight w:val="176"/>
        </w:trPr>
        <w:tc>
          <w:tcPr>
            <w:tcW w:w="1820" w:type="dxa"/>
            <w:vAlign w:val="bottom"/>
            <w:vMerge w:val="continue"/>
          </w:tcPr>
          <w:p>
            <w:pPr>
              <w:spacing w:after="0"/>
              <w:rPr>
                <w:sz w:val="15"/>
                <w:szCs w:val="15"/>
                <w:color w:val="auto"/>
              </w:rPr>
            </w:pPr>
          </w:p>
        </w:tc>
        <w:tc>
          <w:tcPr>
            <w:tcW w:w="1700" w:type="dxa"/>
            <w:vAlign w:val="bottom"/>
          </w:tcPr>
          <w:p>
            <w:pPr>
              <w:ind w:left="100"/>
              <w:spacing w:after="0" w:line="176"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BCC</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3" w:lineRule="exact"/>
        <w:rPr>
          <w:sz w:val="20"/>
          <w:szCs w:val="20"/>
          <w:color w:val="auto"/>
        </w:rPr>
      </w:pPr>
    </w:p>
    <w:p>
      <w:pPr>
        <w:sectPr>
          <w:pgSz w:w="11900" w:h="16838" w:orient="portrait"/>
          <w:cols w:equalWidth="0" w:num="2">
            <w:col w:w="7140" w:space="360"/>
            <w:col w:w="3740"/>
          </w:cols>
          <w:pgMar w:left="320" w:top="373" w:right="339" w:bottom="1440" w:gutter="0" w:footer="0" w:header="0"/>
          <w:type w:val="continuous"/>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2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9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2021 Events to Date</w:t>
            </w: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30"/>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2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320" w:type="dxa"/>
            <w:vAlign w:val="bottom"/>
            <w:gridSpan w:val="2"/>
          </w:tcPr>
          <w:p>
            <w:pPr>
              <w:jc w:val="center"/>
              <w:ind w:right="80"/>
              <w:spacing w:after="0" w:line="230" w:lineRule="exact"/>
              <w:rPr>
                <w:sz w:val="20"/>
                <w:szCs w:val="20"/>
                <w:color w:val="auto"/>
              </w:rPr>
            </w:pPr>
            <w:r>
              <w:rPr>
                <w:rFonts w:ascii="Arial" w:cs="Arial" w:eastAsia="Arial" w:hAnsi="Arial"/>
                <w:sz w:val="18"/>
                <w:szCs w:val="18"/>
                <w:b w:val="1"/>
                <w:bCs w:val="1"/>
                <w:color w:val="auto"/>
                <w:w w:val="88"/>
              </w:rPr>
              <w:t>Review</w:t>
            </w:r>
            <w:r>
              <w:rPr>
                <w:rFonts w:ascii="Arial" w:cs="Arial" w:eastAsia="Arial" w:hAnsi="Arial"/>
                <w:sz w:val="23"/>
                <w:szCs w:val="23"/>
                <w:b w:val="1"/>
                <w:bCs w:val="1"/>
                <w:color w:val="auto"/>
                <w:w w:val="88"/>
                <w:vertAlign w:val="superscript"/>
              </w:rPr>
              <w:t>(i)</w:t>
            </w:r>
          </w:p>
        </w:tc>
        <w:tc>
          <w:tcPr>
            <w:tcW w:w="1940" w:type="dxa"/>
            <w:vAlign w:val="bottom"/>
            <w:gridSpan w:val="2"/>
            <w:vMerge w:val="continue"/>
          </w:tcPr>
          <w:p>
            <w:pPr>
              <w:spacing w:after="0"/>
              <w:rPr>
                <w:sz w:val="19"/>
                <w:szCs w:val="19"/>
                <w:color w:val="auto"/>
              </w:rPr>
            </w:pPr>
          </w:p>
        </w:tc>
        <w:tc>
          <w:tcPr>
            <w:tcW w:w="1840" w:type="dxa"/>
            <w:vAlign w:val="bottom"/>
          </w:tcPr>
          <w:p>
            <w:pPr>
              <w:ind w:left="44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6"/>
              </w:rPr>
              <w:t>Libtayo (cemiplimab)</w:t>
            </w:r>
          </w:p>
        </w:tc>
        <w:tc>
          <w:tcPr>
            <w:tcW w:w="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–Adjuvant CSCC</w:t>
            </w:r>
          </w:p>
        </w:tc>
        <w:tc>
          <w:tcPr>
            <w:tcW w:w="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–Reported positive</w:t>
            </w:r>
          </w:p>
        </w:tc>
        <w:tc>
          <w:tcPr>
            <w:tcW w:w="80" w:type="dxa"/>
            <w:vAlign w:val="bottom"/>
          </w:tcPr>
          <w:p>
            <w:pPr>
              <w:spacing w:after="0"/>
              <w:rPr>
                <w:sz w:val="14"/>
                <w:szCs w:val="14"/>
                <w:color w:val="auto"/>
              </w:rPr>
            </w:pPr>
          </w:p>
        </w:tc>
        <w:tc>
          <w:tcPr>
            <w:tcW w:w="18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–Interim analysis from</w:t>
            </w:r>
          </w:p>
        </w:tc>
        <w:tc>
          <w:tcPr>
            <w:tcW w:w="0" w:type="dxa"/>
            <w:vAlign w:val="bottom"/>
          </w:tcPr>
          <w:p>
            <w:pPr>
              <w:spacing w:after="0"/>
              <w:rPr>
                <w:sz w:val="1"/>
                <w:szCs w:val="1"/>
                <w:color w:val="auto"/>
              </w:rPr>
            </w:pPr>
          </w:p>
        </w:tc>
      </w:tr>
      <w:tr>
        <w:trPr>
          <w:trHeight w:val="107"/>
        </w:trPr>
        <w:tc>
          <w:tcPr>
            <w:tcW w:w="186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(a)(h)</w:t>
            </w: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w w:val="95"/>
              </w:rPr>
              <w:t>results from Phase 3 trial</w:t>
            </w:r>
          </w:p>
        </w:tc>
        <w:tc>
          <w:tcPr>
            <w:tcW w:w="18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Phase 3 study in first-</w:t>
            </w:r>
          </w:p>
        </w:tc>
        <w:tc>
          <w:tcPr>
            <w:tcW w:w="0" w:type="dxa"/>
            <w:vAlign w:val="bottom"/>
          </w:tcPr>
          <w:p>
            <w:pPr>
              <w:spacing w:after="0"/>
              <w:rPr>
                <w:sz w:val="1"/>
                <w:szCs w:val="1"/>
                <w:color w:val="auto"/>
              </w:rPr>
            </w:pPr>
          </w:p>
        </w:tc>
      </w:tr>
      <w:tr>
        <w:trPr>
          <w:trHeight w:val="68"/>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(continued)</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8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 cervical cancer,</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line NSCLC,</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demonstrating an overall</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chemotherapy</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survival benefit; trial</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combination (second</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stopped early based on</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half 2021)</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Independent Data</w:t>
            </w: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–EC decision on</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Monitoring Committee</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("IDMC")</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regulatory submission</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recommendation</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3"/>
              </w:rPr>
              <w:t>for advanced BCC (mid-</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96"/>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–Submit sBLA and</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5"/>
              </w:rPr>
              <w:t>Marketing Authorization</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Application ("MAA")</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for cervical cancer</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REGN4018</w:t>
            </w:r>
            <w:r>
              <w:rPr>
                <w:rFonts w:ascii="Arial" w:cs="Arial" w:eastAsia="Arial" w:hAnsi="Arial"/>
                <w:sz w:val="20"/>
                <w:szCs w:val="20"/>
                <w:b w:val="1"/>
                <w:bCs w:val="1"/>
                <w:color w:val="auto"/>
                <w:vertAlign w:val="superscript"/>
              </w:rPr>
              <w:t>(f)</w:t>
            </w:r>
          </w:p>
        </w:tc>
        <w:tc>
          <w:tcPr>
            <w:tcW w:w="1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–Platinum-</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resistant</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Phase 1 study in</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targeting MUC16 and</w:t>
            </w:r>
          </w:p>
        </w:tc>
        <w:tc>
          <w:tcPr>
            <w:tcW w:w="1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ovarian cancer</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platinum-resistant</w:t>
            </w: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CD3</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ovarian cancer (2022)</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REGN5668</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–Ovarian</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cancer</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MUC16 and</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CD28</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REGN5678</w:t>
            </w:r>
          </w:p>
        </w:tc>
        <w:tc>
          <w:tcPr>
            <w:tcW w:w="1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–Prostate</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cancer</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8"/>
              </w:rPr>
              <w:t>Phase 1 study in prostate</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targeting PSMA and</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cancer (2022)</w:t>
            </w: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CD28</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REGN5093</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–MET-altered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advanced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two distinct</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NSCLC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MET epitopes</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Fianlimab</w:t>
            </w:r>
            <w:r>
              <w:rPr>
                <w:rFonts w:ascii="Arial" w:cs="Arial" w:eastAsia="Arial" w:hAnsi="Arial"/>
                <w:sz w:val="20"/>
                <w:szCs w:val="20"/>
                <w:b w:val="1"/>
                <w:bCs w:val="1"/>
                <w:color w:val="auto"/>
                <w:vertAlign w:val="superscript"/>
              </w:rPr>
              <w:t>(f)</w:t>
            </w:r>
          </w:p>
        </w:tc>
        <w:tc>
          <w:tcPr>
            <w:tcW w:w="1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–Solid tumors</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(REGN3767)</w:t>
            </w:r>
          </w:p>
        </w:tc>
        <w:tc>
          <w:tcPr>
            <w:tcW w:w="1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and advanced</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Antibody to LAG-3</w:t>
            </w:r>
          </w:p>
        </w:tc>
        <w:tc>
          <w:tcPr>
            <w:tcW w:w="1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hematologic</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malignancies</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REGN6569</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–Solid tumors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–Dosing and enrollment</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Antibody to GITR</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 Phase 1 trial</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temporarily suspended</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due to a serious adverse</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event</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REGN7075</w:t>
            </w:r>
          </w:p>
        </w:tc>
        <w:tc>
          <w:tcPr>
            <w:tcW w:w="1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–Solid tumors</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targeting EGFR and</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CD28</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Phase 1</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Regulatory</w:t>
            </w:r>
          </w:p>
        </w:tc>
        <w:tc>
          <w:tcPr>
            <w:tcW w:w="19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2021 Events to Date</w:t>
            </w:r>
          </w:p>
        </w:tc>
        <w:tc>
          <w:tcPr>
            <w:tcW w:w="1820" w:type="dxa"/>
            <w:vAlign w:val="bottom"/>
          </w:tcPr>
          <w:p>
            <w:pPr>
              <w:ind w:left="26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30"/>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6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320" w:type="dxa"/>
            <w:vAlign w:val="bottom"/>
            <w:gridSpan w:val="2"/>
          </w:tcPr>
          <w:p>
            <w:pPr>
              <w:ind w:left="280"/>
              <w:spacing w:after="0" w:line="230" w:lineRule="exact"/>
              <w:rPr>
                <w:sz w:val="20"/>
                <w:szCs w:val="20"/>
                <w:color w:val="auto"/>
              </w:rPr>
            </w:pPr>
            <w:r>
              <w:rPr>
                <w:rFonts w:ascii="Arial" w:cs="Arial" w:eastAsia="Arial" w:hAnsi="Arial"/>
                <w:sz w:val="18"/>
                <w:szCs w:val="18"/>
                <w:b w:val="1"/>
                <w:bCs w:val="1"/>
                <w:color w:val="auto"/>
              </w:rPr>
              <w:t>Review</w:t>
            </w:r>
            <w:r>
              <w:rPr>
                <w:rFonts w:ascii="Arial" w:cs="Arial" w:eastAsia="Arial" w:hAnsi="Arial"/>
                <w:sz w:val="23"/>
                <w:szCs w:val="23"/>
                <w:b w:val="1"/>
                <w:bCs w:val="1"/>
                <w:color w:val="auto"/>
                <w:vertAlign w:val="superscript"/>
              </w:rPr>
              <w:t>(i)</w:t>
            </w:r>
          </w:p>
        </w:tc>
        <w:tc>
          <w:tcPr>
            <w:tcW w:w="1900" w:type="dxa"/>
            <w:vAlign w:val="bottom"/>
            <w:gridSpan w:val="2"/>
            <w:vMerge w:val="continue"/>
          </w:tcPr>
          <w:p>
            <w:pPr>
              <w:spacing w:after="0"/>
              <w:rPr>
                <w:sz w:val="19"/>
                <w:szCs w:val="19"/>
                <w:color w:val="auto"/>
              </w:rPr>
            </w:pPr>
          </w:p>
        </w:tc>
        <w:tc>
          <w:tcPr>
            <w:tcW w:w="1820" w:type="dxa"/>
            <w:vAlign w:val="bottom"/>
          </w:tcPr>
          <w:p>
            <w:pPr>
              <w:ind w:left="42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tc>
        <w:tc>
          <w:tcPr>
            <w:tcW w:w="0" w:type="dxa"/>
            <w:vAlign w:val="bottom"/>
          </w:tcPr>
          <w:p>
            <w:pPr>
              <w:spacing w:after="0"/>
              <w:rPr>
                <w:sz w:val="1"/>
                <w:szCs w:val="1"/>
                <w:color w:val="auto"/>
              </w:rPr>
            </w:pPr>
          </w:p>
        </w:tc>
      </w:tr>
      <w:tr>
        <w:trPr>
          <w:trHeight w:val="34"/>
        </w:trPr>
        <w:tc>
          <w:tcPr>
            <w:tcW w:w="1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1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40" w:type="dxa"/>
            <w:vAlign w:val="bottom"/>
            <w:gridSpan w:val="2"/>
            <w:shd w:val="clear" w:color="auto" w:fill="ACACAC"/>
          </w:tcPr>
          <w:p>
            <w:pPr>
              <w:ind w:left="500"/>
              <w:spacing w:after="0"/>
              <w:rPr>
                <w:sz w:val="20"/>
                <w:szCs w:val="20"/>
                <w:color w:val="auto"/>
              </w:rPr>
            </w:pPr>
            <w:r>
              <w:rPr>
                <w:rFonts w:ascii="Arial" w:cs="Arial" w:eastAsia="Arial" w:hAnsi="Arial"/>
                <w:sz w:val="18"/>
                <w:szCs w:val="18"/>
                <w:b w:val="1"/>
                <w:bCs w:val="1"/>
                <w:color w:val="auto"/>
                <w:w w:val="98"/>
              </w:rPr>
              <w:t>Hematology</w:t>
            </w:r>
          </w:p>
        </w:tc>
        <w:tc>
          <w:tcPr>
            <w:tcW w:w="12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Odronextamab</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–Certain B-cell</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–B-cell non-</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–Finalize protocol</w:t>
            </w: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(REGN1979)</w:t>
            </w:r>
          </w:p>
        </w:tc>
        <w:tc>
          <w:tcPr>
            <w:tcW w:w="126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malignancies</w:t>
            </w:r>
            <w:r>
              <w:rPr>
                <w:rFonts w:ascii="Arial" w:cs="Arial" w:eastAsia="Arial" w:hAnsi="Arial"/>
                <w:sz w:val="20"/>
                <w:szCs w:val="20"/>
                <w:color w:val="auto"/>
                <w:vertAlign w:val="superscript"/>
              </w:rPr>
              <w:t>(c)</w:t>
            </w: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Hodgkin</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6" w:lineRule="exact"/>
              <w:rPr>
                <w:sz w:val="20"/>
                <w:szCs w:val="20"/>
                <w:color w:val="auto"/>
              </w:rPr>
            </w:pPr>
            <w:r>
              <w:rPr>
                <w:rFonts w:ascii="Arial" w:cs="Arial" w:eastAsia="Arial" w:hAnsi="Arial"/>
                <w:sz w:val="18"/>
                <w:szCs w:val="18"/>
                <w:color w:val="auto"/>
                <w:w w:val="98"/>
              </w:rPr>
              <w:t>amendment for B-NHL</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(partial clinical</w:t>
            </w: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lymphoma ("B-</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6" w:lineRule="exact"/>
              <w:rPr>
                <w:sz w:val="20"/>
                <w:szCs w:val="20"/>
                <w:color w:val="auto"/>
              </w:rPr>
            </w:pPr>
            <w:r>
              <w:rPr>
                <w:rFonts w:ascii="Arial" w:cs="Arial" w:eastAsia="Arial" w:hAnsi="Arial"/>
                <w:sz w:val="18"/>
                <w:szCs w:val="18"/>
                <w:color w:val="auto"/>
                <w:w w:val="90"/>
              </w:rPr>
              <w:t>trials and resume patient</w:t>
            </w: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CD20 and</w:t>
            </w:r>
          </w:p>
        </w:tc>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hold)</w:t>
            </w: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NHL") (potentially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6" w:lineRule="exact"/>
              <w:rPr>
                <w:sz w:val="20"/>
                <w:szCs w:val="20"/>
                <w:color w:val="auto"/>
              </w:rPr>
            </w:pPr>
            <w:r>
              <w:rPr>
                <w:rFonts w:ascii="Arial" w:cs="Arial" w:eastAsia="Arial" w:hAnsi="Arial"/>
                <w:sz w:val="18"/>
                <w:szCs w:val="18"/>
                <w:color w:val="auto"/>
              </w:rPr>
              <w:t>enrollment (first half</w:t>
            </w: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CD3</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pivotal study)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6"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(partial clinical</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–Initiate Phase 3</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hold)</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program</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REGN5458</w:t>
            </w:r>
            <w:r>
              <w:rPr>
                <w:rFonts w:ascii="Arial" w:cs="Arial" w:eastAsia="Arial" w:hAnsi="Arial"/>
                <w:sz w:val="20"/>
                <w:szCs w:val="20"/>
                <w:b w:val="1"/>
                <w:bCs w:val="1"/>
                <w:color w:val="auto"/>
                <w:vertAlign w:val="superscript"/>
              </w:rPr>
              <w:t>(f)</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–Multiple</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–Expand into earlier</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myeloma</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lines of multiple</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targeting BCMA and</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(potentially pivotal</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myeloma therapy</w:t>
            </w:r>
          </w:p>
        </w:tc>
        <w:tc>
          <w:tcPr>
            <w:tcW w:w="0" w:type="dxa"/>
            <w:vAlign w:val="bottom"/>
          </w:tcPr>
          <w:p>
            <w:pPr>
              <w:spacing w:after="0"/>
              <w:rPr>
                <w:sz w:val="1"/>
                <w:szCs w:val="1"/>
                <w:color w:val="auto"/>
              </w:rPr>
            </w:pPr>
          </w:p>
        </w:tc>
      </w:tr>
      <w:tr>
        <w:trPr>
          <w:trHeight w:val="229"/>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CD3</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study)</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REGN5459</w:t>
            </w:r>
            <w:r>
              <w:rPr>
                <w:rFonts w:ascii="Arial" w:cs="Arial" w:eastAsia="Arial" w:hAnsi="Arial"/>
                <w:sz w:val="20"/>
                <w:szCs w:val="20"/>
                <w:b w:val="1"/>
                <w:bCs w:val="1"/>
                <w:color w:val="auto"/>
                <w:vertAlign w:val="superscript"/>
              </w:rPr>
              <w:t>(f)</w:t>
            </w:r>
          </w:p>
        </w:tc>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–Multiple</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Bispecific antibody</w:t>
            </w:r>
          </w:p>
        </w:tc>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myeloma</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targeting BCMA and</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CD3</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Pozelimab</w:t>
            </w:r>
            <w:r>
              <w:rPr>
                <w:rFonts w:ascii="Arial" w:cs="Arial" w:eastAsia="Arial" w:hAnsi="Arial"/>
                <w:sz w:val="20"/>
                <w:szCs w:val="20"/>
                <w:b w:val="1"/>
                <w:bCs w:val="1"/>
                <w:color w:val="auto"/>
                <w:vertAlign w:val="superscript"/>
              </w:rPr>
              <w:t>(f)</w:t>
            </w:r>
          </w:p>
        </w:tc>
        <w:tc>
          <w:tcPr>
            <w:tcW w:w="1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–Paroxysmal</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–CD55-deficient</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–Initiate Phase 3 study</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(REGN3918)</w:t>
            </w:r>
          </w:p>
        </w:tc>
        <w:tc>
          <w:tcPr>
            <w:tcW w:w="1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nocturnal</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protein-losing</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 myasthenia gravis,</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w w:val="97"/>
              </w:rPr>
              <w:t>Antibody to C5; studied</w:t>
            </w:r>
          </w:p>
        </w:tc>
        <w:tc>
          <w:tcPr>
            <w:tcW w:w="1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hemoglobinuria</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enteropathy</w:t>
            </w:r>
            <w:r>
              <w:rPr>
                <w:rFonts w:ascii="Arial" w:cs="Arial" w:eastAsia="Arial" w:hAnsi="Arial"/>
                <w:sz w:val="20"/>
                <w:szCs w:val="20"/>
                <w:color w:val="auto"/>
                <w:vertAlign w:val="superscript"/>
              </w:rPr>
              <w:t>(c)</w:t>
            </w:r>
            <w:r>
              <w:rPr>
                <w:rFonts w:ascii="Arial" w:cs="Arial" w:eastAsia="Arial" w:hAnsi="Arial"/>
                <w:sz w:val="16"/>
                <w:szCs w:val="16"/>
                <w:color w:val="auto"/>
              </w:rPr>
              <w:t>,</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cemdisran combination</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w w:val="99"/>
              </w:rPr>
              <w:t>as monotherapy and in</w:t>
            </w:r>
          </w:p>
        </w:tc>
        <w:tc>
          <w:tcPr>
            <w:tcW w:w="1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("PNH"),</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monotherapy</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combination with</w:t>
            </w:r>
          </w:p>
        </w:tc>
        <w:tc>
          <w:tcPr>
            <w:tcW w:w="1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cemdisiran</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(potentially pivotal</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cemdisiran</w:t>
            </w:r>
          </w:p>
        </w:tc>
        <w:tc>
          <w:tcPr>
            <w:tcW w:w="1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combination</w:t>
            </w:r>
            <w:r>
              <w:rPr>
                <w:rFonts w:ascii="Arial" w:cs="Arial" w:eastAsia="Arial" w:hAnsi="Arial"/>
                <w:sz w:val="20"/>
                <w:szCs w:val="20"/>
                <w:color w:val="auto"/>
                <w:vertAlign w:val="superscript"/>
              </w:rPr>
              <w:t>(c)</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study)</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w:t>
            </w: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Cemdisiran</w:t>
            </w:r>
            <w:r>
              <w:rPr>
                <w:rFonts w:ascii="Arial" w:cs="Arial" w:eastAsia="Arial" w:hAnsi="Arial"/>
                <w:sz w:val="20"/>
                <w:szCs w:val="20"/>
                <w:b w:val="1"/>
                <w:bCs w:val="1"/>
                <w:color w:val="auto"/>
                <w:vertAlign w:val="superscript"/>
              </w:rPr>
              <w:t>(p)</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–Immunoglobulin</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siRNA therapeutic</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 nephropathy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targeting C5</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REGN7257</w:t>
            </w:r>
          </w:p>
        </w:tc>
        <w:tc>
          <w:tcPr>
            <w:tcW w:w="1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–Aplastic</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IL2Rg</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anemia</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NTLA-2001</w:t>
            </w:r>
            <w:r>
              <w:rPr>
                <w:rFonts w:ascii="Arial" w:cs="Arial" w:eastAsia="Arial" w:hAnsi="Arial"/>
                <w:sz w:val="20"/>
                <w:szCs w:val="20"/>
                <w:b w:val="1"/>
                <w:bCs w:val="1"/>
                <w:color w:val="auto"/>
                <w:vertAlign w:val="superscript"/>
              </w:rPr>
              <w:t>(o)</w:t>
            </w:r>
          </w:p>
        </w:tc>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–Hereditary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TTR gene knockout</w:t>
            </w:r>
          </w:p>
        </w:tc>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transthyretin</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using CRISPR/Cas9</w:t>
            </w:r>
          </w:p>
        </w:tc>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amyloidosis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with</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polyneuropathy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("hATTR-PN")</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3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1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860" w:type="dxa"/>
            <w:vAlign w:val="bottom"/>
            <w:gridSpan w:val="4"/>
            <w:shd w:val="clear" w:color="auto" w:fill="ACACAC"/>
          </w:tcPr>
          <w:p>
            <w:pPr>
              <w:ind w:left="280"/>
              <w:spacing w:after="0"/>
              <w:rPr>
                <w:sz w:val="20"/>
                <w:szCs w:val="20"/>
                <w:color w:val="auto"/>
              </w:rPr>
            </w:pPr>
            <w:r>
              <w:rPr>
                <w:rFonts w:ascii="Arial" w:cs="Arial" w:eastAsia="Arial" w:hAnsi="Arial"/>
                <w:sz w:val="18"/>
                <w:szCs w:val="18"/>
                <w:b w:val="1"/>
                <w:bCs w:val="1"/>
                <w:color w:val="auto"/>
              </w:rPr>
              <w:t>General Medicine</w:t>
            </w:r>
          </w:p>
        </w:tc>
        <w:tc>
          <w:tcPr>
            <w:tcW w:w="18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REGEN-COV</w:t>
            </w:r>
          </w:p>
        </w:tc>
        <w:tc>
          <w:tcPr>
            <w:tcW w:w="1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–COVID-19</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–COVID-19 dose-</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–COVID-19</w:t>
            </w:r>
          </w:p>
        </w:tc>
        <w:tc>
          <w:tcPr>
            <w:tcW w:w="1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–European</w:t>
            </w: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–Reported that Phase 3</w:t>
            </w: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–Data to be reported</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(casirivimab with</w:t>
            </w:r>
          </w:p>
        </w:tc>
        <w:tc>
          <w:tcPr>
            <w:tcW w:w="1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multi-dose</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ranging virology</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treatment in non-</w:t>
            </w:r>
          </w:p>
        </w:tc>
        <w:tc>
          <w:tcPr>
            <w:tcW w:w="1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Medicines</w:t>
            </w: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trials in non-</w:t>
            </w: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from Phase 3</w:t>
            </w: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20"/>
                <w:szCs w:val="20"/>
                <w:b w:val="1"/>
                <w:bCs w:val="1"/>
                <w:color w:val="auto"/>
                <w:vertAlign w:val="subscript"/>
              </w:rPr>
              <w:t>imdevimab)</w:t>
            </w:r>
            <w:r>
              <w:rPr>
                <w:rFonts w:ascii="Arial" w:cs="Arial" w:eastAsia="Arial" w:hAnsi="Arial"/>
                <w:sz w:val="9"/>
                <w:szCs w:val="9"/>
                <w:b w:val="1"/>
                <w:bCs w:val="1"/>
                <w:color w:val="auto"/>
              </w:rPr>
              <w:t>(e)(g)(m)(n)</w:t>
            </w:r>
          </w:p>
        </w:tc>
        <w:tc>
          <w:tcPr>
            <w:tcW w:w="1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safety study</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study in non-</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hospitalized</w:t>
            </w:r>
          </w:p>
        </w:tc>
        <w:tc>
          <w:tcPr>
            <w:tcW w:w="1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Agency</w:t>
            </w: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hospitalized COVID-19</w:t>
            </w: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RECOVERY trial in</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Multi-antibody therapy</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hospitalized</w:t>
            </w: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patients</w:t>
            </w:r>
          </w:p>
        </w:tc>
        <w:tc>
          <w:tcPr>
            <w:tcW w:w="1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("EMA")</w:t>
            </w: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patients met primary</w:t>
            </w: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hospitalized patients</w:t>
            </w: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to SARS-CoV-2 virus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patients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Rolling Review</w:t>
            </w: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and key secondary</w:t>
            </w: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(first half 2021)</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of casirivimab</w:t>
            </w:r>
          </w:p>
        </w:tc>
        <w:tc>
          <w:tcPr>
            <w:tcW w:w="1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endpoints</w:t>
            </w:r>
          </w:p>
        </w:tc>
        <w:tc>
          <w:tcPr>
            <w:tcW w:w="18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6"/>
              </w:rPr>
              <w:t>–Submit BLA and MAA</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with imdevimab</w:t>
            </w: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data</w:t>
            </w: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 COVID-19 (mid-</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00"/>
          </w:cols>
          <w:pgMar w:left="320" w:top="3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16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Phase 1</w:t>
            </w:r>
          </w:p>
        </w:tc>
        <w:tc>
          <w:tcPr>
            <w:tcW w:w="164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Phase 2</w:t>
            </w:r>
          </w:p>
        </w:tc>
        <w:tc>
          <w:tcPr>
            <w:tcW w:w="14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0" w:type="dxa"/>
            <w:vAlign w:val="bottom"/>
          </w:tcPr>
          <w:p>
            <w:pPr>
              <w:spacing w:after="0"/>
              <w:rPr>
                <w:sz w:val="1"/>
                <w:szCs w:val="1"/>
                <w:color w:val="auto"/>
              </w:rPr>
            </w:pPr>
          </w:p>
        </w:tc>
      </w:tr>
      <w:tr>
        <w:trPr>
          <w:trHeight w:val="230"/>
        </w:trPr>
        <w:tc>
          <w:tcPr>
            <w:tcW w:w="184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160" w:type="dxa"/>
            <w:vAlign w:val="bottom"/>
            <w:gridSpan w:val="2"/>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rPr>
              <w:t>REGEN-COV</w:t>
            </w:r>
          </w:p>
        </w:tc>
        <w:tc>
          <w:tcPr>
            <w:tcW w:w="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–COVID-19</w:t>
            </w:r>
          </w:p>
        </w:tc>
        <w:tc>
          <w:tcPr>
            <w:tcW w:w="0" w:type="dxa"/>
            <w:vAlign w:val="bottom"/>
          </w:tcPr>
          <w:p>
            <w:pPr>
              <w:spacing w:after="0"/>
              <w:rPr>
                <w:sz w:val="1"/>
                <w:szCs w:val="1"/>
                <w:color w:val="auto"/>
              </w:rPr>
            </w:pPr>
          </w:p>
        </w:tc>
      </w:tr>
      <w:tr>
        <w:trPr>
          <w:trHeight w:val="175"/>
        </w:trPr>
        <w:tc>
          <w:tcPr>
            <w:tcW w:w="18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(casirivimab with</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ind w:left="20"/>
              <w:spacing w:after="0" w:line="176" w:lineRule="exact"/>
              <w:rPr>
                <w:sz w:val="20"/>
                <w:szCs w:val="20"/>
                <w:color w:val="auto"/>
              </w:rPr>
            </w:pPr>
            <w:r>
              <w:rPr>
                <w:rFonts w:ascii="Arial" w:cs="Arial" w:eastAsia="Arial" w:hAnsi="Arial"/>
                <w:sz w:val="18"/>
                <w:szCs w:val="18"/>
                <w:color w:val="auto"/>
              </w:rPr>
              <w:t>treatment in</w:t>
            </w:r>
          </w:p>
        </w:tc>
        <w:tc>
          <w:tcPr>
            <w:tcW w:w="0" w:type="dxa"/>
            <w:vAlign w:val="bottom"/>
          </w:tcPr>
          <w:p>
            <w:pPr>
              <w:spacing w:after="0"/>
              <w:rPr>
                <w:sz w:val="1"/>
                <w:szCs w:val="1"/>
                <w:color w:val="auto"/>
              </w:rPr>
            </w:pPr>
          </w:p>
        </w:tc>
      </w:tr>
      <w:tr>
        <w:trPr>
          <w:trHeight w:val="176"/>
        </w:trPr>
        <w:tc>
          <w:tcPr>
            <w:tcW w:w="1840" w:type="dxa"/>
            <w:vAlign w:val="bottom"/>
            <w:gridSpan w:val="2"/>
          </w:tcPr>
          <w:p>
            <w:pPr>
              <w:ind w:left="20"/>
              <w:spacing w:after="0" w:line="176" w:lineRule="exact"/>
              <w:rPr>
                <w:sz w:val="20"/>
                <w:szCs w:val="20"/>
                <w:color w:val="auto"/>
              </w:rPr>
            </w:pPr>
            <w:r>
              <w:rPr>
                <w:rFonts w:ascii="Arial" w:cs="Arial" w:eastAsia="Arial" w:hAnsi="Arial"/>
                <w:sz w:val="20"/>
                <w:szCs w:val="20"/>
                <w:b w:val="1"/>
                <w:bCs w:val="1"/>
                <w:color w:val="auto"/>
                <w:vertAlign w:val="subscript"/>
              </w:rPr>
              <w:t>imdevimab)</w:t>
            </w:r>
            <w:r>
              <w:rPr>
                <w:rFonts w:ascii="Arial" w:cs="Arial" w:eastAsia="Arial" w:hAnsi="Arial"/>
                <w:sz w:val="9"/>
                <w:szCs w:val="9"/>
                <w:b w:val="1"/>
                <w:bCs w:val="1"/>
                <w:color w:val="auto"/>
              </w:rPr>
              <w:t>(e)(g)(m)(n)</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ind w:left="20"/>
              <w:spacing w:after="0" w:line="176" w:lineRule="exact"/>
              <w:rPr>
                <w:sz w:val="20"/>
                <w:szCs w:val="20"/>
                <w:color w:val="auto"/>
              </w:rPr>
            </w:pPr>
            <w:r>
              <w:rPr>
                <w:rFonts w:ascii="Arial" w:cs="Arial" w:eastAsia="Arial" w:hAnsi="Arial"/>
                <w:sz w:val="18"/>
                <w:szCs w:val="18"/>
                <w:color w:val="auto"/>
              </w:rPr>
              <w:t>hospitalized</w:t>
            </w:r>
          </w:p>
        </w:tc>
        <w:tc>
          <w:tcPr>
            <w:tcW w:w="0" w:type="dxa"/>
            <w:vAlign w:val="bottom"/>
          </w:tcPr>
          <w:p>
            <w:pPr>
              <w:spacing w:after="0"/>
              <w:rPr>
                <w:sz w:val="1"/>
                <w:szCs w:val="1"/>
                <w:color w:val="auto"/>
              </w:rPr>
            </w:pPr>
          </w:p>
        </w:tc>
      </w:tr>
      <w:tr>
        <w:trPr>
          <w:trHeight w:val="230"/>
        </w:trPr>
        <w:tc>
          <w:tcPr>
            <w:tcW w:w="1840" w:type="dxa"/>
            <w:vAlign w:val="bottom"/>
            <w:gridSpan w:val="2"/>
          </w:tcPr>
          <w:p>
            <w:pPr>
              <w:ind w:left="20"/>
              <w:spacing w:after="0"/>
              <w:rPr>
                <w:sz w:val="20"/>
                <w:szCs w:val="20"/>
                <w:color w:val="auto"/>
              </w:rPr>
            </w:pPr>
            <w:r>
              <w:rPr>
                <w:rFonts w:ascii="Arial" w:cs="Arial" w:eastAsia="Arial" w:hAnsi="Arial"/>
                <w:sz w:val="18"/>
                <w:szCs w:val="18"/>
                <w:i w:val="1"/>
                <w:iCs w:val="1"/>
                <w:color w:val="auto"/>
              </w:rPr>
              <w:t>(continued)</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Arial" w:cs="Arial" w:eastAsia="Arial" w:hAnsi="Arial"/>
                <w:sz w:val="18"/>
                <w:szCs w:val="18"/>
                <w:color w:val="auto"/>
              </w:rPr>
              <w:t>patients</w:t>
            </w:r>
          </w:p>
        </w:tc>
        <w:tc>
          <w:tcPr>
            <w:tcW w:w="0" w:type="dxa"/>
            <w:vAlign w:val="bottom"/>
          </w:tcPr>
          <w:p>
            <w:pPr>
              <w:spacing w:after="0"/>
              <w:rPr>
                <w:sz w:val="1"/>
                <w:szCs w:val="1"/>
                <w:color w:val="auto"/>
              </w:rPr>
            </w:pPr>
          </w:p>
        </w:tc>
      </w:tr>
      <w:tr>
        <w:trPr>
          <w:trHeight w:val="364"/>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8"/>
                <w:szCs w:val="18"/>
                <w:color w:val="auto"/>
              </w:rPr>
              <w:t>–COVID-19</w:t>
            </w: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ind w:left="20"/>
              <w:spacing w:after="0" w:line="176" w:lineRule="exact"/>
              <w:rPr>
                <w:sz w:val="20"/>
                <w:szCs w:val="20"/>
                <w:color w:val="auto"/>
              </w:rPr>
            </w:pPr>
            <w:r>
              <w:rPr>
                <w:rFonts w:ascii="Arial" w:cs="Arial" w:eastAsia="Arial" w:hAnsi="Arial"/>
                <w:sz w:val="18"/>
                <w:szCs w:val="18"/>
                <w:color w:val="auto"/>
              </w:rPr>
              <w:t>treatment in</w:t>
            </w: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ind w:left="20"/>
              <w:spacing w:after="0" w:line="176" w:lineRule="exact"/>
              <w:rPr>
                <w:sz w:val="20"/>
                <w:szCs w:val="20"/>
                <w:color w:val="auto"/>
              </w:rPr>
            </w:pPr>
            <w:r>
              <w:rPr>
                <w:rFonts w:ascii="Arial" w:cs="Arial" w:eastAsia="Arial" w:hAnsi="Arial"/>
                <w:sz w:val="18"/>
                <w:szCs w:val="18"/>
                <w:color w:val="auto"/>
              </w:rPr>
              <w:t>hospitalized</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ind w:left="20"/>
              <w:spacing w:after="0" w:line="176" w:lineRule="exact"/>
              <w:rPr>
                <w:sz w:val="20"/>
                <w:szCs w:val="20"/>
                <w:color w:val="auto"/>
              </w:rPr>
            </w:pPr>
            <w:r>
              <w:rPr>
                <w:rFonts w:ascii="Arial" w:cs="Arial" w:eastAsia="Arial" w:hAnsi="Arial"/>
                <w:sz w:val="18"/>
                <w:szCs w:val="18"/>
                <w:color w:val="auto"/>
                <w:w w:val="92"/>
              </w:rPr>
              <w:t>patients (UK-based</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Arial" w:cs="Arial" w:eastAsia="Arial" w:hAnsi="Arial"/>
                <w:sz w:val="18"/>
                <w:szCs w:val="18"/>
                <w:color w:val="auto"/>
              </w:rPr>
              <w:t>RECOVERY trial)</w:t>
            </w:r>
          </w:p>
        </w:tc>
        <w:tc>
          <w:tcPr>
            <w:tcW w:w="0" w:type="dxa"/>
            <w:vAlign w:val="bottom"/>
          </w:tcPr>
          <w:p>
            <w:pPr>
              <w:spacing w:after="0"/>
              <w:rPr>
                <w:sz w:val="1"/>
                <w:szCs w:val="1"/>
                <w:color w:val="auto"/>
              </w:rPr>
            </w:pPr>
          </w:p>
        </w:tc>
      </w:tr>
      <w:tr>
        <w:trPr>
          <w:trHeight w:val="364"/>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8"/>
                <w:szCs w:val="18"/>
                <w:color w:val="auto"/>
              </w:rPr>
              <w:t>–COVID-19</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Arial" w:cs="Arial" w:eastAsia="Arial" w:hAnsi="Arial"/>
                <w:sz w:val="18"/>
                <w:szCs w:val="18"/>
                <w:color w:val="auto"/>
              </w:rPr>
              <w:t>prevention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-1577340</wp:posOffset>
            </wp:positionV>
            <wp:extent cx="7132320" cy="2494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b w:val="1"/>
                <w:bCs w:val="1"/>
                <w:color w:val="auto"/>
              </w:rPr>
              <w:t>Praluent (alirocumab)</w:t>
            </w:r>
          </w:p>
        </w:tc>
        <w:tc>
          <w:tcPr>
            <w:tcW w:w="2880" w:type="dxa"/>
            <w:vAlign w:val="bottom"/>
          </w:tcPr>
          <w:p>
            <w:pPr>
              <w:ind w:left="1460"/>
              <w:spacing w:after="0"/>
              <w:rPr>
                <w:sz w:val="20"/>
                <w:szCs w:val="20"/>
                <w:color w:val="auto"/>
              </w:rPr>
            </w:pPr>
            <w:r>
              <w:rPr>
                <w:rFonts w:ascii="Arial" w:cs="Arial" w:eastAsia="Arial" w:hAnsi="Arial"/>
                <w:sz w:val="18"/>
                <w:szCs w:val="18"/>
                <w:color w:val="auto"/>
              </w:rPr>
              <w:t>–HeFH in</w:t>
            </w:r>
          </w:p>
        </w:tc>
        <w:tc>
          <w:tcPr>
            <w:tcW w:w="0" w:type="dxa"/>
            <w:vAlign w:val="bottom"/>
          </w:tcPr>
          <w:p>
            <w:pPr>
              <w:spacing w:after="0"/>
              <w:rPr>
                <w:sz w:val="1"/>
                <w:szCs w:val="1"/>
                <w:color w:val="auto"/>
              </w:rPr>
            </w:pPr>
          </w:p>
        </w:tc>
      </w:tr>
      <w:tr>
        <w:trPr>
          <w:trHeight w:val="107"/>
        </w:trPr>
        <w:tc>
          <w:tcPr>
            <w:tcW w:w="3180" w:type="dxa"/>
            <w:vAlign w:val="bottom"/>
          </w:tcPr>
          <w:p>
            <w:pPr>
              <w:spacing w:after="0" w:line="107" w:lineRule="exact"/>
              <w:rPr>
                <w:sz w:val="20"/>
                <w:szCs w:val="20"/>
                <w:color w:val="auto"/>
              </w:rPr>
            </w:pPr>
            <w:r>
              <w:rPr>
                <w:rFonts w:ascii="Arial" w:cs="Arial" w:eastAsia="Arial" w:hAnsi="Arial"/>
                <w:sz w:val="12"/>
                <w:szCs w:val="12"/>
                <w:b w:val="1"/>
                <w:bCs w:val="1"/>
                <w:color w:val="auto"/>
              </w:rPr>
              <w:t>(j)</w:t>
            </w:r>
          </w:p>
        </w:tc>
        <w:tc>
          <w:tcPr>
            <w:tcW w:w="2880" w:type="dxa"/>
            <w:vAlign w:val="bottom"/>
            <w:vMerge w:val="restart"/>
          </w:tcPr>
          <w:p>
            <w:pPr>
              <w:ind w:left="1460"/>
              <w:spacing w:after="0"/>
              <w:rPr>
                <w:sz w:val="20"/>
                <w:szCs w:val="20"/>
                <w:color w:val="auto"/>
              </w:rPr>
            </w:pPr>
            <w:r>
              <w:rPr>
                <w:rFonts w:ascii="Arial" w:cs="Arial" w:eastAsia="Arial" w:hAnsi="Arial"/>
                <w:sz w:val="18"/>
                <w:szCs w:val="18"/>
                <w:color w:val="auto"/>
              </w:rPr>
              <w:t>pediatrics</w:t>
            </w:r>
          </w:p>
        </w:tc>
        <w:tc>
          <w:tcPr>
            <w:tcW w:w="0" w:type="dxa"/>
            <w:vAlign w:val="bottom"/>
          </w:tcPr>
          <w:p>
            <w:pPr>
              <w:spacing w:after="0"/>
              <w:rPr>
                <w:sz w:val="1"/>
                <w:szCs w:val="1"/>
                <w:color w:val="auto"/>
              </w:rPr>
            </w:pPr>
          </w:p>
        </w:tc>
      </w:tr>
      <w:tr>
        <w:trPr>
          <w:trHeight w:val="123"/>
        </w:trPr>
        <w:tc>
          <w:tcPr>
            <w:tcW w:w="3180" w:type="dxa"/>
            <w:vAlign w:val="bottom"/>
            <w:vMerge w:val="restart"/>
          </w:tcPr>
          <w:p>
            <w:pPr>
              <w:spacing w:after="0"/>
              <w:rPr>
                <w:sz w:val="20"/>
                <w:szCs w:val="20"/>
                <w:color w:val="auto"/>
              </w:rPr>
            </w:pPr>
            <w:r>
              <w:rPr>
                <w:rFonts w:ascii="Arial" w:cs="Arial" w:eastAsia="Arial" w:hAnsi="Arial"/>
                <w:sz w:val="18"/>
                <w:szCs w:val="18"/>
                <w:i w:val="1"/>
                <w:iCs w:val="1"/>
                <w:color w:val="auto"/>
              </w:rPr>
              <w:t>Antibody to PCSK9</w:t>
            </w: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80" w:type="dxa"/>
            <w:vAlign w:val="bottom"/>
            <w:vMerge w:val="continue"/>
          </w:tcPr>
          <w:p>
            <w:pPr>
              <w:spacing w:after="0"/>
              <w:rPr>
                <w:sz w:val="9"/>
                <w:szCs w:val="9"/>
                <w:color w:val="auto"/>
              </w:rPr>
            </w:pP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8"/>
                <w:szCs w:val="18"/>
                <w:b w:val="1"/>
                <w:bCs w:val="1"/>
                <w:color w:val="auto"/>
              </w:rPr>
              <w:t>Fasinumab</w:t>
            </w:r>
            <w:r>
              <w:rPr>
                <w:rFonts w:ascii="Arial" w:cs="Arial" w:eastAsia="Arial" w:hAnsi="Arial"/>
                <w:sz w:val="23"/>
                <w:szCs w:val="23"/>
                <w:b w:val="1"/>
                <w:bCs w:val="1"/>
                <w:color w:val="auto"/>
                <w:vertAlign w:val="superscript"/>
              </w:rPr>
              <w:t>(l)(f)</w:t>
            </w:r>
          </w:p>
        </w:tc>
        <w:tc>
          <w:tcPr>
            <w:tcW w:w="2880" w:type="dxa"/>
            <w:vAlign w:val="bottom"/>
          </w:tcPr>
          <w:p>
            <w:pPr>
              <w:ind w:left="1460"/>
              <w:spacing w:after="0"/>
              <w:rPr>
                <w:sz w:val="20"/>
                <w:szCs w:val="20"/>
                <w:color w:val="auto"/>
              </w:rPr>
            </w:pPr>
            <w:r>
              <w:rPr>
                <w:rFonts w:ascii="Arial" w:cs="Arial" w:eastAsia="Arial" w:hAnsi="Arial"/>
                <w:sz w:val="18"/>
                <w:szCs w:val="18"/>
                <w:color w:val="auto"/>
                <w:w w:val="89"/>
              </w:rPr>
              <w:t>–Osteoarthritis pain</w:t>
            </w:r>
          </w:p>
        </w:tc>
        <w:tc>
          <w:tcPr>
            <w:tcW w:w="0" w:type="dxa"/>
            <w:vAlign w:val="bottom"/>
          </w:tcPr>
          <w:p>
            <w:pPr>
              <w:spacing w:after="0"/>
              <w:rPr>
                <w:sz w:val="1"/>
                <w:szCs w:val="1"/>
                <w:color w:val="auto"/>
              </w:rPr>
            </w:pPr>
          </w:p>
        </w:tc>
      </w:tr>
      <w:tr>
        <w:trPr>
          <w:trHeight w:val="176"/>
        </w:trPr>
        <w:tc>
          <w:tcPr>
            <w:tcW w:w="3180" w:type="dxa"/>
            <w:vAlign w:val="bottom"/>
          </w:tcPr>
          <w:p>
            <w:pPr>
              <w:spacing w:after="0" w:line="176" w:lineRule="exact"/>
              <w:rPr>
                <w:sz w:val="20"/>
                <w:szCs w:val="20"/>
                <w:color w:val="auto"/>
              </w:rPr>
            </w:pPr>
            <w:r>
              <w:rPr>
                <w:rFonts w:ascii="Arial" w:cs="Arial" w:eastAsia="Arial" w:hAnsi="Arial"/>
                <w:sz w:val="18"/>
                <w:szCs w:val="18"/>
                <w:b w:val="1"/>
                <w:bCs w:val="1"/>
                <w:color w:val="auto"/>
              </w:rPr>
              <w:t>(REGN475)</w:t>
            </w:r>
          </w:p>
        </w:tc>
        <w:tc>
          <w:tcPr>
            <w:tcW w:w="2880" w:type="dxa"/>
            <w:vAlign w:val="bottom"/>
          </w:tcPr>
          <w:p>
            <w:pPr>
              <w:ind w:left="1460"/>
              <w:spacing w:after="0" w:line="176" w:lineRule="exact"/>
              <w:rPr>
                <w:sz w:val="20"/>
                <w:szCs w:val="20"/>
                <w:color w:val="auto"/>
              </w:rPr>
            </w:pPr>
            <w:r>
              <w:rPr>
                <w:rFonts w:ascii="Arial" w:cs="Arial" w:eastAsia="Arial" w:hAnsi="Arial"/>
                <w:sz w:val="16"/>
                <w:szCs w:val="16"/>
                <w:color w:val="auto"/>
              </w:rPr>
              <w:t>of the knee or hip</w:t>
            </w:r>
            <w:r>
              <w:rPr>
                <w:rFonts w:ascii="Arial" w:cs="Arial" w:eastAsia="Arial" w:hAnsi="Arial"/>
                <w:sz w:val="20"/>
                <w:szCs w:val="20"/>
                <w:color w:val="auto"/>
                <w:vertAlign w:val="superscript"/>
              </w:rPr>
              <w:t>(e)</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i w:val="1"/>
                <w:iCs w:val="1"/>
                <w:color w:val="auto"/>
              </w:rPr>
              <w:t>Antibody to NGF</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414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rPr>
              <w:t>Evkeeza (evinacumab)</w:t>
            </w:r>
          </w:p>
        </w:tc>
        <w:tc>
          <w:tcPr>
            <w:tcW w:w="2160" w:type="dxa"/>
            <w:vAlign w:val="bottom"/>
          </w:tcPr>
          <w:p>
            <w:pPr>
              <w:ind w:left="640"/>
              <w:spacing w:after="0"/>
              <w:rPr>
                <w:sz w:val="20"/>
                <w:szCs w:val="20"/>
                <w:color w:val="auto"/>
              </w:rPr>
            </w:pPr>
            <w:r>
              <w:rPr>
                <w:rFonts w:ascii="Arial" w:cs="Arial" w:eastAsia="Arial" w:hAnsi="Arial"/>
                <w:sz w:val="18"/>
                <w:szCs w:val="18"/>
                <w:color w:val="auto"/>
              </w:rPr>
              <w:t>–Severe</w:t>
            </w:r>
          </w:p>
        </w:tc>
        <w:tc>
          <w:tcPr>
            <w:tcW w:w="0" w:type="dxa"/>
            <w:vAlign w:val="bottom"/>
          </w:tcPr>
          <w:p>
            <w:pPr>
              <w:spacing w:after="0"/>
              <w:rPr>
                <w:sz w:val="1"/>
                <w:szCs w:val="1"/>
                <w:color w:val="auto"/>
              </w:rPr>
            </w:pPr>
          </w:p>
        </w:tc>
      </w:tr>
      <w:tr>
        <w:trPr>
          <w:trHeight w:val="107"/>
        </w:trPr>
        <w:tc>
          <w:tcPr>
            <w:tcW w:w="2360" w:type="dxa"/>
            <w:vAlign w:val="bottom"/>
          </w:tcPr>
          <w:p>
            <w:pPr>
              <w:spacing w:after="0" w:line="107" w:lineRule="exact"/>
              <w:rPr>
                <w:sz w:val="20"/>
                <w:szCs w:val="20"/>
                <w:color w:val="auto"/>
              </w:rPr>
            </w:pPr>
            <w:r>
              <w:rPr>
                <w:rFonts w:ascii="Arial" w:cs="Arial" w:eastAsia="Arial" w:hAnsi="Arial"/>
                <w:sz w:val="12"/>
                <w:szCs w:val="12"/>
                <w:b w:val="1"/>
                <w:bCs w:val="1"/>
                <w:color w:val="auto"/>
              </w:rPr>
              <w:t>(f)</w:t>
            </w:r>
          </w:p>
        </w:tc>
        <w:tc>
          <w:tcPr>
            <w:tcW w:w="2160" w:type="dxa"/>
            <w:vAlign w:val="bottom"/>
            <w:vMerge w:val="restart"/>
          </w:tcPr>
          <w:p>
            <w:pPr>
              <w:ind w:left="640"/>
              <w:spacing w:after="0"/>
              <w:rPr>
                <w:sz w:val="20"/>
                <w:szCs w:val="20"/>
                <w:color w:val="auto"/>
              </w:rPr>
            </w:pPr>
            <w:r>
              <w:rPr>
                <w:rFonts w:ascii="Arial" w:cs="Arial" w:eastAsia="Arial" w:hAnsi="Arial"/>
                <w:sz w:val="18"/>
                <w:szCs w:val="18"/>
                <w:color w:val="auto"/>
                <w:w w:val="93"/>
              </w:rPr>
              <w:t>hypertriglyceridemia</w:t>
            </w:r>
          </w:p>
        </w:tc>
        <w:tc>
          <w:tcPr>
            <w:tcW w:w="0" w:type="dxa"/>
            <w:vAlign w:val="bottom"/>
          </w:tcPr>
          <w:p>
            <w:pPr>
              <w:spacing w:after="0"/>
              <w:rPr>
                <w:sz w:val="1"/>
                <w:szCs w:val="1"/>
                <w:color w:val="auto"/>
              </w:rPr>
            </w:pPr>
          </w:p>
        </w:tc>
      </w:tr>
      <w:tr>
        <w:trPr>
          <w:trHeight w:val="123"/>
        </w:trPr>
        <w:tc>
          <w:tcPr>
            <w:tcW w:w="2360" w:type="dxa"/>
            <w:vAlign w:val="bottom"/>
            <w:vMerge w:val="restart"/>
          </w:tcPr>
          <w:p>
            <w:pPr>
              <w:spacing w:after="0"/>
              <w:rPr>
                <w:sz w:val="20"/>
                <w:szCs w:val="20"/>
                <w:color w:val="auto"/>
              </w:rPr>
            </w:pPr>
            <w:r>
              <w:rPr>
                <w:rFonts w:ascii="Arial" w:cs="Arial" w:eastAsia="Arial" w:hAnsi="Arial"/>
                <w:sz w:val="18"/>
                <w:szCs w:val="18"/>
                <w:i w:val="1"/>
                <w:iCs w:val="1"/>
                <w:color w:val="auto"/>
              </w:rPr>
              <w:t>Antibody to ANGPTL3</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60" w:type="dxa"/>
            <w:vAlign w:val="bottom"/>
            <w:vMerge w:val="continue"/>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Regulatory</w:t>
            </w:r>
          </w:p>
        </w:tc>
        <w:tc>
          <w:tcPr>
            <w:tcW w:w="184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97"/>
              </w:rPr>
              <w:t>2021 Events to Date</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80"/>
              <w:spacing w:after="0" w:line="230" w:lineRule="exact"/>
              <w:rPr>
                <w:sz w:val="20"/>
                <w:szCs w:val="20"/>
                <w:color w:val="auto"/>
              </w:rPr>
            </w:pPr>
            <w:r>
              <w:rPr>
                <w:rFonts w:ascii="Arial" w:cs="Arial" w:eastAsia="Arial" w:hAnsi="Arial"/>
                <w:sz w:val="18"/>
                <w:szCs w:val="18"/>
                <w:b w:val="1"/>
                <w:bCs w:val="1"/>
                <w:color w:val="auto"/>
              </w:rPr>
              <w:t>Review</w:t>
            </w:r>
            <w:r>
              <w:rPr>
                <w:rFonts w:ascii="Arial" w:cs="Arial" w:eastAsia="Arial" w:hAnsi="Arial"/>
                <w:sz w:val="23"/>
                <w:szCs w:val="23"/>
                <w:b w:val="1"/>
                <w:bCs w:val="1"/>
                <w:color w:val="auto"/>
                <w:vertAlign w:val="superscript"/>
              </w:rPr>
              <w:t>(i)</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–EUA</w:t>
            </w:r>
          </w:p>
        </w:tc>
        <w:tc>
          <w:tcPr>
            <w:tcW w:w="80" w:type="dxa"/>
            <w:vAlign w:val="bottom"/>
          </w:tcPr>
          <w:p>
            <w:pPr>
              <w:spacing w:after="0"/>
              <w:rPr>
                <w:sz w:val="14"/>
                <w:szCs w:val="14"/>
                <w:color w:val="auto"/>
              </w:rPr>
            </w:pPr>
          </w:p>
        </w:tc>
        <w:tc>
          <w:tcPr>
            <w:tcW w:w="18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–NIH COVID-19</w:t>
            </w:r>
          </w:p>
        </w:tc>
        <w:tc>
          <w:tcPr>
            <w:tcW w:w="0" w:type="dxa"/>
            <w:vAlign w:val="bottom"/>
          </w:tcPr>
          <w:p>
            <w:pPr>
              <w:spacing w:after="0"/>
              <w:rPr>
                <w:sz w:val="1"/>
                <w:szCs w:val="1"/>
                <w:color w:val="auto"/>
              </w:rPr>
            </w:pPr>
          </w:p>
        </w:tc>
      </w:tr>
      <w:tr>
        <w:trPr>
          <w:trHeight w:val="175"/>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rPr>
              <w:t>amendment for</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Treatment Guidelines</w:t>
            </w:r>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rPr>
              <w:t>lower 1,200 mg</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updated to strongly</w:t>
            </w:r>
          </w:p>
        </w:tc>
        <w:tc>
          <w:tcPr>
            <w:tcW w:w="0" w:type="dxa"/>
            <w:vAlign w:val="bottom"/>
          </w:tcPr>
          <w:p>
            <w:pPr>
              <w:spacing w:after="0"/>
              <w:rPr>
                <w:sz w:val="1"/>
                <w:szCs w:val="1"/>
                <w:color w:val="auto"/>
              </w:rPr>
            </w:pPr>
          </w:p>
        </w:tc>
      </w:tr>
      <w:tr>
        <w:trPr>
          <w:trHeight w:val="175"/>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w w:val="96"/>
              </w:rPr>
              <w:t>dose (treatment)</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recommend REGEN-</w:t>
            </w:r>
          </w:p>
        </w:tc>
        <w:tc>
          <w:tcPr>
            <w:tcW w:w="0" w:type="dxa"/>
            <w:vAlign w:val="bottom"/>
          </w:tcPr>
          <w:p>
            <w:pPr>
              <w:spacing w:after="0"/>
              <w:rPr>
                <w:sz w:val="1"/>
                <w:szCs w:val="1"/>
                <w:color w:val="auto"/>
              </w:rPr>
            </w:pPr>
          </w:p>
        </w:tc>
      </w:tr>
      <w:tr>
        <w:trPr>
          <w:trHeight w:val="176"/>
        </w:trPr>
        <w:tc>
          <w:tcPr>
            <w:tcW w:w="1300" w:type="dxa"/>
            <w:vAlign w:val="bottom"/>
            <w:gridSpan w:val="2"/>
            <w:vMerge w:val="restart"/>
          </w:tcPr>
          <w:p>
            <w:pPr>
              <w:spacing w:after="0"/>
              <w:rPr>
                <w:sz w:val="20"/>
                <w:szCs w:val="20"/>
                <w:color w:val="auto"/>
              </w:rPr>
            </w:pPr>
            <w:r>
              <w:rPr>
                <w:rFonts w:ascii="Arial" w:cs="Arial" w:eastAsia="Arial" w:hAnsi="Arial"/>
                <w:sz w:val="18"/>
                <w:szCs w:val="18"/>
                <w:color w:val="auto"/>
              </w:rPr>
              <w:t>–EUA</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COV be used in non-</w:t>
            </w:r>
          </w:p>
        </w:tc>
        <w:tc>
          <w:tcPr>
            <w:tcW w:w="0" w:type="dxa"/>
            <w:vAlign w:val="bottom"/>
          </w:tcPr>
          <w:p>
            <w:pPr>
              <w:spacing w:after="0"/>
              <w:rPr>
                <w:sz w:val="1"/>
                <w:szCs w:val="1"/>
                <w:color w:val="auto"/>
              </w:rPr>
            </w:pPr>
          </w:p>
        </w:tc>
      </w:tr>
      <w:tr>
        <w:trPr>
          <w:trHeight w:val="175"/>
        </w:trPr>
        <w:tc>
          <w:tcPr>
            <w:tcW w:w="1300" w:type="dxa"/>
            <w:vAlign w:val="bottom"/>
            <w:gridSpan w:val="2"/>
            <w:vMerge w:val="continue"/>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8"/>
              </w:rPr>
              <w:t>hospitalized COVID-19</w:t>
            </w:r>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rPr>
              <w:t>amendment to</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patients at high risk of</w:t>
            </w:r>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line="176" w:lineRule="exact"/>
              <w:rPr>
                <w:sz w:val="20"/>
                <w:szCs w:val="20"/>
                <w:color w:val="auto"/>
              </w:rPr>
            </w:pPr>
            <w:r>
              <w:rPr>
                <w:rFonts w:ascii="Arial" w:cs="Arial" w:eastAsia="Arial" w:hAnsi="Arial"/>
                <w:sz w:val="18"/>
                <w:szCs w:val="18"/>
                <w:color w:val="auto"/>
              </w:rPr>
              <w:t>add COVID-19</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clinical progression</w:t>
            </w:r>
          </w:p>
        </w:tc>
        <w:tc>
          <w:tcPr>
            <w:tcW w:w="0" w:type="dxa"/>
            <w:vAlign w:val="bottom"/>
          </w:tcPr>
          <w:p>
            <w:pPr>
              <w:spacing w:after="0"/>
              <w:rPr>
                <w:sz w:val="1"/>
                <w:szCs w:val="1"/>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prevention</w:t>
            </w: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w w:val="91"/>
              </w:rPr>
              <w:t>–Reported that all tested</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5"/>
              </w:rPr>
              <w:t>doses in Phase 2 dose-</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ranging study in non-</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0"/>
              </w:rPr>
              <w:t>hospitalized patients met</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the primary endpoint</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w w:val="94"/>
              </w:rPr>
              <w:t>–Reported that Phase 3</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prevention trial in</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uninfected household</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5"/>
              </w:rPr>
              <w:t>contacts of SARS-CoV-</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2 infected individuals</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met primary and key</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secondary endpoints</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–Approved by FDA for</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HoFH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–HoFH (EU)</w:t>
            </w:r>
            <w:r>
              <w:rPr>
                <w:rFonts w:ascii="Arial" w:cs="Arial" w:eastAsia="Arial" w:hAnsi="Arial"/>
                <w:sz w:val="23"/>
                <w:szCs w:val="23"/>
                <w:color w:val="auto"/>
                <w:vertAlign w:val="superscript"/>
              </w:rPr>
              <w:t>(c)</w:t>
            </w:r>
          </w:p>
        </w:tc>
        <w:tc>
          <w:tcPr>
            <w:tcW w:w="1820" w:type="dxa"/>
            <w:vAlign w:val="bottom"/>
          </w:tcPr>
          <w:p>
            <w:pPr>
              <w:ind w:left="120"/>
              <w:spacing w:after="0"/>
              <w:rPr>
                <w:sz w:val="20"/>
                <w:szCs w:val="20"/>
                <w:color w:val="auto"/>
              </w:rPr>
            </w:pPr>
            <w:r>
              <w:rPr>
                <w:rFonts w:ascii="Arial" w:cs="Arial" w:eastAsia="Arial" w:hAnsi="Arial"/>
                <w:sz w:val="18"/>
                <w:szCs w:val="18"/>
                <w:color w:val="auto"/>
                <w:w w:val="94"/>
              </w:rPr>
              <w:t>–Approved by FDA for</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20"/>
                <w:szCs w:val="20"/>
                <w:color w:val="auto"/>
              </w:rPr>
            </w:pPr>
            <w:r>
              <w:rPr>
                <w:rFonts w:ascii="Arial" w:cs="Arial" w:eastAsia="Arial" w:hAnsi="Arial"/>
                <w:sz w:val="12"/>
                <w:szCs w:val="12"/>
                <w:color w:val="auto"/>
              </w:rPr>
              <w:t>(d)</w:t>
            </w:r>
          </w:p>
        </w:tc>
        <w:tc>
          <w:tcPr>
            <w:tcW w:w="1820" w:type="dxa"/>
            <w:vAlign w:val="bottom"/>
            <w:vMerge w:val="restart"/>
          </w:tcPr>
          <w:p>
            <w:pPr>
              <w:ind w:left="120"/>
              <w:spacing w:after="0"/>
              <w:rPr>
                <w:sz w:val="20"/>
                <w:szCs w:val="20"/>
                <w:color w:val="auto"/>
              </w:rPr>
            </w:pPr>
            <w:r>
              <w:rPr>
                <w:rFonts w:ascii="Arial" w:cs="Arial" w:eastAsia="Arial" w:hAnsi="Arial"/>
                <w:sz w:val="18"/>
                <w:szCs w:val="18"/>
                <w:color w:val="auto"/>
              </w:rPr>
              <w:t>HoFH</w:t>
            </w:r>
          </w:p>
        </w:tc>
        <w:tc>
          <w:tcPr>
            <w:tcW w:w="0" w:type="dxa"/>
            <w:vAlign w:val="bottom"/>
          </w:tcPr>
          <w:p>
            <w:pPr>
              <w:spacing w:after="0"/>
              <w:rPr>
                <w:sz w:val="1"/>
                <w:szCs w:val="1"/>
                <w:color w:val="auto"/>
              </w:rPr>
            </w:pPr>
          </w:p>
        </w:tc>
      </w:tr>
      <w:tr>
        <w:trPr>
          <w:trHeight w:val="82"/>
        </w:trPr>
        <w:tc>
          <w:tcPr>
            <w:tcW w:w="120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1200" w:type="dxa"/>
            <w:vAlign w:val="bottom"/>
          </w:tcPr>
          <w:p>
            <w:pPr>
              <w:spacing w:after="0"/>
              <w:rPr>
                <w:sz w:val="24"/>
                <w:szCs w:val="24"/>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w w:val="93"/>
              </w:rPr>
              <w:t>–EMA's Committee for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820" w:type="dxa"/>
            <w:vAlign w:val="bottom"/>
          </w:tcPr>
          <w:p>
            <w:pPr>
              <w:ind w:left="120"/>
              <w:spacing w:after="0" w:line="176" w:lineRule="exact"/>
              <w:rPr>
                <w:sz w:val="20"/>
                <w:szCs w:val="20"/>
                <w:color w:val="auto"/>
              </w:rPr>
            </w:pPr>
            <w:r>
              <w:rPr>
                <w:rFonts w:ascii="Arial" w:cs="Arial" w:eastAsia="Arial" w:hAnsi="Arial"/>
                <w:sz w:val="18"/>
                <w:szCs w:val="18"/>
                <w:color w:val="auto"/>
                <w:w w:val="94"/>
              </w:rPr>
              <w:t>Medicinal Products for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820" w:type="dxa"/>
            <w:vAlign w:val="bottom"/>
          </w:tcPr>
          <w:p>
            <w:pPr>
              <w:ind w:left="120"/>
              <w:spacing w:after="0" w:line="176" w:lineRule="exact"/>
              <w:rPr>
                <w:sz w:val="20"/>
                <w:szCs w:val="20"/>
                <w:color w:val="auto"/>
              </w:rPr>
            </w:pPr>
            <w:r>
              <w:rPr>
                <w:rFonts w:ascii="Arial" w:cs="Arial" w:eastAsia="Arial" w:hAnsi="Arial"/>
                <w:sz w:val="18"/>
                <w:szCs w:val="18"/>
                <w:color w:val="auto"/>
                <w:w w:val="94"/>
              </w:rPr>
              <w:t>Human Use ("CHMP")</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820" w:type="dxa"/>
            <w:vAlign w:val="bottom"/>
          </w:tcPr>
          <w:p>
            <w:pPr>
              <w:ind w:left="120"/>
              <w:spacing w:after="0" w:line="176" w:lineRule="exact"/>
              <w:rPr>
                <w:sz w:val="20"/>
                <w:szCs w:val="20"/>
                <w:color w:val="auto"/>
              </w:rPr>
            </w:pPr>
            <w:r>
              <w:rPr>
                <w:rFonts w:ascii="Arial" w:cs="Arial" w:eastAsia="Arial" w:hAnsi="Arial"/>
                <w:sz w:val="18"/>
                <w:szCs w:val="18"/>
                <w:color w:val="auto"/>
                <w:w w:val="88"/>
              </w:rPr>
              <w:t>recommended approval</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for HoFH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 Upcoming</w:t>
      </w:r>
    </w:p>
    <w:p>
      <w:pPr>
        <w:jc w:val="center"/>
        <w:ind w:right="-19"/>
        <w:spacing w:after="0"/>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–Report interim results from Phase 3 study for HeFH in pediatrics (first half 2021)</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–Report additional longer-term safety results from Phase 3 studies in osteoarthritis pain of the knee or hip (2021)</w:t>
      </w:r>
    </w:p>
    <w:p>
      <w:pPr>
        <w:spacing w:after="0" w:line="191"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–Continue discussions with regulatory authorities and determine next steps for the program (2021)</w:t>
      </w:r>
    </w:p>
    <w:p>
      <w:pPr>
        <w:spacing w:after="0" w:line="4"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–EC decision on MAA for HoFH (first half 2021)</w:t>
      </w:r>
    </w:p>
    <w:p>
      <w:pPr>
        <w:sectPr>
          <w:pgSz w:w="11900" w:h="16838" w:orient="portrait"/>
          <w:cols w:equalWidth="0" w:num="3">
            <w:col w:w="6100" w:space="100"/>
            <w:col w:w="3140" w:space="100"/>
            <w:col w:w="1760"/>
          </w:cols>
          <w:pgMar w:left="320" w:top="373" w:right="37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ind w:left="240"/>
              <w:spacing w:after="0"/>
              <w:rPr>
                <w:sz w:val="20"/>
                <w:szCs w:val="20"/>
                <w:color w:val="auto"/>
              </w:rPr>
            </w:pPr>
            <w:r>
              <w:rPr>
                <w:rFonts w:ascii="Arial" w:cs="Arial" w:eastAsia="Arial" w:hAnsi="Arial"/>
                <w:sz w:val="18"/>
                <w:szCs w:val="18"/>
                <w:b w:val="1"/>
                <w:bCs w:val="1"/>
                <w:color w:val="auto"/>
              </w:rPr>
              <w:t>Clinical Program</w:t>
            </w:r>
          </w:p>
        </w:tc>
        <w:tc>
          <w:tcPr>
            <w:tcW w:w="12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Phase 1</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Regulatory</w:t>
            </w:r>
          </w:p>
        </w:tc>
        <w:tc>
          <w:tcPr>
            <w:tcW w:w="19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2021 Events to Date</w:t>
            </w: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30"/>
        </w:trPr>
        <w:tc>
          <w:tcPr>
            <w:tcW w:w="188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0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320" w:type="dxa"/>
            <w:vAlign w:val="bottom"/>
            <w:gridSpan w:val="2"/>
          </w:tcPr>
          <w:p>
            <w:pPr>
              <w:jc w:val="center"/>
              <w:ind w:right="60"/>
              <w:spacing w:after="0" w:line="230" w:lineRule="exact"/>
              <w:rPr>
                <w:sz w:val="20"/>
                <w:szCs w:val="20"/>
                <w:color w:val="auto"/>
              </w:rPr>
            </w:pPr>
            <w:r>
              <w:rPr>
                <w:rFonts w:ascii="Arial" w:cs="Arial" w:eastAsia="Arial" w:hAnsi="Arial"/>
                <w:sz w:val="18"/>
                <w:szCs w:val="18"/>
                <w:b w:val="1"/>
                <w:bCs w:val="1"/>
                <w:color w:val="auto"/>
                <w:w w:val="86"/>
              </w:rPr>
              <w:t>Review</w:t>
            </w:r>
            <w:r>
              <w:rPr>
                <w:rFonts w:ascii="Arial" w:cs="Arial" w:eastAsia="Arial" w:hAnsi="Arial"/>
                <w:sz w:val="23"/>
                <w:szCs w:val="23"/>
                <w:b w:val="1"/>
                <w:bCs w:val="1"/>
                <w:color w:val="auto"/>
                <w:w w:val="86"/>
                <w:vertAlign w:val="superscript"/>
              </w:rPr>
              <w:t>(i)</w:t>
            </w:r>
          </w:p>
        </w:tc>
        <w:tc>
          <w:tcPr>
            <w:tcW w:w="1920" w:type="dxa"/>
            <w:vAlign w:val="bottom"/>
            <w:gridSpan w:val="2"/>
            <w:vMerge w:val="continue"/>
          </w:tcPr>
          <w:p>
            <w:pPr>
              <w:spacing w:after="0"/>
              <w:rPr>
                <w:sz w:val="19"/>
                <w:szCs w:val="19"/>
                <w:color w:val="auto"/>
              </w:rPr>
            </w:pPr>
          </w:p>
        </w:tc>
        <w:tc>
          <w:tcPr>
            <w:tcW w:w="1840" w:type="dxa"/>
            <w:vAlign w:val="bottom"/>
          </w:tcPr>
          <w:p>
            <w:pPr>
              <w:ind w:left="440"/>
              <w:spacing w:after="0" w:line="23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(k)</w:t>
            </w: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Garetosmab</w:t>
            </w:r>
            <w:r>
              <w:rPr>
                <w:rFonts w:ascii="Arial" w:cs="Arial" w:eastAsia="Arial" w:hAnsi="Arial"/>
                <w:sz w:val="19"/>
                <w:szCs w:val="19"/>
                <w:b w:val="1"/>
                <w:bCs w:val="1"/>
                <w:color w:val="auto"/>
                <w:vertAlign w:val="superscript"/>
              </w:rPr>
              <w:t>(f)</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–Fibrodysplasia</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–Further review trial</w:t>
            </w:r>
          </w:p>
        </w:tc>
        <w:tc>
          <w:tcPr>
            <w:tcW w:w="0" w:type="dxa"/>
            <w:vAlign w:val="bottom"/>
          </w:tcPr>
          <w:p>
            <w:pPr>
              <w:spacing w:after="0"/>
              <w:rPr>
                <w:sz w:val="1"/>
                <w:szCs w:val="1"/>
                <w:color w:val="auto"/>
              </w:rPr>
            </w:pPr>
          </w:p>
        </w:tc>
      </w:tr>
      <w:tr>
        <w:trPr>
          <w:trHeight w:val="175"/>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(REGN2477)</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ossificans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data and determine next</w:t>
            </w:r>
          </w:p>
        </w:tc>
        <w:tc>
          <w:tcPr>
            <w:tcW w:w="0" w:type="dxa"/>
            <w:vAlign w:val="bottom"/>
          </w:tcPr>
          <w:p>
            <w:pPr>
              <w:spacing w:after="0"/>
              <w:rPr>
                <w:sz w:val="1"/>
                <w:szCs w:val="1"/>
                <w:color w:val="auto"/>
              </w:rPr>
            </w:pPr>
          </w:p>
        </w:tc>
      </w:tr>
      <w:tr>
        <w:trPr>
          <w:trHeight w:val="176"/>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Antibody to Activin A</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progressiva</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steps for the program</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20"/>
                <w:szCs w:val="20"/>
                <w:color w:val="auto"/>
                <w:vertAlign w:val="subscript"/>
              </w:rPr>
              <w:t>("FOP")</w:t>
            </w:r>
            <w:r>
              <w:rPr>
                <w:rFonts w:ascii="Arial" w:cs="Arial" w:eastAsia="Arial" w:hAnsi="Arial"/>
                <w:sz w:val="9"/>
                <w:szCs w:val="9"/>
                <w:color w:val="auto"/>
              </w:rPr>
              <w:t>(c)(d)(e)</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(first half 2021)</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(potentially pivotal</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study)</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REGN4461</w:t>
            </w:r>
            <w:r>
              <w:rPr>
                <w:rFonts w:ascii="Arial" w:cs="Arial" w:eastAsia="Arial" w:hAnsi="Arial"/>
                <w:sz w:val="20"/>
                <w:szCs w:val="20"/>
                <w:b w:val="1"/>
                <w:bCs w:val="1"/>
                <w:color w:val="auto"/>
                <w:vertAlign w:val="superscript"/>
              </w:rPr>
              <w:t>(f)</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–Generalized</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Agonist antibody to</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lipodystrophy</w:t>
            </w:r>
            <w:r>
              <w:rPr>
                <w:rFonts w:ascii="Arial" w:cs="Arial" w:eastAsia="Arial" w:hAnsi="Arial"/>
                <w:sz w:val="20"/>
                <w:szCs w:val="20"/>
                <w:color w:val="auto"/>
                <w:vertAlign w:val="superscript"/>
              </w:rPr>
              <w:t>(e)</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leptin receptor</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("LEPR")</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REGN5381</w:t>
            </w:r>
          </w:p>
        </w:tc>
        <w:tc>
          <w:tcPr>
            <w:tcW w:w="1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–Heart failure</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Agonist antibody to</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NPR1</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ALN-HSD</w:t>
            </w:r>
            <w:r>
              <w:rPr>
                <w:rFonts w:ascii="Arial" w:cs="Arial" w:eastAsia="Arial" w:hAnsi="Arial"/>
                <w:sz w:val="20"/>
                <w:szCs w:val="20"/>
                <w:b w:val="1"/>
                <w:bCs w:val="1"/>
                <w:color w:val="auto"/>
                <w:vertAlign w:val="superscript"/>
              </w:rPr>
              <w:t>(p)</w:t>
            </w:r>
          </w:p>
        </w:tc>
        <w:tc>
          <w:tcPr>
            <w:tcW w:w="1200" w:type="dxa"/>
            <w:vAlign w:val="bottom"/>
            <w:gridSpan w:val="2"/>
          </w:tcPr>
          <w:p>
            <w:pPr>
              <w:spacing w:after="0" w:line="176" w:lineRule="exact"/>
              <w:rPr>
                <w:sz w:val="20"/>
                <w:szCs w:val="20"/>
                <w:color w:val="auto"/>
              </w:rPr>
            </w:pPr>
            <w:r>
              <w:rPr>
                <w:rFonts w:ascii="Arial" w:cs="Arial" w:eastAsia="Arial" w:hAnsi="Arial"/>
                <w:sz w:val="18"/>
                <w:szCs w:val="18"/>
                <w:color w:val="auto"/>
              </w:rPr>
              <w:t>–Nonalcoholic</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RNAi therapeutic</w:t>
            </w:r>
          </w:p>
        </w:tc>
        <w:tc>
          <w:tcPr>
            <w:tcW w:w="1200" w:type="dxa"/>
            <w:vAlign w:val="bottom"/>
            <w:gridSpan w:val="2"/>
          </w:tcPr>
          <w:p>
            <w:pPr>
              <w:spacing w:after="0" w:line="176" w:lineRule="exact"/>
              <w:rPr>
                <w:sz w:val="20"/>
                <w:szCs w:val="20"/>
                <w:color w:val="auto"/>
              </w:rPr>
            </w:pPr>
            <w:r>
              <w:rPr>
                <w:rFonts w:ascii="Arial" w:cs="Arial" w:eastAsia="Arial" w:hAnsi="Arial"/>
                <w:sz w:val="18"/>
                <w:szCs w:val="18"/>
                <w:color w:val="auto"/>
              </w:rPr>
              <w:t>steatohepatitis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targeting HSD17B13</w:t>
            </w:r>
          </w:p>
        </w:tc>
        <w:tc>
          <w:tcPr>
            <w:tcW w:w="1200" w:type="dxa"/>
            <w:vAlign w:val="bottom"/>
            <w:gridSpan w:val="2"/>
          </w:tcPr>
          <w:p>
            <w:pPr>
              <w:spacing w:after="0"/>
              <w:rPr>
                <w:sz w:val="20"/>
                <w:szCs w:val="20"/>
                <w:color w:val="auto"/>
              </w:rPr>
            </w:pPr>
            <w:r>
              <w:rPr>
                <w:rFonts w:ascii="Arial" w:cs="Arial" w:eastAsia="Arial" w:hAnsi="Arial"/>
                <w:sz w:val="18"/>
                <w:szCs w:val="18"/>
                <w:color w:val="auto"/>
              </w:rPr>
              <w:t>("NASH")</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240" w:right="540"/>
        <w:spacing w:after="0" w:line="237" w:lineRule="auto"/>
        <w:rPr>
          <w:sz w:val="20"/>
          <w:szCs w:val="20"/>
          <w:color w:val="auto"/>
        </w:rPr>
      </w:pPr>
      <w:r>
        <w:rPr>
          <w:rFonts w:ascii="Arial" w:cs="Arial" w:eastAsia="Arial" w:hAnsi="Arial"/>
          <w:sz w:val="16"/>
          <w:szCs w:val="16"/>
          <w:color w:val="auto"/>
        </w:rPr>
        <w:t>Note: For purposes of the table above, a program is classified in Phase 1, 2, or 3 clinical development after recruitment for the corresponding study or studies has commenced</w:t>
      </w:r>
    </w:p>
    <w:p>
      <w:pPr>
        <w:ind w:left="400" w:hanging="165"/>
        <w:spacing w:after="0" w:line="230"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In collaboration with Sanofi</w:t>
      </w:r>
    </w:p>
    <w:p>
      <w:pPr>
        <w:spacing w:after="0" w:line="24" w:lineRule="exact"/>
        <w:rPr>
          <w:rFonts w:ascii="Arial" w:cs="Arial" w:eastAsia="Arial" w:hAnsi="Arial"/>
          <w:sz w:val="20"/>
          <w:szCs w:val="20"/>
          <w:color w:val="auto"/>
          <w:vertAlign w:val="superscript"/>
        </w:rPr>
      </w:pPr>
    </w:p>
    <w:p>
      <w:pPr>
        <w:ind w:left="400" w:hanging="165"/>
        <w:spacing w:after="0" w:line="200"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In collaboration with Bayer outside of the United States</w:t>
      </w:r>
    </w:p>
    <w:p>
      <w:pPr>
        <w:spacing w:after="0" w:line="24" w:lineRule="exact"/>
        <w:rPr>
          <w:rFonts w:ascii="Arial" w:cs="Arial" w:eastAsia="Arial" w:hAnsi="Arial"/>
          <w:sz w:val="20"/>
          <w:szCs w:val="20"/>
          <w:color w:val="auto"/>
          <w:vertAlign w:val="superscript"/>
        </w:rPr>
      </w:pPr>
    </w:p>
    <w:p>
      <w:pPr>
        <w:ind w:left="400" w:hanging="165"/>
        <w:spacing w:after="0" w:line="191" w:lineRule="auto"/>
        <w:tabs>
          <w:tab w:leader="none" w:pos="40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FDA granted orphan drug designation</w:t>
      </w:r>
    </w:p>
    <w:p>
      <w:pPr>
        <w:spacing w:after="0" w:line="23" w:lineRule="exact"/>
        <w:rPr>
          <w:rFonts w:ascii="Arial" w:cs="Arial" w:eastAsia="Arial" w:hAnsi="Arial"/>
          <w:sz w:val="21"/>
          <w:szCs w:val="21"/>
          <w:color w:val="auto"/>
          <w:vertAlign w:val="superscript"/>
        </w:rPr>
      </w:pPr>
    </w:p>
    <w:p>
      <w:pPr>
        <w:ind w:left="400" w:hanging="165"/>
        <w:spacing w:after="0" w:line="200"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FDA granted Breakthrough Therapy designation</w:t>
      </w:r>
    </w:p>
    <w:p>
      <w:pPr>
        <w:spacing w:after="0" w:line="24" w:lineRule="exact"/>
        <w:rPr>
          <w:rFonts w:ascii="Arial" w:cs="Arial" w:eastAsia="Arial" w:hAnsi="Arial"/>
          <w:sz w:val="20"/>
          <w:szCs w:val="20"/>
          <w:color w:val="auto"/>
          <w:vertAlign w:val="superscript"/>
        </w:rPr>
      </w:pPr>
    </w:p>
    <w:p>
      <w:pPr>
        <w:ind w:left="400" w:hanging="165"/>
        <w:spacing w:after="0" w:line="200"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FDA granted Fast Track designation</w:t>
      </w:r>
    </w:p>
    <w:p>
      <w:pPr>
        <w:spacing w:after="0" w:line="24" w:lineRule="exact"/>
        <w:rPr>
          <w:rFonts w:ascii="Arial" w:cs="Arial" w:eastAsia="Arial" w:hAnsi="Arial"/>
          <w:sz w:val="20"/>
          <w:szCs w:val="20"/>
          <w:color w:val="auto"/>
          <w:vertAlign w:val="superscript"/>
        </w:rPr>
      </w:pPr>
    </w:p>
    <w:p>
      <w:pPr>
        <w:ind w:left="240" w:right="80" w:hanging="5"/>
        <w:spacing w:after="0" w:line="189" w:lineRule="auto"/>
        <w:tabs>
          <w:tab w:leader="none" w:pos="397"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Sanofi did not opt-in to or elected not to continue to co-develop the product candidate. Under the terms of our agreement, Sanofi is entitled to receive royalties on any future sales of the product candidate.</w:t>
      </w:r>
    </w:p>
    <w:p>
      <w:pPr>
        <w:spacing w:after="0" w:line="10" w:lineRule="exact"/>
        <w:rPr>
          <w:rFonts w:ascii="Arial" w:cs="Arial" w:eastAsia="Arial" w:hAnsi="Arial"/>
          <w:sz w:val="23"/>
          <w:szCs w:val="23"/>
          <w:color w:val="auto"/>
          <w:vertAlign w:val="superscript"/>
        </w:rPr>
      </w:pPr>
    </w:p>
    <w:p>
      <w:pPr>
        <w:ind w:left="240" w:right="500" w:hanging="5"/>
        <w:spacing w:after="0" w:line="226" w:lineRule="auto"/>
        <w:tabs>
          <w:tab w:leader="none" w:pos="402"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We and the Biomedical Advanced Research Development Authority ("BARDA") of the U.S. Department of Health and Human Services ("HHS") are parties to agreements whereby HHS provides certain funding to support research and development of this product candidate</w:t>
      </w:r>
    </w:p>
    <w:p>
      <w:pPr>
        <w:ind w:left="420" w:hanging="185"/>
        <w:spacing w:after="0" w:line="204" w:lineRule="auto"/>
        <w:tabs>
          <w:tab w:leader="none" w:pos="42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Studied as monotherapy and in combination with other antibodies and treatments</w:t>
      </w:r>
    </w:p>
    <w:p>
      <w:pPr>
        <w:spacing w:after="0" w:line="24" w:lineRule="exact"/>
        <w:rPr>
          <w:rFonts w:ascii="Arial" w:cs="Arial" w:eastAsia="Arial" w:hAnsi="Arial"/>
          <w:sz w:val="22"/>
          <w:szCs w:val="22"/>
          <w:color w:val="auto"/>
          <w:vertAlign w:val="superscript"/>
        </w:rPr>
      </w:pPr>
    </w:p>
    <w:p>
      <w:pPr>
        <w:ind w:left="380" w:hanging="145"/>
        <w:spacing w:after="0" w:line="182"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Information in this column relates to U.S., EU, and Japan regulatory submissions only</w:t>
      </w:r>
    </w:p>
    <w:p>
      <w:pPr>
        <w:spacing w:after="0" w:line="37" w:lineRule="exact"/>
        <w:rPr>
          <w:rFonts w:ascii="Arial" w:cs="Arial" w:eastAsia="Arial" w:hAnsi="Arial"/>
          <w:sz w:val="22"/>
          <w:szCs w:val="22"/>
          <w:color w:val="auto"/>
          <w:vertAlign w:val="superscript"/>
        </w:rPr>
      </w:pPr>
    </w:p>
    <w:p>
      <w:pPr>
        <w:ind w:left="240" w:right="80" w:hanging="5"/>
        <w:spacing w:after="0" w:line="195" w:lineRule="auto"/>
        <w:tabs>
          <w:tab w:leader="none" w:pos="395"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In collaboration with Sanofi prior to April 2020. Effective April 2020, the Company is solely responsible for the development and commercialization of Praluent in the United States, and Sanofi is solely responsible for the development and commercialization of Praluent outside of the United States. Refer to "Collaboration, License, and Other Agreements - Sanofi" section below for further details.</w:t>
      </w:r>
    </w:p>
    <w:p>
      <w:pPr>
        <w:spacing w:after="0" w:line="12" w:lineRule="exact"/>
        <w:rPr>
          <w:rFonts w:ascii="Arial" w:cs="Arial" w:eastAsia="Arial" w:hAnsi="Arial"/>
          <w:sz w:val="23"/>
          <w:szCs w:val="23"/>
          <w:color w:val="auto"/>
          <w:vertAlign w:val="superscript"/>
        </w:rPr>
      </w:pPr>
    </w:p>
    <w:p>
      <w:pPr>
        <w:ind w:left="240" w:right="200" w:hanging="5"/>
        <w:spacing w:after="0" w:line="197" w:lineRule="auto"/>
        <w:tabs>
          <w:tab w:leader="none" w:pos="417"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As described in the section preceding the table above and Part II, Item 1A. "Risk Factors," development timelines may be further subject to change as a result of the impact of the COVID-19 pandemic</w:t>
      </w:r>
    </w:p>
    <w:p>
      <w:pPr>
        <w:ind w:left="380" w:hanging="145"/>
        <w:spacing w:after="0" w:line="196" w:lineRule="auto"/>
        <w:tabs>
          <w:tab w:leader="none" w:pos="38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In collaboration with Teva and Mitsubishi Tanabe Pharma</w:t>
      </w:r>
    </w:p>
    <w:p>
      <w:pPr>
        <w:spacing w:after="0" w:line="23" w:lineRule="exact"/>
        <w:rPr>
          <w:rFonts w:ascii="Arial" w:cs="Arial" w:eastAsia="Arial" w:hAnsi="Arial"/>
          <w:sz w:val="23"/>
          <w:szCs w:val="23"/>
          <w:color w:val="auto"/>
          <w:vertAlign w:val="superscript"/>
        </w:rPr>
      </w:pPr>
    </w:p>
    <w:p>
      <w:pPr>
        <w:ind w:left="440" w:hanging="205"/>
        <w:spacing w:after="0" w:line="200" w:lineRule="auto"/>
        <w:tabs>
          <w:tab w:leader="none" w:pos="44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Certain trials conducted with the National Institute of Allergy and Infectious Diseases ("NIAID"), part of the NIH</w:t>
      </w:r>
    </w:p>
    <w:p>
      <w:pPr>
        <w:spacing w:after="0" w:line="24" w:lineRule="exact"/>
        <w:rPr>
          <w:rFonts w:ascii="Arial" w:cs="Arial" w:eastAsia="Arial" w:hAnsi="Arial"/>
          <w:sz w:val="20"/>
          <w:szCs w:val="20"/>
          <w:color w:val="auto"/>
          <w:vertAlign w:val="superscript"/>
        </w:rPr>
      </w:pPr>
    </w:p>
    <w:p>
      <w:pPr>
        <w:ind w:left="420" w:hanging="185"/>
        <w:spacing w:after="0" w:line="182" w:lineRule="auto"/>
        <w:tabs>
          <w:tab w:leader="none" w:pos="42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In collaboration with Roche</w:t>
      </w:r>
    </w:p>
    <w:p>
      <w:pPr>
        <w:spacing w:after="0" w:line="24" w:lineRule="exact"/>
        <w:rPr>
          <w:rFonts w:ascii="Arial" w:cs="Arial" w:eastAsia="Arial" w:hAnsi="Arial"/>
          <w:sz w:val="22"/>
          <w:szCs w:val="22"/>
          <w:color w:val="auto"/>
          <w:vertAlign w:val="superscript"/>
        </w:rPr>
      </w:pPr>
    </w:p>
    <w:p>
      <w:pPr>
        <w:ind w:left="420" w:hanging="185"/>
        <w:spacing w:after="0" w:line="182" w:lineRule="auto"/>
        <w:tabs>
          <w:tab w:leader="none" w:pos="42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In collaboration with Intellia</w:t>
      </w:r>
    </w:p>
    <w:p>
      <w:pPr>
        <w:spacing w:after="0" w:line="24" w:lineRule="exact"/>
        <w:rPr>
          <w:rFonts w:ascii="Arial" w:cs="Arial" w:eastAsia="Arial" w:hAnsi="Arial"/>
          <w:sz w:val="22"/>
          <w:szCs w:val="22"/>
          <w:color w:val="auto"/>
          <w:vertAlign w:val="superscript"/>
        </w:rPr>
      </w:pPr>
    </w:p>
    <w:p>
      <w:pPr>
        <w:ind w:left="420" w:hanging="185"/>
        <w:spacing w:after="0" w:line="182" w:lineRule="auto"/>
        <w:tabs>
          <w:tab w:leader="none" w:pos="42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In collaboration with Alnylam</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 Clinical Development Programs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(casirivimab with imdevimab)</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2021, the IDMC for the REGEN-COV Phase 3 trial in non-hospitalized patients with COVID-19 found clear clinical efficacy for reducing the rate of hospitalization and death with both the 1,200 mg and 2,400 mg doses of REGEN-COV compared to placebo, and recommended stopping enrollment in the placebo group.</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2021, we announced positive top-line results from the Phase 3 trial in non-hospitalized COVID-19 patients. The trial met its primary endpoint, showing that REGEN-COV reduced the risk of hospitalization or death by 70% (1,200 mg dose (intravenous ("IV")) and 71% (2,400 mg dose IV) compared to placebo. The trial also met key secondary endpoints, including the ability to reduce symptom duration. Based on these results, we submitted a request to the FDA to update the EUA to the lower 1,200 mg dose (refer to "Products - REGEN-COV - Emergency Use Authorization" above for further details about the EUA).</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2021, the Company also announced that all tested doses (IV: 2,400 mg, 1,200 mg, 600 mg and 300 mg; subcutaneous injections: 1,200 mg and 600 mg) in the Phase 2 dose-ranging trial in non-hospitalized COVID-19 patients met the primary endpoint.</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2021, the EMA announced it had commenced a Rolling Review of data for the casirivimab with imdevimab antibody cocktail. Data on the safety, tolerability, and efficacy of the antibody cocktail will continue to be shared with the EMA as they become available. Additionally in February 2021, the EMA's CHMP issued a positive opinion, recommending the antibody cocktail can be used to treat COVID-19 patients who do not require supplemental oxygen and are at high risk of progressing to severe COVID-19. The CHMP's positive opinion can be used by EU member states when making decisions on the possible use of the antibody cocktail at a national level prior to a market authorization.</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2021, we announced positive results from the Phase 3 COVID-19 prevention trial in household contacts of SARS-CoV-2 infected individuals. The trial, which was jointly run with the NIAID, part of the NIH, met its primary and key secondary endpoints, showing that REGEN-COV 1,200 mg subcutaneous injection reduced the risk of symptomatic infections by 81% in those who were not infected. We shared this data with the FDA and requested that the EUA be expanded to include COVID-19 prevention for appropriate populations.</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April 2021, the Company also announced positive data from the Phase 3 treatment trial in recently infected asymptomatic COVID-19 patients. The trial was also being jointly run with the NIAID and met all primary and key secondary endpoints. The trial demonstrated that the 1,200 mg subcutaneous injection of REGEN-COV reduced the risk of progressing to symptomatic COVID-19 by 31% (primary endpoint), and by 76% after the third day.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Related to COVID-19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quarter of 2020, the Company announced an expansion of its Other Transaction Agreement with BARDA, pursuant to which HHS was obligated to fund certain of our costs incurred for research and development activities related to COVID-19 treatments. In July 2020, the Company also announced an agreement with entities acting at the direction of BARDA and the U.S. Department of Defense to manufacture and deliver filled and finished drug product of REGEN-COV to the U.S. government. During the first quarter of 2021, the Company completed its final deliveries of drug product under this agreement. See "Results of Operations - Revenues" below for REGEN-COV net product sales recognized in connection with this agreement during the three months ended March 31, 2021.</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2021, the Company announced an agreement with an entity acting on behalf of the U.S. Department of Defense and HHS to manufacture and deliver additional filled and finished drug product of REGEN-COV to the U.S. government. Pursuant to the agreement, the U.S. government is obligated to purchase all filled and finished doses of drug product delivered by June 30, 2021, and may accept doses during the period from July 1, 2021 through September 30, 2021 at its discretion. The U.S. government has agreed to acquire up to 1.25 million doses at the lowest treatment dose authorized or approved by the FDA for the indication authorized under the EUA (as described under "Products - REGEN-COV - Emergency Use Authorization" above), resulting in payments to the Company of up to $2.625 billion in the aggregate. A number of factors may impact the quantity of filled and finished product supplied by June 30, 2021, including manufacturing considerations and authorized dose levels. See also Part II, Item 1A. "Risk Factors - </w:t>
      </w:r>
      <w:r>
        <w:rPr>
          <w:rFonts w:ascii="Arial" w:cs="Arial" w:eastAsia="Arial" w:hAnsi="Arial"/>
          <w:sz w:val="17"/>
          <w:szCs w:val="17"/>
          <w:i w:val="1"/>
          <w:iCs w:val="1"/>
          <w:color w:val="auto"/>
        </w:rPr>
        <w:t>We face 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the development, manufacturing, and commercialization of REGEN-COV</w:t>
      </w:r>
      <w:r>
        <w:rPr>
          <w:rFonts w:ascii="Arial" w:cs="Arial" w:eastAsia="Arial" w:hAnsi="Arial"/>
          <w:sz w:val="17"/>
          <w:szCs w:val="17"/>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August 2020, we entered into a collaboration agreement with Roche to develop, manufacture, and distribute the casirivimab with imdevimab antibody cocktail. We continue to lead global development activities for casirivimab with imdevimab, and the parties jointly fund certain on-going studies, as well as any mutually agreed additional new global studies to evaluate further the potential of casirivimab with imdevimab in treating or preventing COVID-19. Following the initial EMA approval (if any), Roche will be responsible for securing regulatory approvals outside the United States and conducting any additional studies specifically required for approval by regulators outside the United States.</w:t>
      </w:r>
    </w:p>
    <w:p>
      <w:pPr>
        <w:spacing w:after="0" w:line="10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Under the terms of the agreement, each party is obligated to dedicate a certain amount of manufacturing capacity to casirivimab with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License, and Other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collaborating with Sanofi on the global development and commercialization of Dupixent, Kevzara, and itepekimab (the "Antibody Collaboration"). See discussion below for updates related to the development and commercialization of Praluent effective April 1, 2020. Under the terms of the Antibody License and Collaboration Agreement (the "LCA"), Sanofi is generally responsible for funding 80%–100% of agreed-upon development costs. We are obligated to reimburse Sanofi for 30%–50% of worldwide development expenses that were funded by Sanofi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our collaboration agreement, Sanofi records product sales for commercialized products, and Regeneron has the right to co-commercialize such products on a country-by-country basis. We co-commercialize Dupixent in the United States and have exercised our option to co-commercialize Dupixent in certain countries outside the United States. We currently anticipate commencing co-commercialization of Dupixent in such countries outside the United States later this year.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sales milestone payments from Sanofi. In the third quarter of 2020, the Company earned, and recognized as revenue, the first $50.0 million sales-based milestone from Sanofi, upon aggregate annual sales of antibodies outside the United States (including Praluent) exceeding $1.0 billion on a rolling twelve-month basis. We are entitled to receive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 to an aggregate of $200.0 million in additional milestone payments from Sanofi, including the second sales milestone in the amount of $50.0 million, when such sales outside the United States exceed $1.5 billion on a rolling twelve-month basis.</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collaborating with Sanofi on the development and commercialization of antibody-based cancer treatments in the field of immuno-oncology (the "IO Collaboration"). The IO Collaboration is governed by an Amended and Restated Immuno-oncology Discovery and Development Agreement (the "Amended IO Discovery Agreement"), and an Immuno-oncology License and Collaboration Agreement (the "IO License and Collaboration Agreement").</w:t>
      </w:r>
    </w:p>
    <w:p>
      <w:pPr>
        <w:spacing w:after="0" w:line="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Effective December 31, 2018, the Company and Sanofi entered into the Amended IO Discovery Agreement, which narrowed the scope of the existing discovery and development activities conducted by the Company ("IO Development Activities") under the original 2015 Immuno-oncology Discovery and Development Agreement (the "2015 IO Discovery Agreement") to developing therapeutic bispecific antibodies targeting (i) BCMA and CD3 (the "BCMAxCD3 Program") and (ii) MUC16 and CD3 (the "MUC16xCD3 Program") through clinical proof-of-concept. The Amended IO Discovery Agreement provided for, among other things, Sanofi's prepayment for certain IO Development Activities regarding the BCMAxCD3 Program and the MUC16xCD3 Program. Under the terms of the Amended IO Discovery Agreement, the Company was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We are obligated to reimburse Sanofi for half of the development costs they funded that are attributable to clinical development of antibody product candidates under the Amended IO Discovery Agreement from our share of profits from commercialized IO Collaboration products.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regard to the BCMAxCD3 Program and the MUC16xCD3 Program, when the applicable Program Costs Cap was reached, Sanofi had the option to license rights to the product candidate and other antibodies targeting the same targets for, with regard to BCMAxCD3, immuno-oncology indications, and with regard to MUC16xCD3, all indications, pursuant to the IO License and Collaboration Agreement, as amended. During the first quarter of 2021, Sanofi did not exercise its options to license rights to these product candidates; as a result, we retain the exclusive right to develop and commercialize such product candidate and Sanofi will receive a royalty on sales (if any).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IO License and Collaboration Agreement, the parties are co-developing and co-commercializing Libtayo, an antibody targeting PD-</w:t>
      </w:r>
    </w:p>
    <w:p>
      <w:pPr>
        <w:spacing w:after="0" w:line="46" w:lineRule="exact"/>
        <w:rPr>
          <w:sz w:val="20"/>
          <w:szCs w:val="20"/>
          <w:color w:val="auto"/>
        </w:rPr>
      </w:pPr>
    </w:p>
    <w:p>
      <w:pPr>
        <w:ind w:right="20" w:firstLine="8"/>
        <w:spacing w:after="0" w:line="260"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principal control over the development of Libtayo, and the parties share equally, on an ongoing basis, development and commercialization expenses for Libtayo.</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Libtayo equal or exceed $2.0 billion in any consecutive twelve-month period.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outside the United States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Bayer are parties to a license and collaboration agreement for the global 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 through 2021, and thereafter, the companies will share equally in profits and losses from the sales of EYLEA.</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such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Teva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and Teva are parties to a collaboration agreement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share equally, on an ongoing basis, development costs under a global development plan. As of March 31, 2021, we had earned an aggregate of $120.0 million of development milestones from Teva and we are entitled to receive up to an aggregate of $340.0 million in additional development milestones and up to an aggregate of $1.890 billion in contingent payments upon achievement of specified annual net sales amounts. We are responsible for the manufacture and supply of fasinumab globally.</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2018, we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Phase 1 clinical development). ALN-HSD is being co-developed with Alnylam with terms generally consistent with the form of a Co-Commercialization Collaboration Agreement in connection with the 2019 collaboration agreement as described below. Alnylam is conducting the Phase 1 clinical trial for ALN-HSD and Regeneron will be responsible for all other development as the lead party. The parties share equally, on an ongoing basis, development expenses for ALN-HSD.</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we and Alnylam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Under the terms of the agreement, we made an up-front payment of $400.0 million to Alnylam. For each program, we will provide Alnylam with a specified amount of funding at program initiation and at lead candidate designation, and Alnylam is eligible to receive up to an aggregate of $200.0 million in clinical proof-of-principle milestones for eye or CNS programs.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during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cemdisiran and pozelimab, with us as the licensee. Under the C5 siRNA Co-Commercialization Collaboration agreement, the parties share costs equally and will split profits (if commercialized); and under the License Agreement, the licensee is responsible for its own costs and expenses. The C5 siRNA License Agreement contains a flat low double-digit royalty payable to Alnylam on our potential future net sales of the combination product only subject to customary reductions, as well as up to $325.0 million in commercial milestones.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Intellia</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2016, we entered into a license and collaboration agreement with Intellia Therapeutics, Inc. to advance CRISPR/Cas9 gene-editing technology for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therapeutic development. NTLA-2001, which is in Phase 1 clinical development, is subject to a co-development and co-commercialization</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pursuant to which Intellia will lead development and commercialization activities and the parties share an agreed-upon percentage of</w:t>
      </w:r>
    </w:p>
    <w:p>
      <w:pPr>
        <w:spacing w:after="0"/>
        <w:rPr>
          <w:sz w:val="20"/>
          <w:szCs w:val="20"/>
          <w:color w:val="auto"/>
        </w:rPr>
      </w:pPr>
      <w:r>
        <w:rPr>
          <w:rFonts w:ascii="Arial" w:cs="Arial" w:eastAsia="Arial" w:hAnsi="Arial"/>
          <w:sz w:val="18"/>
          <w:szCs w:val="18"/>
          <w:color w:val="auto"/>
        </w:rPr>
        <w:t>development expenses and profits (if commercialized)</w:t>
      </w:r>
      <w:r>
        <w:rPr>
          <w:rFonts w:ascii="Arial" w:cs="Arial" w:eastAsia="Arial" w:hAnsi="Arial"/>
          <w:sz w:val="21"/>
          <w:szCs w:val="21"/>
          <w:color w:val="auto"/>
        </w:rPr>
        <w:t>.</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May 2020, we expanded our existing collaboration with Intellia Therapeutics, Inc. to provide us with rights to develop products for additional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edited products. In connection with the May 2020 agreement, we made a $70.0 million up-front payment and purchased 925,218 shares of Intellia common stock for an aggregate purchase price of $30.0 million. The up-front payment and the amount paid in excess of the fair market value of the shares purchased, or $15.0 million, were recorded to Research and development expense in the second quarter of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and BARDA are parties to agreements pursuant to which HHS provided certain funding to develop, test, and manufacture a treatment for Ebola virus infection. In July 2020, HHS exercised its option under an existing agreement to provide up to $344.6 million of additional funding for the manufacture and supply of Inmazeb. We expect to deliver a pre-specified number of Inmazeb treatment doses over the course of approximately six years.</w:t>
      </w:r>
    </w:p>
    <w:p>
      <w:pPr>
        <w:spacing w:after="0" w:line="80" w:lineRule="exact"/>
        <w:rPr>
          <w:sz w:val="20"/>
          <w:szCs w:val="20"/>
          <w:color w:val="auto"/>
        </w:rPr>
      </w:pPr>
    </w:p>
    <w:p>
      <w:pPr>
        <w:ind w:right="1920"/>
        <w:spacing w:after="0" w:line="399" w:lineRule="auto"/>
        <w:rPr>
          <w:sz w:val="20"/>
          <w:szCs w:val="20"/>
          <w:color w:val="auto"/>
        </w:rPr>
      </w:pPr>
      <w:r>
        <w:rPr>
          <w:rFonts w:ascii="Arial" w:cs="Arial" w:eastAsia="Arial" w:hAnsi="Arial"/>
          <w:sz w:val="18"/>
          <w:szCs w:val="18"/>
          <w:color w:val="auto"/>
        </w:rPr>
        <w:t xml:space="preserve">See "Agreements Related to COVID-19 - U.S. Government" section above for information related to our COVID-19 agreements. </w:t>
      </w:r>
      <w:r>
        <w:rPr>
          <w:rFonts w:ascii="Arial" w:cs="Arial" w:eastAsia="Arial" w:hAnsi="Arial"/>
          <w:sz w:val="18"/>
          <w:szCs w:val="18"/>
          <w:b w:val="1"/>
          <w:bCs w:val="1"/>
          <w:i w:val="1"/>
          <w:iCs w:val="1"/>
          <w:color w:val="auto"/>
        </w:rPr>
        <w:t>Kiniksa</w:t>
      </w:r>
    </w:p>
    <w:p>
      <w:pPr>
        <w:jc w:val="both"/>
        <w:spacing w:after="0" w:line="259" w:lineRule="auto"/>
        <w:rPr>
          <w:sz w:val="20"/>
          <w:szCs w:val="20"/>
          <w:color w:val="auto"/>
        </w:rPr>
      </w:pPr>
      <w:r>
        <w:rPr>
          <w:rFonts w:ascii="Arial" w:cs="Arial" w:eastAsia="Arial" w:hAnsi="Arial"/>
          <w:sz w:val="18"/>
          <w:szCs w:val="18"/>
          <w:color w:val="auto"/>
        </w:rPr>
        <w:t>As described under "Products" above, pursuant to a 2017 license agreement, we granted Kiniksa the right to develop and commercialize certain new indications for ARCALYST. During the first quarter of 2021, Kiniksa received marketing approval in the United States for a new indication of ARCALYST, recurrent pericarditis, and, as a result, we received a $20.0 million milestone payment from Kiniksa. The quarterly period ended March 31, 2021 is the last quarter for which the Company will record net product sales of ARCALYST.</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Following this approval, Kiniksa is solely responsible for the U.S. development and commercialization of ARCALYST in all approved indications, and Regeneron will continue to supply clinical and commercial product to Kiniksa. Kiniksa will pay Regeneron 50% of its profits from sales of ARCALYST and the parties will not share in any losses incurred by Kiniksa in connection with commercialization of ARCALYST.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Investors and other interested parties should note that we use our media and investor relations website (</w:t>
      </w:r>
      <w:r>
        <w:rPr>
          <w:rFonts w:ascii="Arial" w:cs="Arial" w:eastAsia="Arial" w:hAnsi="Arial"/>
          <w:sz w:val="16"/>
          <w:szCs w:val="16"/>
          <w:i w:val="1"/>
          <w:iCs w:val="1"/>
          <w:color w:val="auto"/>
        </w:rPr>
        <w:t>http://newsroom.regeneron.com</w:t>
      </w:r>
      <w:r>
        <w:rPr>
          <w:rFonts w:ascii="Arial" w:cs="Arial" w:eastAsia="Arial" w:hAnsi="Arial"/>
          <w:sz w:val="16"/>
          <w:szCs w:val="16"/>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on our websites and social media channels is not included as a part of, or incorporated by reference into, this report.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2021 and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gridSpan w:val="7"/>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data)</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2,528.7</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1,828.2</w:t>
            </w:r>
          </w:p>
        </w:tc>
        <w:tc>
          <w:tcPr>
            <w:tcW w:w="600" w:type="dxa"/>
            <w:vAlign w:val="bottom"/>
          </w:tcPr>
          <w:p>
            <w:pPr>
              <w:spacing w:after="0"/>
              <w:rPr>
                <w:sz w:val="19"/>
                <w:szCs w:val="19"/>
                <w:color w:val="auto"/>
              </w:rPr>
            </w:pPr>
          </w:p>
        </w:tc>
      </w:tr>
      <w:tr>
        <w:trPr>
          <w:trHeight w:val="229"/>
        </w:trPr>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1,416.0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1,128.1</w:t>
            </w:r>
          </w:p>
        </w:tc>
        <w:tc>
          <w:tcPr>
            <w:tcW w:w="600" w:type="dxa"/>
            <w:vAlign w:val="bottom"/>
          </w:tcPr>
          <w:p>
            <w:pPr>
              <w:spacing w:after="0"/>
              <w:rPr>
                <w:sz w:val="19"/>
                <w:szCs w:val="19"/>
                <w:color w:val="auto"/>
              </w:rPr>
            </w:pPr>
          </w:p>
        </w:tc>
      </w:tr>
      <w:tr>
        <w:trPr>
          <w:trHeight w:val="223"/>
        </w:trPr>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1,112.7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600" w:type="dxa"/>
            <w:vAlign w:val="bottom"/>
          </w:tcPr>
          <w:p>
            <w:pPr>
              <w:spacing w:after="0"/>
              <w:rPr>
                <w:sz w:val="19"/>
                <w:szCs w:val="19"/>
                <w:color w:val="auto"/>
              </w:rPr>
            </w:pPr>
          </w:p>
        </w:tc>
      </w:tr>
      <w:tr>
        <w:trPr>
          <w:trHeight w:val="229"/>
        </w:trPr>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(31.5)</w:t>
            </w:r>
          </w:p>
        </w:tc>
        <w:tc>
          <w:tcPr>
            <w:tcW w:w="600" w:type="dxa"/>
            <w:vAlign w:val="bottom"/>
          </w:tcPr>
          <w:p>
            <w:pPr>
              <w:spacing w:after="0"/>
              <w:rPr>
                <w:sz w:val="19"/>
                <w:szCs w:val="19"/>
                <w:color w:val="auto"/>
              </w:rPr>
            </w:pPr>
          </w:p>
        </w:tc>
      </w:tr>
      <w:tr>
        <w:trPr>
          <w:trHeight w:val="223"/>
        </w:trPr>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1,253.0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600" w:type="dxa"/>
            <w:vAlign w:val="bottom"/>
          </w:tcPr>
          <w:p>
            <w:pPr>
              <w:spacing w:after="0"/>
              <w:rPr>
                <w:sz w:val="19"/>
                <w:szCs w:val="19"/>
                <w:color w:val="auto"/>
              </w:rPr>
            </w:pPr>
          </w:p>
        </w:tc>
      </w:tr>
      <w:tr>
        <w:trPr>
          <w:trHeight w:val="229"/>
        </w:trPr>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44.0</w:t>
            </w:r>
          </w:p>
        </w:tc>
        <w:tc>
          <w:tcPr>
            <w:tcW w:w="600" w:type="dxa"/>
            <w:vAlign w:val="bottom"/>
          </w:tcPr>
          <w:p>
            <w:pPr>
              <w:spacing w:after="0"/>
              <w:rPr>
                <w:sz w:val="19"/>
                <w:szCs w:val="19"/>
                <w:color w:val="auto"/>
              </w:rPr>
            </w:pPr>
          </w:p>
        </w:tc>
      </w:tr>
      <w:tr>
        <w:trPr>
          <w:trHeight w:val="248"/>
        </w:trPr>
        <w:tc>
          <w:tcPr>
            <w:tcW w:w="1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1,115.2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60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7"/>
        </w:trPr>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00" w:type="dxa"/>
            <w:vAlign w:val="bottom"/>
          </w:tcPr>
          <w:p>
            <w:pPr>
              <w:spacing w:after="0"/>
              <w:rPr>
                <w:sz w:val="19"/>
                <w:szCs w:val="19"/>
                <w:color w:val="auto"/>
              </w:rPr>
            </w:pPr>
          </w:p>
        </w:tc>
      </w:tr>
      <w:tr>
        <w:trPr>
          <w:trHeight w:val="459"/>
        </w:trPr>
        <w:tc>
          <w:tcPr>
            <w:tcW w:w="60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7"/>
        </w:trPr>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6"/>
          </w:tcPr>
          <w:p>
            <w:pPr>
              <w:jc w:val="right"/>
              <w:ind w:right="330"/>
              <w:spacing w:after="0"/>
              <w:rPr>
                <w:sz w:val="20"/>
                <w:szCs w:val="20"/>
                <w:color w:val="auto"/>
              </w:rPr>
            </w:pPr>
            <w:r>
              <w:rPr>
                <w:rFonts w:ascii="Arial" w:cs="Arial" w:eastAsia="Arial" w:hAnsi="Arial"/>
                <w:sz w:val="18"/>
                <w:szCs w:val="18"/>
                <w:b w:val="1"/>
                <w:bCs w:val="1"/>
                <w:color w:val="auto"/>
                <w:w w:val="98"/>
              </w:rPr>
              <w:t>Three Months Ended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0"/>
        </w:trPr>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15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9"/>
                <w:szCs w:val="19"/>
                <w:color w:val="auto"/>
              </w:rPr>
            </w:pPr>
          </w:p>
        </w:tc>
        <w:tc>
          <w:tcPr>
            <w:tcW w:w="9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80"/>
              <w:spacing w:after="0" w:line="223" w:lineRule="exact"/>
              <w:rPr>
                <w:sz w:val="20"/>
                <w:szCs w:val="20"/>
                <w:color w:val="auto"/>
              </w:rPr>
            </w:pPr>
            <w:r>
              <w:rPr>
                <w:rFonts w:ascii="Arial" w:cs="Arial" w:eastAsia="Arial" w:hAnsi="Arial"/>
                <w:sz w:val="18"/>
                <w:szCs w:val="18"/>
                <w:b w:val="1"/>
                <w:bCs w:val="1"/>
                <w:color w:val="auto"/>
                <w:w w:val="91"/>
              </w:rPr>
              <w:t>Change</w:t>
            </w:r>
            <w:r>
              <w:rPr>
                <w:rFonts w:ascii="Arial" w:cs="Arial" w:eastAsia="Arial" w:hAnsi="Arial"/>
                <w:sz w:val="23"/>
                <w:szCs w:val="23"/>
                <w:b w:val="1"/>
                <w:bCs w:val="1"/>
                <w:color w:val="auto"/>
                <w:w w:val="91"/>
                <w:vertAlign w:val="superscript"/>
              </w:rPr>
              <w:t>*</w:t>
            </w:r>
          </w:p>
        </w:tc>
      </w:tr>
      <w:tr>
        <w:trPr>
          <w:trHeight w:val="210"/>
        </w:trPr>
        <w:tc>
          <w:tcPr>
            <w:tcW w:w="1500" w:type="dxa"/>
            <w:vAlign w:val="bottom"/>
          </w:tcPr>
          <w:p>
            <w:pPr>
              <w:spacing w:after="0"/>
              <w:rPr>
                <w:sz w:val="18"/>
                <w:szCs w:val="18"/>
                <w:color w:val="auto"/>
              </w:rPr>
            </w:pPr>
          </w:p>
        </w:tc>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product sales in the United States:</w:t>
            </w:r>
          </w:p>
        </w:tc>
        <w:tc>
          <w:tcPr>
            <w:tcW w:w="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30"/>
        </w:trPr>
        <w:tc>
          <w:tcPr>
            <w:tcW w:w="1500" w:type="dxa"/>
            <w:vAlign w:val="bottom"/>
          </w:tcPr>
          <w:p>
            <w:pPr>
              <w:spacing w:after="0"/>
              <w:rPr>
                <w:sz w:val="19"/>
                <w:szCs w:val="19"/>
                <w:color w:val="auto"/>
              </w:rPr>
            </w:pPr>
          </w:p>
        </w:tc>
        <w:tc>
          <w:tcPr>
            <w:tcW w:w="4540" w:type="dxa"/>
            <w:vAlign w:val="bottom"/>
            <w:gridSpan w:val="2"/>
          </w:tcPr>
          <w:p>
            <w:pPr>
              <w:ind w:left="220"/>
              <w:spacing w:after="0"/>
              <w:rPr>
                <w:sz w:val="20"/>
                <w:szCs w:val="20"/>
                <w:color w:val="auto"/>
              </w:rPr>
            </w:pPr>
            <w:r>
              <w:rPr>
                <w:rFonts w:ascii="Arial" w:cs="Arial" w:eastAsia="Arial" w:hAnsi="Arial"/>
                <w:sz w:val="18"/>
                <w:szCs w:val="18"/>
                <w:color w:val="auto"/>
              </w:rPr>
              <w:t>EYLEA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1,347.0</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1,172.0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175.0</w:t>
            </w:r>
          </w:p>
        </w:tc>
      </w:tr>
      <w:tr>
        <w:trPr>
          <w:trHeight w:val="230"/>
        </w:trPr>
        <w:tc>
          <w:tcPr>
            <w:tcW w:w="1500" w:type="dxa"/>
            <w:vAlign w:val="bottom"/>
          </w:tcPr>
          <w:p>
            <w:pPr>
              <w:spacing w:after="0"/>
              <w:rPr>
                <w:sz w:val="19"/>
                <w:szCs w:val="19"/>
                <w:color w:val="auto"/>
              </w:rPr>
            </w:pPr>
          </w:p>
        </w:tc>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Libtayo</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r>
      <w:tr>
        <w:trPr>
          <w:trHeight w:val="230"/>
        </w:trPr>
        <w:tc>
          <w:tcPr>
            <w:tcW w:w="1500" w:type="dxa"/>
            <w:vAlign w:val="bottom"/>
          </w:tcPr>
          <w:p>
            <w:pPr>
              <w:spacing w:after="0"/>
              <w:rPr>
                <w:sz w:val="19"/>
                <w:szCs w:val="19"/>
                <w:color w:val="auto"/>
              </w:rPr>
            </w:pPr>
          </w:p>
        </w:tc>
        <w:tc>
          <w:tcPr>
            <w:tcW w:w="4540" w:type="dxa"/>
            <w:vAlign w:val="bottom"/>
            <w:gridSpan w:val="2"/>
          </w:tcPr>
          <w:p>
            <w:pPr>
              <w:ind w:left="220"/>
              <w:spacing w:after="0"/>
              <w:rPr>
                <w:sz w:val="20"/>
                <w:szCs w:val="20"/>
                <w:color w:val="auto"/>
              </w:rPr>
            </w:pPr>
            <w:r>
              <w:rPr>
                <w:rFonts w:ascii="Arial" w:cs="Arial" w:eastAsia="Arial" w:hAnsi="Arial"/>
                <w:sz w:val="18"/>
                <w:szCs w:val="18"/>
                <w:color w:val="auto"/>
              </w:rPr>
              <w:t>Praluent</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1500" w:type="dxa"/>
            <w:vAlign w:val="bottom"/>
          </w:tcPr>
          <w:p>
            <w:pPr>
              <w:spacing w:after="0"/>
              <w:rPr>
                <w:sz w:val="19"/>
                <w:szCs w:val="19"/>
                <w:color w:val="auto"/>
              </w:rPr>
            </w:pPr>
          </w:p>
        </w:tc>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REGEN-COV</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262.2</w:t>
            </w:r>
          </w:p>
        </w:tc>
      </w:tr>
      <w:tr>
        <w:trPr>
          <w:trHeight w:val="230"/>
        </w:trPr>
        <w:tc>
          <w:tcPr>
            <w:tcW w:w="1500" w:type="dxa"/>
            <w:vAlign w:val="bottom"/>
          </w:tcPr>
          <w:p>
            <w:pPr>
              <w:spacing w:after="0"/>
              <w:rPr>
                <w:sz w:val="19"/>
                <w:szCs w:val="19"/>
                <w:color w:val="auto"/>
              </w:rPr>
            </w:pPr>
          </w:p>
        </w:tc>
        <w:tc>
          <w:tcPr>
            <w:tcW w:w="4540" w:type="dxa"/>
            <w:vAlign w:val="bottom"/>
            <w:gridSpan w:val="2"/>
          </w:tcPr>
          <w:p>
            <w:pPr>
              <w:ind w:left="220"/>
              <w:spacing w:after="0"/>
              <w:rPr>
                <w:sz w:val="20"/>
                <w:szCs w:val="20"/>
                <w:color w:val="auto"/>
              </w:rPr>
            </w:pPr>
            <w:r>
              <w:rPr>
                <w:rFonts w:ascii="Arial" w:cs="Arial" w:eastAsia="Arial" w:hAnsi="Arial"/>
                <w:sz w:val="18"/>
                <w:szCs w:val="18"/>
                <w:color w:val="auto"/>
              </w:rPr>
              <w:t>Evkeeza</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r>
      <w:tr>
        <w:trPr>
          <w:trHeight w:val="230"/>
        </w:trPr>
        <w:tc>
          <w:tcPr>
            <w:tcW w:w="1500" w:type="dxa"/>
            <w:vAlign w:val="bottom"/>
          </w:tcPr>
          <w:p>
            <w:pPr>
              <w:spacing w:after="0"/>
              <w:rPr>
                <w:sz w:val="19"/>
                <w:szCs w:val="19"/>
                <w:color w:val="auto"/>
              </w:rPr>
            </w:pPr>
          </w:p>
        </w:tc>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ARCALYST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30"/>
        </w:trPr>
        <w:tc>
          <w:tcPr>
            <w:tcW w:w="15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Collaboration revenue:</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1500" w:type="dxa"/>
            <w:vAlign w:val="bottom"/>
          </w:tcPr>
          <w:p>
            <w:pPr>
              <w:spacing w:after="0"/>
              <w:rPr>
                <w:sz w:val="19"/>
                <w:szCs w:val="19"/>
                <w:color w:val="auto"/>
              </w:rPr>
            </w:pPr>
          </w:p>
        </w:tc>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Sanofi</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w:t>
            </w:r>
          </w:p>
        </w:tc>
      </w:tr>
      <w:tr>
        <w:trPr>
          <w:trHeight w:val="230"/>
        </w:trPr>
        <w:tc>
          <w:tcPr>
            <w:tcW w:w="1500" w:type="dxa"/>
            <w:vAlign w:val="bottom"/>
          </w:tcPr>
          <w:p>
            <w:pPr>
              <w:spacing w:after="0"/>
              <w:rPr>
                <w:sz w:val="19"/>
                <w:szCs w:val="19"/>
                <w:color w:val="auto"/>
              </w:rPr>
            </w:pPr>
          </w:p>
        </w:tc>
        <w:tc>
          <w:tcPr>
            <w:tcW w:w="4540" w:type="dxa"/>
            <w:vAlign w:val="bottom"/>
            <w:gridSpan w:val="2"/>
          </w:tcPr>
          <w:p>
            <w:pPr>
              <w:ind w:left="220"/>
              <w:spacing w:after="0"/>
              <w:rPr>
                <w:sz w:val="20"/>
                <w:szCs w:val="20"/>
                <w:color w:val="auto"/>
              </w:rPr>
            </w:pPr>
            <w:r>
              <w:rPr>
                <w:rFonts w:ascii="Arial" w:cs="Arial" w:eastAsia="Arial" w:hAnsi="Arial"/>
                <w:sz w:val="18"/>
                <w:szCs w:val="18"/>
                <w:color w:val="auto"/>
              </w:rPr>
              <w:t>Bayer</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41.4</w:t>
            </w:r>
          </w:p>
        </w:tc>
      </w:tr>
      <w:tr>
        <w:trPr>
          <w:trHeight w:val="230"/>
        </w:trPr>
        <w:tc>
          <w:tcPr>
            <w:tcW w:w="1500" w:type="dxa"/>
            <w:vAlign w:val="bottom"/>
          </w:tcPr>
          <w:p>
            <w:pPr>
              <w:spacing w:after="0"/>
              <w:rPr>
                <w:sz w:val="19"/>
                <w:szCs w:val="19"/>
                <w:color w:val="auto"/>
              </w:rPr>
            </w:pPr>
          </w:p>
        </w:tc>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Roche</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w:t>
            </w:r>
          </w:p>
        </w:tc>
      </w:tr>
      <w:tr>
        <w:trPr>
          <w:trHeight w:val="230"/>
        </w:trPr>
        <w:tc>
          <w:tcPr>
            <w:tcW w:w="1500" w:type="dxa"/>
            <w:vAlign w:val="bottom"/>
          </w:tcPr>
          <w:p>
            <w:pPr>
              <w:spacing w:after="0"/>
              <w:rPr>
                <w:sz w:val="19"/>
                <w:szCs w:val="19"/>
                <w:color w:val="auto"/>
              </w:rPr>
            </w:pPr>
          </w:p>
        </w:tc>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48"/>
        </w:trPr>
        <w:tc>
          <w:tcPr>
            <w:tcW w:w="150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2,528.7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1,828.2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700.5</w:t>
            </w:r>
          </w:p>
        </w:tc>
      </w:tr>
      <w:tr>
        <w:trPr>
          <w:trHeight w:val="20"/>
        </w:trPr>
        <w:tc>
          <w:tcPr>
            <w:tcW w:w="150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940" w:hanging="92"/>
        <w:spacing w:after="0"/>
        <w:tabs>
          <w:tab w:leader="none" w:pos="19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Net product sales of Praluent in the United States were recorded by Sanofi prior to April 1,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product sales of EYLEA in the United States increased for the three months ended March 31, 2021, compared to the same period in 2020, due to higher sales volume partly offset by an increase in sales-related deductions primarily due to higher rebates and discounts.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Effective April 1, 2020, the Company became solely responsible for the development and commercialization of Praluent in the United States and records net product sales of Praluent in the United States. Refer to "Collaboration, License, and Other Agreements - </w:t>
      </w:r>
      <w:r>
        <w:rPr>
          <w:rFonts w:ascii="Arial" w:cs="Arial" w:eastAsia="Arial" w:hAnsi="Arial"/>
          <w:sz w:val="18"/>
          <w:szCs w:val="18"/>
          <w:i w:val="1"/>
          <w:iCs w:val="1"/>
          <w:color w:val="auto"/>
        </w:rPr>
        <w:t>Sanofi</w:t>
      </w:r>
      <w:r>
        <w:rPr>
          <w:rFonts w:ascii="Arial" w:cs="Arial" w:eastAsia="Arial" w:hAnsi="Arial"/>
          <w:sz w:val="18"/>
          <w:szCs w:val="18"/>
          <w:color w:val="auto"/>
        </w:rPr>
        <w:t xml:space="preserve"> - </w:t>
      </w:r>
      <w:r>
        <w:rPr>
          <w:rFonts w:ascii="Arial" w:cs="Arial" w:eastAsia="Arial" w:hAnsi="Arial"/>
          <w:sz w:val="18"/>
          <w:szCs w:val="18"/>
          <w:i w:val="1"/>
          <w:iCs w:val="1"/>
          <w:color w:val="auto"/>
        </w:rPr>
        <w:t>Antibody</w:t>
      </w:r>
      <w:r>
        <w:rPr>
          <w:rFonts w:ascii="Arial" w:cs="Arial" w:eastAsia="Arial" w:hAnsi="Arial"/>
          <w:sz w:val="18"/>
          <w:szCs w:val="18"/>
          <w:color w:val="auto"/>
        </w:rPr>
        <w:t>" section above for further details.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During the three months ended March 31, 2021, net product sales of REGEN-COV were recorded in connection with our July 2020 agreement with the U.S. government and the Company completed its final deliveries of drug product under this agreement. In January 2021, the Company announced an additional agreement to manufacture and deliver additional filled and finished drug product of REGEN-COV to the U.S. government. The Company expects to commence deliveries of drug product under this agreement during the second quarter of 2021. Refer to "Agreements Related to COVID-19 - </w:t>
      </w:r>
      <w:r>
        <w:rPr>
          <w:rFonts w:ascii="Arial" w:cs="Arial" w:eastAsia="Arial" w:hAnsi="Arial"/>
          <w:sz w:val="18"/>
          <w:szCs w:val="18"/>
          <w:i w:val="1"/>
          <w:iCs w:val="1"/>
          <w:color w:val="auto"/>
        </w:rPr>
        <w:t>U.S. Government</w:t>
      </w:r>
      <w:r>
        <w:rPr>
          <w:rFonts w:ascii="Arial" w:cs="Arial" w:eastAsia="Arial" w:hAnsi="Arial"/>
          <w:sz w:val="18"/>
          <w:szCs w:val="18"/>
          <w:color w:val="auto"/>
        </w:rPr>
        <w:t>" section above for further details.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Sanofi Collaboration Revenue</w:t>
      </w:r>
    </w:p>
    <w:p>
      <w:pPr>
        <w:spacing w:after="0" w:line="248"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Three Months Ended</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220"/>
              <w:spacing w:after="0" w:line="176" w:lineRule="exact"/>
              <w:rPr>
                <w:sz w:val="20"/>
                <w:szCs w:val="20"/>
                <w:color w:val="auto"/>
              </w:rPr>
            </w:pPr>
            <w:r>
              <w:rPr>
                <w:rFonts w:ascii="Arial" w:cs="Arial" w:eastAsia="Arial" w:hAnsi="Arial"/>
                <w:sz w:val="18"/>
                <w:szCs w:val="18"/>
                <w:color w:val="auto"/>
              </w:rPr>
              <w:t>Regeneron's share of profits in connection with</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260.6</w:t>
            </w:r>
          </w:p>
        </w:tc>
        <w:tc>
          <w:tcPr>
            <w:tcW w:w="120" w:type="dxa"/>
            <w:vAlign w:val="bottom"/>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4580" w:type="dxa"/>
            <w:vAlign w:val="bottom"/>
          </w:tcPr>
          <w:p>
            <w:pPr>
              <w:ind w:left="400"/>
              <w:spacing w:after="0"/>
              <w:rPr>
                <w:sz w:val="20"/>
                <w:szCs w:val="20"/>
                <w:color w:val="auto"/>
              </w:rPr>
            </w:pPr>
            <w:r>
              <w:rPr>
                <w:rFonts w:ascii="Arial" w:cs="Arial" w:eastAsia="Arial" w:hAnsi="Arial"/>
                <w:sz w:val="18"/>
                <w:szCs w:val="18"/>
                <w:color w:val="auto"/>
              </w:rPr>
              <w:t>commercialization of antibodies</w:t>
            </w: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Reimbursement for manufacturing of commercial</w:t>
            </w: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supplies</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Antibody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220"/>
              <w:spacing w:after="0" w:line="176" w:lineRule="exact"/>
              <w:rPr>
                <w:sz w:val="20"/>
                <w:szCs w:val="20"/>
                <w:color w:val="auto"/>
              </w:rPr>
            </w:pPr>
            <w:r>
              <w:rPr>
                <w:rFonts w:ascii="Arial" w:cs="Arial" w:eastAsia="Arial" w:hAnsi="Arial"/>
                <w:sz w:val="18"/>
                <w:szCs w:val="18"/>
                <w:color w:val="auto"/>
              </w:rPr>
              <w:t>Regeneron's share of losses in connection with</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580" w:type="dxa"/>
            <w:vAlign w:val="bottom"/>
          </w:tcPr>
          <w:p>
            <w:pPr>
              <w:ind w:left="400"/>
              <w:spacing w:after="0"/>
              <w:rPr>
                <w:sz w:val="20"/>
                <w:szCs w:val="20"/>
                <w:color w:val="auto"/>
              </w:rPr>
            </w:pPr>
            <w:r>
              <w:rPr>
                <w:rFonts w:ascii="Arial" w:cs="Arial" w:eastAsia="Arial" w:hAnsi="Arial"/>
                <w:sz w:val="18"/>
                <w:szCs w:val="18"/>
                <w:color w:val="auto"/>
                <w:w w:val="96"/>
              </w:rPr>
              <w:t>commercialization of Libtayo outside the United States</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Reimbursement for manufacturing of commercial</w:t>
            </w: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supplies</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Immuno-oncology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2460" w:right="2240" w:firstLine="9"/>
        <w:spacing w:after="0" w:line="226" w:lineRule="auto"/>
        <w:tabs>
          <w:tab w:leader="none" w:pos="2637"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Corresponding costs incurred by us in connection with such production is recorded within Cost of collaboration and contract manufacturing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Antibody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Sanofi provides us with an estimate of our share of the profits or losses from commercialization of antibodies for the most recent fiscal quarter; these estimates are reconciled to actual results in the subsequent fiscal quarter, and our portion of the profits or losses is adjusted accordingly, as necessary. During the three months ended March 31, 2021, the change in our share of profits in connection with commercialization of antibodies, compared to the same period of 2020, was driven by higher Dupixent profits.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Regeneron's share of profits in connection with the commercialization of Dupixent, Praluent (through March 31, 2020), and Kevzara is summarized below:</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Three Months Ended</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Dupixent, Praluent, and Kevzara net product sales</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995.1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Regeneron's share of collaboration profits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289.9</w:t>
            </w:r>
          </w:p>
        </w:tc>
        <w:tc>
          <w:tcPr>
            <w:tcW w:w="10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Reimbursement of development expenses incurred by Sanofi in</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440" w:type="dxa"/>
            <w:vAlign w:val="bottom"/>
          </w:tcPr>
          <w:p>
            <w:pPr>
              <w:ind w:left="20"/>
              <w:spacing w:after="0" w:line="156" w:lineRule="exact"/>
              <w:rPr>
                <w:sz w:val="20"/>
                <w:szCs w:val="20"/>
                <w:color w:val="auto"/>
              </w:rPr>
            </w:pPr>
            <w:r>
              <w:rPr>
                <w:rFonts w:ascii="Arial" w:cs="Arial" w:eastAsia="Arial" w:hAnsi="Arial"/>
                <w:sz w:val="18"/>
                <w:szCs w:val="18"/>
                <w:color w:val="auto"/>
                <w:w w:val="99"/>
              </w:rPr>
              <w:t>Regeneron's share of profits in connection with commercialization of</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8"/>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antibodies</w:t>
            </w:r>
          </w:p>
        </w:tc>
        <w:tc>
          <w:tcPr>
            <w:tcW w:w="2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Regeneron's share of collaboration profits as a percentage of Dupixent,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Praluent, and Kevzara net product sales</w:t>
            </w: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220" w:hanging="183"/>
        <w:spacing w:after="0"/>
        <w:tabs>
          <w:tab w:leader="none" w:pos="222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Global net product sales of Dupixent and Kevzara are recorded by Sanofi. The quarter ended March 31, 2020</w:t>
      </w:r>
    </w:p>
    <w:p>
      <w:pPr>
        <w:ind w:left="2040" w:right="1760"/>
        <w:spacing w:after="0" w:line="264" w:lineRule="auto"/>
        <w:rPr>
          <w:rFonts w:ascii="Arial" w:cs="Arial" w:eastAsia="Arial" w:hAnsi="Arial"/>
          <w:sz w:val="22"/>
          <w:szCs w:val="22"/>
          <w:color w:val="auto"/>
          <w:vertAlign w:val="superscript"/>
        </w:rPr>
      </w:pPr>
      <w:r>
        <w:rPr>
          <w:rFonts w:ascii="Arial" w:cs="Arial" w:eastAsia="Arial" w:hAnsi="Arial"/>
          <w:sz w:val="14"/>
          <w:szCs w:val="14"/>
          <w:color w:val="auto"/>
        </w:rPr>
        <w:t>was the last quarter for which Sanofi and the Company shared profits and losses in connection with Sanofi's global net sales and the related commercialization of Praluent (see further details below); therefore, the quarter ended March 31, 2020 was the last quarter for which net product sales of Praluent were included in the table above.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described above under "Collaboration, License, and Other Agreements - </w:t>
      </w:r>
      <w:r>
        <w:rPr>
          <w:rFonts w:ascii="Arial" w:cs="Arial" w:eastAsia="Arial" w:hAnsi="Arial"/>
          <w:sz w:val="18"/>
          <w:szCs w:val="18"/>
          <w:i w:val="1"/>
          <w:iCs w:val="1"/>
          <w:color w:val="auto"/>
        </w:rPr>
        <w:t>Sanofi</w:t>
      </w:r>
      <w:r>
        <w:rPr>
          <w:rFonts w:ascii="Arial" w:cs="Arial" w:eastAsia="Arial" w:hAnsi="Arial"/>
          <w:sz w:val="18"/>
          <w:szCs w:val="18"/>
          <w:color w:val="auto"/>
        </w:rPr>
        <w:t xml:space="preserve"> - </w:t>
      </w:r>
      <w:r>
        <w:rPr>
          <w:rFonts w:ascii="Arial" w:cs="Arial" w:eastAsia="Arial" w:hAnsi="Arial"/>
          <w:sz w:val="18"/>
          <w:szCs w:val="18"/>
          <w:i w:val="1"/>
          <w:iCs w:val="1"/>
          <w:color w:val="auto"/>
        </w:rPr>
        <w:t>Antibody</w:t>
      </w:r>
      <w:r>
        <w:rPr>
          <w:rFonts w:ascii="Arial" w:cs="Arial" w:eastAsia="Arial" w:hAnsi="Arial"/>
          <w:sz w:val="18"/>
          <w:szCs w:val="18"/>
          <w:color w:val="auto"/>
        </w:rPr>
        <w:t>", effective April 1, 2020, the Company became solely responsible for the development and commercialization of Praluent in the United States. Under the new agreement, Sanofi is solely responsible for the development and commercialization of Praluent outside of the United States, and pays the Company a 5% royalty on Sanofi’s net product sales of Praluent outside the United States.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gridSpan w:val="3"/>
          </w:tcPr>
          <w:p>
            <w:pPr>
              <w:spacing w:after="0"/>
              <w:rPr>
                <w:sz w:val="20"/>
                <w:szCs w:val="20"/>
                <w:color w:val="auto"/>
              </w:rPr>
            </w:pPr>
            <w:r>
              <w:rPr>
                <w:rFonts w:ascii="Arial" w:cs="Arial" w:eastAsia="Arial" w:hAnsi="Arial"/>
                <w:sz w:val="18"/>
                <w:szCs w:val="18"/>
                <w:i w:val="1"/>
                <w:iCs w:val="1"/>
                <w:color w:val="auto"/>
              </w:rPr>
              <w:t>Bayer Collaboration Revenue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7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Three Months Ended</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4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Regeneron's net profit in connection with commercialization of EYLEA</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Reimbursement for manufacturing of commercial supplies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8"/>
        </w:trPr>
        <w:tc>
          <w:tcPr>
            <w:tcW w:w="170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2040" w:right="1780" w:hanging="3"/>
        <w:spacing w:after="0" w:line="213" w:lineRule="auto"/>
        <w:tabs>
          <w:tab w:leader="none" w:pos="2217"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Corresponding costs incurred by us in connection with such production is recorded within Cost of collaboration and contract manufacturing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Three Months Ended</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EYLEA net product sales outside the United States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6"/>
              </w:rPr>
              <w:t>Regeneron's share of collaboration profit from sales outside the United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440" w:type="dxa"/>
            <w:vAlign w:val="bottom"/>
            <w:vMerge w:val="continue"/>
          </w:tcPr>
          <w:p>
            <w:pPr>
              <w:spacing w:after="0"/>
              <w:rPr>
                <w:sz w:val="10"/>
                <w:szCs w:val="10"/>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9"/>
        </w:trPr>
        <w:tc>
          <w:tcPr>
            <w:tcW w:w="5440" w:type="dxa"/>
            <w:vAlign w:val="bottom"/>
          </w:tcPr>
          <w:p>
            <w:pPr>
              <w:ind w:left="180"/>
              <w:spacing w:after="0"/>
              <w:rPr>
                <w:sz w:val="20"/>
                <w:szCs w:val="20"/>
                <w:color w:val="auto"/>
              </w:rPr>
            </w:pPr>
            <w:r>
              <w:rPr>
                <w:rFonts w:ascii="Arial" w:cs="Arial" w:eastAsia="Arial" w:hAnsi="Arial"/>
                <w:sz w:val="18"/>
                <w:szCs w:val="18"/>
                <w:color w:val="auto"/>
              </w:rPr>
              <w:t>States</w:t>
            </w:r>
          </w:p>
        </w:tc>
        <w:tc>
          <w:tcPr>
            <w:tcW w:w="2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Reimbursement of development expenses incurred by Bayer in</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440" w:type="dxa"/>
            <w:vAlign w:val="bottom"/>
          </w:tcPr>
          <w:p>
            <w:pPr>
              <w:ind w:left="20"/>
              <w:spacing w:after="0" w:line="156" w:lineRule="exact"/>
              <w:rPr>
                <w:sz w:val="20"/>
                <w:szCs w:val="20"/>
                <w:color w:val="auto"/>
              </w:rPr>
            </w:pPr>
            <w:r>
              <w:rPr>
                <w:rFonts w:ascii="Arial" w:cs="Arial" w:eastAsia="Arial" w:hAnsi="Arial"/>
                <w:sz w:val="18"/>
                <w:szCs w:val="18"/>
                <w:color w:val="auto"/>
                <w:w w:val="96"/>
              </w:rPr>
              <w:t>Regeneron's net profit in connection with commercialization of EYLEA</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07"/>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outside the United States</w:t>
            </w:r>
          </w:p>
        </w:tc>
        <w:tc>
          <w:tcPr>
            <w:tcW w:w="2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Regeneron's net profit as a percentage of EYLEA net product sales</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Bayer records net product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is adjusted accordingly, as necessary.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Roche Collaboration Revenue</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As described above under "Agreements Related to COVID-19 - </w:t>
      </w:r>
      <w:r>
        <w:rPr>
          <w:rFonts w:ascii="Arial" w:cs="Arial" w:eastAsia="Arial" w:hAnsi="Arial"/>
          <w:sz w:val="16"/>
          <w:szCs w:val="16"/>
          <w:i w:val="1"/>
          <w:iCs w:val="1"/>
          <w:color w:val="auto"/>
        </w:rPr>
        <w:t>Roche</w:t>
      </w:r>
      <w:r>
        <w:rPr>
          <w:rFonts w:ascii="Arial" w:cs="Arial" w:eastAsia="Arial" w:hAnsi="Arial"/>
          <w:sz w:val="16"/>
          <w:szCs w:val="16"/>
          <w:color w:val="auto"/>
        </w:rPr>
        <w:t>", Roche distributes and records net product sales of the casirivimab with imdevimab antibody cocktail outside the United States. Roche provides us with an estimate of our share of the gross profits for the most recent fiscal quarter; these estimates are reconciled to actual results in the subsequent fiscal quarter, and our portion of the profits is adjusted accordingly, as necessary.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revenue decreased during the three months ended March 31, 2021, compared to the same period of 2020, primarily due to lower amounts recognized in connection with our agreement with BARDA related to funding of certain development activities for Inmazeb for the treatment of Ebola. This decrease was partly offset by the following items included within Other revenue for the three months ended March 31, 2021:</w:t>
      </w:r>
    </w:p>
    <w:p>
      <w:pPr>
        <w:spacing w:after="0" w:line="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$20.0 million milestone payment received from Kiniksa in connection with our ARCALYST license agreement; and</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April 1, 2020, Sanofi's reimbursement for manufacturing commercial supplies of Praluent and royalties of 5% on Sanofi’s net product sales of Praluent outside the United States.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67"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 except headcount data)</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50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29"/>
        </w:trPr>
        <w:tc>
          <w:tcPr>
            <w:tcW w:w="5000" w:type="dxa"/>
            <w:vAlign w:val="bottom"/>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29"/>
        </w:trPr>
        <w:tc>
          <w:tcPr>
            <w:tcW w:w="5000" w:type="dxa"/>
            <w:vAlign w:val="bottom"/>
          </w:tcPr>
          <w:p>
            <w:pPr>
              <w:ind w:left="20"/>
              <w:spacing w:after="0" w:line="230" w:lineRule="exact"/>
              <w:rPr>
                <w:sz w:val="20"/>
                <w:szCs w:val="20"/>
                <w:color w:val="auto"/>
              </w:rPr>
            </w:pPr>
            <w:r>
              <w:rPr>
                <w:rFonts w:ascii="Arial" w:cs="Arial" w:eastAsia="Arial" w:hAnsi="Arial"/>
                <w:sz w:val="18"/>
                <w:szCs w:val="18"/>
                <w:color w:val="auto"/>
              </w:rPr>
              <w:t>Cost of collaboration and contract manufacturing</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9"/>
        </w:trPr>
        <w:tc>
          <w:tcPr>
            <w:tcW w:w="5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Average headcount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1,417</w:t>
            </w:r>
          </w:p>
        </w:tc>
      </w:tr>
    </w:tbl>
    <w:p>
      <w:pPr>
        <w:spacing w:after="0" w:line="51" w:lineRule="exact"/>
        <w:rPr>
          <w:sz w:val="20"/>
          <w:szCs w:val="20"/>
          <w:color w:val="auto"/>
        </w:rPr>
      </w:pPr>
    </w:p>
    <w:p>
      <w:pPr>
        <w:ind w:left="1680" w:hanging="183"/>
        <w:spacing w:after="0"/>
        <w:tabs>
          <w:tab w:leader="none" w:pos="168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Includes costs incurred as well as cost reimbursements from collaborators who are not deemed to be our customers</w:t>
      </w:r>
    </w:p>
    <w:p>
      <w:pPr>
        <w:spacing w:after="0" w:line="23" w:lineRule="exact"/>
        <w:rPr>
          <w:rFonts w:ascii="Arial" w:cs="Arial" w:eastAsia="Arial" w:hAnsi="Arial"/>
          <w:sz w:val="22"/>
          <w:szCs w:val="22"/>
          <w:color w:val="auto"/>
          <w:vertAlign w:val="superscript"/>
        </w:rPr>
      </w:pPr>
    </w:p>
    <w:p>
      <w:pPr>
        <w:ind w:left="1500" w:right="1460" w:hanging="3"/>
        <w:spacing w:after="0" w:line="211" w:lineRule="auto"/>
        <w:tabs>
          <w:tab w:leader="none" w:pos="1677"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Cost of goods sold primarily includes costs in connection with producing commercial supplies for products that are sold by Regeneron in the United States (</w:t>
      </w:r>
      <w:r>
        <w:rPr>
          <w:rFonts w:ascii="Arial" w:cs="Arial" w:eastAsia="Arial" w:hAnsi="Arial"/>
          <w:sz w:val="15"/>
          <w:szCs w:val="15"/>
          <w:i w:val="1"/>
          <w:iCs w:val="1"/>
          <w:color w:val="auto"/>
        </w:rPr>
        <w:t>i.e.,</w:t>
      </w:r>
      <w:r>
        <w:rPr>
          <w:rFonts w:ascii="Arial" w:cs="Arial" w:eastAsia="Arial" w:hAnsi="Arial"/>
          <w:sz w:val="15"/>
          <w:szCs w:val="15"/>
          <w:color w:val="auto"/>
        </w:rPr>
        <w:t xml:space="preserve"> for which we record net product sales), any royalties we are obligated to pay on such sales, and amounts we are obligated to pay to Sanofi for its share of Libtayo U.S. gross profits</w:t>
      </w:r>
    </w:p>
    <w:p>
      <w:pPr>
        <w:spacing w:after="0" w:line="10" w:lineRule="exact"/>
        <w:rPr>
          <w:rFonts w:ascii="Arial" w:cs="Arial" w:eastAsia="Arial" w:hAnsi="Arial"/>
          <w:sz w:val="21"/>
          <w:szCs w:val="21"/>
          <w:color w:val="auto"/>
          <w:vertAlign w:val="superscript"/>
        </w:rPr>
      </w:pPr>
    </w:p>
    <w:p>
      <w:pPr>
        <w:ind w:left="1500" w:right="1740" w:hanging="3"/>
        <w:spacing w:after="0" w:line="213" w:lineRule="auto"/>
        <w:tabs>
          <w:tab w:leader="none" w:pos="1677"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Cost of collaboration and contract manufacturing includes costs we incur in connection with producing commercial drug supplies for collaborators and others</w:t>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for the three months ended March 31, 2021 and 2020 included a total of $130.9 million and $105.8 million, respectively, of non-cash compensation expense related to equity awards granted under our long-term incentive plans.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line="223" w:lineRule="exact"/>
              <w:rPr>
                <w:sz w:val="20"/>
                <w:szCs w:val="20"/>
                <w:color w:val="auto"/>
              </w:rPr>
            </w:pPr>
            <w:r>
              <w:rPr>
                <w:rFonts w:ascii="Arial" w:cs="Arial" w:eastAsia="Arial" w:hAnsi="Arial"/>
                <w:sz w:val="18"/>
                <w:szCs w:val="18"/>
                <w:b w:val="1"/>
                <w:bCs w:val="1"/>
                <w:color w:val="auto"/>
                <w:w w:val="91"/>
              </w:rPr>
              <w:t>2020</w:t>
            </w:r>
            <w:r>
              <w:rPr>
                <w:rFonts w:ascii="Arial" w:cs="Arial" w:eastAsia="Arial" w:hAnsi="Arial"/>
                <w:sz w:val="23"/>
                <w:szCs w:val="23"/>
                <w:b w:val="1"/>
                <w:bCs w:val="1"/>
                <w:color w:val="auto"/>
                <w:w w:val="91"/>
                <w:vertAlign w:val="superscript"/>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REGEN-COV (casirivimab with imdevimab)</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Libtayo (cemiplimab)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Fasinumab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EYLEA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Dupixent (dupilumab)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product candidates in clinical development and other</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programs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direct research and development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142"/>
        </w:trPr>
        <w:tc>
          <w:tcPr>
            <w:tcW w:w="5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Indirect research and development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Payroll and benefits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Lab supplies and other research and development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Occupancy and other operating costs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indirect research and development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Clinical manufacturing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0"/>
              <w:spacing w:after="0" w:line="176" w:lineRule="exact"/>
              <w:rPr>
                <w:sz w:val="20"/>
                <w:szCs w:val="20"/>
                <w:color w:val="auto"/>
              </w:rPr>
            </w:pPr>
            <w:r>
              <w:rPr>
                <w:rFonts w:ascii="Arial" w:cs="Arial" w:eastAsia="Arial" w:hAnsi="Arial"/>
                <w:sz w:val="18"/>
                <w:szCs w:val="18"/>
                <w:color w:val="auto"/>
              </w:rPr>
              <w:t>Reimbursement of research and development expenses by</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collaborators</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460" w:hanging="98"/>
        <w:spacing w:after="0"/>
        <w:tabs>
          <w:tab w:leader="none" w:pos="14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Certain prior year amounts have been reclassified to conform to the current year's presentation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included non-cash compensation expense of $69.7 million and $56.7 million for the three months ended March 31, 2021 and 2020, respectively.</w:t>
      </w:r>
    </w:p>
    <w:p>
      <w:pPr>
        <w:spacing w:after="0" w:line="1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(including those relating to the disruptions caused by the COVID-19 pandemic).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for the three months ended March 31, 2021, compared to the same period in 2020, primarily due to higher headcount-related costs, an increase in commercialization-related expenses for Libtayo, and an increase in expenditures related to new products. Selling, general, and administrative expenses also included non-cash compensation expense of $50.8 million and $40.3 million for the three months ended March 31, 2021 and 2020,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goods sold increased for the three months ended March 31, 2021, compared to the same period in 2020, primarily due to the recognition of manufacturing costs in connection with product sales of REGEN-COV (which commenced in the third quarter of 2020) and Praluent in the United States (which were recorded by Sanofi prior to April 1, 2020).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collaboration and contract manufacturing decreased for the three months ended March 31, 2021, compared to the same period in 2020, primarily due to the recognition of process validation costs during the three months ended March 31, 2020 in connection with manufacturing Inmazeb under our BARDA agreement; such costs did not recur during the three months ended March 31, 2021. This decrease was largely offset by the recognition of manufacturing costs associated with higher sales of Dupixent.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 Expense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(income) expense, net, includes recognition of a portion of amounts previously deferred in connection with up-front and development milestone payments, as applicable, received in connection with Sanofi IO, Teva, and MTPC collaborative arrangements.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for the three months ended March 31, 2021, compared to the same period in 2020, was positively impacted by the recognition of unrealized gains on equity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4" w:lineRule="exact"/>
        <w:rPr>
          <w:sz w:val="20"/>
          <w:szCs w:val="20"/>
          <w:color w:val="auto"/>
        </w:rPr>
      </w:pPr>
    </w:p>
    <w:tbl>
      <w:tblPr>
        <w:tblLayout w:type="fixed"/>
        <w:tblInd w:w="234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2"/>
              </w:rPr>
              <w:t>Three Months Ended</w:t>
            </w:r>
          </w:p>
        </w:tc>
      </w:tr>
      <w:tr>
        <w:trPr>
          <w:trHeight w:val="230"/>
        </w:trPr>
        <w:tc>
          <w:tcPr>
            <w:tcW w:w="3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880" w:type="dxa"/>
            <w:vAlign w:val="bottom"/>
            <w:tcBorders>
              <w:bottom w:val="single" w:sz="8" w:color="auto"/>
            </w:tcBorders>
          </w:tcPr>
          <w:p>
            <w:pPr>
              <w:spacing w:after="0"/>
              <w:rPr>
                <w:sz w:val="19"/>
                <w:szCs w:val="19"/>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 except effective tax rate)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44.0</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0"/>
                <w:szCs w:val="20"/>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w w:val="92"/>
              </w:rPr>
              <w:t>11.0 %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ind w:left="420"/>
              <w:spacing w:after="0"/>
              <w:rPr>
                <w:sz w:val="20"/>
                <w:szCs w:val="20"/>
                <w:color w:val="auto"/>
              </w:rPr>
            </w:pPr>
            <w:r>
              <w:rPr>
                <w:rFonts w:ascii="Arial" w:cs="Arial" w:eastAsia="Arial" w:hAnsi="Arial"/>
                <w:sz w:val="18"/>
                <w:szCs w:val="18"/>
                <w:color w:val="auto"/>
                <w:w w:val="95"/>
              </w:rPr>
              <w:t>6.6 %</w:t>
            </w:r>
          </w:p>
        </w:tc>
      </w:tr>
    </w:tbl>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effective tax rate for the three months ended March 31, 2021 was positively impacted, compared to the U.S. federal statutory rate, primarily by the reversal of liabilities related to uncertain tax positions, stock-based compensation, income earned in foreign jurisdictions with tax rates lower than the U.S. federal statutory rate, and federal tax credits for research activities. Our effective tax rate for the three months ended March 31, 2020 was positively impacted, compared to the U.S. federal statutory rate, primarily by stock-based compensation, and, to a lesser extent, income earned in foreign jurisdictions with tax rates lower than the U.S. federal statutory rate and federal tax credits for research activities.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289"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37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1,437.9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(755.8)</w:t>
            </w:r>
          </w:p>
        </w:tc>
      </w:tr>
      <w:tr>
        <w:trPr>
          <w:trHeight w:val="230"/>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 securities - current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r>
      <w:tr>
        <w:trPr>
          <w:trHeight w:val="229"/>
        </w:trPr>
        <w:tc>
          <w:tcPr>
            <w:tcW w:w="3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Marketable securities - noncurrent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w:t>
            </w:r>
          </w:p>
        </w:tc>
      </w:tr>
      <w:tr>
        <w:trPr>
          <w:trHeight w:val="248"/>
        </w:trPr>
        <w:tc>
          <w:tcPr>
            <w:tcW w:w="3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374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1,978.9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1,978.5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162"/>
        </w:trPr>
        <w:tc>
          <w:tcPr>
            <w:tcW w:w="3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30"/>
        </w:trPr>
        <w:tc>
          <w:tcPr>
            <w:tcW w:w="3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w:t>
            </w:r>
          </w:p>
        </w:tc>
      </w:tr>
      <w:tr>
        <w:trPr>
          <w:trHeight w:val="248"/>
        </w:trPr>
        <w:tc>
          <w:tcPr>
            <w:tcW w:w="3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also had borrowing availability of $750.0 million under a revolving credit facility.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88"/>
              </w:rPr>
              <w:t>Sources and Uses of Cash for the Three Months Ended March 31, 2021 and 2020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March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80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8"/>
              </w:rPr>
              <w:t>698.0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9"/>
        </w:trPr>
        <w:tc>
          <w:tcPr>
            <w:tcW w:w="8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left="330"/>
              <w:spacing w:after="0"/>
              <w:rPr>
                <w:sz w:val="20"/>
                <w:szCs w:val="20"/>
                <w:color w:val="auto"/>
              </w:rPr>
            </w:pPr>
            <w:r>
              <w:rPr>
                <w:rFonts w:ascii="Arial" w:cs="Arial" w:eastAsia="Arial" w:hAnsi="Arial"/>
                <w:sz w:val="18"/>
                <w:szCs w:val="18"/>
                <w:color w:val="auto"/>
                <w:w w:val="91"/>
              </w:rPr>
              <w:t>(443.2)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(615.8)</w:t>
            </w:r>
          </w:p>
        </w:tc>
      </w:tr>
      <w:tr>
        <w:trPr>
          <w:trHeight w:val="229"/>
        </w:trPr>
        <w:tc>
          <w:tcPr>
            <w:tcW w:w="80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provided by financing activities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8"/>
              </w:rPr>
              <w:t>335.6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net income for the three months ended March 31, 2021 included $143.9 million related to net unrealized gains on equity securities (included in other non-cash items). Inventories increased as of March 31, 2021, compared to December 31, 2020, partially (i) due to REGEN-COV production in connection with our agreement to supply drug product to the U.S. government, and (ii) as a result of purchasing additional raw materials in anticipation of potential disruptions to our supply chain due to the COVID-19 pandemic and additional production at our manufacturing facilities.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during the three months ended March 31, 2021 included costs associated with the expansion of our manufacturing facilities in Rensselaer, New York and Limerick, Ireland, including construction of a fill/finish facility and related equipment. We expect to incur capital expenditures of $585 million to $650 million for the full year of 2021 primarily in connection with the continued expansion of our manufacturing facilities, including the fill/finish facility, and the expansion of our research facilities.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issuances of Common Stock, in connection with exercises of employee stock options, were $95.0 million during the three months ended March 31, 2021, compared to $811.4 million during the three months ended March 31, 2020.</w:t>
      </w:r>
    </w:p>
    <w:p>
      <w:pPr>
        <w:spacing w:after="0" w:line="10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November 2019, our board of directors authorized a share repurchase program to repurchase up to $1.0 billion of our Common Stock. As of December 31, 2020, the Company had repurchased the entire $1.0 billion of its Common Stock that it was authorized to repurchase under this program.</w:t>
      </w:r>
    </w:p>
    <w:p>
      <w:pPr>
        <w:spacing w:after="0" w:line="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January 2021, our board of directors authorized a new share repurchase program to repurchase up to $1.5 billion of our Common Stock. The share repurchase program was approved under terms substantially similar to the November 2019 share repurchase program.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We plan to finance the share repurchase program with available cash.</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we repurchased 690,265 shares of our Common Stock under the January 2021 program and recorded the cost of the shares received, or $323.5 million, as Treasury Stock. As of March 31, 2021, $1.177 billion remained available for share repurchases under the program.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summary of our critical accounting policies and use of estimates are presented in Part II, Item 7. "Management's Discussion and Analysis of Financial Condition and Results of Operations" of our Annual Report on Form 10-K for the fiscal year ended December 31, 2020 (filed February 8, 2021). There have been no material changes to our critical accounting policies and use of estimates during the three months ended March 31,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 future adoption of recently issued accounting standards is not expected to have a material impact on the Company's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2020 (filed February 8, 2021). There have been no material changes to our market risks or to our management of such risks as of March 31, 2021.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March 31, 2021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12 to our Condensed Consolidated Financial Statements included in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and references to our product candidates encompass product candidates in development by us and/or our collaborators (in the case of collaborated products or product candidates under the terms of the applicable collaboration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U.S. Securities and Exchange Commission before making an investment decision regarding Regeneron.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62" w:lineRule="exact"/>
        <w:rPr>
          <w:sz w:val="20"/>
          <w:szCs w:val="20"/>
          <w:color w:val="auto"/>
        </w:rPr>
      </w:pPr>
    </w:p>
    <w:p>
      <w:pPr>
        <w:jc w:val="both"/>
        <w:ind w:left="660" w:hanging="328"/>
        <w:spacing w:after="0" w:line="271"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business may be further adversely affected by the effects of the COVID-19 pandemic, including those impacting our manufacturing and supply chain operations, research and development efforts, commercial operations and sales force, administrative personnel, third-party service providers, and business partners and customers, as well as the demand for our marketed products.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risks related to the development, manufacturing, and potential commercialization of REGEN-COV.</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Risks</w:t>
      </w:r>
    </w:p>
    <w:p>
      <w:pPr>
        <w:spacing w:after="0" w:line="14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substantially dependent on the success of EYLEA and Dupixent.</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our products are dependent on the availability and extent of reimbursement from third-party payors, including private payors and government programs such as Medicare and Medicaid, which could change due to various factors such as drug price control measures that have been or may be introduced in the United States by various federal and state authorities.</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commercial success of our products is subject to significant competition from products or product candidates that may be superior to, or more cost effective than, our products or product candidates.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and our collaborators on which we rely to commercialize some of our marketed products may be unable to continue to successfully commercialize or co-commercialize our products, both in the United States and abroad.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Development Risks</w:t>
      </w:r>
    </w:p>
    <w:p>
      <w:pPr>
        <w:spacing w:after="0" w:line="1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Drug development and obtaining and maintaining regulatory approval for drug products is costly, time-consuming, and highly uncertain.</w:t>
      </w:r>
    </w:p>
    <w:p>
      <w:pPr>
        <w:spacing w:after="0" w:line="34"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Many of our products are intended to be used in combination with drug-delivery devices, which may result in additional regulatory, commercialization, and other risks.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Market Exclusivity Risks</w:t>
      </w:r>
    </w:p>
    <w:p>
      <w:pPr>
        <w:spacing w:after="0" w:line="162" w:lineRule="exact"/>
        <w:rPr>
          <w:sz w:val="20"/>
          <w:szCs w:val="20"/>
          <w:color w:val="auto"/>
        </w:rPr>
      </w:pPr>
    </w:p>
    <w:p>
      <w:pPr>
        <w:ind w:left="660" w:hanging="328"/>
        <w:spacing w:after="0" w:line="25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protect the confidentiality of our trade secrets, and our patents or other means of defending our intellectual property may be insufficient to protect our proprietary rights.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or limitation of patent rights, and regulatory pathways for biosimilar competition, could reduce the duration of market exclusivity for our products, including EYLEA.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3"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1" w:lineRule="exact"/>
        <w:rPr>
          <w:rFonts w:ascii="Arial" w:cs="Arial" w:eastAsia="Arial" w:hAnsi="Arial"/>
          <w:sz w:val="17"/>
          <w:szCs w:val="17"/>
          <w:color w:val="auto"/>
        </w:rPr>
      </w:pPr>
    </w:p>
    <w:p>
      <w:pPr>
        <w:jc w:val="both"/>
        <w:ind w:left="660" w:hanging="328"/>
        <w:spacing w:after="0" w:line="24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77"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148" w:lineRule="exact"/>
        <w:rPr>
          <w:sz w:val="20"/>
          <w:szCs w:val="20"/>
          <w:color w:val="auto"/>
        </w:rPr>
      </w:pPr>
    </w:p>
    <w:p>
      <w:pPr>
        <w:ind w:left="660" w:hanging="328"/>
        <w:spacing w:after="0" w:line="25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testing or use of our products harms people, or is perceived to harm them even when such harm is unrelated to our products, we could be subject to costly and damaging product liability claims.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activities have been, and may in the future be, challenged under federal or state healthcare laws, which may subject us to civil or criminal proceedings, investigations, or penalties.</w:t>
      </w: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face risks from the improper conduct of our employees, agents, contractors, or collaborators, including those relating to potential non-compliance with relevant laws and regulations such as the Foreign Corrupt Practices Act.</w:t>
      </w: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operations are subject to environmental, health, and safety laws and regulations, including those governing the use of hazardous materials.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and regulations affecting the healthcare industry could adversely affect our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liabilities and risks associated with our operations outside of the United States could adversely affect our business.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face potential liability related to the personal information we collect from individuals, data brokers, or research institutions or obtain from clinical trials sponsored by us or our collaborators.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48" w:lineRule="exact"/>
        <w:rPr>
          <w:sz w:val="20"/>
          <w:szCs w:val="20"/>
          <w:color w:val="auto"/>
        </w:rPr>
      </w:pPr>
    </w:p>
    <w:p>
      <w:pPr>
        <w:ind w:left="660" w:right="20" w:hanging="328"/>
        <w:spacing w:after="0" w:line="25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our collaborations with Sanofi or Bayer are terminated or breached, our ability to develop, manufacture, and commercialize certain of our products and product candidates in the time expected, or at all, would be materially harmed.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collaborators and service providers may fail to perform adequately in their efforts to support the development, manufacture, and commercialization of our drug candidates and current and future products.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Risks Factors – Risks Related to Employees, Information Technology, Financial Results and Liquidity, and Our Common Stock</w:t>
      </w:r>
    </w:p>
    <w:p>
      <w:pPr>
        <w:spacing w:after="0" w:line="173" w:lineRule="exact"/>
        <w:rPr>
          <w:sz w:val="20"/>
          <w:szCs w:val="20"/>
          <w:color w:val="auto"/>
        </w:rPr>
      </w:pPr>
    </w:p>
    <w:p>
      <w:pPr>
        <w:ind w:left="660" w:hanging="328"/>
        <w:spacing w:after="0" w:line="25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business is dependent on our key personnel and will be harmed if we cannot recruit and retain leaders in our research, development, manufacturing, and commercial organizations.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breaches of data security could adversely affect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need additional funding in the future, which may not be available to us, and which may force us to delay, reduce, or eliminate our product development programs or commercialization efforts.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indebtedness could adversely impact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stock price is extremely volatile.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existing shareholders may be able to exert significant influence over matters requiring shareholder approval and over our management.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further adversely affected by the effects of the COVID-19 pandemic.</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December 2019, a novel strain of coronavirus, SARS-CoV-2, causing a disease referred to as COVID-19, was reported to have surfaced in Wuhan, China. It has since spread around the world, including the United States; and, in March 2020, the World Health Organization declared the COVID-19 outbreak a pandemic. This pandemic has adversely affected 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COVID-19 pandemic has resulted in travel and other restrictions to reduce the spread of the disease, including governmental orders across the globe, which, among other things, direct individuals to shelter at their places of residence, direct businesses and governmental agencies to cease non-essential operations at physical locations, prohibit certain non-essential gatherings, maintain social distancing, and order cessation of non-essential travel. As a result of these developments, we have implemented work-from-home policies for a significant portion of our employees (except those deemed critical, including those working in our laboratories and manufacturing facilities). The effects of shelter-in-place and social distancing orders, government-imposed quarantines, and work-from-home policies may further negatively impact productivity, disrupt our business, and delay our clinical programs and development timelines beyond the delays we have already experienced and disclosed, the magnitude of which will depend, in part, on the length and severity of the restrictions and other limitations on our ability to conduct our business in the ordinary course.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In addition, our sales and marketing efforts have been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30, 2020, compared to the same period in 2019, due in part to the impact of the COVID-19 pandemic. See Part I, Item 2. "Management's Discussion and Analysis of Financial Condition and Results of Operations - Results of Operations" for a discussion of our net product sales. Demand for some or all of our marketed products may continue to be reduced while the shelter-in-place or social distancing orders are in effect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Quarantines, shelter-in-place, social distancing, and similar government orders (or the perception that such orders, shutdowns, or other restrictions on the conduct of business operations could occur) related to COVID-19 or other infectious diseases are impacting personnel at our research and manufacturing facilities, our suppliers, and other third parties on which we rely, and are also impacting the availability or cost of materials produced by or purchased from such parties, resulting in supply chain strains or disruptions that may become material. While some materials and services may be obtained from more than one supplier or provider, port closures and other restrictions resulting from the COVID-19 pandemic (including any government restrictions or limitations, such as those that may be imposed under the Defense Production Act) could materially disrupt our supply chain or limit our ability to obtain sufficient materials or services (including fill/finish services) required for the development and manufacturing of our products and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providers or suppliers, the affected facilities may need to be closed or may otherwise be affected for an extended period of time, or the contamination may result in other delays or disruptions in our direct or indirect supply chain.</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addition, infections and deaths related to COVID-19 have disrupted and may continue to disrupt the United States' healthcare and healthcare regulatory systems. Such disruptions could divert healthcare resources away from, or materially delay, FDA review and potential approval of our product candidates and new indications for our marketed products. It is unknown how long these disruptions could continue. In addition, some of our clinical trials have been and may continue to be affected by the COVID-19 pandemic. This impact includes delays in site initiation and patient enrollment due to prioritization of hospital resources toward the COVID-19 pandemic, patients' inability to comply with clinical trial protocols if quarantines impede patient movement or interrupt healthcare services, and restrictions on trial initiations imposed by hospitals and other trial sites as a result of the COVID-19 pandemic. Similarly, our ability to recruit and retain patients and principal investigators and site staff who, as healthcare providers, may have heightened exposure to COVID-19, has been and may continue to be delayed or disrupted. We continue to evaluate the adverse impact of the COVID-19 pandemic on an individual trial basis. The disruptions caused by the COVID-19 pandemic may further negatively impact the progress of our clinical trials, including the readouts of trial results, the timing of regulatory review, and any anticipated program milestones. Further, while we continue to focus on developing REGEN-COV to address the COVID-19 pandemic, our research programs and the development of our other product candidates may need to be further de-prioritized. Any elongation or de-prioritization of our research and development programs and clinical trials or delay in regulatory review resulting from such disruptions could materially affect the development and study of our product candidates, which would increase our operating expenses and may have a material adverse effect on our operating results.</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previously caused significant disruption of global financial markets and could cause more economic disruption in the future, making it more difficult for us to access capital if needed. In addition, a recession or market correction resulting from the spread of COVID-19 could materially affect our business and the value of our Common Stock.</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COVID-19 pandemic continues to rapidly evolve. The ultimate impact of this pandemic is highly uncertain and subject to change. We do not yet know the full extent of potential delays or impacts on our business, our clinical trials, healthcare systems, or the global economy as a whole. These effects could have a material impact on our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development, manufacturing, and commercialization of REGEN-COV.</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response to the recent global outbreak of COVID-19, we are pursuing the development, manufacturing, and commercialization of REGEN-COV, a novel investigational antibody cocktail treatment designed to prevent and treat infection from the SARS-CoV-2 virus that received an EUA from the FDA in November 2020. There can be no assurance with respect to how long the EUA will remain in effect, whether the EUA will be revised (such as to provide for a lower authorized dose level or subcutaneous administration or to include COVID-19 prevention) based on new clinical trial results or otherwise, and whether the EUA is revoked by the FDA based on its determination that the underlying health emergency no longer exists or warrants such authorization or other reasons. In addition, while the EUA was granted following our announcement of positive results from the ongoing Phase 2/3 seamless trial in non-</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hospitalized patients with COVID-19 and we have further announced positive Phase 3 results in March 2021 and April 2021 (as discussed in Part I, Item 2. "Management's Discussion and Analysis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 Financial Condition and Results of Operations – Additional Information – Clinical Development Programs"), there are multiple ongoing clinical trials to evaluate the safety and efficacy of the antibody cocktail and there is no assurance of favorable results from any ongoing or future clinical trials, the timing of their completion, or the FDA's or other regulatory authorities' favorable determinations based on data from any such clinical trial. It is also possible that the FDA and other regulatory authorities may not grant the antibody cocktail full marketing approval for the treatment of COVID-19, or that any marketing approvals, if granted, may have significant limitations on its use. Further, other parties may be successful in developing a more effective treatment for COVID-19; and utilization of REGEN-COV may also be adversely impacted by other factors, such as the rollout of vaccines providing acquired immunity against COVID-19. As a result, we may never be successful in fully commercializing REGEN-COV. The intense public interest, including speculation by the media, in the development and commercialization of REGEN-COV has caused significant volatility in our stock price, which may continue as data and other information from the ongoing and any future clinical trials evaluating REGEN-COV and third-party product candidates for the treatment or prevention of COVID-19 as well as any other regulatory actions become public.</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also face risks related to our significant investment in the development, supply, allocation, distribution, pricing, and commercialization of REGEN-COV. Given the severity and urgency of the COVID-19 pandemic, we have committed significant capital and resources to fund and supply clinical trials and to accelerate and scale up the production of REGEN-COV, which involves a complex manufacturing process that is both resource- and time-sensitive. We expect our investment in the development and manufacture of REGEN-COV to continue through 2021 and potentially beyond, although the magnitude of our investment will be subject to clinical data results, the duration of the COVID-19 pandemic, and other factors, including regulatory outcomes. If we are unable to maintain the EUA or obtain regulatory approvals, or if we make a strategic decision to discontinue development of REGEN-COV or are otherwise not successful in the commercialization of REGEN-COV, we will be unable to recoup our significant expenses incurred to date and in the future related to the development and production of REGEN-COV.</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addition, our internal manufacturing capacity may not be sufficient to cover the demand for REGEN-COV. While we have entered into a collaboration agreement with Roche to develop, manufacture, and distribute REGEN-COV, we cannot be certain that this collaboration will result in the anticipated increase in the current manufacturing and distribution capacity for REGEN-COV or that any increased manufacturing and distribution capacity will be sufficient. In addition, we rely entirely on third parties for filling and finishing services for REGEN-COV. Our third-party fill/finish providers may not have sufficient capacity or may otherwise not be able to provide such services on a timely basis in the quantities requested (such as because they devote their capacity to other drugs or vaccines against COVID-19), which we have recently experienced. The ability of our third-party providers to deliver such services to us may further be adversely impacted by the imposition of government restrictions or limitations (including those that may be imposed under the Defense Production Act). If we are unable to timely enter into alternative arrangements, or if such alternative arrangements are not available on satisfactory terms or at all, we may experience delays in the development, manufacturing, and distribution of REGEN-COV, which could, among other things, prevent us from meeting our supply target under our January 2021 agreement with the U.S. government.</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and Roche also face challenges related to the allocation of existing and future supply of REGEN-COV, particularly with respect to geographic distribution. As supplies of REGEN-COV are expected to remain constrained, it is possible that the U.S. government may limit or restrict our ability to distribute and commercialize REGEN-COV outside of the United States. In addition, as a result of the emergency situations in many countries, there is a heightened risk that REGEN-COV may be subject to adverse governmental actions in certain countries. The U.S. government may exercise or assert certain rights with respect to our inventions, products, or product candidates. For example, under the Defense Production Act, the U.S. government may, among other things, require domestic industries to provide essential goods and services needed for the national defense, such as drug material or other supplies needed to treat COVID-19 patients, which could require us to allocate manufacturing capacity in a way that impacts our regular operations. In addition, our agreements with the U.S. government contain provisions granting the U.S. government certain rights relating to products, product candidates, and related inventions (as applicable) covered by those agreements. For example, our July 2020 agreement with the U.S. government to manufacture and deliver REGEN-COV to the U.S. government gives the U.S. government, among other rights, the right to require us to grant a non-exclusive license to applicable inventions to a third party if such action is deemed necessary to alleviate certain health or safety needs. This right may be triggered if we, for example, do not manufacture or supply sufficient product to address such needs. If the U.S. government exercises or asserts any such rights or imposes these or similar measures with respect to our products, product candidates, or related inventions (including REGEN-COV), it may adversely impact our business and results of operations. Foreign governments (including the government of Ireland, where we have manufacturing facilities) may have similar rights or attempt to assert any such rights. Further, we have observed and are likely to continue to face significant public attention and scrutiny over the complex decisions made regarding the REGEN-COV development program, including any allocation, distribution, or pricing decisions with respect to REGEN-COV. If we are unable to successfully manage these risks, we could face significant reputational harm, which could negatively affect our stock price.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ind w:right="900"/>
        <w:spacing w:after="0" w:line="417" w:lineRule="auto"/>
        <w:rPr>
          <w:sz w:val="20"/>
          <w:szCs w:val="20"/>
          <w:color w:val="auto"/>
        </w:rPr>
      </w:pPr>
      <w:r>
        <w:rPr>
          <w:rFonts w:ascii="Arial" w:cs="Arial" w:eastAsia="Arial" w:hAnsi="Arial"/>
          <w:sz w:val="18"/>
          <w:szCs w:val="18"/>
          <w:b w:val="1"/>
          <w:bCs w:val="1"/>
          <w:color w:val="auto"/>
        </w:rPr>
        <w:t xml:space="preserve">Risks Related to Commercialization of Our Marketed Products, Product Candidates, and New Indications for Our Marketed Products </w:t>
      </w:r>
      <w:r>
        <w:rPr>
          <w:rFonts w:ascii="Arial" w:cs="Arial" w:eastAsia="Arial" w:hAnsi="Arial"/>
          <w:sz w:val="18"/>
          <w:szCs w:val="18"/>
          <w:b w:val="1"/>
          <w:bCs w:val="1"/>
          <w:i w:val="1"/>
          <w:iCs w:val="1"/>
          <w:color w:val="auto"/>
        </w:rPr>
        <w:t>We are substantially dependent on the success of EYLEA and Dupixent.</w:t>
      </w:r>
    </w:p>
    <w:p>
      <w:pPr>
        <w:jc w:val="both"/>
        <w:spacing w:after="0" w:line="273" w:lineRule="auto"/>
        <w:rPr>
          <w:sz w:val="20"/>
          <w:szCs w:val="20"/>
          <w:color w:val="auto"/>
        </w:rPr>
      </w:pPr>
      <w:r>
        <w:rPr>
          <w:rFonts w:ascii="Arial" w:cs="Arial" w:eastAsia="Arial" w:hAnsi="Arial"/>
          <w:sz w:val="17"/>
          <w:szCs w:val="17"/>
          <w:color w:val="auto"/>
        </w:rPr>
        <w:t>EYLEA net sales represent a substantial portion of our revenues and this concentration of our net sales in a single product makes us substantially dependent on that product. For the three months ended March 31, 2021 and 2020, EYLEA net sales in the United States represented 53% and 64% of our total revenues, respectively.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we are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the degree of commercial success of our marketed products will continue to depend on many factors, including the following (as applicable):</w:t>
      </w:r>
    </w:p>
    <w:p>
      <w:pPr>
        <w:spacing w:after="0" w:line="103" w:lineRule="exact"/>
        <w:rPr>
          <w:sz w:val="20"/>
          <w:szCs w:val="20"/>
          <w:color w:val="auto"/>
        </w:rPr>
      </w:pPr>
    </w:p>
    <w:p>
      <w:pPr>
        <w:jc w:val="both"/>
        <w:ind w:left="660" w:hanging="328"/>
        <w:spacing w:after="0" w:line="269"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continued impact of SARS-CoV-2 (the virus that has caused the COVID-19 pandemic) on our business and the demand for our marketed products, as well as its continued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Arial" w:cs="Arial" w:eastAsia="Arial" w:hAnsi="Arial"/>
          <w:sz w:val="17"/>
          <w:szCs w:val="17"/>
          <w:i w:val="1"/>
          <w:iCs w:val="1"/>
          <w:color w:val="auto"/>
        </w:rPr>
        <w:t>Our business may be further adversely affected by the effects of the COVID-19 pandemic</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effectiveness of the commercial strategy in and outside the United States for the marketing of our products, including pricing strategy;</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introduced in the United States by various federal and state authorities);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competition for EYLEA (discussed further under "</w:t>
      </w:r>
      <w:r>
        <w:rPr>
          <w:rFonts w:ascii="Arial" w:cs="Arial" w:eastAsia="Arial" w:hAnsi="Arial"/>
          <w:sz w:val="18"/>
          <w:szCs w:val="18"/>
          <w:i w:val="1"/>
          <w:iCs w:val="1"/>
          <w:color w:val="auto"/>
        </w:rPr>
        <w:t>The commercial success of our products and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candidates is subject to significant competition - </w:t>
      </w:r>
      <w:r>
        <w:rPr>
          <w:rFonts w:ascii="Arial" w:cs="Arial" w:eastAsia="Arial" w:hAnsi="Arial"/>
          <w:sz w:val="18"/>
          <w:szCs w:val="18"/>
          <w:color w:val="auto"/>
        </w:rPr>
        <w:t>Marketed Products" below) and the willingness of retinal specialists and patients to start or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treatment with EYLEA or to switch from another product to EYLEA;</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 complications or side effects in connection with the use of our products and in clinical trials for our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spacing w:after="0" w:line="2"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outcome of the pending proceedings relating to EYLEA, Dupixent, Praluent, and REGEN-COV (described further in Note 12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outcome of the pending government proceedings and investigations and other matters described in Note 12 to our Condensed Consolidated Financial Statements included in this report (including the civil complaint filed against us on June 24, 2020 in the U.S. District Court for the District of Massachusetts by the U.S. Attorney's Office for the District of Massachusetts);</w:t>
      </w:r>
    </w:p>
    <w:p>
      <w:pPr>
        <w:spacing w:after="0" w:line="1"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jc w:val="both"/>
        <w:ind w:left="660" w:hanging="328"/>
        <w:spacing w:after="0" w:line="255"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for drug products is costly, time-consuming, and highly uncertain</w:t>
      </w:r>
      <w:r>
        <w:rPr>
          <w:rFonts w:ascii="Arial" w:cs="Arial" w:eastAsia="Arial" w:hAnsi="Arial"/>
          <w:sz w:val="17"/>
          <w:szCs w:val="17"/>
          <w:color w:val="auto"/>
        </w:rPr>
        <w:t>"), the applicable marketing approval may be withdrawn,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Our or our collaborators'</w:t>
      </w:r>
      <w:r>
        <w:rPr>
          <w:rFonts w:ascii="Arial" w:cs="Arial" w:eastAsia="Arial" w:hAnsi="Arial"/>
          <w:sz w:val="17"/>
          <w:szCs w:val="17"/>
          <w:color w:val="auto"/>
        </w:rPr>
        <w:t xml:space="preserve"> </w:t>
      </w:r>
      <w:r>
        <w:rPr>
          <w:rFonts w:ascii="Arial" w:cs="Arial" w:eastAsia="Arial" w:hAnsi="Arial"/>
          <w:sz w:val="17"/>
          <w:szCs w:val="17"/>
          <w:i w:val="1"/>
          <w:iCs w:val="1"/>
          <w:color w:val="auto"/>
        </w:rPr>
        <w:t>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7"/>
          <w:szCs w:val="17"/>
          <w:color w:val="auto"/>
        </w:rPr>
        <w:t>" below.</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dependent, in large part, on similar reimbursement mechanisms and programs in those countries.</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future revenues and profitability will be adversely affected in a material manner if such third-party payors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will likely be exacerbated as a result of the COVID-19 pandemic), our currently marketed products and product candidates are likely to be subject to continued pricing pressures, which may have an adverse impact on our business, prospects, operating results, and financial condition.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 Services (the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w:t>
      </w:r>
      <w:r>
        <w:rPr>
          <w:rFonts w:ascii="Arial" w:cs="Arial" w:eastAsia="Arial" w:hAnsi="Arial"/>
          <w:sz w:val="16"/>
          <w:szCs w:val="16"/>
          <w:i w:val="1"/>
          <w:iCs w:val="1"/>
          <w:color w:val="auto"/>
        </w:rPr>
        <w:t>i.e.</w:t>
      </w:r>
      <w:r>
        <w:rPr>
          <w:rFonts w:ascii="Arial" w:cs="Arial" w:eastAsia="Arial" w:hAnsi="Arial"/>
          <w:sz w:val="16"/>
          <w:szCs w:val="16"/>
          <w:color w:val="auto"/>
        </w:rPr>
        <w:t>,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9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Further, there have been several recent U.S. Congressional inquiries and proposed federal and state legislation and policies designed to, among other things, bring more transparency to drug pricing, review the relationship between pricing and manufacturer patient programs, reduce the out-of-pocket cost of prescription drugs, and reform government program reimbursement methodologies for drugs. President Biden and various members of his administration and the current U.S. Congress have indicated that lowering drug prices continues to be a legislative and political priority. Proposals aimed at drug pricing recently introduced at the federal level include measures that would index the price of certain drugs to international pricing, allow the government to negotiate prescription drug prices for Medicare, and permit the importation of drugs from other countries into the United States at lower prices. Another recent example is the September 2020 "MFN Executive Order" issued by former President Trump and the related interim final rule (the "MFN Interim Final Rule") issued by HHS, acting through CMS, to implement rulemaking to test a payment model (the "MFN Model") pursuant to which Medicare would pay no more than the "most-favored-nation price" within the member countries of the Organization for Economic Co-operation and Development for certain drugs covered by Medicare Part B (such as EYLEA) and Part D. As previously reported, while preliminary injunctive relief preventing the MFN Interim Final Rule from becoming effective on January 1, 2021 has been granted and such relief has not been appealed, if the MFN Interim Final Rule is not permanently enjoined or repealed or the MFN Model is otherwise implemented, this would have a material adverse impact on the extent of Medicare reimbursements for EYLEA and our results of operations. See Note 12 to our Condensed Consolidated Financial Statements for further details regarding the lawsuit relating to the MFN Interim Final Rule filed by Regeneron.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proposals, initiatives, and developments described above) could have a material adverse effect on the sales of EYLEA or our other marketed products. Economic pressure on state budgets may also have a similar impact.</w:t>
      </w:r>
    </w:p>
    <w:p>
      <w:pPr>
        <w:spacing w:after="0" w:line="10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PBMs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significant competition.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larger pharmaceutical or biotechnology companies. There is significant actual and potential future competition for each of our marketed products.</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EYLEA faces significant competition in the marketplace. For example, EYLEA competes in one or more of its approved indications with other VEGF inhibitors, including Novartis and Genentech/Roche's Lucentis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(ranibizumab) and Novartis' Beovu</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(brolucizumab).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(such as Ang2).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Dupixent's current and potential future indications is also competitive. In atopic dermatitis, there are several topical ointments or agents either approved or in development. There is also a systemic JAK inhibitor approved for atopic dermatitis and others are in development. In addition, a number of companies are developing antibodies against IL-13, IL-13Ra1, OX40, IL-31R, and/or IL-1alpha. In asthma, competitors to Dupixent include antibodies against the IL-5 ligand or the IL-5 receptor or immunoglobulin E; and some of these antibodies are either approved or in development for indications that also compete or may compete in the future with Dupixent in CRSwNP. There are several other potentially competitive products in development that may compete with Dupixent in asthma, as well as potential future indications, including antibodies against thymic stromal lymphopoietin ("TSLP"), the IL-33 ligand, or the IL-33 receptor (ST2). Dupixent also faces competition from orally administered small molecule agents and inhaled products in asthma and potential future indications.</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Libtayo also faces significant competition. There are several competitors that are marketing and/or developing antibodies against PD-1 and/or PDL-1, including Merck's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 Bristol-Myers Squibb's Opdivo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(nivolumab), Roche's Tecentriq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(atezolizumab), and AstraZeneca's Imfinzi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(durvalumab).</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is also significant actual and potential future competition for other products marketed or otherwise commercialized by us 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Candidates</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VelocImmune</w:t>
      </w:r>
      <w:r>
        <w:rPr>
          <w:rFonts w:ascii="Arial" w:cs="Arial" w:eastAsia="Arial" w:hAnsi="Arial"/>
          <w:sz w:val="27"/>
          <w:szCs w:val="27"/>
          <w:i w:val="1"/>
          <w:iCs w:val="1"/>
          <w:color w:val="auto"/>
          <w:vertAlign w:val="superscript"/>
        </w:rPr>
        <w:t>®</w:t>
      </w:r>
      <w:r>
        <w:rPr>
          <w:rFonts w:ascii="Arial" w:cs="Arial" w:eastAsia="Arial" w:hAnsi="Arial"/>
          <w:sz w:val="17"/>
          <w:szCs w:val="17"/>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 interference (RNAi) and chimeric antigen receptor T cell (CAR-T cell)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that may compete with our antibody-based product candidates in various indications, if such product candidates obtain regulatory approval in those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collaborations with Bayer and Sanofi for commercializing some of our marketed products.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as in effect from time to time) for sales, marketing, and distribution of EYLEA in countries outside the United States.</w:t>
      </w:r>
    </w:p>
    <w:p>
      <w:pPr>
        <w:spacing w:after="0" w:line="1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under the terms of our Antibody Collaboration and our IO Collaboration, we and Sanofi co-commercialize Dupixent and Libtayo in the United States. As a result, we rely in part on Sanofi's sales and marketing organization in the United States for these products. If we and Sanofi fail to coordinate our United States sales and marketing efforts effectively, sales of any of such products may be materially affected. Sanofi also maintains other important responsibilities relating to Dupixent in the United States. For example, Sanofi records product sales for Dupixent in the United States and leads negotiations with payors relating to this product. We also rely on Sanofi for sales, marketing, and distribution of Dupixent and Libtayo in countries outside the United States. While we recently exercised our option under the Antibody Collaboration to co-commercialize Dupixent in certain jurisdictions outside the United States and expect to commence this co-commercialization later this year, we will continue to rely in part on Sanofi's sales and marketing organization in such jurisdictions and there can be no assurance that we will be able to commence or successfully conduct such co-commercialization in the expected time frame or at all.</w:t>
      </w:r>
    </w:p>
    <w:p>
      <w:pPr>
        <w:spacing w:after="0" w:line="11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Sanofi, see "Risks Related to Our Reliance on Third Parties - </w:t>
      </w:r>
      <w:r>
        <w:rPr>
          <w:rFonts w:ascii="Arial" w:cs="Arial" w:eastAsia="Arial" w:hAnsi="Arial"/>
          <w:sz w:val="18"/>
          <w:szCs w:val="18"/>
          <w:i w:val="1"/>
          <w:iCs w:val="1"/>
          <w:color w:val="auto"/>
        </w:rPr>
        <w:t>If our collaboration with Bayer for EYLEA is terminated, or Bayer materially breaches its</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8"/>
          <w:szCs w:val="18"/>
          <w:color w:val="auto"/>
        </w:rPr>
        <w:t>" below and "Risks Related to Our Reliance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Third Parties - </w:t>
      </w:r>
      <w:r>
        <w:rPr>
          <w:rFonts w:ascii="Arial" w:cs="Arial" w:eastAsia="Arial" w:hAnsi="Arial"/>
          <w:sz w:val="18"/>
          <w:szCs w:val="18"/>
          <w:i w:val="1"/>
          <w:iCs w:val="1"/>
          <w:color w:val="auto"/>
        </w:rPr>
        <w:t>If our Antibody Collaboration or our IO Collaboration with Sanofi is terminated, our business, prospects, operating results,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our ability to develop, manufacture, and commercialize certain of our products and product candidates in the time expected, or at all, would be materially harmed</w:t>
      </w:r>
      <w:r>
        <w:rPr>
          <w:rFonts w:ascii="Arial" w:cs="Arial" w:eastAsia="Arial" w:hAnsi="Arial"/>
          <w:sz w:val="18"/>
          <w:szCs w:val="18"/>
          <w:color w:val="auto"/>
        </w:rPr>
        <w:t>" below.</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9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sell EYLEA, Libtayo, Praluent, and ARCALYST in the United States to several distributors and specialty pharmacies, as applicable. Under this distribution model, the distributors and specialty pharmacies generally take physical delivery of product and generally sell the product directly to healthcare providers or other pharmacies (as applicable). For the three months ended March 31, 2021, our gross product sales of such products to two customers accounted on a combined basis for 75% of our total gross product revenue. We expect this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Further, as discussed under "Risks Related to the COVID-19 Pandemic - </w:t>
      </w:r>
      <w:r>
        <w:rPr>
          <w:rFonts w:ascii="Arial" w:cs="Arial" w:eastAsia="Arial" w:hAnsi="Arial"/>
          <w:sz w:val="16"/>
          <w:szCs w:val="16"/>
          <w:i w:val="1"/>
          <w:iCs w:val="1"/>
          <w:color w:val="auto"/>
        </w:rPr>
        <w:t>We face 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the development, manufacturing, and commercialization of REGEN-COV</w:t>
      </w:r>
      <w:r>
        <w:rPr>
          <w:rFonts w:ascii="Arial" w:cs="Arial" w:eastAsia="Arial" w:hAnsi="Arial"/>
          <w:sz w:val="16"/>
          <w:szCs w:val="16"/>
          <w:color w:val="auto"/>
        </w:rPr>
        <w:t>" above, we have entered into agreements with the U.S. government to</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 and supply REGEN-COV.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9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limited commercial capabilities outside the United States and do not currently have an organization for the sales, marketing, and distribution of marketed products outside the United States. We will need to establish commercial capabilities outside the United States if we decide to co-commercialize a product outside the United States. For example, we recently exercised our option under the Antibody Collaboration to co-commercialize Dupixent in certain jurisdictions outside the United States, and we have taken initial steps to establish commercial capabilities in such jurisdictions. In addition, there may be other circumstances in which we need to establish commercial capabilities outside the United States, including because we decide to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commercialize or co-commercialize any products outside the United States, we must build our sales, marketing, distribution, managerial, and other non-technical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commercial capabilities outside the United States (including as it relates to Dupixent) within an acceptable time frame, without incurring substantial expenses, or at all. These and other difficulties relating to commercializing our products outside the United States may severely harm our business, prospects, operating results, and financial condition.</w:t>
      </w:r>
    </w:p>
    <w:p>
      <w:pPr>
        <w:spacing w:after="0" w:line="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sell or market products without regulatory approval.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foreign countries.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The FDA's goal for a standard review is to review the application within a 10-month time frame from the time the application is filed by the FDA (filing date), which typically occurs approximately 60 days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 Procedures that are equivalent in scope, but which can vary widely in application, apply in foreign countries.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and comparable foreign regulatory authorities enforce Good Clinical Practices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6"/>
          <w:szCs w:val="16"/>
          <w:i w:val="1"/>
          <w:iCs w:val="1"/>
          <w:color w:val="auto"/>
        </w:rPr>
        <w:t>Our or our collaborators' failure to meet the stringent</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6"/>
          <w:szCs w:val="16"/>
          <w:color w:val="auto"/>
        </w:rPr>
        <w:t>" Our business, prospects, operating results, and financial condition may be materially harmed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noncompliance with the requirements and regulations described in this paragraph.</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standard drug approval process, 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In November 2020, REGEN-COV received an EUA from the FDA for the treatment of mild to moderate COVID-19. However, the FDA may revoke this EUA (or any other EUA we may be granted in the future) if it is determined that the underlying health emergency no longer exists or warrants such authorization; therefore, we cannot predict how long this EUA (or any other EUA we may be granted in the future) will remain in effect. Such revocation could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adversely impact our business in a variety of ways, including by having to absorb related manufacturing and overhead costs as well as potential inventory write-offs if regulatory approval is not obtained timely or at all.</w:t>
      </w:r>
    </w:p>
    <w:p>
      <w:pPr>
        <w:spacing w:after="0" w:line="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such as a post-authorization safety study ("PASS") and/or post-authorization efficacy study ("PAES"), which involve various risks similar to those described above, and may ask for additional data in order to begin a clinical study including phase 3 clinical trials required to submit a MAA in the EU.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in the European Economic Area ("EEA"), if we do not manage to retain a Qualified Person for Pharmacovigilance ("QPPV"), to maintain a Pharmacovigilance System Master File ("PSMF"), or to comply with other pharmacovigilance obligations, we may be at risk of our clinical trials being closed prematurely, our marketing authorization being suspended, and we may be subject to other enforcement actions by the national competent authorities of the EEA or the EC.</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exact requirements concerning pharmacovigilance reporting may differ in the numerous countries in which we conduct clinical trials. Failure to comply with the related pharmacovigilance requirements may result in the premature closure of the clinical trials and other enforcement actions by the relevant regulatory authorities.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GLPs or GCPs. A clinical trial may also fail because the dose(s) of the investigational drug included in the trial were either too low or too high to determine the optimal effect of the investigational drug in the disease setting.</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August 2020, we discontinued actively treating patients with fasinumab (which at such time only involved dosing in an optional second-year extension phase of one trial) following a recommendation from the responsible IDMC that the program be terminated based on available evidence to date.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EYLEA, there are many potential safety concerns associated with significant blockade of VEGF that may limit our ability to further successfully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These and other complications or issues or side effects could harm further development and/or commercialization of EYLEA.</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marketing approval of Dupixent or Libtayo (as applicable) in any of these indications will be successfully obtained. The side effects previously reported for Dupixent include hypersensitivity reactions, conjunctivitis and keratitis, injection-site reactions, eye and eyelid inflammation, cold sores, oropharyngeal pain, and eosinophilia; and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12 to our Condensed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may also result in the removal of our product from the market. Further, failure to successfully develop or supply and manufacture these devices, or to gain or maintain their approval, could adversely affect sales of the related products.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(which concerns genetically engineered mice capable of producing chimeric antibodies that are part human and part mouse) is the subject of opposition proceedings in the European Patent Office (the "EPO") (currently pending before its Boards of Appeal). We have pending patent applications in the United States Patent and Trademark Office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For example, on February 11, 2020, anonymous parties filed two requests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of two of our patents - U.S. Patent Nos. 10,406,226 (the "'226 Patent") and 10,464,992 (the "'992 Patent"), and the USPTO has granted both requests to initiate reexamination proceedings. In addition, as described in Note 12 to our Condensed Consolidated Financial Statements, on January 7, 2021, Chengdu Kanghong Biotechnology Co., Ltd. filed a petition for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of the '992 Patent and a post-grant review petition of U.S. Patent No. 10,828,345 (the "'345 Patent"). The '226 Patent concerns methods for manufacturing VEGF antagonist fusion proteins, including aflibercept, the '992 Patent concerns formulations and vials containing VEGF antagonist fusion proteins, including aflibercept; and the '345 Patent concerns methods for treating angiogenic eye disorders by administering VEGF antagonist fusion proteins, including aflibercept.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32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or any other of our technologies, either because of the way the antibodies are discovered or produced or because of a proprietary composition covering an antibody or the antibody's target.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and patent infringement proceedings relating to Dupixent, as described in Note 12 to our Condensed Consolidated Financial Statements. In addition, we are currently party to patent infringement and other proceedings relating to EYLEA and REGEN-COV, as described in Note 12 to our Condensed Consolidated Financial Statements.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Libtayo (cemiplimab), Praluent (alirocumab), and Kevzara (sarilumab), our late-stage antibody-based pipeline includes REGEN-COV, a novel investigational antibody cocktail treatment designed to prevent and treat infection from the SARS-CoV-2 virus; fasinumab, an antibody to NGF; garetosmab, an antibody to Activin A; pozelimab, an antibody to C5; odronextamab, a bispecific antibody targeting CD20 and CD3; itepekimab, an antibody to IL-33; REGN5458, a bispecific antibody targeting BCMA and CD3; and REGN5713-5714-5715, a multi-antibody therapy to Bet v 1.</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regulatory pathways for biosimilar competition, could reduce the duration of market exclusivity for our products.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6"/>
          <w:szCs w:val="16"/>
          <w:i w:val="1"/>
          <w:iCs w:val="1"/>
          <w:color w:val="auto"/>
        </w:rPr>
        <w:t>If we cannot protect the</w:t>
      </w:r>
      <w:r>
        <w:rPr>
          <w:rFonts w:ascii="Arial" w:cs="Arial" w:eastAsia="Arial" w:hAnsi="Arial"/>
          <w:sz w:val="16"/>
          <w:szCs w:val="16"/>
          <w:color w:val="auto"/>
        </w:rPr>
        <w:t xml:space="preserve"> </w:t>
      </w:r>
      <w:r>
        <w:rPr>
          <w:rFonts w:ascii="Arial" w:cs="Arial" w:eastAsia="Arial" w:hAnsi="Arial"/>
          <w:sz w:val="16"/>
          <w:szCs w:val="16"/>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Arial" w:cs="Arial" w:eastAsia="Arial" w:hAnsi="Arial"/>
          <w:sz w:val="16"/>
          <w:szCs w:val="16"/>
          <w:color w:val="auto"/>
        </w:rPr>
        <w:t>" the scope and enforceability of our patent rights may vary from country to country. The failure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In the United States, the regulatory exclusivity period for EYLEA (</w:t>
      </w:r>
      <w:r>
        <w:rPr>
          <w:rFonts w:ascii="Arial" w:cs="Arial" w:eastAsia="Arial" w:hAnsi="Arial"/>
          <w:sz w:val="17"/>
          <w:szCs w:val="17"/>
          <w:i w:val="1"/>
          <w:iCs w:val="1"/>
          <w:color w:val="auto"/>
        </w:rPr>
        <w:t>i.e.</w:t>
      </w:r>
      <w:r>
        <w:rPr>
          <w:rFonts w:ascii="Arial" w:cs="Arial" w:eastAsia="Arial" w:hAnsi="Arial"/>
          <w:sz w:val="17"/>
          <w:szCs w:val="17"/>
          <w:color w:val="auto"/>
        </w:rPr>
        <w:t>, the period during which no biosimilar product can be approved by the FDA) expires on November 18, 2023, with the possibility of an additional six months of regulatory exclusivity (</w:t>
      </w:r>
      <w:r>
        <w:rPr>
          <w:rFonts w:ascii="Arial" w:cs="Arial" w:eastAsia="Arial" w:hAnsi="Arial"/>
          <w:sz w:val="17"/>
          <w:szCs w:val="17"/>
          <w:i w:val="1"/>
          <w:iCs w:val="1"/>
          <w:color w:val="auto"/>
        </w:rPr>
        <w:t>i.e.</w:t>
      </w:r>
      <w:r>
        <w:rPr>
          <w:rFonts w:ascii="Arial" w:cs="Arial" w:eastAsia="Arial" w:hAnsi="Arial"/>
          <w:sz w:val="17"/>
          <w:szCs w:val="17"/>
          <w:color w:val="auto"/>
        </w:rPr>
        <w:t>, until May 18, 2024) if the FDA grants pediatric exclusivity based on our completion of certain studies evaluating EYLEA in pediatric patients with retinopathy of prematurity and submission of the data from these studies to the FDA no later than 15 months before the date on which regulatory exclusivity would otherwise expire. The loss of market exclusivity for a product (such as EYLEA) would likely materially and negatively affect revenues from product sales of that product and thus our financial results and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10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For example, our internal manufacturing capacity may not be sufficient to cover the demand for REGEN-COV, our novel investigational antibody cocktail treatment designed to prevent and treat infection from the SARS-CoV-2 virus, which in November 2020 received an EUA from the FDA for the treatment of mild to moderate COVID-19. In addition to expanding our internal capacity, we intend to continue to rely on our collaborators, and may also rely on contract manufacturers, to produce commercial quantities of drug material needed for commercialization of our products. For example, as described in Part I, Item 2. "Management's Discussion and Analysis of Financial Condition and Results of Operations," in August 2020, we announced a collaboration agreement with Roche to develop, manufacture, and distribute REGEN-COV. We cannot be certain that this collaboration will result in the anticipated increase in the current manufacturing and distribution capacity for REGEN-COV or that any increased manufacturing and distribution capacity will be sufficient.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including with respect to drug-delivery devices (such as a pre-filled syringe, patch pump, auto-injector, or other delivery system).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14"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are in the process of constructing fill/finish facilities (refer to Part I, Item 2. "Management's Discussion and Analysis of Financial Condition and Results of Operations – Liquidity and Capital Resources" for information about expected capital expenditures relating to this and other projects).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could also delay or require us to discontinue one or more of our clinical development programs. As a result, our business, prospects, operating results, and financial condition could be materially harmed.</w:t>
      </w:r>
    </w:p>
    <w:p>
      <w:pPr>
        <w:spacing w:after="0" w:line="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12 to our Condensed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w:t>
      </w:r>
    </w:p>
    <w:p>
      <w:pPr>
        <w:spacing w:after="0" w:line="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from any marketed products, which could be seriously detrimental to our business, prospects, operating results, and financial condition. Significant noncompliance could also result in the imposition of monetary penalties or other civil or criminal sanctions and damage our reputation.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activities have been, and may in the future be, challenged under federal or state healthcare laws, which may subject us to civil or criminal proceedings, investigations, or penalties.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communications regarding unapproved uses, industry-sponsored scientific and educational activities, and sales representatives' communications. Failure to comply with applicable FDA requirements and restrictions in this area may subject a company to adverse publicity and enforcement action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a drug.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FDA and related regulatory requirements, we are subject to health 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0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narrowness of the safe harbors, it is possible that some of our business activities could be challenged under one or more of such laws. As described further in Note 12 to our Condensed Consolidated Financial Statements included in this report, we are party to a civil complaint filed in June 2020 by the U.S. Attorney's Office for the District of Massachusetts concerning our support of 501(c)(3) organizations that provide financial assistance to patients; and we are cooperating with a pending government investigation concerning certain other business activities. Any adverse decision, finding, allegation, or exercise</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enforcement or regulatory discretion in any such proceedings or investigations could harm our business, prospects, operating results,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other healthcare providers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Beginning in 2022, applicable manufacturers also will be required to report information (starting with information collected during 2021) regarding payments and transfers of value provided to physician assistants, nurse practitioners, clinical nurse specialists, certified nurse anesthetists, and certified nurse-midwives.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continue to dedicate significant resources to comply with these requirements and need to be prepared to comply with additional reporting obligations outside of the United States that may apply in the future.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participate in the Medicaid Drug Rebate program, the Public Health Service's 340B drug pricing program (the "340B program"), the U.S. Department of Veterans Affairs ("VA") Federal Supply Schedule ("FSS") pricing program, and the Tricare Retail Pharmacy Program.</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Such interpretation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The CMS could also decide to terminate our Medicaid drug rebate agreement, in which case federal payments may not be available under Medicaid or Medicare Part B for our covered outpatient drugs.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PPACA. The issuance of the final regulation, as well as any other regulations and coverage expansion by various governmental agencies relating to the Medicaid Drug Rebate program,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HRSA issued a final regulation regarding the calculation of the 340B ceiling price and the imposition of civil monetary penalties on manufacturers that knowingly and intentionally overcharge covered entities, which became effective on January 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under a final regulation effective January 13, 2021, HRSA newly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additional future changes to the definition of average manufacturer price and the Medicaid rebate amount under the PPACA or otherwise could affect our 340B ceiling price calculations and negatively impact our results of operations.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116"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Arial" w:cs="Arial" w:eastAsia="Arial" w:hAnsi="Arial"/>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116" w:lineRule="exact"/>
        <w:rPr>
          <w:sz w:val="20"/>
          <w:szCs w:val="20"/>
          <w:color w:val="auto"/>
        </w:rPr>
      </w:pPr>
    </w:p>
    <w:p>
      <w:pPr>
        <w:ind w:left="660" w:right="20" w:hanging="328"/>
        <w:spacing w:after="0" w:line="25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FDA and foreign cGMP requirements that may make it more difficult and costly for us to maintain regulatory compliance and/or manufacture our marketed product and product candidates in accordance with cGMPs.</w:t>
      </w:r>
    </w:p>
    <w:p>
      <w:pPr>
        <w:spacing w:after="0" w:line="1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U.S. government could carry out other significant changes in legislation, regulation, and government policy, including with respect to government reimbursement changes and drug price control measures (such as those discussed above under "Risks Related to Commercialization of Our Marketed Products, Product Candidates, and New Indications for Our Marketed Products - </w:t>
      </w:r>
      <w:r>
        <w:rPr>
          <w:rFonts w:ascii="Arial" w:cs="Arial" w:eastAsia="Arial" w:hAnsi="Arial"/>
          <w:sz w:val="16"/>
          <w:szCs w:val="16"/>
          <w:i w:val="1"/>
          <w:iCs w:val="1"/>
          <w:color w:val="auto"/>
        </w:rPr>
        <w:t>Sales of our marketed products are dependent on the availability and</w:t>
      </w:r>
      <w:r>
        <w:rPr>
          <w:rFonts w:ascii="Arial" w:cs="Arial" w:eastAsia="Arial" w:hAnsi="Arial"/>
          <w:sz w:val="16"/>
          <w:szCs w:val="16"/>
          <w:color w:val="auto"/>
        </w:rPr>
        <w:t xml:space="preserve"> </w:t>
      </w:r>
      <w:r>
        <w:rPr>
          <w:rFonts w:ascii="Arial" w:cs="Arial" w:eastAsia="Arial" w:hAnsi="Arial"/>
          <w:sz w:val="16"/>
          <w:szCs w:val="16"/>
          <w:i w:val="1"/>
          <w:iCs w:val="1"/>
          <w:color w:val="auto"/>
        </w:rPr>
        <w:t>extent of reimbursement from third-party payors, and changes to such reimbursement may materially harm our business, prospects, operating results, and financial condition</w:t>
      </w:r>
      <w:r>
        <w:rPr>
          <w:rFonts w:ascii="Arial" w:cs="Arial" w:eastAsia="Arial" w:hAnsi="Arial"/>
          <w:sz w:val="16"/>
          <w:szCs w:val="16"/>
          <w:color w:val="auto"/>
        </w:rPr>
        <w:t>"). While it is not possible to predict whether and when any such changes will occur, changes in the laws, regulations, and policies</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10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example, effective January 31, 2020, the United Kingdom commenced an exit from the EU, commonly referred to as "Brexit." The transition period for Brexit expired on December 31, 2020 following the entry into a trade agreement that now governs the United Kingdom's relationship with the EU. We do not know to what extent Brexit will ultimately impact the business and regulatory environment in the United Kingdom, the rest of the EU, or other countries. For example, the impact of Brexit on the ongoing validity in the United Kingdom of current EU authorizations for medicinal products and on the future process for obtaining marketing authorization for pharmaceutical products manufactured or sold in the United Kingdom remains uncertain.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for uncertain tax positions that involve significant management judgment as to the application of law. The Internal Revenue Service or other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(see also Note 9 to our Condensed Consolidated Financial Statements included in this report).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There are various U.S. tax law changes under consideration, including increases to the corporate income tax rates on both domestic and foreign income, that could have significant impact on our tax liability. Increases to the income tax rate or other changes to the tax law could materially impact our tax provision, cash tax liability, and effective tax rate. In addition, recommendations by the Organization for Economic Co-operation and Development and the European Union could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personal information we collect from individuals, data brokers, or research institutions or obtain from clinical trials sponsored by us or our collaborators.</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Most U.S. health care providers, including research institutions from which we or our collaborators obtain clinical trial data, are subject to privacy and security regulations promulgated under HIPAA.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we could potentially be subject to criminal penalties if we, our affiliates, or our agents knowingly obtain, use, or disclose individually identifiable health information maintained by a HIPAA-covered entity in a manner that is not authorized or permitted by HIPAA.</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There are instances where we collect and maintain sensitive personally identifiable information, which may include health information outside of the scope of HIPAA.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 In the case of a breach of personal information we may be subject to state breach notification laws requiring notification of affected individuals and state regulators.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patient assistance programs and product marketing activities as part of which we collect California resident personal data are subject to the California Consumer Privacy Act of 2018 (the "CCPA"). The CCPA, which became effective on January 1, 2020, is a consumer protection law that establishes certain</w:t>
      </w:r>
    </w:p>
    <w:p>
      <w:pPr>
        <w:jc w:val="both"/>
        <w:spacing w:after="0" w:line="263" w:lineRule="auto"/>
        <w:rPr>
          <w:sz w:val="20"/>
          <w:szCs w:val="20"/>
          <w:color w:val="auto"/>
        </w:rPr>
      </w:pPr>
      <w:r>
        <w:rPr>
          <w:rFonts w:ascii="Arial" w:cs="Arial" w:eastAsia="Arial" w:hAnsi="Arial"/>
          <w:sz w:val="17"/>
          <w:szCs w:val="17"/>
          <w:color w:val="auto"/>
        </w:rPr>
        <w:t>requirements for data use and sharing transparency and provides California residents with personal data privacy rights regarding the use, disclosure, and retention of their personal data. The CCPA requires us, among other things, to update our notices and develop new processes internally and with our partners. Amendments to the CCPA and legislative proposals at the federal and state level could impose new obligations or limitations in areas affecting our business. These laws and regulations are constantly evolving and may impose limitations on our business activities. Several other U.S. states have introduced similar consumer protection laws that may go into effect in the near future.</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clinical trial programs and research collaborations outside the U.S. (such as our consortium with a group of companies to fund the generation of genetic exome sequence data from the UK Biobank health resource) implicate international data protection laws, including the European Union's General Data Protection Regulation (the "GDPR").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Furthermore, health privacy laws, data breach notification laws, consumer protection laws, data localization laws, and genetic testing laws may apply directly to our operations and/or those of our collaborators and may impose restrictions on our collection, use, and dissemination of individuals' health and other personal information. Moreover, individuals about whom we or our collaborators obtain health or other personal information,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funding and support from Sanofi to develop, manufacture, and commercialize certain of our products and product candidates. With respect to the products that we are co-developing with Sanofi under our Antibody Collaboration (currently consisting of Dupixent, Kevzara, and itepekimab),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our IO Collaboration, Sanofi also funds half of the development expenses incurred in connection with the clinical development of Libtayo, subject to an agreed-upon development budget. We also rely on Sanofi to lead commercialization efforts outside the United States for Libtayo. Following Sanofi's decision not to elect to co-develop MUC16xCD3 Program antibodies and the BCMAxCD3 Program antibodies under our IO Collaboration, we are required to fund and conduct on our own all such efforts to support those product candidates.</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it is co-developing with us,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or our IO Collaboration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 commercial capabilities outside the United States for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Antibody Collaboration or the IO Collaboration would create substantial new and additional risks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 development and commercialization of the products subject to such collaborations, particularly outside the United States.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as in effect from time to time,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 capabilities outside the United States for 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Bayer collaboration agreement would create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new and additional risks to the successful commercialization of EYLEA outside the United States.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our implementation of work-from-home policies for a significant part of our employees.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or our suppliers and/or service providers fail to maintain or protect our information technology systems and data security effectively, or fail to anticipate, plan for, or manage significant disruptions to these systems, we or our suppliers and/or service providers could have difficulty preventing, detecting, or controlling such disruptions or security breaches, which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cannot sustain profitability, we may be unable to continue our operations. In the absence of substantial revenue from the sale of products on an ongoing basis, including our net product sales of EYLEA and funding we receive under our collaboration agreements (including our share of profits in connection with commercialization of EYLEA and Dupixent under our collaboration agreements with Bayer and Sanofi, respectively),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there is no guarantee that we will have the ability to pay the principal amount due on the Notes at maturity or redeem, repurchase, or refinance the Notes prior to maturity on acceptable terms or at all. In addition, in March 2017, we completed a $720.0 million lease financing for our existing corporate headquarters and other rentable area consisting of approximately 150 acres of predominately office buildings and laboratory space located in Tarrytown, New York, which will become due and payable in full in March 2022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impact our business.</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certain indebtedness and contingent liabilities, including milestone and royalty payment obligations. As of March 31, 2021, we had an aggregate of $2.697 billion of outstanding indebtedness under the Notes and the lease financing facility. We may also incur additional debt in the future. Any such indebtedness could:</w:t>
      </w:r>
    </w:p>
    <w:p>
      <w:pPr>
        <w:spacing w:after="0" w:line="11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11" w:lineRule="exact"/>
        <w:rPr>
          <w:rFonts w:ascii="Arial" w:cs="Arial" w:eastAsia="Arial" w:hAnsi="Arial"/>
          <w:sz w:val="18"/>
          <w:szCs w:val="18"/>
          <w:color w:val="auto"/>
        </w:rPr>
      </w:pPr>
    </w:p>
    <w:p>
      <w:pPr>
        <w:ind w:left="660" w:hanging="328"/>
        <w:spacing w:after="0" w:line="264"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4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revenue from outside of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2021, we had $1.438 billion in cash and cash equivalents and $5.610 billion in marketable securities (including $1.002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elimination of LIBOR could adversely affect our business, operating results, and financial condition.</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subject to risks related to uncertainty regarding the London Interbank Offered Rate ("LIBOR"). LIBOR is the subject of recent national, international, and other regulatory guidance and proposals for reform, which may cause LIBOR to cease to exist after 2021 or to perform differently than in the past. While we expect that alternatives to LIBOR will be implemented prior to the 2021 target date or that the 2021 cessation date may be extended, we cannot predict the consequences and timing of these developments. The U.S. Federal Reserve, in conjunction with the Alternative Reference Rates Committee, a steering committee comprised of large U.S. financial institutions, has identified the Secured Overnight Financing Rate ("SOFR"), a new index calculated by short-term repurchase agreements, backed by Treasury securities, as its preferred alternative rate for LIBOR. At this time, it is not possible to predict how markets will respond to SOFR or other alternative reference rates as the transition away from LIBOR is anticipated in coming years. There is currently limited information regarding the future utilization of LIBOR or of any particular replacement rate. A transition away from LIBOR as a benchmark for establishing the applicable interest rate may adversely affect our outstanding variable-rate indebtedness (if any), as well as floating-rate debt securities in our investment portfolio. For example, if a published U.S. dollar LIBOR is unavailable after 2021, interest for borrowings (if any) with an interest rate based on the LIBOR rate under our revolving credit facility, which are indexed to LIBOR, will be determined using various alternative methods, any of which may result in interest obligations which are more than, or do not otherwise correlate over time with, the payments that would have been made on such debt if U.S. dollar LIBOR was available in its current form.</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03" w:lineRule="exact"/>
        <w:rPr>
          <w:sz w:val="20"/>
          <w:szCs w:val="20"/>
          <w:color w:val="auto"/>
        </w:rPr>
      </w:pPr>
    </w:p>
    <w:p>
      <w:pPr>
        <w:ind w:left="660" w:hanging="328"/>
        <w:spacing w:after="0" w:line="25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impact of the COVID-19 pandemic on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any of our marketed products or product candidates or new indications for our marketed products;</w:t>
      </w:r>
    </w:p>
    <w:p>
      <w:pPr>
        <w:ind w:left="660" w:hanging="328"/>
        <w:spacing w:after="0" w:line="281"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repurchase our Common Stock under any share repurchase program on favorable terms or at all;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8"/>
          <w:szCs w:val="18"/>
          <w:i w:val="1"/>
          <w:iCs w:val="1"/>
          <w:color w:val="auto"/>
        </w:rPr>
        <w:t>Future sales of our Common Stock</w:t>
      </w:r>
      <w:r>
        <w:rPr>
          <w:rFonts w:ascii="Arial" w:cs="Arial" w:eastAsia="Arial" w:hAnsi="Arial"/>
          <w:sz w:val="18"/>
          <w:szCs w:val="18"/>
          <w:color w:val="auto"/>
        </w:rPr>
        <w:t xml:space="preserve"> </w:t>
      </w:r>
      <w:r>
        <w:rPr>
          <w:rFonts w:ascii="Arial" w:cs="Arial" w:eastAsia="Arial" w:hAnsi="Arial"/>
          <w:sz w:val="18"/>
          <w:szCs w:val="18"/>
          <w:i w:val="1"/>
          <w:iCs w:val="1"/>
          <w:color w:val="auto"/>
        </w:rPr>
        <w:t>by our significant shareholders or us may depress our stock price and impair our ability to raise funds in new share offerings</w:t>
      </w:r>
      <w:r>
        <w:rPr>
          <w:rFonts w:ascii="Arial" w:cs="Arial" w:eastAsia="Arial" w:hAnsi="Arial"/>
          <w:sz w:val="18"/>
          <w:szCs w:val="18"/>
          <w:color w:val="auto"/>
        </w:rPr>
        <w:t>" below, a large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is owned by a small number of our principal shareholders. As a result, the public float of our Common Stock (</w:t>
      </w:r>
      <w:r>
        <w:rPr>
          <w:rFonts w:ascii="Arial" w:cs="Arial" w:eastAsia="Arial" w:hAnsi="Arial"/>
          <w:sz w:val="18"/>
          <w:szCs w:val="18"/>
          <w:i w:val="1"/>
          <w:iCs w:val="1"/>
          <w:color w:val="auto"/>
        </w:rPr>
        <w:t>i.e.</w:t>
      </w:r>
      <w:r>
        <w:rPr>
          <w:rFonts w:ascii="Arial" w:cs="Arial" w:eastAsia="Arial" w:hAnsi="Arial"/>
          <w:sz w:val="18"/>
          <w:szCs w:val="18"/>
          <w:color w:val="auto"/>
        </w:rPr>
        <w:t>,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resources, and could also require us to make substantial payments to satisfy judgments or to settle litigation, which may harm our business, prospects, operating results, and financial condition.</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April 13, 2021, our five largest shareholders plus Dr. Schleifer, our Chief Executive Officer, beneficially owned approximately 41.5% of our outstanding shares of Common Stock, assuming, in the case of our Chief Executive Officer, the conversion of his Class A Stock into Common Stock and the exercise of all options held by him which are exercisable within 60 days of April 13, 2021.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we will repurchase shares of our Common Stock or that we will repurchase shares at favorable prices.</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our board of directors authorized a share repurchase program to repurchase up to $1.5 billion of our Common Stock (of which $1.177 billion remained available as of March 31, 2021).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continue to repurchase shares of our Common Stock at favorable prices, if at all.</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existing shareholders may be able to exert substantial influence over matters requiring shareholder approval and over our management.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April 13, 2021, holders of Class A Stock held 15.0%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13, 2021:</w:t>
      </w:r>
    </w:p>
    <w:p>
      <w:pPr>
        <w:spacing w:after="0" w:line="97" w:lineRule="exact"/>
        <w:rPr>
          <w:sz w:val="20"/>
          <w:szCs w:val="20"/>
          <w:color w:val="auto"/>
        </w:rPr>
      </w:pPr>
    </w:p>
    <w:p>
      <w:pPr>
        <w:jc w:val="both"/>
        <w:ind w:left="660" w:hanging="328"/>
        <w:spacing w:after="0" w:line="25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8.7% of our outstanding shares of Common Stock, assuming conversion of their Class A Stock into Common Stock and the exercise of all options held by such persons which are exercisable within 60 days of April 13, 2021, and 20.0% of the combined voting power of our outstanding shares of Common Stock and Class A Stock, assuming the exercise of all options held by such persons which are exercisable within 60 days of April 13, 2021;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41.5% of our outstanding shares of Common Stock, assuming, in the case of our Chief Executive Officer, the conversion of his Class A Stock into Common Stock and the exercise of all options held by him which are exercisable within 60 days of April 13, 2021. In addition, these five shareholders plus our Chief Executive Officer held approximately 48.4% of the combined voting power of our outstanding shares of Common Stock and Class A Stock, assuming the exercise of all options held by our Chief Executive Officer which are exercisable within 60 days of April 13, 2021.</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influence over matters requiring shareholder approval and over our management.</w:t>
      </w:r>
      <w:r>
        <w:rPr>
          <w:rFonts w:ascii="Arial" w:cs="Arial" w:eastAsia="Arial" w:hAnsi="Arial"/>
          <w:sz w:val="18"/>
          <w:szCs w:val="18"/>
          <w:color w:val="auto"/>
        </w:rPr>
        <w:t>"</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Sanofi, Bayer, and Teva are currently bound by certain "standstill" provisions under the January 2014 amended and restated investor agreement between us and Sanofi, as amended; our 2016 ANG2 license and collaboration agreement and our 2014 PDGFR-beta license and collaboration agreement with Bayer; and our 2016 collaboration agreement with Teva, respectively. These provisions contractually prohibit Sanofi, Bayer, and Teva from seeking to directly or indirectly exert control of our Company or acquiring more than a specified percentage of our Class A Stock and Common Stock, taken together (30% in the case of Sanofi, 20% in the case of Bayer, and 5% in the case of Teva).</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ind w:right="4140"/>
        <w:spacing w:after="0" w:line="41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Issuer Purchases of Equity Securities</w:t>
      </w:r>
    </w:p>
    <w:p>
      <w:pPr>
        <w:jc w:val="both"/>
        <w:spacing w:after="0" w:line="259" w:lineRule="auto"/>
        <w:rPr>
          <w:sz w:val="20"/>
          <w:szCs w:val="20"/>
          <w:color w:val="auto"/>
        </w:rPr>
      </w:pPr>
      <w:r>
        <w:rPr>
          <w:rFonts w:ascii="Arial" w:cs="Arial" w:eastAsia="Arial" w:hAnsi="Arial"/>
          <w:sz w:val="18"/>
          <w:szCs w:val="18"/>
          <w:color w:val="auto"/>
        </w:rPr>
        <w:t>The table below reflects shares of Common Stock we repurchased under our share repurchase program, as well as Common Stock withheld by us for employees to satisfy their tax withholding obligations arising upon the vesting of restricted stock granted under one of our long-term incentive plans, during the three months ended March 31, 2021. Refer to Part I, Item 2. "Liquidity and Capital Resources" for further details of the share repurchase program.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340" w:type="dxa"/>
            <w:vAlign w:val="bottom"/>
          </w:tcPr>
          <w:p>
            <w:pPr>
              <w:spacing w:after="0"/>
              <w:rPr>
                <w:sz w:val="17"/>
                <w:szCs w:val="17"/>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Total Number of Shares</w:t>
            </w:r>
          </w:p>
        </w:tc>
        <w:tc>
          <w:tcPr>
            <w:tcW w:w="320" w:type="dxa"/>
            <w:vAlign w:val="bottom"/>
          </w:tcPr>
          <w:p>
            <w:pPr>
              <w:spacing w:after="0"/>
              <w:rPr>
                <w:sz w:val="15"/>
                <w:szCs w:val="15"/>
                <w:color w:val="auto"/>
              </w:rPr>
            </w:pPr>
          </w:p>
        </w:tc>
        <w:tc>
          <w:tcPr>
            <w:tcW w:w="230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89"/>
              </w:rPr>
              <w:t>Average Price Paid per</w:t>
            </w: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 a</w:t>
            </w:r>
          </w:p>
        </w:tc>
        <w:tc>
          <w:tcPr>
            <w:tcW w:w="340" w:type="dxa"/>
            <w:vAlign w:val="bottom"/>
          </w:tcPr>
          <w:p>
            <w:pPr>
              <w:spacing w:after="0"/>
              <w:rPr>
                <w:sz w:val="15"/>
                <w:szCs w:val="15"/>
                <w:color w:val="auto"/>
              </w:rPr>
            </w:pPr>
          </w:p>
        </w:tc>
        <w:tc>
          <w:tcPr>
            <w:tcW w:w="21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of Shares that May Yet Be</w:t>
            </w:r>
          </w:p>
        </w:tc>
        <w:tc>
          <w:tcPr>
            <w:tcW w:w="0" w:type="dxa"/>
            <w:vAlign w:val="bottom"/>
          </w:tcPr>
          <w:p>
            <w:pPr>
              <w:spacing w:after="0"/>
              <w:rPr>
                <w:sz w:val="1"/>
                <w:szCs w:val="1"/>
                <w:color w:val="auto"/>
              </w:rPr>
            </w:pPr>
          </w:p>
        </w:tc>
      </w:tr>
      <w:tr>
        <w:trPr>
          <w:trHeight w:val="176"/>
        </w:trPr>
        <w:tc>
          <w:tcPr>
            <w:tcW w:w="2200" w:type="dxa"/>
            <w:vAlign w:val="bottom"/>
            <w:gridSpan w:val="2"/>
            <w:vMerge w:val="restart"/>
          </w:tcPr>
          <w:p>
            <w:pPr>
              <w:ind w:left="680"/>
              <w:spacing w:after="0"/>
              <w:rPr>
                <w:sz w:val="20"/>
                <w:szCs w:val="20"/>
                <w:color w:val="auto"/>
              </w:rPr>
            </w:pPr>
            <w:r>
              <w:rPr>
                <w:rFonts w:ascii="Arial" w:cs="Arial" w:eastAsia="Arial" w:hAnsi="Arial"/>
                <w:sz w:val="18"/>
                <w:szCs w:val="18"/>
                <w:b w:val="1"/>
                <w:bCs w:val="1"/>
                <w:color w:val="auto"/>
              </w:rPr>
              <w:t>Period</w:t>
            </w:r>
          </w:p>
        </w:tc>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Publicly Announced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29"/>
        </w:trPr>
        <w:tc>
          <w:tcPr>
            <w:tcW w:w="2200" w:type="dxa"/>
            <w:vAlign w:val="bottom"/>
            <w:gridSpan w:val="2"/>
            <w:vMerge w:val="continue"/>
          </w:tcPr>
          <w:p>
            <w:pPr>
              <w:spacing w:after="0"/>
              <w:rPr>
                <w:sz w:val="19"/>
                <w:szCs w:val="19"/>
                <w:color w:val="auto"/>
              </w:rPr>
            </w:pPr>
          </w:p>
        </w:tc>
        <w:tc>
          <w:tcPr>
            <w:tcW w:w="1960" w:type="dxa"/>
            <w:vAlign w:val="bottom"/>
          </w:tcPr>
          <w:p>
            <w:pPr>
              <w:jc w:val="right"/>
              <w:ind w:right="490"/>
              <w:spacing w:after="0"/>
              <w:rPr>
                <w:sz w:val="20"/>
                <w:szCs w:val="20"/>
                <w:color w:val="auto"/>
              </w:rPr>
            </w:pPr>
            <w:r>
              <w:rPr>
                <w:rFonts w:ascii="Arial" w:cs="Arial" w:eastAsia="Arial" w:hAnsi="Arial"/>
                <w:sz w:val="18"/>
                <w:szCs w:val="18"/>
                <w:b w:val="1"/>
                <w:bCs w:val="1"/>
                <w:color w:val="auto"/>
              </w:rPr>
              <w:t>Purchased</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Share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Program</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Program</w:t>
            </w: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2/1/2021–2/28/2021</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240,688</w:t>
            </w:r>
          </w:p>
        </w:tc>
        <w:tc>
          <w:tcPr>
            <w:tcW w:w="3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470.36</w:t>
            </w:r>
          </w:p>
        </w:tc>
        <w:tc>
          <w:tcPr>
            <w:tcW w:w="3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239,625</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1,387,271,680</w:t>
            </w:r>
          </w:p>
        </w:tc>
        <w:tc>
          <w:tcPr>
            <w:tcW w:w="0" w:type="dxa"/>
            <w:vAlign w:val="bottom"/>
          </w:tcPr>
          <w:p>
            <w:pPr>
              <w:spacing w:after="0"/>
              <w:rPr>
                <w:sz w:val="1"/>
                <w:szCs w:val="1"/>
                <w:color w:val="auto"/>
              </w:rPr>
            </w:pPr>
          </w:p>
        </w:tc>
      </w:tr>
      <w:tr>
        <w:trPr>
          <w:trHeight w:val="229"/>
        </w:trPr>
        <w:tc>
          <w:tcPr>
            <w:tcW w:w="2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3/1/2021–3/31/2021</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450,640</w:t>
            </w:r>
          </w:p>
        </w:tc>
        <w:tc>
          <w:tcPr>
            <w:tcW w:w="760" w:type="dxa"/>
            <w:vAlign w:val="bottom"/>
            <w:tcBorders>
              <w:bottom w:val="single" w:sz="8" w:color="CCEEFF"/>
            </w:tcBorders>
            <w:gridSpan w:val="2"/>
          </w:tcPr>
          <w:p>
            <w:pPr>
              <w:jc w:val="right"/>
              <w:ind w:right="2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467.68</w:t>
            </w:r>
          </w:p>
        </w:tc>
        <w:tc>
          <w:tcPr>
            <w:tcW w:w="34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450,640</w:t>
            </w:r>
          </w:p>
        </w:tc>
        <w:tc>
          <w:tcPr>
            <w:tcW w:w="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1,176,514,240</w:t>
            </w:r>
          </w:p>
        </w:tc>
        <w:tc>
          <w:tcPr>
            <w:tcW w:w="0" w:type="dxa"/>
            <w:vAlign w:val="bottom"/>
          </w:tcPr>
          <w:p>
            <w:pPr>
              <w:spacing w:after="0"/>
              <w:rPr>
                <w:sz w:val="1"/>
                <w:szCs w:val="1"/>
                <w:color w:val="auto"/>
              </w:rPr>
            </w:pPr>
          </w:p>
        </w:tc>
      </w:tr>
      <w:tr>
        <w:trPr>
          <w:trHeight w:val="223"/>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691,328</w:t>
            </w:r>
          </w:p>
        </w:tc>
        <w:tc>
          <w:tcPr>
            <w:tcW w:w="760" w:type="dxa"/>
            <w:vAlign w:val="bottom"/>
            <w:gridSpan w:val="2"/>
            <w:shd w:val="clear" w:color="auto" w:fill="CCEEFF"/>
          </w:tcPr>
          <w:p>
            <w:pPr>
              <w:jc w:val="right"/>
              <w:ind w:right="530"/>
              <w:spacing w:after="0" w:line="128" w:lineRule="exact"/>
              <w:rPr>
                <w:sz w:val="20"/>
                <w:szCs w:val="20"/>
                <w:color w:val="auto"/>
              </w:rPr>
            </w:pPr>
            <w:r>
              <w:rPr>
                <w:rFonts w:ascii="Arial" w:cs="Arial" w:eastAsia="Arial" w:hAnsi="Arial"/>
                <w:sz w:val="12"/>
                <w:szCs w:val="12"/>
                <w:color w:val="auto"/>
                <w:w w:val="81"/>
              </w:rPr>
              <w:t>(a)</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690,265</w:t>
            </w:r>
          </w:p>
        </w:tc>
        <w:tc>
          <w:tcPr>
            <w:tcW w:w="540" w:type="dxa"/>
            <w:vAlign w:val="bottom"/>
            <w:gridSpan w:val="2"/>
            <w:shd w:val="clear" w:color="auto" w:fill="CCEEFF"/>
          </w:tcPr>
          <w:p>
            <w:pPr>
              <w:jc w:val="right"/>
              <w:ind w:right="290"/>
              <w:spacing w:after="0" w:line="128" w:lineRule="exact"/>
              <w:rPr>
                <w:sz w:val="20"/>
                <w:szCs w:val="20"/>
                <w:color w:val="auto"/>
              </w:rPr>
            </w:pPr>
            <w:r>
              <w:rPr>
                <w:rFonts w:ascii="Arial" w:cs="Arial" w:eastAsia="Arial" w:hAnsi="Arial"/>
                <w:sz w:val="12"/>
                <w:szCs w:val="12"/>
                <w:color w:val="auto"/>
                <w:w w:val="95"/>
              </w:rPr>
              <w:t>(a)</w:t>
            </w: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240" w:right="20" w:firstLine="2"/>
        <w:spacing w:after="0" w:line="461" w:lineRule="auto"/>
        <w:tabs>
          <w:tab w:leader="none" w:pos="399" w:val="left"/>
        </w:tabs>
        <w:numPr>
          <w:ilvl w:val="0"/>
          <w:numId w:val="36"/>
        </w:numPr>
        <w:rPr>
          <w:rFonts w:ascii="Arial" w:cs="Arial" w:eastAsia="Arial" w:hAnsi="Arial"/>
          <w:sz w:val="19"/>
          <w:szCs w:val="19"/>
          <w:color w:val="auto"/>
          <w:vertAlign w:val="superscript"/>
        </w:rPr>
      </w:pPr>
      <w:r>
        <w:rPr>
          <w:rFonts w:ascii="Arial" w:cs="Arial" w:eastAsia="Arial" w:hAnsi="Arial"/>
          <w:sz w:val="13"/>
          <w:szCs w:val="13"/>
          <w:color w:val="auto"/>
        </w:rPr>
        <w:t>The difference between the total number of shares purchased and the total number of shares purchased as part of a publicly announced program relates to Common Stock withheld by us for employees to satisfy their tax withholding obligations arising upon the vesting of restricted stock granted under one of our long-term incentive plans.</w:t>
      </w:r>
    </w:p>
    <w:tbl>
      <w:tblPr>
        <w:tblLayout w:type="fixed"/>
        <w:tblInd w:w="0" w:type="dxa"/>
        <w:tblCellMar>
          <w:top w:w="0" w:type="dxa"/>
          <w:left w:w="0" w:type="dxa"/>
          <w:bottom w:w="0" w:type="dxa"/>
          <w:right w:w="0" w:type="dxa"/>
        </w:tblCellMar>
      </w:tblPr>
      <w:tr>
        <w:trPr>
          <w:trHeight w:val="234"/>
        </w:trPr>
        <w:tc>
          <w:tcPr>
            <w:tcW w:w="192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920" w:type="dxa"/>
            <w:vAlign w:val="bottom"/>
            <w:gridSpan w:val="4"/>
          </w:tcPr>
          <w:p>
            <w:pPr>
              <w:spacing w:after="0"/>
              <w:rPr>
                <w:sz w:val="20"/>
                <w:szCs w:val="20"/>
                <w:color w:val="auto"/>
              </w:rPr>
            </w:pPr>
            <w:r>
              <w:rPr>
                <w:rFonts w:ascii="Arial" w:cs="Arial" w:eastAsia="Arial" w:hAnsi="Arial"/>
                <w:sz w:val="18"/>
                <w:szCs w:val="18"/>
                <w:color w:val="auto"/>
              </w:rPr>
              <w:t>(a)   Exhibits</w:t>
            </w:r>
          </w:p>
        </w:tc>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5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8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2"/>
              </w:rPr>
              <w:t>Number</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10.1</w:t>
            </w:r>
            <w:r>
              <w:rPr>
                <w:rFonts w:ascii="Arial" w:cs="Arial" w:eastAsia="Arial" w:hAnsi="Arial"/>
                <w:sz w:val="21"/>
                <w:szCs w:val="21"/>
                <w:color w:val="auto"/>
                <w:vertAlign w:val="superscript"/>
              </w:rPr>
              <w:t>*</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00" w:type="dxa"/>
            <w:vAlign w:val="bottom"/>
            <w:gridSpan w:val="6"/>
            <w:shd w:val="clear" w:color="auto" w:fill="CCEEFF"/>
          </w:tcPr>
          <w:p>
            <w:pPr>
              <w:spacing w:after="0" w:line="189" w:lineRule="exact"/>
              <w:rPr>
                <w:rFonts w:ascii="Arial" w:cs="Arial" w:eastAsia="Arial" w:hAnsi="Arial"/>
                <w:sz w:val="18"/>
                <w:szCs w:val="18"/>
                <w:color w:val="0000FF"/>
                <w:w w:val="90"/>
              </w:rPr>
            </w:pPr>
            <w:hyperlink w:anchor="page83">
              <w:r>
                <w:rPr>
                  <w:rFonts w:ascii="Arial" w:cs="Arial" w:eastAsia="Arial" w:hAnsi="Arial"/>
                  <w:sz w:val="18"/>
                  <w:szCs w:val="18"/>
                  <w:color w:val="0000FF"/>
                  <w:w w:val="90"/>
                </w:rPr>
                <w:t>Supply Agreement, dated as of January 12, 2021, by and between Regeneron Pharmaceuticals, Inc. (the "Registrant")</w:t>
              </w:r>
            </w:hyperlink>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400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90"/>
              </w:rPr>
            </w:pPr>
            <w:hyperlink w:anchor="page83">
              <w:r>
                <w:rPr>
                  <w:rFonts w:ascii="Arial" w:cs="Arial" w:eastAsia="Arial" w:hAnsi="Arial"/>
                  <w:sz w:val="18"/>
                  <w:szCs w:val="18"/>
                  <w:color w:val="0000FF"/>
                  <w:w w:val="90"/>
                </w:rPr>
                <w:t>and the U.S. Army Contracting Command, New Jersey.</w:t>
              </w:r>
            </w:hyperlink>
          </w:p>
        </w:tc>
        <w:tc>
          <w:tcPr>
            <w:tcW w:w="448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00" w:type="dxa"/>
            <w:vAlign w:val="bottom"/>
            <w:gridSpan w:val="6"/>
          </w:tcPr>
          <w:p>
            <w:pPr>
              <w:spacing w:after="0" w:line="189" w:lineRule="exact"/>
              <w:rPr>
                <w:rFonts w:ascii="Arial" w:cs="Arial" w:eastAsia="Arial" w:hAnsi="Arial"/>
                <w:sz w:val="18"/>
                <w:szCs w:val="18"/>
                <w:color w:val="0000FF"/>
                <w:w w:val="94"/>
              </w:rPr>
            </w:pPr>
            <w:hyperlink w:anchor="page158">
              <w:r>
                <w:rPr>
                  <w:rFonts w:ascii="Arial" w:cs="Arial" w:eastAsia="Arial" w:hAnsi="Arial"/>
                  <w:sz w:val="18"/>
                  <w:szCs w:val="18"/>
                  <w:color w:val="0000FF"/>
                  <w:w w:val="94"/>
                </w:rPr>
                <w:t>Certification of Principal Executive Officer pursuant to Rule 13a-14(a) under the Securities Exchange Act of 1934.</w:t>
              </w:r>
            </w:hyperlink>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120" w:type="dxa"/>
            <w:vAlign w:val="bottom"/>
            <w:tcBorders>
              <w:top w:val="single" w:sz="8" w:color="0000FF"/>
            </w:tcBorders>
          </w:tcPr>
          <w:p>
            <w:pPr>
              <w:spacing w:after="0" w:line="20" w:lineRule="exact"/>
              <w:rPr>
                <w:sz w:val="1"/>
                <w:szCs w:val="1"/>
                <w:color w:val="auto"/>
              </w:rPr>
            </w:pPr>
          </w:p>
        </w:tc>
        <w:tc>
          <w:tcPr>
            <w:tcW w:w="4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00" w:type="dxa"/>
            <w:vAlign w:val="bottom"/>
            <w:gridSpan w:val="6"/>
            <w:shd w:val="clear" w:color="auto" w:fill="CCEEFF"/>
          </w:tcPr>
          <w:p>
            <w:pPr>
              <w:spacing w:after="0" w:line="189" w:lineRule="exact"/>
              <w:rPr>
                <w:rFonts w:ascii="Arial" w:cs="Arial" w:eastAsia="Arial" w:hAnsi="Arial"/>
                <w:sz w:val="18"/>
                <w:szCs w:val="18"/>
                <w:color w:val="0000FF"/>
                <w:w w:val="94"/>
              </w:rPr>
            </w:pPr>
            <w:hyperlink w:anchor="page159">
              <w:r>
                <w:rPr>
                  <w:rFonts w:ascii="Arial" w:cs="Arial" w:eastAsia="Arial" w:hAnsi="Arial"/>
                  <w:sz w:val="18"/>
                  <w:szCs w:val="18"/>
                  <w:color w:val="0000FF"/>
                  <w:w w:val="94"/>
                </w:rPr>
                <w:t>Certification of Principal Financial Officer pursuant to Rule 13a-14(a) under the Securities Exchange Act of 1934.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120" w:type="dxa"/>
            <w:vAlign w:val="bottom"/>
            <w:tcBorders>
              <w:top w:val="single" w:sz="8" w:color="0000FF"/>
            </w:tcBorders>
            <w:shd w:val="clear" w:color="auto" w:fill="CCEEFF"/>
          </w:tcPr>
          <w:p>
            <w:pPr>
              <w:spacing w:after="0" w:line="20" w:lineRule="exact"/>
              <w:rPr>
                <w:sz w:val="1"/>
                <w:szCs w:val="1"/>
                <w:color w:val="auto"/>
              </w:rPr>
            </w:pPr>
          </w:p>
        </w:tc>
        <w:tc>
          <w:tcPr>
            <w:tcW w:w="4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920" w:hanging="1071"/>
        <w:spacing w:after="0"/>
        <w:tabs>
          <w:tab w:leader="none" w:pos="1920" w:val="left"/>
        </w:tabs>
        <w:numPr>
          <w:ilvl w:val="0"/>
          <w:numId w:val="37"/>
        </w:numPr>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Certification of Principal Executive Officer and Principal Financial Officer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14605</wp:posOffset>
            </wp:positionV>
            <wp:extent cx="6086475" cy="8140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86475" cy="814070"/>
                    </a:xfrm>
                    <a:prstGeom prst="rect">
                      <a:avLst/>
                    </a:prstGeom>
                    <a:noFill/>
                  </pic:spPr>
                </pic:pic>
              </a:graphicData>
            </a:graphic>
          </wp:anchor>
        </w:drawing>
      </w:r>
    </w:p>
    <w:p>
      <w:pPr>
        <w:spacing w:after="0" w:line="3" w:lineRule="exact"/>
        <w:rPr>
          <w:sz w:val="20"/>
          <w:szCs w:val="20"/>
          <w:color w:val="auto"/>
        </w:rPr>
      </w:pPr>
    </w:p>
    <w:p>
      <w:pPr>
        <w:ind w:left="1920" w:right="860" w:hanging="1071"/>
        <w:spacing w:after="0" w:line="224" w:lineRule="auto"/>
        <w:tabs>
          <w:tab w:leader="none" w:pos="1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Interactive Data Files pursuant to Rule 405 of Regulation S-T formatted in Inline Extensible Business Reporting Language ("Inline XBRL"): (i) the Registrant's Condensed Consolidated Balance Sheets as of March 31, 2021 and December 31, 2020; (ii) the Registrant's Condensed Consolidated Statements of Operations and Comprehensive Income for the three months ended March 31, 2021 and 2020; (iii) the Registrant's Condensed Consolidated Statements of Stockholders’ Equity for the three months ended March 31, 2021 and 2020; (iv) the Registrant's Condensed Consolidated Statements of Cash Flows for the three months ended March 31, 2021 and 2020; and (v) the notes to the Registrant's Condensed Consolidated Financial Statements.</w:t>
      </w:r>
    </w:p>
    <w:p>
      <w:pPr>
        <w:spacing w:after="0" w:line="5" w:lineRule="exact"/>
        <w:rPr>
          <w:sz w:val="20"/>
          <w:szCs w:val="20"/>
          <w:color w:val="auto"/>
        </w:rPr>
      </w:pPr>
    </w:p>
    <w:p>
      <w:pPr>
        <w:ind w:left="1920" w:hanging="1071"/>
        <w:spacing w:after="0"/>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9"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21"/>
          <w:szCs w:val="21"/>
          <w:color w:val="auto"/>
          <w:vertAlign w:val="superscript"/>
        </w:rPr>
        <w:t>*</w:t>
      </w:r>
      <w:r>
        <w:rPr>
          <w:rFonts w:ascii="Arial" w:cs="Arial" w:eastAsia="Arial" w:hAnsi="Arial"/>
          <w:sz w:val="16"/>
          <w:szCs w:val="16"/>
          <w:color w:val="auto"/>
        </w:rPr>
        <w:t xml:space="preserve"> Certain confidential portions of this exhibit were omitted in accordance with Item 601(b)(10) of Regulation S-K.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REGENERON PHARMACEUTICALS, INC.</w:t>
      </w:r>
    </w:p>
    <w:p>
      <w:pPr>
        <w:spacing w:after="0" w:line="293" w:lineRule="exact"/>
        <w:rPr>
          <w:sz w:val="20"/>
          <w:szCs w:val="20"/>
          <w:color w:val="auto"/>
        </w:rPr>
      </w:pPr>
    </w:p>
    <w:p>
      <w:pPr>
        <w:ind w:left="20"/>
        <w:spacing w:after="0"/>
        <w:tabs>
          <w:tab w:leader="none" w:pos="760" w:val="left"/>
          <w:tab w:leader="none" w:pos="4240" w:val="left"/>
          <w:tab w:leader="none" w:pos="4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7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Robert E. Landry</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Executive Vice President, Finance and</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373" w:right="339" w:bottom="1440" w:gutter="0" w:footer="0" w:header="0"/>
        </w:sectPr>
      </w:pPr>
    </w:p>
    <w:bookmarkStart w:id="82" w:name="page83"/>
    <w:bookmarkEnd w:id="82"/>
    <w:p>
      <w:pPr>
        <w:ind w:left="9820"/>
        <w:spacing w:after="0"/>
        <w:rPr>
          <w:sz w:val="20"/>
          <w:szCs w:val="20"/>
          <w:color w:val="auto"/>
        </w:rPr>
      </w:pPr>
      <w:r>
        <w:rPr>
          <w:rFonts w:ascii="Courier New" w:cs="Courier New" w:eastAsia="Courier New" w:hAnsi="Courier New"/>
          <w:sz w:val="19"/>
          <w:szCs w:val="19"/>
          <w:color w:val="auto"/>
        </w:rPr>
        <w:t>Exhibit 10.1</w:t>
      </w:r>
    </w:p>
    <w:p>
      <w:pPr>
        <w:spacing w:after="0" w:line="7"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b w:val="1"/>
          <w:bCs w:val="1"/>
          <w:color w:val="auto"/>
        </w:rPr>
        <w:t>CERTAIN CONFIDENTIAL PORTIONS OF THIS EXHIBIT, MARKED BY BRACKETS, WERE OMITTED BECAUSE THOSE PORTIONS ARE NOT MATERIAL AND WOULD BE COMPETITIVELY HARMFUL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213995</wp:posOffset>
            </wp:positionV>
            <wp:extent cx="8890" cy="6780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67805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8890" cy="6780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678053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Borders>
              <w:top w:val="single" w:sz="8" w:color="auto"/>
              <w:right w:val="single" w:sz="8" w:color="auto"/>
            </w:tcBorders>
            <w:gridSpan w:val="14"/>
          </w:tcPr>
          <w:p>
            <w:pPr>
              <w:ind w:left="200"/>
              <w:spacing w:after="0"/>
              <w:rPr>
                <w:sz w:val="20"/>
                <w:szCs w:val="20"/>
                <w:color w:val="auto"/>
              </w:rPr>
            </w:pPr>
            <w:r>
              <w:rPr>
                <w:rFonts w:ascii="Arial" w:cs="Arial" w:eastAsia="Arial" w:hAnsi="Arial"/>
                <w:sz w:val="16"/>
                <w:szCs w:val="16"/>
                <w:b w:val="1"/>
                <w:bCs w:val="1"/>
                <w:color w:val="auto"/>
              </w:rPr>
              <w:t>SOLICITATION/CONTRACT/ORDER FOR COMMERCIAL ITEM</w:t>
            </w: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4"/>
              </w:rPr>
              <w:t>1. Requisition Number</w:t>
            </w: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right w:val="single" w:sz="8" w:color="auto"/>
            </w:tcBorders>
          </w:tcPr>
          <w:p>
            <w:pPr>
              <w:spacing w:after="0"/>
              <w:rPr>
                <w:sz w:val="16"/>
                <w:szCs w:val="16"/>
                <w:color w:val="auto"/>
              </w:rPr>
            </w:pP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w w:val="89"/>
              </w:rPr>
              <w:t>Page</w:t>
            </w: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right w:val="single" w:sz="8" w:color="auto"/>
            </w:tcBorders>
          </w:tcPr>
          <w:p>
            <w:pPr>
              <w:spacing w:after="0"/>
              <w:rPr>
                <w:sz w:val="16"/>
                <w:szCs w:val="16"/>
                <w:color w:val="auto"/>
              </w:rPr>
            </w:pPr>
          </w:p>
        </w:tc>
        <w:tc>
          <w:tcPr>
            <w:tcW w:w="660" w:type="dxa"/>
            <w:vAlign w:val="bottom"/>
            <w:tcBorders>
              <w:top w:val="single" w:sz="8" w:color="auto"/>
              <w:right w:val="single" w:sz="8" w:color="auto"/>
            </w:tcBorders>
            <w:gridSpan w:val="2"/>
          </w:tcPr>
          <w:p>
            <w:pPr>
              <w:ind w:left="140"/>
              <w:spacing w:after="0" w:line="194" w:lineRule="exact"/>
              <w:rPr>
                <w:sz w:val="20"/>
                <w:szCs w:val="20"/>
                <w:color w:val="auto"/>
              </w:rPr>
            </w:pPr>
            <w:r>
              <w:rPr>
                <w:rFonts w:ascii="Courier New" w:cs="Courier New" w:eastAsia="Courier New" w:hAnsi="Courier New"/>
                <w:sz w:val="13"/>
                <w:szCs w:val="13"/>
                <w:color w:val="auto"/>
              </w:rPr>
              <w:t xml:space="preserve">1 </w:t>
            </w:r>
            <w:r>
              <w:rPr>
                <w:rFonts w:ascii="Arial" w:cs="Arial" w:eastAsia="Arial" w:hAnsi="Arial"/>
                <w:sz w:val="16"/>
                <w:szCs w:val="16"/>
                <w:b w:val="1"/>
                <w:bCs w:val="1"/>
                <w:color w:val="auto"/>
              </w:rPr>
              <w:t>of</w:t>
            </w:r>
          </w:p>
        </w:tc>
        <w:tc>
          <w:tcPr>
            <w:tcW w:w="60" w:type="dxa"/>
            <w:vAlign w:val="bottom"/>
            <w:tcBorders>
              <w:top w:val="single" w:sz="8" w:color="auto"/>
            </w:tcBorders>
          </w:tcPr>
          <w:p>
            <w:pPr>
              <w:spacing w:after="0"/>
              <w:rPr>
                <w:sz w:val="16"/>
                <w:szCs w:val="16"/>
                <w:color w:val="auto"/>
              </w:rPr>
            </w:pPr>
          </w:p>
        </w:tc>
        <w:tc>
          <w:tcPr>
            <w:tcW w:w="340" w:type="dxa"/>
            <w:vAlign w:val="bottom"/>
            <w:tcBorders>
              <w:top w:val="single" w:sz="8" w:color="auto"/>
              <w:right w:val="single" w:sz="8" w:color="auto"/>
            </w:tcBorders>
            <w:gridSpan w:val="2"/>
          </w:tcPr>
          <w:p>
            <w:pPr>
              <w:jc w:val="right"/>
              <w:ind w:right="74"/>
              <w:spacing w:after="0"/>
              <w:rPr>
                <w:sz w:val="20"/>
                <w:szCs w:val="20"/>
                <w:color w:val="auto"/>
              </w:rPr>
            </w:pPr>
            <w:r>
              <w:rPr>
                <w:rFonts w:ascii="Courier New" w:cs="Courier New" w:eastAsia="Courier New" w:hAnsi="Courier New"/>
                <w:sz w:val="13"/>
                <w:szCs w:val="13"/>
                <w:color w:val="auto"/>
              </w:rPr>
              <w:t>31</w:t>
            </w: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40" w:type="dxa"/>
            <w:vAlign w:val="bottom"/>
            <w:gridSpan w:val="13"/>
          </w:tcPr>
          <w:p>
            <w:pPr>
              <w:ind w:left="1280"/>
              <w:spacing w:after="0"/>
              <w:rPr>
                <w:sz w:val="20"/>
                <w:szCs w:val="20"/>
                <w:color w:val="auto"/>
              </w:rPr>
            </w:pPr>
            <w:r>
              <w:rPr>
                <w:rFonts w:ascii="Arial" w:cs="Arial" w:eastAsia="Arial" w:hAnsi="Arial"/>
                <w:sz w:val="14"/>
                <w:szCs w:val="14"/>
                <w:b w:val="1"/>
                <w:bCs w:val="1"/>
                <w:color w:val="auto"/>
              </w:rPr>
              <w:t>Offeror To Complete Block 12, 17, 23, 24, &amp; 30</w:t>
            </w:r>
          </w:p>
        </w:tc>
        <w:tc>
          <w:tcPr>
            <w:tcW w:w="880" w:type="dxa"/>
            <w:vAlign w:val="bottom"/>
            <w:tcBorders>
              <w:right w:val="single" w:sz="8" w:color="auto"/>
            </w:tcBorders>
          </w:tcPr>
          <w:p>
            <w:pPr>
              <w:spacing w:after="0"/>
              <w:rPr>
                <w:sz w:val="18"/>
                <w:szCs w:val="18"/>
                <w:color w:val="auto"/>
              </w:rPr>
            </w:pPr>
          </w:p>
        </w:tc>
        <w:tc>
          <w:tcPr>
            <w:tcW w:w="1540" w:type="dxa"/>
            <w:vAlign w:val="bottom"/>
            <w:gridSpan w:val="2"/>
          </w:tcPr>
          <w:p>
            <w:pPr>
              <w:ind w:left="360"/>
              <w:spacing w:after="0"/>
              <w:rPr>
                <w:sz w:val="20"/>
                <w:szCs w:val="20"/>
                <w:color w:val="auto"/>
              </w:rPr>
            </w:pPr>
            <w:r>
              <w:rPr>
                <w:rFonts w:ascii="Courier New" w:cs="Courier New" w:eastAsia="Courier New" w:hAnsi="Courier New"/>
                <w:sz w:val="13"/>
                <w:szCs w:val="13"/>
                <w:color w:val="auto"/>
              </w:rPr>
              <w:t>SEE SCHEDULE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gridSpan w:val="3"/>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3"/>
          </w:tcPr>
          <w:p>
            <w:pPr>
              <w:spacing w:after="0"/>
              <w:rPr>
                <w:sz w:val="2"/>
                <w:szCs w:val="2"/>
                <w:color w:val="auto"/>
              </w:rPr>
            </w:pPr>
          </w:p>
        </w:tc>
        <w:tc>
          <w:tcPr>
            <w:tcW w:w="660" w:type="dxa"/>
            <w:vAlign w:val="bottom"/>
            <w:tcBorders>
              <w:bottom w:val="single" w:sz="8" w:color="auto"/>
              <w:right w:val="single" w:sz="8" w:color="auto"/>
            </w:tcBorders>
            <w:gridSpan w:val="2"/>
          </w:tcPr>
          <w:p>
            <w:pPr>
              <w:spacing w:after="0"/>
              <w:rPr>
                <w:sz w:val="2"/>
                <w:szCs w:val="2"/>
                <w:color w:val="auto"/>
              </w:rPr>
            </w:pPr>
          </w:p>
        </w:tc>
        <w:tc>
          <w:tcPr>
            <w:tcW w:w="400" w:type="dxa"/>
            <w:vAlign w:val="bottom"/>
            <w:tcBorders>
              <w:bottom w:val="single" w:sz="8" w:color="auto"/>
              <w:right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4"/>
                <w:szCs w:val="14"/>
                <w:b w:val="1"/>
                <w:bCs w:val="1"/>
                <w:color w:val="auto"/>
              </w:rPr>
              <w:t>2. Contract No.</w:t>
            </w:r>
          </w:p>
        </w:tc>
        <w:tc>
          <w:tcPr>
            <w:tcW w:w="100" w:type="dxa"/>
            <w:vAlign w:val="bottom"/>
          </w:tcPr>
          <w:p>
            <w:pPr>
              <w:spacing w:after="0"/>
              <w:rPr>
                <w:sz w:val="14"/>
                <w:szCs w:val="14"/>
                <w:color w:val="auto"/>
              </w:rPr>
            </w:pPr>
          </w:p>
        </w:tc>
        <w:tc>
          <w:tcPr>
            <w:tcW w:w="1760" w:type="dxa"/>
            <w:vAlign w:val="bottom"/>
            <w:gridSpan w:val="8"/>
          </w:tcPr>
          <w:p>
            <w:pPr>
              <w:ind w:left="20"/>
              <w:spacing w:after="0"/>
              <w:rPr>
                <w:sz w:val="20"/>
                <w:szCs w:val="20"/>
                <w:color w:val="auto"/>
              </w:rPr>
            </w:pPr>
            <w:r>
              <w:rPr>
                <w:rFonts w:ascii="Arial" w:cs="Arial" w:eastAsia="Arial" w:hAnsi="Arial"/>
                <w:sz w:val="14"/>
                <w:szCs w:val="14"/>
                <w:b w:val="1"/>
                <w:bCs w:val="1"/>
                <w:color w:val="auto"/>
              </w:rPr>
              <w:t>3. Award/Effective Date</w:t>
            </w:r>
          </w:p>
        </w:tc>
        <w:tc>
          <w:tcPr>
            <w:tcW w:w="2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4. Order Number</w:t>
            </w: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w w:val="94"/>
              </w:rPr>
              <w:t>5. Solicitation Number</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720" w:type="dxa"/>
            <w:vAlign w:val="bottom"/>
            <w:gridSpan w:val="9"/>
          </w:tcPr>
          <w:p>
            <w:pPr>
              <w:ind w:left="100"/>
              <w:spacing w:after="0"/>
              <w:rPr>
                <w:sz w:val="20"/>
                <w:szCs w:val="20"/>
                <w:color w:val="auto"/>
              </w:rPr>
            </w:pPr>
            <w:r>
              <w:rPr>
                <w:rFonts w:ascii="Arial" w:cs="Arial" w:eastAsia="Arial" w:hAnsi="Arial"/>
                <w:sz w:val="14"/>
                <w:szCs w:val="14"/>
                <w:b w:val="1"/>
                <w:bCs w:val="1"/>
                <w:color w:val="auto"/>
              </w:rPr>
              <w:t>6. Solicitation Issue Date</w:t>
            </w:r>
          </w:p>
        </w:tc>
        <w:tc>
          <w:tcPr>
            <w:tcW w:w="0" w:type="dxa"/>
            <w:vAlign w:val="bottom"/>
          </w:tcPr>
          <w:p>
            <w:pPr>
              <w:spacing w:after="0"/>
              <w:rPr>
                <w:sz w:val="1"/>
                <w:szCs w:val="1"/>
                <w:color w:val="auto"/>
              </w:rPr>
            </w:pPr>
          </w:p>
        </w:tc>
      </w:tr>
      <w:tr>
        <w:trPr>
          <w:trHeight w:val="141"/>
        </w:trPr>
        <w:tc>
          <w:tcPr>
            <w:tcW w:w="1900" w:type="dxa"/>
            <w:vAlign w:val="bottom"/>
            <w:tcBorders>
              <w:right w:val="single" w:sz="8" w:color="auto"/>
            </w:tcBorders>
          </w:tcPr>
          <w:p>
            <w:pPr>
              <w:ind w:left="320"/>
              <w:spacing w:after="0" w:line="141" w:lineRule="exact"/>
              <w:rPr>
                <w:sz w:val="20"/>
                <w:szCs w:val="20"/>
                <w:color w:val="auto"/>
              </w:rPr>
            </w:pPr>
            <w:r>
              <w:rPr>
                <w:rFonts w:ascii="Courier New" w:cs="Courier New" w:eastAsia="Courier New" w:hAnsi="Courier New"/>
                <w:sz w:val="13"/>
                <w:szCs w:val="13"/>
                <w:color w:val="auto"/>
              </w:rPr>
              <w:t>W15QKN-21-C-0014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ind w:left="80"/>
              <w:spacing w:after="0" w:line="141" w:lineRule="exact"/>
              <w:rPr>
                <w:sz w:val="20"/>
                <w:szCs w:val="20"/>
                <w:color w:val="auto"/>
              </w:rPr>
            </w:pPr>
            <w:r>
              <w:rPr>
                <w:rFonts w:ascii="Courier New" w:cs="Courier New" w:eastAsia="Courier New" w:hAnsi="Courier New"/>
                <w:sz w:val="13"/>
                <w:szCs w:val="13"/>
                <w:color w:val="auto"/>
                <w:w w:val="95"/>
              </w:rPr>
              <w:t>12-JAN-2021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19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900" w:type="dxa"/>
            <w:vAlign w:val="bottom"/>
            <w:tcBorders>
              <w:right w:val="single" w:sz="8" w:color="auto"/>
            </w:tcBorders>
          </w:tcPr>
          <w:p>
            <w:pPr>
              <w:ind w:left="160"/>
              <w:spacing w:after="0" w:line="160" w:lineRule="exact"/>
              <w:rPr>
                <w:sz w:val="20"/>
                <w:szCs w:val="20"/>
                <w:color w:val="auto"/>
              </w:rPr>
            </w:pPr>
            <w:r>
              <w:rPr>
                <w:rFonts w:ascii="Arial" w:cs="Arial" w:eastAsia="Arial" w:hAnsi="Arial"/>
                <w:sz w:val="14"/>
                <w:szCs w:val="14"/>
                <w:b w:val="1"/>
                <w:bCs w:val="1"/>
                <w:color w:val="auto"/>
              </w:rPr>
              <w:t>7. For Solicitation</w:t>
            </w:r>
          </w:p>
        </w:tc>
        <w:tc>
          <w:tcPr>
            <w:tcW w:w="100" w:type="dxa"/>
            <w:vAlign w:val="bottom"/>
          </w:tcPr>
          <w:p>
            <w:pPr>
              <w:spacing w:after="0"/>
              <w:rPr>
                <w:sz w:val="13"/>
                <w:szCs w:val="13"/>
                <w:color w:val="auto"/>
              </w:rPr>
            </w:pPr>
          </w:p>
        </w:tc>
        <w:tc>
          <w:tcPr>
            <w:tcW w:w="56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w w:val="92"/>
              </w:rPr>
              <w:t>A. Name</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2620" w:type="dxa"/>
            <w:vAlign w:val="bottom"/>
            <w:gridSpan w:val="4"/>
          </w:tcPr>
          <w:p>
            <w:pPr>
              <w:ind w:left="120"/>
              <w:spacing w:after="0" w:line="160" w:lineRule="exact"/>
              <w:rPr>
                <w:sz w:val="20"/>
                <w:szCs w:val="20"/>
                <w:color w:val="auto"/>
              </w:rPr>
            </w:pPr>
            <w:r>
              <w:rPr>
                <w:rFonts w:ascii="Arial" w:cs="Arial" w:eastAsia="Arial" w:hAnsi="Arial"/>
                <w:sz w:val="14"/>
                <w:szCs w:val="14"/>
                <w:b w:val="1"/>
                <w:bCs w:val="1"/>
                <w:color w:val="auto"/>
                <w:w w:val="93"/>
              </w:rPr>
              <w:t>B. Telephone Number (No Collect Calls)</w:t>
            </w:r>
          </w:p>
        </w:tc>
        <w:tc>
          <w:tcPr>
            <w:tcW w:w="460" w:type="dxa"/>
            <w:vAlign w:val="bottom"/>
            <w:tcBorders>
              <w:right w:val="single" w:sz="8" w:color="auto"/>
            </w:tcBorders>
          </w:tcPr>
          <w:p>
            <w:pPr>
              <w:spacing w:after="0"/>
              <w:rPr>
                <w:sz w:val="13"/>
                <w:szCs w:val="13"/>
                <w:color w:val="auto"/>
              </w:rPr>
            </w:pPr>
          </w:p>
        </w:tc>
        <w:tc>
          <w:tcPr>
            <w:tcW w:w="2720" w:type="dxa"/>
            <w:vAlign w:val="bottom"/>
            <w:gridSpan w:val="9"/>
          </w:tcPr>
          <w:p>
            <w:pPr>
              <w:ind w:left="100"/>
              <w:spacing w:after="0" w:line="160" w:lineRule="exact"/>
              <w:rPr>
                <w:sz w:val="20"/>
                <w:szCs w:val="20"/>
                <w:color w:val="auto"/>
              </w:rPr>
            </w:pPr>
            <w:r>
              <w:rPr>
                <w:rFonts w:ascii="Arial" w:cs="Arial" w:eastAsia="Arial" w:hAnsi="Arial"/>
                <w:sz w:val="14"/>
                <w:szCs w:val="14"/>
                <w:b w:val="1"/>
                <w:bCs w:val="1"/>
                <w:color w:val="auto"/>
              </w:rPr>
              <w:t>8. Offer Due Date/Local Time</w:t>
            </w:r>
          </w:p>
        </w:tc>
        <w:tc>
          <w:tcPr>
            <w:tcW w:w="0" w:type="dxa"/>
            <w:vAlign w:val="bottom"/>
          </w:tcPr>
          <w:p>
            <w:pPr>
              <w:spacing w:after="0"/>
              <w:rPr>
                <w:sz w:val="1"/>
                <w:szCs w:val="1"/>
                <w:color w:val="auto"/>
              </w:rPr>
            </w:pPr>
          </w:p>
        </w:tc>
      </w:tr>
      <w:tr>
        <w:trPr>
          <w:trHeight w:val="186"/>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4"/>
                <w:szCs w:val="14"/>
                <w:b w:val="1"/>
                <w:bCs w:val="1"/>
                <w:color w:val="auto"/>
              </w:rPr>
              <w:t>Information Call: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rPr>
              <w:t>9. Issued By</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w w:val="97"/>
              </w:rPr>
              <w:t>Code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right w:val="single" w:sz="8" w:color="auto"/>
            </w:tcBorders>
            <w:gridSpan w:val="2"/>
          </w:tcPr>
          <w:p>
            <w:pPr>
              <w:spacing w:after="0"/>
              <w:rPr>
                <w:sz w:val="20"/>
                <w:szCs w:val="20"/>
                <w:color w:val="auto"/>
              </w:rPr>
            </w:pPr>
            <w:r>
              <w:rPr>
                <w:rFonts w:ascii="Courier New" w:cs="Courier New" w:eastAsia="Courier New" w:hAnsi="Courier New"/>
                <w:sz w:val="13"/>
                <w:szCs w:val="13"/>
                <w:color w:val="auto"/>
              </w:rPr>
              <w:t>W15QKN</w:t>
            </w:r>
          </w:p>
        </w:tc>
        <w:tc>
          <w:tcPr>
            <w:tcW w:w="80" w:type="dxa"/>
            <w:vAlign w:val="bottom"/>
          </w:tcPr>
          <w:p>
            <w:pPr>
              <w:spacing w:after="0"/>
              <w:rPr>
                <w:sz w:val="18"/>
                <w:szCs w:val="18"/>
                <w:color w:val="auto"/>
              </w:rPr>
            </w:pPr>
          </w:p>
        </w:tc>
        <w:tc>
          <w:tcPr>
            <w:tcW w:w="24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10. This Acquisition is  Unrestricted</w:t>
            </w: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OR  Set Aside:</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 For:</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20" w:type="dxa"/>
            <w:vAlign w:val="bottom"/>
            <w:tcBorders>
              <w:right w:val="single" w:sz="8" w:color="auto"/>
            </w:tcBorders>
            <w:gridSpan w:val="6"/>
          </w:tcPr>
          <w:p>
            <w:pPr>
              <w:ind w:left="540"/>
              <w:spacing w:after="0" w:line="143" w:lineRule="exact"/>
              <w:rPr>
                <w:sz w:val="20"/>
                <w:szCs w:val="20"/>
                <w:color w:val="auto"/>
              </w:rPr>
            </w:pPr>
            <w:r>
              <w:rPr>
                <w:rFonts w:ascii="Courier New" w:cs="Courier New" w:eastAsia="Courier New" w:hAnsi="Courier New"/>
                <w:sz w:val="13"/>
                <w:szCs w:val="13"/>
                <w:color w:val="auto"/>
                <w:w w:val="99"/>
              </w:rPr>
              <w:t>ARMY CONTRACTING COMMAND - NJ</w:t>
            </w:r>
          </w:p>
        </w:tc>
        <w:tc>
          <w:tcPr>
            <w:tcW w:w="2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0" w:type="dxa"/>
            <w:vAlign w:val="bottom"/>
            <w:gridSpan w:val="7"/>
            <w:vMerge w:val="restart"/>
          </w:tcPr>
          <w:p>
            <w:pPr>
              <w:ind w:left="240"/>
              <w:spacing w:after="0"/>
              <w:rPr>
                <w:sz w:val="20"/>
                <w:szCs w:val="20"/>
                <w:color w:val="auto"/>
              </w:rPr>
            </w:pPr>
            <w:r>
              <w:rPr>
                <w:rFonts w:ascii="Arial" w:cs="Arial" w:eastAsia="Arial" w:hAnsi="Arial"/>
                <w:sz w:val="14"/>
                <w:szCs w:val="14"/>
                <w:b w:val="1"/>
                <w:bCs w:val="1"/>
                <w:color w:val="auto"/>
              </w:rPr>
              <w:t>Small Business  Women-Owned Small Business (WOSB)</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100" w:type="dxa"/>
            <w:vAlign w:val="bottom"/>
            <w:gridSpan w:val="7"/>
            <w:vMerge w:val="restart"/>
          </w:tcPr>
          <w:p>
            <w:pPr>
              <w:ind w:left="540"/>
              <w:spacing w:after="0"/>
              <w:rPr>
                <w:sz w:val="20"/>
                <w:szCs w:val="20"/>
                <w:color w:val="auto"/>
              </w:rPr>
            </w:pPr>
            <w:r>
              <w:rPr>
                <w:rFonts w:ascii="Courier New" w:cs="Courier New" w:eastAsia="Courier New" w:hAnsi="Courier New"/>
                <w:sz w:val="13"/>
                <w:szCs w:val="13"/>
                <w:color w:val="auto"/>
              </w:rPr>
              <w:t>PICATINNY ARSENAL, NJ 07806-5000</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00" w:type="dxa"/>
            <w:vAlign w:val="bottom"/>
            <w:gridSpan w:val="7"/>
            <w:vMerge w:val="continue"/>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0" w:type="dxa"/>
            <w:vAlign w:val="bottom"/>
            <w:gridSpan w:val="14"/>
            <w:vMerge w:val="restart"/>
          </w:tcPr>
          <w:p>
            <w:pPr>
              <w:jc w:val="right"/>
              <w:ind w:right="873"/>
              <w:spacing w:after="0"/>
              <w:rPr>
                <w:sz w:val="20"/>
                <w:szCs w:val="20"/>
                <w:color w:val="auto"/>
              </w:rPr>
            </w:pPr>
            <w:r>
              <w:rPr>
                <w:rFonts w:ascii="Arial" w:cs="Arial" w:eastAsia="Arial" w:hAnsi="Arial"/>
                <w:sz w:val="14"/>
                <w:szCs w:val="14"/>
                <w:b w:val="1"/>
                <w:bCs w:val="1"/>
                <w:color w:val="auto"/>
              </w:rPr>
              <w:t>Eligible Under the Women-Owned Small Business Program</w:t>
            </w:r>
          </w:p>
        </w:tc>
        <w:tc>
          <w:tcPr>
            <w:tcW w:w="0" w:type="dxa"/>
            <w:vAlign w:val="bottom"/>
          </w:tcPr>
          <w:p>
            <w:pPr>
              <w:spacing w:after="0"/>
              <w:rPr>
                <w:sz w:val="1"/>
                <w:szCs w:val="1"/>
                <w:color w:val="auto"/>
              </w:rPr>
            </w:pPr>
          </w:p>
        </w:tc>
      </w:tr>
      <w:tr>
        <w:trPr>
          <w:trHeight w:val="87"/>
        </w:trPr>
        <w:tc>
          <w:tcPr>
            <w:tcW w:w="1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500" w:type="dxa"/>
            <w:vAlign w:val="bottom"/>
            <w:gridSpan w:val="5"/>
          </w:tcPr>
          <w:p>
            <w:pPr>
              <w:ind w:left="220"/>
              <w:spacing w:after="0"/>
              <w:rPr>
                <w:sz w:val="20"/>
                <w:szCs w:val="20"/>
                <w:color w:val="auto"/>
              </w:rPr>
            </w:pPr>
            <w:r>
              <w:rPr>
                <w:rFonts w:ascii="Arial" w:cs="Arial" w:eastAsia="Arial" w:hAnsi="Arial"/>
                <w:sz w:val="14"/>
                <w:szCs w:val="14"/>
                <w:b w:val="1"/>
                <w:bCs w:val="1"/>
                <w:color w:val="auto"/>
              </w:rPr>
              <w:t>Hubzone Small Business  EDWOSB</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gridSpan w:val="7"/>
          </w:tcPr>
          <w:p>
            <w:pPr>
              <w:ind w:left="240"/>
              <w:spacing w:after="0"/>
              <w:rPr>
                <w:sz w:val="20"/>
                <w:szCs w:val="20"/>
                <w:color w:val="auto"/>
              </w:rPr>
            </w:pPr>
            <w:r>
              <w:rPr>
                <w:rFonts w:ascii="Arial" w:cs="Arial" w:eastAsia="Arial" w:hAnsi="Arial"/>
                <w:sz w:val="14"/>
                <w:szCs w:val="14"/>
                <w:b w:val="1"/>
                <w:bCs w:val="1"/>
                <w:color w:val="auto"/>
                <w:w w:val="95"/>
              </w:rPr>
              <w:t xml:space="preserve">Service-Disabled Veteran-Owned Small Business  NAICS: </w:t>
            </w:r>
            <w:r>
              <w:rPr>
                <w:rFonts w:ascii="Courier New" w:cs="Courier New" w:eastAsia="Courier New" w:hAnsi="Courier New"/>
                <w:sz w:val="12"/>
                <w:szCs w:val="12"/>
                <w:color w:val="auto"/>
                <w:w w:val="95"/>
              </w:rPr>
              <w:t>325414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3"/>
          </w:tcPr>
          <w:p>
            <w:pPr>
              <w:ind w:left="240"/>
              <w:spacing w:after="0"/>
              <w:rPr>
                <w:sz w:val="20"/>
                <w:szCs w:val="20"/>
                <w:color w:val="auto"/>
              </w:rPr>
            </w:pPr>
            <w:r>
              <w:rPr>
                <w:rFonts w:ascii="Arial" w:cs="Arial" w:eastAsia="Arial" w:hAnsi="Arial"/>
                <w:sz w:val="14"/>
                <w:szCs w:val="14"/>
                <w:b w:val="1"/>
                <w:bCs w:val="1"/>
                <w:color w:val="auto"/>
              </w:rPr>
              <w:t>8(A)  Size Standard: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rPr>
              <w:t>Email:</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6"/>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440" w:type="dxa"/>
            <w:vAlign w:val="bottom"/>
            <w:tcBorders>
              <w:right w:val="single" w:sz="8" w:color="auto"/>
            </w:tcBorders>
            <w:gridSpan w:val="4"/>
          </w:tcPr>
          <w:p>
            <w:pPr>
              <w:ind w:left="160"/>
              <w:spacing w:after="0" w:line="160" w:lineRule="exact"/>
              <w:rPr>
                <w:sz w:val="20"/>
                <w:szCs w:val="20"/>
                <w:color w:val="auto"/>
              </w:rPr>
            </w:pPr>
            <w:r>
              <w:rPr>
                <w:rFonts w:ascii="Arial" w:cs="Arial" w:eastAsia="Arial" w:hAnsi="Arial"/>
                <w:sz w:val="14"/>
                <w:szCs w:val="14"/>
                <w:b w:val="1"/>
                <w:bCs w:val="1"/>
                <w:color w:val="auto"/>
              </w:rPr>
              <w:t>11. Delivery For FOB Destination</w:t>
            </w:r>
          </w:p>
        </w:tc>
        <w:tc>
          <w:tcPr>
            <w:tcW w:w="120" w:type="dxa"/>
            <w:vAlign w:val="bottom"/>
          </w:tcPr>
          <w:p>
            <w:pPr>
              <w:spacing w:after="0"/>
              <w:rPr>
                <w:sz w:val="13"/>
                <w:szCs w:val="13"/>
                <w:color w:val="auto"/>
              </w:rPr>
            </w:pPr>
          </w:p>
        </w:tc>
        <w:tc>
          <w:tcPr>
            <w:tcW w:w="1200" w:type="dxa"/>
            <w:vAlign w:val="bottom"/>
            <w:gridSpan w:val="5"/>
          </w:tcPr>
          <w:p>
            <w:pPr>
              <w:spacing w:after="0" w:line="160" w:lineRule="exact"/>
              <w:rPr>
                <w:sz w:val="20"/>
                <w:szCs w:val="20"/>
                <w:color w:val="auto"/>
              </w:rPr>
            </w:pPr>
            <w:r>
              <w:rPr>
                <w:rFonts w:ascii="Arial" w:cs="Arial" w:eastAsia="Arial" w:hAnsi="Arial"/>
                <w:sz w:val="14"/>
                <w:szCs w:val="14"/>
                <w:b w:val="1"/>
                <w:bCs w:val="1"/>
                <w:color w:val="auto"/>
                <w:w w:val="91"/>
              </w:rPr>
              <w:t>12. Discount Terms</w:t>
            </w:r>
          </w:p>
        </w:tc>
        <w:tc>
          <w:tcPr>
            <w:tcW w:w="26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0" w:type="dxa"/>
            <w:vAlign w:val="bottom"/>
            <w:gridSpan w:val="7"/>
          </w:tcPr>
          <w:p>
            <w:pPr>
              <w:ind w:left="240"/>
              <w:spacing w:after="0" w:line="160" w:lineRule="exact"/>
              <w:rPr>
                <w:sz w:val="20"/>
                <w:szCs w:val="20"/>
                <w:color w:val="auto"/>
              </w:rPr>
            </w:pPr>
            <w:r>
              <w:rPr>
                <w:rFonts w:ascii="Arial" w:cs="Arial" w:eastAsia="Arial" w:hAnsi="Arial"/>
                <w:sz w:val="14"/>
                <w:szCs w:val="14"/>
                <w:b w:val="1"/>
                <w:bCs w:val="1"/>
                <w:color w:val="auto"/>
              </w:rPr>
              <w:t>13a. This Contract Is A Rated Order Under DPAS (15 CFR 700)</w:t>
            </w:r>
          </w:p>
        </w:tc>
        <w:tc>
          <w:tcPr>
            <w:tcW w:w="1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820" w:type="dxa"/>
            <w:vAlign w:val="bottom"/>
            <w:gridSpan w:val="4"/>
          </w:tcPr>
          <w:p>
            <w:pPr>
              <w:ind w:left="60"/>
              <w:spacing w:after="0" w:line="160" w:lineRule="exact"/>
              <w:rPr>
                <w:sz w:val="20"/>
                <w:szCs w:val="20"/>
                <w:color w:val="auto"/>
              </w:rPr>
            </w:pPr>
            <w:r>
              <w:rPr>
                <w:rFonts w:ascii="Arial" w:cs="Arial" w:eastAsia="Arial" w:hAnsi="Arial"/>
                <w:sz w:val="14"/>
                <w:szCs w:val="14"/>
                <w:b w:val="1"/>
                <w:bCs w:val="1"/>
                <w:color w:val="auto"/>
                <w:w w:val="98"/>
              </w:rPr>
              <w:t>13b. Rating</w:t>
            </w:r>
          </w:p>
        </w:tc>
        <w:tc>
          <w:tcPr>
            <w:tcW w:w="240" w:type="dxa"/>
            <w:vAlign w:val="bottom"/>
            <w:tcBorders>
              <w:right w:val="single" w:sz="8" w:color="auto"/>
            </w:tcBorders>
          </w:tcPr>
          <w:p>
            <w:pPr>
              <w:spacing w:after="0"/>
              <w:rPr>
                <w:sz w:val="13"/>
                <w:szCs w:val="13"/>
                <w:color w:val="auto"/>
              </w:rPr>
            </w:pPr>
          </w:p>
        </w:tc>
        <w:tc>
          <w:tcPr>
            <w:tcW w:w="1040" w:type="dxa"/>
            <w:vAlign w:val="bottom"/>
          </w:tcPr>
          <w:p>
            <w:pPr>
              <w:jc w:val="right"/>
              <w:ind w:right="653"/>
              <w:spacing w:after="0"/>
              <w:rPr>
                <w:sz w:val="20"/>
                <w:szCs w:val="20"/>
                <w:color w:val="auto"/>
              </w:rPr>
            </w:pPr>
            <w:r>
              <w:rPr>
                <w:rFonts w:ascii="Courier New" w:cs="Courier New" w:eastAsia="Courier New" w:hAnsi="Courier New"/>
                <w:sz w:val="13"/>
                <w:szCs w:val="13"/>
                <w:color w:val="auto"/>
                <w:w w:val="95"/>
              </w:rPr>
              <w:t>NONE</w:t>
            </w:r>
          </w:p>
        </w:tc>
        <w:tc>
          <w:tcPr>
            <w:tcW w:w="0" w:type="dxa"/>
            <w:vAlign w:val="bottom"/>
          </w:tcPr>
          <w:p>
            <w:pPr>
              <w:spacing w:after="0"/>
              <w:rPr>
                <w:sz w:val="1"/>
                <w:szCs w:val="1"/>
                <w:color w:val="auto"/>
              </w:rPr>
            </w:pPr>
          </w:p>
        </w:tc>
      </w:tr>
      <w:tr>
        <w:trPr>
          <w:trHeight w:val="192"/>
        </w:trPr>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rPr>
              <w:t>Unless Block Is Marked</w:t>
            </w:r>
          </w:p>
        </w:tc>
        <w:tc>
          <w:tcPr>
            <w:tcW w:w="1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00" w:type="dxa"/>
            <w:vAlign w:val="bottom"/>
            <w:gridSpan w:val="2"/>
          </w:tcPr>
          <w:p>
            <w:pPr>
              <w:ind w:left="420"/>
              <w:spacing w:after="0"/>
              <w:rPr>
                <w:sz w:val="20"/>
                <w:szCs w:val="20"/>
                <w:color w:val="auto"/>
              </w:rPr>
            </w:pPr>
            <w:r>
              <w:rPr>
                <w:rFonts w:ascii="Arial" w:cs="Arial" w:eastAsia="Arial" w:hAnsi="Arial"/>
                <w:sz w:val="14"/>
                <w:szCs w:val="14"/>
                <w:b w:val="1"/>
                <w:bCs w:val="1"/>
                <w:color w:val="auto"/>
              </w:rPr>
              <w:t>See Schedule</w:t>
            </w:r>
          </w:p>
        </w:tc>
        <w:tc>
          <w:tcPr>
            <w:tcW w:w="1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14. Method Of Solicitation</w:t>
            </w:r>
          </w:p>
        </w:tc>
        <w:tc>
          <w:tcPr>
            <w:tcW w:w="300" w:type="dxa"/>
            <w:vAlign w:val="bottom"/>
          </w:tcPr>
          <w:p>
            <w:pPr>
              <w:spacing w:after="0"/>
              <w:rPr>
                <w:sz w:val="17"/>
                <w:szCs w:val="17"/>
                <w:color w:val="auto"/>
              </w:rPr>
            </w:pPr>
          </w:p>
        </w:tc>
        <w:tc>
          <w:tcPr>
            <w:tcW w:w="860" w:type="dxa"/>
            <w:vAlign w:val="bottom"/>
            <w:tcBorders>
              <w:right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RFQ</w:t>
            </w:r>
          </w:p>
        </w:tc>
        <w:tc>
          <w:tcPr>
            <w:tcW w:w="220" w:type="dxa"/>
            <w:vAlign w:val="bottom"/>
          </w:tcPr>
          <w:p>
            <w:pPr>
              <w:spacing w:after="0"/>
              <w:rPr>
                <w:sz w:val="17"/>
                <w:szCs w:val="17"/>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IFB</w:t>
            </w:r>
          </w:p>
        </w:tc>
        <w:tc>
          <w:tcPr>
            <w:tcW w:w="440" w:type="dxa"/>
            <w:vAlign w:val="bottom"/>
            <w:tcBorders>
              <w:right w:val="single" w:sz="8" w:color="auto"/>
            </w:tcBorders>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Courier New" w:cs="Courier New" w:eastAsia="Courier New" w:hAnsi="Courier New"/>
                <w:sz w:val="13"/>
                <w:szCs w:val="13"/>
                <w:color w:val="auto"/>
              </w:rPr>
              <w:t>X</w:t>
            </w:r>
          </w:p>
        </w:tc>
        <w:tc>
          <w:tcPr>
            <w:tcW w:w="60" w:type="dxa"/>
            <w:vAlign w:val="bottom"/>
          </w:tcPr>
          <w:p>
            <w:pPr>
              <w:spacing w:after="0"/>
              <w:rPr>
                <w:sz w:val="17"/>
                <w:szCs w:val="17"/>
                <w:color w:val="auto"/>
              </w:rPr>
            </w:pPr>
          </w:p>
        </w:tc>
        <w:tc>
          <w:tcPr>
            <w:tcW w:w="7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2"/>
              </w:rPr>
              <w:t>RFP</w:t>
            </w:r>
          </w:p>
        </w:tc>
        <w:tc>
          <w:tcPr>
            <w:tcW w:w="1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rPr>
              <w:t>15. Deliver To</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w w:val="97"/>
              </w:rPr>
              <w:t>Code</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16. Administered By</w:t>
            </w:r>
          </w:p>
        </w:tc>
        <w:tc>
          <w:tcPr>
            <w:tcW w:w="3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91"/>
              </w:rPr>
              <w:t>Code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673"/>
              <w:spacing w:after="0"/>
              <w:rPr>
                <w:sz w:val="20"/>
                <w:szCs w:val="20"/>
                <w:color w:val="auto"/>
              </w:rPr>
            </w:pPr>
            <w:r>
              <w:rPr>
                <w:rFonts w:ascii="Courier New" w:cs="Courier New" w:eastAsia="Courier New" w:hAnsi="Courier New"/>
                <w:sz w:val="13"/>
                <w:szCs w:val="13"/>
                <w:color w:val="auto"/>
              </w:rPr>
              <w:t>W15QKN</w:t>
            </w:r>
          </w:p>
        </w:tc>
        <w:tc>
          <w:tcPr>
            <w:tcW w:w="0" w:type="dxa"/>
            <w:vAlign w:val="bottom"/>
          </w:tcPr>
          <w:p>
            <w:pPr>
              <w:spacing w:after="0"/>
              <w:rPr>
                <w:sz w:val="1"/>
                <w:szCs w:val="1"/>
                <w:color w:val="auto"/>
              </w:rPr>
            </w:pPr>
          </w:p>
        </w:tc>
      </w:tr>
      <w:tr>
        <w:trPr>
          <w:trHeight w:val="26"/>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00" w:type="dxa"/>
            <w:vAlign w:val="bottom"/>
            <w:gridSpan w:val="2"/>
          </w:tcPr>
          <w:p>
            <w:pPr>
              <w:ind w:left="540"/>
              <w:spacing w:after="0"/>
              <w:rPr>
                <w:sz w:val="20"/>
                <w:szCs w:val="20"/>
                <w:color w:val="auto"/>
              </w:rPr>
            </w:pPr>
            <w:r>
              <w:rPr>
                <w:rFonts w:ascii="Courier New" w:cs="Courier New" w:eastAsia="Courier New" w:hAnsi="Courier New"/>
                <w:sz w:val="13"/>
                <w:szCs w:val="13"/>
                <w:color w:val="auto"/>
              </w:rPr>
              <w:t>SEE SCHEDULE</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ind w:left="240"/>
              <w:spacing w:after="0"/>
              <w:rPr>
                <w:sz w:val="20"/>
                <w:szCs w:val="20"/>
                <w:color w:val="auto"/>
              </w:rPr>
            </w:pPr>
            <w:r>
              <w:rPr>
                <w:rFonts w:ascii="Courier New" w:cs="Courier New" w:eastAsia="Courier New" w:hAnsi="Courier New"/>
                <w:sz w:val="13"/>
                <w:szCs w:val="13"/>
                <w:color w:val="auto"/>
              </w:rPr>
              <w:t>ACC NJ</w:t>
            </w:r>
          </w:p>
        </w:tc>
        <w:tc>
          <w:tcPr>
            <w:tcW w:w="12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Borders>
              <w:right w:val="single" w:sz="8" w:color="auto"/>
            </w:tcBorders>
            <w:gridSpan w:val="2"/>
          </w:tcPr>
          <w:p>
            <w:pPr>
              <w:ind w:left="240"/>
              <w:spacing w:after="0"/>
              <w:rPr>
                <w:sz w:val="20"/>
                <w:szCs w:val="20"/>
                <w:color w:val="auto"/>
              </w:rPr>
            </w:pPr>
            <w:r>
              <w:rPr>
                <w:rFonts w:ascii="Courier New" w:cs="Courier New" w:eastAsia="Courier New" w:hAnsi="Courier New"/>
                <w:sz w:val="13"/>
                <w:szCs w:val="13"/>
                <w:color w:val="auto"/>
              </w:rPr>
              <w:t>BLDG 10 PHIPPS RD</w:t>
            </w:r>
          </w:p>
        </w:tc>
        <w:tc>
          <w:tcPr>
            <w:tcW w:w="3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Borders>
              <w:right w:val="single" w:sz="8" w:color="auto"/>
            </w:tcBorders>
            <w:gridSpan w:val="2"/>
          </w:tcPr>
          <w:p>
            <w:pPr>
              <w:ind w:left="240"/>
              <w:spacing w:after="0"/>
              <w:rPr>
                <w:sz w:val="20"/>
                <w:szCs w:val="20"/>
                <w:color w:val="auto"/>
              </w:rPr>
            </w:pPr>
            <w:r>
              <w:rPr>
                <w:rFonts w:ascii="Courier New" w:cs="Courier New" w:eastAsia="Courier New" w:hAnsi="Courier New"/>
                <w:sz w:val="13"/>
                <w:szCs w:val="13"/>
                <w:color w:val="auto"/>
              </w:rPr>
              <w:t>PICATINNY ARSENAL, NJ</w:t>
            </w:r>
          </w:p>
        </w:tc>
        <w:tc>
          <w:tcPr>
            <w:tcW w:w="1160" w:type="dxa"/>
            <w:vAlign w:val="bottom"/>
            <w:tcBorders>
              <w:right w:val="single" w:sz="8" w:color="auto"/>
            </w:tcBorders>
            <w:gridSpan w:val="2"/>
            <w:vMerge w:val="restart"/>
          </w:tcPr>
          <w:p>
            <w:pPr>
              <w:jc w:val="right"/>
              <w:ind w:right="288"/>
              <w:spacing w:after="0"/>
              <w:rPr>
                <w:sz w:val="20"/>
                <w:szCs w:val="20"/>
                <w:color w:val="auto"/>
              </w:rPr>
            </w:pPr>
            <w:r>
              <w:rPr>
                <w:rFonts w:ascii="Courier New" w:cs="Courier New" w:eastAsia="Courier New" w:hAnsi="Courier New"/>
                <w:sz w:val="13"/>
                <w:szCs w:val="13"/>
                <w:color w:val="auto"/>
                <w:w w:val="99"/>
              </w:rPr>
              <w:t>07806-5000</w:t>
            </w:r>
          </w:p>
        </w:tc>
        <w:tc>
          <w:tcPr>
            <w:tcW w:w="22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7"/>
        </w:trPr>
        <w:tc>
          <w:tcPr>
            <w:tcW w:w="2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Telephone No.</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w w:val="94"/>
              </w:rPr>
              <w:t>17a. Contractor/Offeror Code</w:t>
            </w:r>
          </w:p>
        </w:tc>
        <w:tc>
          <w:tcPr>
            <w:tcW w:w="1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gridSpan w:val="3"/>
          </w:tcPr>
          <w:p>
            <w:pPr>
              <w:ind w:left="120"/>
              <w:spacing w:after="0"/>
              <w:rPr>
                <w:sz w:val="20"/>
                <w:szCs w:val="20"/>
                <w:color w:val="auto"/>
              </w:rPr>
            </w:pPr>
            <w:r>
              <w:rPr>
                <w:rFonts w:ascii="Courier New" w:cs="Courier New" w:eastAsia="Courier New" w:hAnsi="Courier New"/>
                <w:sz w:val="13"/>
                <w:szCs w:val="13"/>
                <w:color w:val="auto"/>
              </w:rPr>
              <w:t>544P9</w:t>
            </w:r>
          </w:p>
        </w:tc>
        <w:tc>
          <w:tcPr>
            <w:tcW w:w="280" w:type="dxa"/>
            <w:vAlign w:val="bottom"/>
          </w:tcPr>
          <w:p>
            <w:pPr>
              <w:spacing w:after="0"/>
              <w:rPr>
                <w:sz w:val="16"/>
                <w:szCs w:val="16"/>
                <w:color w:val="auto"/>
              </w:rPr>
            </w:pP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Facility</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18a. Payment Will Be Made By</w:t>
            </w:r>
          </w:p>
        </w:tc>
        <w:tc>
          <w:tcPr>
            <w:tcW w:w="3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5"/>
              </w:rPr>
              <w:t>Code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713"/>
              <w:spacing w:after="0"/>
              <w:rPr>
                <w:sz w:val="20"/>
                <w:szCs w:val="20"/>
                <w:color w:val="auto"/>
              </w:rPr>
            </w:pPr>
            <w:r>
              <w:rPr>
                <w:rFonts w:ascii="Courier New" w:cs="Courier New" w:eastAsia="Courier New" w:hAnsi="Courier New"/>
                <w:sz w:val="13"/>
                <w:szCs w:val="13"/>
                <w:color w:val="auto"/>
              </w:rPr>
              <w:t>HQ0490</w:t>
            </w:r>
          </w:p>
        </w:tc>
        <w:tc>
          <w:tcPr>
            <w:tcW w:w="0" w:type="dxa"/>
            <w:vAlign w:val="bottom"/>
          </w:tcPr>
          <w:p>
            <w:pPr>
              <w:spacing w:after="0"/>
              <w:rPr>
                <w:sz w:val="1"/>
                <w:szCs w:val="1"/>
                <w:color w:val="auto"/>
              </w:rPr>
            </w:pPr>
          </w:p>
        </w:tc>
      </w:tr>
      <w:tr>
        <w:trPr>
          <w:trHeight w:val="25"/>
        </w:trPr>
        <w:tc>
          <w:tcPr>
            <w:tcW w:w="19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3100" w:type="dxa"/>
            <w:vAlign w:val="bottom"/>
            <w:gridSpan w:val="7"/>
          </w:tcPr>
          <w:p>
            <w:pPr>
              <w:ind w:left="540"/>
              <w:spacing w:after="0" w:line="138" w:lineRule="exact"/>
              <w:rPr>
                <w:sz w:val="20"/>
                <w:szCs w:val="20"/>
                <w:color w:val="auto"/>
              </w:rPr>
            </w:pPr>
            <w:r>
              <w:rPr>
                <w:rFonts w:ascii="Courier New" w:cs="Courier New" w:eastAsia="Courier New" w:hAnsi="Courier New"/>
                <w:sz w:val="13"/>
                <w:szCs w:val="13"/>
                <w:color w:val="auto"/>
              </w:rPr>
              <w:t>REGENERON PHARMACEUTICALS, INC.</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tcPr>
          <w:p>
            <w:pPr>
              <w:ind w:left="240"/>
              <w:spacing w:after="0" w:line="138" w:lineRule="exact"/>
              <w:rPr>
                <w:sz w:val="20"/>
                <w:szCs w:val="20"/>
                <w:color w:val="auto"/>
              </w:rPr>
            </w:pPr>
            <w:r>
              <w:rPr>
                <w:rFonts w:ascii="Courier New" w:cs="Courier New" w:eastAsia="Courier New" w:hAnsi="Courier New"/>
                <w:sz w:val="13"/>
                <w:szCs w:val="13"/>
                <w:color w:val="auto"/>
              </w:rPr>
              <w:t>DFAS-INDY VP GFEBS</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60" w:type="dxa"/>
            <w:vAlign w:val="bottom"/>
            <w:gridSpan w:val="5"/>
          </w:tcPr>
          <w:p>
            <w:pPr>
              <w:ind w:left="540"/>
              <w:spacing w:after="0"/>
              <w:rPr>
                <w:sz w:val="20"/>
                <w:szCs w:val="20"/>
                <w:color w:val="auto"/>
              </w:rPr>
            </w:pPr>
            <w:r>
              <w:rPr>
                <w:rFonts w:ascii="Courier New" w:cs="Courier New" w:eastAsia="Courier New" w:hAnsi="Courier New"/>
                <w:sz w:val="13"/>
                <w:szCs w:val="13"/>
                <w:color w:val="auto"/>
              </w:rPr>
              <w:t>777 OLD SAW MILL RIVER RD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5"/>
          </w:tcPr>
          <w:p>
            <w:pPr>
              <w:ind w:left="240"/>
              <w:spacing w:after="0"/>
              <w:rPr>
                <w:sz w:val="20"/>
                <w:szCs w:val="20"/>
                <w:color w:val="auto"/>
              </w:rPr>
            </w:pPr>
            <w:r>
              <w:rPr>
                <w:rFonts w:ascii="Courier New" w:cs="Courier New" w:eastAsia="Courier New" w:hAnsi="Courier New"/>
                <w:sz w:val="13"/>
                <w:szCs w:val="13"/>
                <w:color w:val="auto"/>
              </w:rPr>
              <w:t>8899 E. 56TH STREET INDIANAPOLIS</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60" w:type="dxa"/>
            <w:vAlign w:val="bottom"/>
            <w:gridSpan w:val="5"/>
          </w:tcPr>
          <w:p>
            <w:pPr>
              <w:ind w:left="540"/>
              <w:spacing w:after="0"/>
              <w:rPr>
                <w:sz w:val="20"/>
                <w:szCs w:val="20"/>
                <w:color w:val="auto"/>
              </w:rPr>
            </w:pPr>
            <w:r>
              <w:rPr>
                <w:rFonts w:ascii="Courier New" w:cs="Courier New" w:eastAsia="Courier New" w:hAnsi="Courier New"/>
                <w:sz w:val="13"/>
                <w:szCs w:val="13"/>
                <w:color w:val="auto"/>
              </w:rPr>
              <w:t>TARRYTOWN, NY 10591-6717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3"/>
          </w:tcPr>
          <w:p>
            <w:pPr>
              <w:ind w:left="240"/>
              <w:spacing w:after="0"/>
              <w:rPr>
                <w:sz w:val="20"/>
                <w:szCs w:val="20"/>
                <w:color w:val="auto"/>
              </w:rPr>
            </w:pPr>
            <w:r>
              <w:rPr>
                <w:rFonts w:ascii="Courier New" w:cs="Courier New" w:eastAsia="Courier New" w:hAnsi="Courier New"/>
                <w:sz w:val="13"/>
                <w:szCs w:val="13"/>
                <w:color w:val="auto"/>
              </w:rPr>
              <w:t>IN 46249-3800</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3"/>
        </w:trPr>
        <w:tc>
          <w:tcPr>
            <w:tcW w:w="2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Telephone No.</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10"/>
            <w:vMerge w:val="restart"/>
          </w:tcPr>
          <w:p>
            <w:pPr>
              <w:ind w:left="380"/>
              <w:spacing w:after="0"/>
              <w:rPr>
                <w:sz w:val="20"/>
                <w:szCs w:val="20"/>
                <w:color w:val="auto"/>
              </w:rPr>
            </w:pPr>
            <w:r>
              <w:rPr>
                <w:rFonts w:ascii="Arial" w:cs="Arial" w:eastAsia="Arial" w:hAnsi="Arial"/>
                <w:sz w:val="14"/>
                <w:szCs w:val="14"/>
                <w:b w:val="1"/>
                <w:bCs w:val="1"/>
                <w:color w:val="auto"/>
                <w:w w:val="99"/>
              </w:rPr>
              <w:t>17b. Check If Remittance Is Different And Put Such</w:t>
            </w:r>
          </w:p>
        </w:tc>
        <w:tc>
          <w:tcPr>
            <w:tcW w:w="2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300" w:type="dxa"/>
            <w:vAlign w:val="bottom"/>
            <w:gridSpan w:val="12"/>
          </w:tcPr>
          <w:p>
            <w:pPr>
              <w:ind w:left="40"/>
              <w:spacing w:after="0"/>
              <w:rPr>
                <w:sz w:val="20"/>
                <w:szCs w:val="20"/>
                <w:color w:val="auto"/>
              </w:rPr>
            </w:pPr>
            <w:r>
              <w:rPr>
                <w:rFonts w:ascii="Arial" w:cs="Arial" w:eastAsia="Arial" w:hAnsi="Arial"/>
                <w:sz w:val="14"/>
                <w:szCs w:val="14"/>
                <w:b w:val="1"/>
                <w:bCs w:val="1"/>
                <w:color w:val="auto"/>
                <w:w w:val="91"/>
              </w:rPr>
              <w:t>18b. Submit Invoices To Address Shown In Block 18a Unless Block Below Is Checked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760" w:type="dxa"/>
            <w:vAlign w:val="bottom"/>
            <w:gridSpan w:val="10"/>
            <w:vMerge w:val="continue"/>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See Addendum</w:t>
            </w: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Address In Offer</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900" w:type="dxa"/>
            <w:vAlign w:val="bottom"/>
          </w:tcPr>
          <w:p>
            <w:pPr>
              <w:ind w:left="500"/>
              <w:spacing w:after="0" w:line="147" w:lineRule="exact"/>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b w:val="1"/>
                <w:bCs w:val="1"/>
                <w:color w:val="auto"/>
              </w:rPr>
              <w:t>20.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jc w:val="right"/>
              <w:ind w:right="49"/>
              <w:spacing w:after="0" w:line="147" w:lineRule="exact"/>
              <w:rPr>
                <w:sz w:val="20"/>
                <w:szCs w:val="20"/>
                <w:color w:val="auto"/>
              </w:rPr>
            </w:pPr>
            <w:r>
              <w:rPr>
                <w:rFonts w:ascii="Arial" w:cs="Arial" w:eastAsia="Arial" w:hAnsi="Arial"/>
                <w:sz w:val="14"/>
                <w:szCs w:val="14"/>
                <w:b w:val="1"/>
                <w:bCs w:val="1"/>
                <w:color w:val="auto"/>
              </w:rPr>
              <w:t>21.</w:t>
            </w:r>
          </w:p>
        </w:tc>
        <w:tc>
          <w:tcPr>
            <w:tcW w:w="300" w:type="dxa"/>
            <w:vAlign w:val="bottom"/>
          </w:tcPr>
          <w:p>
            <w:pPr>
              <w:spacing w:after="0"/>
              <w:rPr>
                <w:sz w:val="12"/>
                <w:szCs w:val="12"/>
                <w:color w:val="auto"/>
              </w:rPr>
            </w:pPr>
          </w:p>
        </w:tc>
        <w:tc>
          <w:tcPr>
            <w:tcW w:w="860" w:type="dxa"/>
            <w:vAlign w:val="bottom"/>
          </w:tcPr>
          <w:p>
            <w:pPr>
              <w:jc w:val="right"/>
              <w:ind w:right="448"/>
              <w:spacing w:after="0" w:line="147" w:lineRule="exact"/>
              <w:rPr>
                <w:sz w:val="20"/>
                <w:szCs w:val="20"/>
                <w:color w:val="auto"/>
              </w:rPr>
            </w:pPr>
            <w:r>
              <w:rPr>
                <w:rFonts w:ascii="Arial" w:cs="Arial" w:eastAsia="Arial" w:hAnsi="Arial"/>
                <w:sz w:val="14"/>
                <w:szCs w:val="14"/>
                <w:b w:val="1"/>
                <w:bCs w:val="1"/>
                <w:color w:val="auto"/>
              </w:rPr>
              <w:t>22.</w:t>
            </w:r>
          </w:p>
        </w:tc>
        <w:tc>
          <w:tcPr>
            <w:tcW w:w="220" w:type="dxa"/>
            <w:vAlign w:val="bottom"/>
          </w:tcPr>
          <w:p>
            <w:pPr>
              <w:spacing w:after="0"/>
              <w:rPr>
                <w:sz w:val="12"/>
                <w:szCs w:val="12"/>
                <w:color w:val="auto"/>
              </w:rPr>
            </w:pPr>
          </w:p>
        </w:tc>
        <w:tc>
          <w:tcPr>
            <w:tcW w:w="900" w:type="dxa"/>
            <w:vAlign w:val="bottom"/>
            <w:gridSpan w:val="2"/>
          </w:tcPr>
          <w:p>
            <w:pPr>
              <w:jc w:val="right"/>
              <w:ind w:right="248"/>
              <w:spacing w:after="0" w:line="147" w:lineRule="exact"/>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653"/>
              <w:spacing w:after="0" w:line="147" w:lineRule="exact"/>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200"/>
        </w:trPr>
        <w:tc>
          <w:tcPr>
            <w:tcW w:w="2000" w:type="dxa"/>
            <w:vAlign w:val="bottom"/>
            <w:gridSpan w:val="2"/>
          </w:tcPr>
          <w:p>
            <w:pPr>
              <w:ind w:left="320"/>
              <w:spacing w:after="0"/>
              <w:rPr>
                <w:sz w:val="20"/>
                <w:szCs w:val="20"/>
                <w:color w:val="auto"/>
              </w:rPr>
            </w:pPr>
            <w:r>
              <w:rPr>
                <w:rFonts w:ascii="Arial" w:cs="Arial" w:eastAsia="Arial" w:hAnsi="Arial"/>
                <w:sz w:val="14"/>
                <w:szCs w:val="14"/>
                <w:b w:val="1"/>
                <w:bCs w:val="1"/>
                <w:color w:val="auto"/>
              </w:rPr>
              <w:t>Item No.</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8"/>
          </w:tcPr>
          <w:p>
            <w:pPr>
              <w:ind w:left="100"/>
              <w:spacing w:after="0"/>
              <w:rPr>
                <w:sz w:val="20"/>
                <w:szCs w:val="20"/>
                <w:color w:val="auto"/>
              </w:rPr>
            </w:pPr>
            <w:r>
              <w:rPr>
                <w:rFonts w:ascii="Arial" w:cs="Arial" w:eastAsia="Arial" w:hAnsi="Arial"/>
                <w:sz w:val="14"/>
                <w:szCs w:val="14"/>
                <w:b w:val="1"/>
                <w:bCs w:val="1"/>
                <w:color w:val="auto"/>
                <w:w w:val="90"/>
              </w:rPr>
              <w:t>Schedule Of Supplies/Services</w:t>
            </w:r>
          </w:p>
        </w:tc>
        <w:tc>
          <w:tcPr>
            <w:tcW w:w="880" w:type="dxa"/>
            <w:vAlign w:val="bottom"/>
          </w:tcPr>
          <w:p>
            <w:pPr>
              <w:spacing w:after="0"/>
              <w:rPr>
                <w:sz w:val="17"/>
                <w:szCs w:val="17"/>
                <w:color w:val="auto"/>
              </w:rPr>
            </w:pPr>
          </w:p>
        </w:tc>
        <w:tc>
          <w:tcPr>
            <w:tcW w:w="1540" w:type="dxa"/>
            <w:vAlign w:val="bottom"/>
            <w:gridSpan w:val="2"/>
          </w:tcPr>
          <w:p>
            <w:pPr>
              <w:jc w:val="center"/>
              <w:ind w:left="449"/>
              <w:spacing w:after="0"/>
              <w:rPr>
                <w:sz w:val="20"/>
                <w:szCs w:val="20"/>
                <w:color w:val="auto"/>
              </w:rPr>
            </w:pPr>
            <w:r>
              <w:rPr>
                <w:rFonts w:ascii="Arial" w:cs="Arial" w:eastAsia="Arial" w:hAnsi="Arial"/>
                <w:sz w:val="14"/>
                <w:szCs w:val="14"/>
                <w:b w:val="1"/>
                <w:bCs w:val="1"/>
                <w:color w:val="auto"/>
                <w:w w:val="95"/>
              </w:rPr>
              <w:t>Quantity</w:t>
            </w: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Unit</w:t>
            </w:r>
          </w:p>
        </w:tc>
        <w:tc>
          <w:tcPr>
            <w:tcW w:w="90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4"/>
              </w:rPr>
              <w:t>Unit Price</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493"/>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5"/>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1"/>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5"/>
          </w:tcPr>
          <w:p>
            <w:pPr>
              <w:ind w:left="80"/>
              <w:spacing w:after="0"/>
              <w:rPr>
                <w:sz w:val="20"/>
                <w:szCs w:val="20"/>
                <w:color w:val="auto"/>
              </w:rPr>
            </w:pPr>
            <w:r>
              <w:rPr>
                <w:rFonts w:ascii="Courier New" w:cs="Courier New" w:eastAsia="Courier New" w:hAnsi="Courier New"/>
                <w:sz w:val="13"/>
                <w:szCs w:val="13"/>
                <w:color w:val="auto"/>
              </w:rPr>
              <w:t>SEE SCHEDULE</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-527685</wp:posOffset>
            </wp:positionV>
            <wp:extent cx="8890" cy="1568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568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-527685</wp:posOffset>
            </wp:positionV>
            <wp:extent cx="8255" cy="1800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180022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-527685</wp:posOffset>
            </wp:positionV>
            <wp:extent cx="8890" cy="1568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56845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-527685</wp:posOffset>
            </wp:positionV>
            <wp:extent cx="8255" cy="1568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568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-527685</wp:posOffset>
            </wp:positionV>
            <wp:extent cx="8890" cy="1568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(Use Reverse and/or Attach Additional Sheets As Necessary)</w:t>
            </w:r>
          </w:p>
        </w:tc>
        <w:tc>
          <w:tcPr>
            <w:tcW w:w="6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r>
      <w:tr>
        <w:trPr>
          <w:trHeight w:val="178"/>
        </w:trPr>
        <w:tc>
          <w:tcPr>
            <w:tcW w:w="7180" w:type="dxa"/>
            <w:vAlign w:val="bottom"/>
          </w:tcPr>
          <w:p>
            <w:pPr>
              <w:ind w:left="160"/>
              <w:spacing w:after="0"/>
              <w:rPr>
                <w:sz w:val="20"/>
                <w:szCs w:val="20"/>
                <w:color w:val="auto"/>
              </w:rPr>
            </w:pPr>
            <w:r>
              <w:rPr>
                <w:rFonts w:ascii="Arial" w:cs="Arial" w:eastAsia="Arial" w:hAnsi="Arial"/>
                <w:sz w:val="14"/>
                <w:szCs w:val="14"/>
                <w:b w:val="1"/>
                <w:bCs w:val="1"/>
                <w:color w:val="auto"/>
              </w:rPr>
              <w:t>25. Accounting And Appropriation Data</w:t>
            </w:r>
          </w:p>
        </w:tc>
        <w:tc>
          <w:tcPr>
            <w:tcW w:w="4040" w:type="dxa"/>
            <w:vAlign w:val="bottom"/>
            <w:gridSpan w:val="3"/>
          </w:tcPr>
          <w:p>
            <w:pPr>
              <w:ind w:left="400"/>
              <w:spacing w:after="0"/>
              <w:rPr>
                <w:sz w:val="20"/>
                <w:szCs w:val="20"/>
                <w:color w:val="auto"/>
              </w:rPr>
            </w:pPr>
            <w:r>
              <w:rPr>
                <w:rFonts w:ascii="Arial" w:cs="Arial" w:eastAsia="Arial" w:hAnsi="Arial"/>
                <w:sz w:val="14"/>
                <w:szCs w:val="14"/>
                <w:b w:val="1"/>
                <w:bCs w:val="1"/>
                <w:color w:val="auto"/>
              </w:rPr>
              <w:t>26. Total Award Amount (For Govt. Use Only)</w:t>
            </w:r>
          </w:p>
        </w:tc>
      </w:tr>
      <w:tr>
        <w:trPr>
          <w:trHeight w:val="141"/>
        </w:trPr>
        <w:tc>
          <w:tcPr>
            <w:tcW w:w="7180" w:type="dxa"/>
            <w:vAlign w:val="bottom"/>
          </w:tcPr>
          <w:p>
            <w:pPr>
              <w:ind w:left="1440"/>
              <w:spacing w:after="0" w:line="141" w:lineRule="exact"/>
              <w:rPr>
                <w:sz w:val="20"/>
                <w:szCs w:val="20"/>
                <w:color w:val="auto"/>
              </w:rPr>
            </w:pPr>
            <w:r>
              <w:rPr>
                <w:rFonts w:ascii="Courier New" w:cs="Courier New" w:eastAsia="Courier New" w:hAnsi="Courier New"/>
                <w:sz w:val="13"/>
                <w:szCs w:val="13"/>
                <w:color w:val="auto"/>
              </w:rPr>
              <w:t>SEE CONTRACT ADMINISTRATION DATA</w:t>
            </w:r>
          </w:p>
        </w:tc>
        <w:tc>
          <w:tcPr>
            <w:tcW w:w="620" w:type="dxa"/>
            <w:vAlign w:val="bottom"/>
          </w:tcPr>
          <w:p>
            <w:pPr>
              <w:spacing w:after="0"/>
              <w:rPr>
                <w:sz w:val="12"/>
                <w:szCs w:val="12"/>
                <w:color w:val="auto"/>
              </w:rPr>
            </w:pPr>
          </w:p>
        </w:tc>
        <w:tc>
          <w:tcPr>
            <w:tcW w:w="3420" w:type="dxa"/>
            <w:vAlign w:val="bottom"/>
            <w:gridSpan w:val="2"/>
          </w:tcPr>
          <w:p>
            <w:pPr>
              <w:ind w:left="120"/>
              <w:spacing w:after="0" w:line="141" w:lineRule="exact"/>
              <w:rPr>
                <w:sz w:val="20"/>
                <w:szCs w:val="20"/>
                <w:color w:val="auto"/>
              </w:rPr>
            </w:pPr>
            <w:r>
              <w:rPr>
                <w:rFonts w:ascii="Courier New" w:cs="Courier New" w:eastAsia="Courier New" w:hAnsi="Courier New"/>
                <w:sz w:val="13"/>
                <w:szCs w:val="13"/>
                <w:color w:val="auto"/>
              </w:rPr>
              <w:t>$2,625,000,000.00</w:t>
            </w:r>
          </w:p>
        </w:tc>
      </w:tr>
      <w:tr>
        <w:trPr>
          <w:trHeight w:val="31"/>
        </w:trPr>
        <w:tc>
          <w:tcPr>
            <w:tcW w:w="7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481"/>
        </w:trPr>
        <w:tc>
          <w:tcPr>
            <w:tcW w:w="7800" w:type="dxa"/>
            <w:vAlign w:val="bottom"/>
            <w:gridSpan w:val="2"/>
          </w:tcPr>
          <w:p>
            <w:pPr>
              <w:ind w:left="320"/>
              <w:spacing w:after="0"/>
              <w:rPr>
                <w:sz w:val="20"/>
                <w:szCs w:val="20"/>
                <w:color w:val="auto"/>
              </w:rPr>
            </w:pPr>
            <w:r>
              <w:rPr>
                <w:rFonts w:ascii="Arial" w:cs="Arial" w:eastAsia="Arial" w:hAnsi="Arial"/>
                <w:sz w:val="14"/>
                <w:szCs w:val="14"/>
                <w:b w:val="1"/>
                <w:bCs w:val="1"/>
                <w:color w:val="auto"/>
                <w:w w:val="95"/>
              </w:rPr>
              <w:t>27a.Solicitation Incorporates By Reference FAR 52.212-1, 52.212-4. FAR 52.212-3 And 52.212-5 Are Attached. Addenda</w:t>
            </w:r>
          </w:p>
        </w:tc>
        <w:tc>
          <w:tcPr>
            <w:tcW w:w="640" w:type="dxa"/>
            <w:vAlign w:val="bottom"/>
          </w:tcPr>
          <w:p>
            <w:pPr>
              <w:ind w:left="220"/>
              <w:spacing w:after="0"/>
              <w:rPr>
                <w:sz w:val="20"/>
                <w:szCs w:val="20"/>
                <w:color w:val="auto"/>
              </w:rPr>
            </w:pPr>
            <w:r>
              <w:rPr>
                <w:rFonts w:ascii="Arial" w:cs="Arial" w:eastAsia="Arial" w:hAnsi="Arial"/>
                <w:sz w:val="14"/>
                <w:szCs w:val="14"/>
                <w:b w:val="1"/>
                <w:bCs w:val="1"/>
                <w:color w:val="auto"/>
              </w:rPr>
              <w:t>Are</w:t>
            </w:r>
          </w:p>
        </w:tc>
        <w:tc>
          <w:tcPr>
            <w:tcW w:w="2780" w:type="dxa"/>
            <w:vAlign w:val="bottom"/>
          </w:tcPr>
          <w:p>
            <w:pPr>
              <w:ind w:left="160"/>
              <w:spacing w:after="0"/>
              <w:rPr>
                <w:sz w:val="20"/>
                <w:szCs w:val="20"/>
                <w:color w:val="auto"/>
              </w:rPr>
            </w:pPr>
            <w:r>
              <w:rPr>
                <w:rFonts w:ascii="Arial" w:cs="Arial" w:eastAsia="Arial" w:hAnsi="Arial"/>
                <w:sz w:val="14"/>
                <w:szCs w:val="14"/>
                <w:b w:val="1"/>
                <w:bCs w:val="1"/>
                <w:color w:val="auto"/>
              </w:rPr>
              <w:t>Are Not Attached.</w:t>
            </w:r>
          </w:p>
        </w:tc>
      </w:tr>
      <w:tr>
        <w:trPr>
          <w:trHeight w:val="324"/>
        </w:trPr>
        <w:tc>
          <w:tcPr>
            <w:tcW w:w="7180" w:type="dxa"/>
            <w:vAlign w:val="bottom"/>
          </w:tcPr>
          <w:p>
            <w:pPr>
              <w:ind w:left="320"/>
              <w:spacing w:after="0"/>
              <w:rPr>
                <w:sz w:val="20"/>
                <w:szCs w:val="20"/>
                <w:color w:val="auto"/>
              </w:rPr>
            </w:pPr>
            <w:r>
              <w:rPr>
                <w:rFonts w:ascii="Arial" w:cs="Arial" w:eastAsia="Arial" w:hAnsi="Arial"/>
                <w:sz w:val="14"/>
                <w:szCs w:val="14"/>
                <w:b w:val="1"/>
                <w:bCs w:val="1"/>
                <w:color w:val="auto"/>
                <w:w w:val="96"/>
              </w:rPr>
              <w:t>27b.Contract/Purchase Order Incorporates By Reference FAR 52.212-4. FAR 52.212-5 Is Attached. Addenda</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Are</w:t>
            </w:r>
          </w:p>
        </w:tc>
        <w:tc>
          <w:tcPr>
            <w:tcW w:w="3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Are Not Attached.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128270" cy="1282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-386080</wp:posOffset>
            </wp:positionV>
            <wp:extent cx="128905" cy="128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-386080</wp:posOffset>
            </wp:positionV>
            <wp:extent cx="128905" cy="128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12827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-189230</wp:posOffset>
            </wp:positionV>
            <wp:extent cx="12890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-189230</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3" w:name="page84"/>
    <w:bookmarkEnd w:id="83"/>
    <w:tbl>
      <w:tblPr>
        <w:tblLayout w:type="fixed"/>
        <w:tblInd w:w="10" w:type="dxa"/>
        <w:tblCellMar>
          <w:top w:w="0" w:type="dxa"/>
          <w:left w:w="0" w:type="dxa"/>
          <w:bottom w:w="0" w:type="dxa"/>
          <w:right w:w="0" w:type="dxa"/>
        </w:tblCellMar>
      </w:tblPr>
      <w:tr>
        <w:trPr>
          <w:trHeight w:val="180"/>
        </w:trPr>
        <w:tc>
          <w:tcPr>
            <w:tcW w:w="860" w:type="dxa"/>
            <w:vAlign w:val="bottom"/>
            <w:tcBorders>
              <w:top w:val="single" w:sz="8" w:color="auto"/>
              <w:left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4"/>
                <w:szCs w:val="14"/>
                <w:b w:val="1"/>
                <w:bCs w:val="1"/>
                <w:color w:val="auto"/>
              </w:rPr>
              <w:t>29. Award Of</w:t>
            </w:r>
          </w:p>
        </w:tc>
        <w:tc>
          <w:tcPr>
            <w:tcW w:w="5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Contract:</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Ref.____ Offer</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28. Contractor Is Required To</w:t>
            </w: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Dated ______.</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Sign This Document And</w:t>
            </w: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Your Offer On</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Return ___2______</w:t>
            </w:r>
          </w:p>
        </w:tc>
        <w:tc>
          <w:tcPr>
            <w:tcW w:w="6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Solicitation (Block</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Copies to Issuing Office.</w:t>
            </w: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5), Including Any</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Contractor Agrees To Furnish</w:t>
            </w: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Additions Or</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And Deliver All Items Set Forth</w:t>
            </w: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Changes Which</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Or Otherwise Identified Above</w:t>
            </w: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Are Set Forth</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And On Any Additional Sheets</w:t>
            </w: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Herein, Is</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Subject To The Terms And</w:t>
            </w: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Accepted As</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50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Conditions Specified.</w:t>
            </w:r>
          </w:p>
        </w:tc>
        <w:tc>
          <w:tcPr>
            <w:tcW w:w="600" w:type="dxa"/>
            <w:vAlign w:val="bottom"/>
            <w:tcBorders>
              <w:right w:val="single" w:sz="8" w:color="auto"/>
            </w:tcBorders>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3"/>
              </w:rPr>
              <w:t>To Items:</w:t>
            </w:r>
          </w:p>
        </w:tc>
        <w:tc>
          <w:tcPr>
            <w:tcW w:w="600" w:type="dxa"/>
            <w:vAlign w:val="bottom"/>
            <w:tcBorders>
              <w:right w:val="single" w:sz="8" w:color="auto"/>
            </w:tcBorders>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00" w:type="dxa"/>
            <w:vAlign w:val="bottom"/>
            <w:tcBorders>
              <w:left w:val="single" w:sz="8" w:color="auto"/>
              <w:bottom w:val="single" w:sz="8" w:color="auto"/>
            </w:tcBorders>
            <w:gridSpan w:val="2"/>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3"/>
          </w:tcPr>
          <w:p>
            <w:pPr>
              <w:spacing w:after="0"/>
              <w:rPr>
                <w:sz w:val="2"/>
                <w:szCs w:val="2"/>
                <w:color w:val="auto"/>
              </w:rPr>
            </w:pPr>
          </w:p>
        </w:tc>
        <w:tc>
          <w:tcPr>
            <w:tcW w:w="5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500" w:type="dxa"/>
            <w:vAlign w:val="bottom"/>
            <w:tcBorders>
              <w:left w:val="single" w:sz="8" w:color="auto"/>
              <w:right w:val="single" w:sz="8" w:color="auto"/>
            </w:tcBorders>
            <w:gridSpan w:val="2"/>
          </w:tcPr>
          <w:p>
            <w:pPr>
              <w:ind w:left="40"/>
              <w:spacing w:after="0" w:line="160" w:lineRule="exact"/>
              <w:rPr>
                <w:sz w:val="20"/>
                <w:szCs w:val="20"/>
                <w:color w:val="auto"/>
              </w:rPr>
            </w:pPr>
            <w:r>
              <w:rPr>
                <w:rFonts w:ascii="Arial" w:cs="Arial" w:eastAsia="Arial" w:hAnsi="Arial"/>
                <w:sz w:val="14"/>
                <w:szCs w:val="14"/>
                <w:b w:val="1"/>
                <w:bCs w:val="1"/>
                <w:color w:val="auto"/>
              </w:rPr>
              <w:t>30a. Signature Of</w:t>
            </w:r>
          </w:p>
        </w:tc>
        <w:tc>
          <w:tcPr>
            <w:tcW w:w="1800" w:type="dxa"/>
            <w:vAlign w:val="bottom"/>
            <w:tcBorders>
              <w:right w:val="single" w:sz="8" w:color="auto"/>
            </w:tcBorders>
            <w:gridSpan w:val="4"/>
          </w:tcPr>
          <w:p>
            <w:pPr>
              <w:ind w:left="20"/>
              <w:spacing w:after="0" w:line="160" w:lineRule="exact"/>
              <w:rPr>
                <w:sz w:val="20"/>
                <w:szCs w:val="20"/>
                <w:color w:val="auto"/>
              </w:rPr>
            </w:pPr>
            <w:r>
              <w:rPr>
                <w:rFonts w:ascii="Arial" w:cs="Arial" w:eastAsia="Arial" w:hAnsi="Arial"/>
                <w:sz w:val="14"/>
                <w:szCs w:val="14"/>
                <w:b w:val="1"/>
                <w:bCs w:val="1"/>
                <w:color w:val="auto"/>
              </w:rPr>
              <w:t>31a. United States Of</w:t>
            </w:r>
          </w:p>
        </w:tc>
        <w:tc>
          <w:tcPr>
            <w:tcW w:w="5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Offeror/Contractor</w:t>
            </w:r>
          </w:p>
        </w:tc>
        <w:tc>
          <w:tcPr>
            <w:tcW w:w="1800" w:type="dxa"/>
            <w:vAlign w:val="bottom"/>
            <w:tcBorders>
              <w:right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America (Signature Of</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w:t>
            </w:r>
          </w:p>
        </w:tc>
        <w:tc>
          <w:tcPr>
            <w:tcW w:w="64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Contracting Officer)</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6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4"/>
                <w:szCs w:val="14"/>
                <w:color w:val="auto"/>
              </w:rPr>
              <w:t>/s/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860" w:type="dxa"/>
            <w:vAlign w:val="bottom"/>
            <w:tcBorders>
              <w:left w:val="single" w:sz="8" w:color="auto"/>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2"/>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5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86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b w:val="1"/>
                <w:bCs w:val="1"/>
                <w:color w:val="auto"/>
              </w:rPr>
              <w:t>30b. Name</w:t>
            </w:r>
          </w:p>
        </w:tc>
        <w:tc>
          <w:tcPr>
            <w:tcW w:w="64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gridSpan w:val="2"/>
          </w:tcPr>
          <w:p>
            <w:pPr>
              <w:ind w:left="20"/>
              <w:spacing w:after="0" w:line="160" w:lineRule="exact"/>
              <w:rPr>
                <w:sz w:val="20"/>
                <w:szCs w:val="20"/>
                <w:color w:val="auto"/>
              </w:rPr>
            </w:pPr>
            <w:r>
              <w:rPr>
                <w:rFonts w:ascii="Arial" w:cs="Arial" w:eastAsia="Arial" w:hAnsi="Arial"/>
                <w:sz w:val="14"/>
                <w:szCs w:val="14"/>
                <w:b w:val="1"/>
                <w:bCs w:val="1"/>
                <w:color w:val="auto"/>
              </w:rPr>
              <w:t>31b. Name Of</w:t>
            </w:r>
          </w:p>
        </w:tc>
        <w:tc>
          <w:tcPr>
            <w:tcW w:w="20" w:type="dxa"/>
            <w:vAlign w:val="bottom"/>
          </w:tcPr>
          <w:p>
            <w:pPr>
              <w:spacing w:after="0"/>
              <w:rPr>
                <w:sz w:val="13"/>
                <w:szCs w:val="13"/>
                <w:color w:val="auto"/>
              </w:rPr>
            </w:pPr>
          </w:p>
        </w:tc>
        <w:tc>
          <w:tcPr>
            <w:tcW w:w="600" w:type="dxa"/>
            <w:vAlign w:val="bottom"/>
            <w:tcBorders>
              <w:right w:val="single" w:sz="8" w:color="auto"/>
            </w:tcBorders>
          </w:tcPr>
          <w:p>
            <w:pPr>
              <w:spacing w:after="0" w:line="160" w:lineRule="exact"/>
              <w:rPr>
                <w:sz w:val="20"/>
                <w:szCs w:val="20"/>
                <w:color w:val="auto"/>
              </w:rPr>
            </w:pPr>
            <w:r>
              <w:rPr>
                <w:rFonts w:ascii="Arial" w:cs="Arial" w:eastAsia="Arial" w:hAnsi="Arial"/>
                <w:sz w:val="14"/>
                <w:szCs w:val="14"/>
                <w:b w:val="1"/>
                <w:bCs w:val="1"/>
                <w:color w:val="auto"/>
                <w:w w:val="91"/>
              </w:rPr>
              <w:t>31c. Date</w:t>
            </w:r>
          </w:p>
        </w:tc>
        <w:tc>
          <w:tcPr>
            <w:tcW w:w="5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And Title</w:t>
            </w:r>
          </w:p>
        </w:tc>
        <w:tc>
          <w:tcPr>
            <w:tcW w:w="64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Contracting</w:t>
            </w:r>
          </w:p>
        </w:tc>
        <w:tc>
          <w:tcPr>
            <w:tcW w:w="20" w:type="dxa"/>
            <w:vAlign w:val="bottom"/>
          </w:tcPr>
          <w:p>
            <w:pPr>
              <w:spacing w:after="0"/>
              <w:rPr>
                <w:sz w:val="14"/>
                <w:szCs w:val="14"/>
                <w:color w:val="auto"/>
              </w:rPr>
            </w:pP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Signed</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Of Signer</w:t>
            </w:r>
          </w:p>
        </w:tc>
        <w:tc>
          <w:tcPr>
            <w:tcW w:w="64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Officer (Type Or</w:t>
            </w:r>
          </w:p>
        </w:tc>
        <w:tc>
          <w:tcPr>
            <w:tcW w:w="2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(Type Or</w:t>
            </w:r>
          </w:p>
        </w:tc>
        <w:tc>
          <w:tcPr>
            <w:tcW w:w="640" w:type="dxa"/>
            <w:vAlign w:val="bottom"/>
            <w:tcBorders>
              <w:right w:val="single" w:sz="8" w:color="auto"/>
            </w:tcBorders>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Print)</w:t>
            </w:r>
          </w:p>
        </w:tc>
        <w:tc>
          <w:tcPr>
            <w:tcW w:w="5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12-JAN-</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Print)</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w w:val="97"/>
              </w:rPr>
              <w:t>30c. Date</w:t>
            </w:r>
          </w:p>
        </w:tc>
        <w:tc>
          <w:tcPr>
            <w:tcW w:w="60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right w:val="single" w:sz="8" w:color="auto"/>
            </w:tcBorders>
            <w:vMerge w:val="continue"/>
          </w:tcPr>
          <w:p>
            <w:pPr>
              <w:spacing w:after="0"/>
              <w:rPr>
                <w:sz w:val="7"/>
                <w:szCs w:val="7"/>
                <w:color w:val="auto"/>
              </w:rPr>
            </w:pPr>
          </w:p>
        </w:tc>
        <w:tc>
          <w:tcPr>
            <w:tcW w:w="5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860" w:type="dxa"/>
            <w:vAlign w:val="bottom"/>
            <w:tcBorders>
              <w:left w:val="single" w:sz="8" w:color="auto"/>
              <w:right w:val="single" w:sz="8" w:color="auto"/>
            </w:tcBorders>
            <w:vMerge w:val="continue"/>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2021</w:t>
            </w: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860" w:type="dxa"/>
            <w:vAlign w:val="bottom"/>
            <w:tcBorders>
              <w:left w:val="single" w:sz="8" w:color="auto"/>
              <w:right w:val="single" w:sz="8" w:color="auto"/>
            </w:tcBorders>
          </w:tcPr>
          <w:p>
            <w:pPr>
              <w:spacing w:after="0"/>
              <w:rPr>
                <w:sz w:val="9"/>
                <w:szCs w:val="9"/>
                <w:color w:val="auto"/>
              </w:rPr>
            </w:pP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Signed</w:t>
            </w:r>
          </w:p>
        </w:tc>
        <w:tc>
          <w:tcPr>
            <w:tcW w:w="60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5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860" w:type="dxa"/>
            <w:vAlign w:val="bottom"/>
            <w:tcBorders>
              <w:left w:val="single" w:sz="8" w:color="auto"/>
              <w:right w:val="single" w:sz="8" w:color="auto"/>
            </w:tcBorders>
          </w:tcPr>
          <w:p>
            <w:pPr>
              <w:spacing w:after="0"/>
              <w:rPr>
                <w:sz w:val="4"/>
                <w:szCs w:val="4"/>
                <w:color w:val="auto"/>
              </w:rPr>
            </w:pPr>
          </w:p>
        </w:tc>
        <w:tc>
          <w:tcPr>
            <w:tcW w:w="640" w:type="dxa"/>
            <w:vAlign w:val="bottom"/>
            <w:tcBorders>
              <w:right w:val="single" w:sz="8" w:color="auto"/>
            </w:tcBorders>
            <w:vMerge w:val="continue"/>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5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w w:val="96"/>
              </w:rPr>
              <w:t>1/12/2021</w:t>
            </w:r>
          </w:p>
        </w:tc>
        <w:tc>
          <w:tcPr>
            <w:tcW w:w="6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Authorized For Local Reproduction</w:t>
            </w:r>
          </w:p>
        </w:tc>
        <w:tc>
          <w:tcPr>
            <w:tcW w:w="600" w:type="dxa"/>
            <w:vAlign w:val="bottom"/>
          </w:tcPr>
          <w:p>
            <w:pPr>
              <w:spacing w:after="0"/>
              <w:rPr>
                <w:sz w:val="24"/>
                <w:szCs w:val="24"/>
                <w:color w:val="auto"/>
              </w:rPr>
            </w:pPr>
          </w:p>
        </w:tc>
        <w:tc>
          <w:tcPr>
            <w:tcW w:w="5120" w:type="dxa"/>
            <w:vAlign w:val="bottom"/>
          </w:tcPr>
          <w:p>
            <w:pPr>
              <w:jc w:val="center"/>
              <w:ind w:left="2448"/>
              <w:spacing w:after="0"/>
              <w:rPr>
                <w:sz w:val="20"/>
                <w:szCs w:val="20"/>
                <w:color w:val="auto"/>
              </w:rPr>
            </w:pPr>
            <w:r>
              <w:rPr>
                <w:rFonts w:ascii="Arial" w:cs="Arial" w:eastAsia="Arial" w:hAnsi="Arial"/>
                <w:sz w:val="14"/>
                <w:szCs w:val="14"/>
                <w:b w:val="1"/>
                <w:bCs w:val="1"/>
                <w:color w:val="auto"/>
                <w:w w:val="94"/>
              </w:rPr>
              <w:t>Standard Form 1449 (Rev. 2/2012)</w:t>
            </w:r>
          </w:p>
        </w:tc>
        <w:tc>
          <w:tcPr>
            <w:tcW w:w="0" w:type="dxa"/>
            <w:vAlign w:val="bottom"/>
          </w:tcPr>
          <w:p>
            <w:pPr>
              <w:spacing w:after="0"/>
              <w:rPr>
                <w:sz w:val="1"/>
                <w:szCs w:val="1"/>
                <w:color w:val="auto"/>
              </w:rPr>
            </w:pPr>
          </w:p>
        </w:tc>
      </w:tr>
      <w:tr>
        <w:trPr>
          <w:trHeight w:val="186"/>
        </w:trPr>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Previous Edition Is Not Usable</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120" w:type="dxa"/>
            <w:vAlign w:val="bottom"/>
          </w:tcPr>
          <w:p>
            <w:pPr>
              <w:jc w:val="center"/>
              <w:ind w:left="2488"/>
              <w:spacing w:after="0"/>
              <w:rPr>
                <w:sz w:val="20"/>
                <w:szCs w:val="20"/>
                <w:color w:val="auto"/>
              </w:rPr>
            </w:pPr>
            <w:r>
              <w:rPr>
                <w:rFonts w:ascii="Arial" w:cs="Arial" w:eastAsia="Arial" w:hAnsi="Arial"/>
                <w:sz w:val="14"/>
                <w:szCs w:val="14"/>
                <w:b w:val="1"/>
                <w:bCs w:val="1"/>
                <w:color w:val="auto"/>
                <w:w w:val="94"/>
              </w:rPr>
              <w:t>Prescribed By GSA-FAR (48 CFR) 53.212</w:t>
            </w:r>
          </w:p>
        </w:tc>
        <w:tc>
          <w:tcPr>
            <w:tcW w:w="0" w:type="dxa"/>
            <w:vAlign w:val="bottom"/>
          </w:tcPr>
          <w:p>
            <w:pPr>
              <w:spacing w:after="0"/>
              <w:rPr>
                <w:sz w:val="1"/>
                <w:szCs w:val="1"/>
                <w:color w:val="auto"/>
              </w:rPr>
            </w:pPr>
          </w:p>
        </w:tc>
      </w:tr>
    </w:tbl>
    <w:p>
      <w:pPr>
        <w:sectPr>
          <w:pgSz w:w="11900" w:h="16838" w:orient="portrait"/>
          <w:cols w:equalWidth="0" w:num="1">
            <w:col w:w="10139"/>
          </w:cols>
          <w:pgMar w:left="320" w:top="147" w:right="1440"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80" w:type="dxa"/>
            <w:vAlign w:val="bottom"/>
            <w:tcBorders>
              <w:top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19.</w:t>
            </w: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right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w:t>
            </w:r>
          </w:p>
        </w:tc>
        <w:tc>
          <w:tcPr>
            <w:tcW w:w="1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21.</w:t>
            </w:r>
          </w:p>
        </w:tc>
        <w:tc>
          <w:tcPr>
            <w:tcW w:w="5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22.</w:t>
            </w:r>
          </w:p>
        </w:tc>
        <w:tc>
          <w:tcPr>
            <w:tcW w:w="80" w:type="dxa"/>
            <w:vAlign w:val="bottom"/>
            <w:tcBorders>
              <w:top w:val="single" w:sz="8" w:color="auto"/>
              <w:right w:val="single" w:sz="8" w:color="auto"/>
            </w:tcBorders>
          </w:tcPr>
          <w:p>
            <w:pPr>
              <w:spacing w:after="0"/>
              <w:rPr>
                <w:sz w:val="14"/>
                <w:szCs w:val="14"/>
                <w:color w:val="auto"/>
              </w:rPr>
            </w:pPr>
          </w:p>
        </w:tc>
        <w:tc>
          <w:tcPr>
            <w:tcW w:w="1780" w:type="dxa"/>
            <w:vAlign w:val="bottom"/>
            <w:tcBorders>
              <w:top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23.</w:t>
            </w:r>
          </w:p>
        </w:tc>
        <w:tc>
          <w:tcPr>
            <w:tcW w:w="160" w:type="dxa"/>
            <w:vAlign w:val="bottom"/>
            <w:tcBorders>
              <w:top w:val="single" w:sz="8" w:color="auto"/>
              <w:right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24.</w:t>
            </w:r>
          </w:p>
        </w:tc>
        <w:tc>
          <w:tcPr>
            <w:tcW w:w="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Item No.</w:t>
            </w:r>
          </w:p>
        </w:tc>
        <w:tc>
          <w:tcPr>
            <w:tcW w:w="16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Schedule Of Supplies/Services</w:t>
            </w: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Quantity</w:t>
            </w:r>
          </w:p>
        </w:tc>
        <w:tc>
          <w:tcPr>
            <w:tcW w:w="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Unit</w:t>
            </w:r>
          </w:p>
        </w:tc>
        <w:tc>
          <w:tcPr>
            <w:tcW w:w="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b w:val="1"/>
                <w:bCs w:val="1"/>
                <w:color w:val="auto"/>
                <w:w w:val="97"/>
              </w:rPr>
              <w:t>Unit Price</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6"/>
        </w:trPr>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4160" w:type="dxa"/>
            <w:vAlign w:val="bottom"/>
            <w:gridSpan w:val="6"/>
          </w:tcPr>
          <w:p>
            <w:pPr>
              <w:spacing w:after="0"/>
              <w:rPr>
                <w:sz w:val="20"/>
                <w:szCs w:val="20"/>
                <w:color w:val="auto"/>
              </w:rPr>
            </w:pPr>
            <w:r>
              <w:rPr>
                <w:rFonts w:ascii="Arial" w:cs="Arial" w:eastAsia="Arial" w:hAnsi="Arial"/>
                <w:sz w:val="14"/>
                <w:szCs w:val="14"/>
                <w:b w:val="1"/>
                <w:bCs w:val="1"/>
                <w:color w:val="auto"/>
              </w:rPr>
              <w:t>32a. Quantity In Column 21 Has Been</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4"/>
                <w:szCs w:val="14"/>
                <w:b w:val="1"/>
                <w:bCs w:val="1"/>
                <w:color w:val="auto"/>
                <w:w w:val="87"/>
              </w:rPr>
              <w:t>Received</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Pr>
          <w:p>
            <w:pPr>
              <w:ind w:left="1020"/>
              <w:spacing w:after="0"/>
              <w:rPr>
                <w:sz w:val="20"/>
                <w:szCs w:val="20"/>
                <w:color w:val="auto"/>
              </w:rPr>
            </w:pPr>
            <w:r>
              <w:rPr>
                <w:rFonts w:ascii="Arial" w:cs="Arial" w:eastAsia="Arial" w:hAnsi="Arial"/>
                <w:sz w:val="14"/>
                <w:szCs w:val="14"/>
                <w:b w:val="1"/>
                <w:bCs w:val="1"/>
                <w:color w:val="auto"/>
              </w:rPr>
              <w:t>Inspected</w:t>
            </w:r>
          </w:p>
        </w:tc>
        <w:tc>
          <w:tcPr>
            <w:tcW w:w="5700" w:type="dxa"/>
            <w:vAlign w:val="bottom"/>
            <w:gridSpan w:val="10"/>
          </w:tcPr>
          <w:p>
            <w:pPr>
              <w:ind w:left="620"/>
              <w:spacing w:after="0"/>
              <w:rPr>
                <w:sz w:val="20"/>
                <w:szCs w:val="20"/>
                <w:color w:val="auto"/>
              </w:rPr>
            </w:pPr>
            <w:r>
              <w:rPr>
                <w:rFonts w:ascii="Arial" w:cs="Arial" w:eastAsia="Arial" w:hAnsi="Arial"/>
                <w:sz w:val="14"/>
                <w:szCs w:val="14"/>
                <w:b w:val="1"/>
                <w:bCs w:val="1"/>
                <w:color w:val="auto"/>
              </w:rPr>
              <w:t>Accepted, And Conforms To The Contract, Except As Noted: ____________</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4160" w:type="dxa"/>
            <w:vAlign w:val="bottom"/>
            <w:tcBorders>
              <w:bottom w:val="single" w:sz="8" w:color="auto"/>
            </w:tcBorders>
            <w:gridSpan w:val="6"/>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9"/>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160" w:type="dxa"/>
            <w:vAlign w:val="bottom"/>
            <w:tcBorders>
              <w:right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32b. Signature Of Authorized Government Representative</w:t>
            </w:r>
          </w:p>
        </w:tc>
        <w:tc>
          <w:tcPr>
            <w:tcW w:w="1140" w:type="dxa"/>
            <w:vAlign w:val="bottom"/>
          </w:tcPr>
          <w:p>
            <w:pPr>
              <w:ind w:left="120"/>
              <w:spacing w:after="0"/>
              <w:rPr>
                <w:sz w:val="20"/>
                <w:szCs w:val="20"/>
                <w:color w:val="auto"/>
              </w:rPr>
            </w:pPr>
            <w:r>
              <w:rPr>
                <w:rFonts w:ascii="Arial" w:cs="Arial" w:eastAsia="Arial" w:hAnsi="Arial"/>
                <w:sz w:val="14"/>
                <w:szCs w:val="14"/>
                <w:b w:val="1"/>
                <w:bCs w:val="1"/>
                <w:color w:val="auto"/>
              </w:rPr>
              <w:t>32c. Date</w:t>
            </w:r>
          </w:p>
        </w:tc>
        <w:tc>
          <w:tcPr>
            <w:tcW w:w="360" w:type="dxa"/>
            <w:vAlign w:val="bottom"/>
            <w:tcBorders>
              <w:right w:val="single" w:sz="8" w:color="auto"/>
            </w:tcBorders>
          </w:tcPr>
          <w:p>
            <w:pPr>
              <w:spacing w:after="0"/>
              <w:rPr>
                <w:sz w:val="16"/>
                <w:szCs w:val="16"/>
                <w:color w:val="auto"/>
              </w:rPr>
            </w:pPr>
          </w:p>
        </w:tc>
        <w:tc>
          <w:tcPr>
            <w:tcW w:w="5300" w:type="dxa"/>
            <w:vAlign w:val="bottom"/>
            <w:gridSpan w:val="10"/>
          </w:tcPr>
          <w:p>
            <w:pPr>
              <w:ind w:left="100"/>
              <w:spacing w:after="0"/>
              <w:rPr>
                <w:sz w:val="20"/>
                <w:szCs w:val="20"/>
                <w:color w:val="auto"/>
              </w:rPr>
            </w:pPr>
            <w:r>
              <w:rPr>
                <w:rFonts w:ascii="Arial" w:cs="Arial" w:eastAsia="Arial" w:hAnsi="Arial"/>
                <w:sz w:val="14"/>
                <w:szCs w:val="14"/>
                <w:b w:val="1"/>
                <w:bCs w:val="1"/>
                <w:color w:val="auto"/>
              </w:rPr>
              <w:t>32d. Printed Name and Title of Authorized Government Representative</w:t>
            </w:r>
          </w:p>
        </w:tc>
        <w:tc>
          <w:tcPr>
            <w:tcW w:w="0" w:type="dxa"/>
            <w:vAlign w:val="bottom"/>
          </w:tcPr>
          <w:p>
            <w:pPr>
              <w:spacing w:after="0"/>
              <w:rPr>
                <w:sz w:val="1"/>
                <w:szCs w:val="1"/>
                <w:color w:val="auto"/>
              </w:rPr>
            </w:pPr>
          </w:p>
        </w:tc>
      </w:tr>
      <w:tr>
        <w:trPr>
          <w:trHeight w:val="26"/>
        </w:trPr>
        <w:tc>
          <w:tcPr>
            <w:tcW w:w="4160" w:type="dxa"/>
            <w:vAlign w:val="bottom"/>
            <w:tcBorders>
              <w:bottom w:val="single" w:sz="8" w:color="auto"/>
              <w:right w:val="single" w:sz="8" w:color="auto"/>
            </w:tcBorders>
            <w:gridSpan w:val="6"/>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tcBorders>
            <w:gridSpan w:val="8"/>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60" w:type="dxa"/>
            <w:vAlign w:val="bottom"/>
            <w:gridSpan w:val="6"/>
          </w:tcPr>
          <w:p>
            <w:pPr>
              <w:ind w:left="140"/>
              <w:spacing w:after="0"/>
              <w:rPr>
                <w:sz w:val="20"/>
                <w:szCs w:val="20"/>
                <w:color w:val="auto"/>
              </w:rPr>
            </w:pPr>
            <w:r>
              <w:rPr>
                <w:rFonts w:ascii="Arial" w:cs="Arial" w:eastAsia="Arial" w:hAnsi="Arial"/>
                <w:sz w:val="14"/>
                <w:szCs w:val="14"/>
                <w:b w:val="1"/>
                <w:bCs w:val="1"/>
                <w:color w:val="auto"/>
                <w:w w:val="93"/>
              </w:rPr>
              <w:t>32e. Mailing Address of Authorized Government Representative</w:t>
            </w:r>
          </w:p>
        </w:tc>
        <w:tc>
          <w:tcPr>
            <w:tcW w:w="11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200" w:type="dxa"/>
            <w:vAlign w:val="bottom"/>
            <w:gridSpan w:val="8"/>
          </w:tcPr>
          <w:p>
            <w:pPr>
              <w:ind w:left="100"/>
              <w:spacing w:after="0"/>
              <w:rPr>
                <w:sz w:val="20"/>
                <w:szCs w:val="20"/>
                <w:color w:val="auto"/>
              </w:rPr>
            </w:pPr>
            <w:r>
              <w:rPr>
                <w:rFonts w:ascii="Arial" w:cs="Arial" w:eastAsia="Arial" w:hAnsi="Arial"/>
                <w:sz w:val="14"/>
                <w:szCs w:val="14"/>
                <w:b w:val="1"/>
                <w:bCs w:val="1"/>
                <w:color w:val="auto"/>
                <w:w w:val="92"/>
              </w:rPr>
              <w:t>32f. Telephone Number of Authorized Government Representative</w:t>
            </w: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200" w:type="dxa"/>
            <w:vAlign w:val="bottom"/>
            <w:tcBorders>
              <w:bottom w:val="single" w:sz="8" w:color="auto"/>
            </w:tcBorders>
            <w:gridSpan w:val="8"/>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200" w:type="dxa"/>
            <w:vAlign w:val="bottom"/>
            <w:gridSpan w:val="8"/>
          </w:tcPr>
          <w:p>
            <w:pPr>
              <w:ind w:left="100"/>
              <w:spacing w:after="0"/>
              <w:rPr>
                <w:sz w:val="20"/>
                <w:szCs w:val="20"/>
                <w:color w:val="auto"/>
              </w:rPr>
            </w:pPr>
            <w:r>
              <w:rPr>
                <w:rFonts w:ascii="Arial" w:cs="Arial" w:eastAsia="Arial" w:hAnsi="Arial"/>
                <w:sz w:val="14"/>
                <w:szCs w:val="14"/>
                <w:b w:val="1"/>
                <w:bCs w:val="1"/>
                <w:color w:val="auto"/>
              </w:rPr>
              <w:t>32g. E-Mail of Authorized Government Representative</w:t>
            </w: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260" w:type="dxa"/>
            <w:vAlign w:val="bottom"/>
            <w:gridSpan w:val="3"/>
          </w:tcPr>
          <w:p>
            <w:pPr>
              <w:ind w:left="140"/>
              <w:spacing w:after="0" w:line="160" w:lineRule="exact"/>
              <w:rPr>
                <w:sz w:val="20"/>
                <w:szCs w:val="20"/>
                <w:color w:val="auto"/>
              </w:rPr>
            </w:pPr>
            <w:r>
              <w:rPr>
                <w:rFonts w:ascii="Arial" w:cs="Arial" w:eastAsia="Arial" w:hAnsi="Arial"/>
                <w:sz w:val="14"/>
                <w:szCs w:val="14"/>
                <w:b w:val="1"/>
                <w:bCs w:val="1"/>
                <w:color w:val="auto"/>
                <w:w w:val="97"/>
              </w:rPr>
              <w:t>33. Ship Number</w:t>
            </w:r>
          </w:p>
        </w:tc>
        <w:tc>
          <w:tcPr>
            <w:tcW w:w="1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4"/>
                <w:szCs w:val="14"/>
                <w:b w:val="1"/>
                <w:bCs w:val="1"/>
                <w:color w:val="auto"/>
              </w:rPr>
              <w:t>34. Voucher Number</w:t>
            </w:r>
          </w:p>
        </w:tc>
        <w:tc>
          <w:tcPr>
            <w:tcW w:w="1140" w:type="dxa"/>
            <w:vAlign w:val="bottom"/>
          </w:tcPr>
          <w:p>
            <w:pPr>
              <w:ind w:left="340"/>
              <w:spacing w:after="0" w:line="160" w:lineRule="exact"/>
              <w:rPr>
                <w:sz w:val="20"/>
                <w:szCs w:val="20"/>
                <w:color w:val="auto"/>
              </w:rPr>
            </w:pPr>
            <w:r>
              <w:rPr>
                <w:rFonts w:ascii="Arial" w:cs="Arial" w:eastAsia="Arial" w:hAnsi="Arial"/>
                <w:sz w:val="14"/>
                <w:szCs w:val="14"/>
                <w:b w:val="1"/>
                <w:bCs w:val="1"/>
                <w:color w:val="auto"/>
                <w:w w:val="99"/>
              </w:rPr>
              <w:t>35. Amount</w:t>
            </w:r>
          </w:p>
        </w:tc>
        <w:tc>
          <w:tcPr>
            <w:tcW w:w="360" w:type="dxa"/>
            <w:vAlign w:val="bottom"/>
            <w:tcBorders>
              <w:right w:val="single" w:sz="8" w:color="auto"/>
            </w:tcBorders>
          </w:tcPr>
          <w:p>
            <w:pPr>
              <w:spacing w:after="0"/>
              <w:rPr>
                <w:sz w:val="13"/>
                <w:szCs w:val="13"/>
                <w:color w:val="auto"/>
              </w:rPr>
            </w:pPr>
          </w:p>
        </w:tc>
        <w:tc>
          <w:tcPr>
            <w:tcW w:w="112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36. Payment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800" w:type="dxa"/>
            <w:vAlign w:val="bottom"/>
            <w:gridSpan w:val="4"/>
          </w:tcPr>
          <w:p>
            <w:pPr>
              <w:ind w:left="100"/>
              <w:spacing w:after="0" w:line="160" w:lineRule="exact"/>
              <w:rPr>
                <w:sz w:val="20"/>
                <w:szCs w:val="20"/>
                <w:color w:val="auto"/>
              </w:rPr>
            </w:pPr>
            <w:r>
              <w:rPr>
                <w:rFonts w:ascii="Arial" w:cs="Arial" w:eastAsia="Arial" w:hAnsi="Arial"/>
                <w:sz w:val="14"/>
                <w:szCs w:val="14"/>
                <w:b w:val="1"/>
                <w:bCs w:val="1"/>
                <w:color w:val="auto"/>
              </w:rPr>
              <w:t>37. Check Number</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Verified Correct</w:t>
            </w:r>
          </w:p>
        </w:tc>
        <w:tc>
          <w:tcPr>
            <w:tcW w:w="112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11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w:t>
            </w:r>
          </w:p>
        </w:tc>
        <w:tc>
          <w:tcPr>
            <w:tcW w:w="36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Partial</w:t>
            </w:r>
          </w:p>
        </w:tc>
        <w:tc>
          <w:tcPr>
            <w:tcW w:w="2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Final</w:t>
            </w:r>
          </w:p>
        </w:tc>
        <w:tc>
          <w:tcPr>
            <w:tcW w:w="2220" w:type="dxa"/>
            <w:vAlign w:val="bottom"/>
            <w:tcBorders>
              <w:right w:val="single" w:sz="8" w:color="auto"/>
            </w:tcBorders>
          </w:tcPr>
          <w:p>
            <w:pPr>
              <w:spacing w:after="0"/>
              <w:rPr>
                <w:sz w:val="10"/>
                <w:szCs w:val="10"/>
                <w:color w:val="auto"/>
              </w:rPr>
            </w:pPr>
          </w:p>
        </w:tc>
        <w:tc>
          <w:tcPr>
            <w:tcW w:w="1140" w:type="dxa"/>
            <w:vAlign w:val="bottom"/>
            <w:vMerge w:val="continue"/>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Complete</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Partial</w:t>
            </w:r>
          </w:p>
        </w:tc>
        <w:tc>
          <w:tcPr>
            <w:tcW w:w="18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Final</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gridSpan w:val="2"/>
            <w:vMerge w:val="continue"/>
          </w:tcPr>
          <w:p>
            <w:pPr>
              <w:spacing w:after="0"/>
              <w:rPr>
                <w:sz w:val="7"/>
                <w:szCs w:val="7"/>
                <w:color w:val="auto"/>
              </w:rPr>
            </w:pPr>
          </w:p>
        </w:tc>
        <w:tc>
          <w:tcPr>
            <w:tcW w:w="2220" w:type="dxa"/>
            <w:vAlign w:val="bottom"/>
            <w:tcBorders>
              <w:right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860" w:type="dxa"/>
            <w:vAlign w:val="bottom"/>
            <w:tcBorders>
              <w:right w:val="single" w:sz="8" w:color="auto"/>
            </w:tcBorders>
            <w:gridSpan w:val="3"/>
            <w:vMerge w:val="continue"/>
          </w:tcPr>
          <w:p>
            <w:pPr>
              <w:spacing w:after="0"/>
              <w:rPr>
                <w:sz w:val="7"/>
                <w:szCs w:val="7"/>
                <w:color w:val="auto"/>
              </w:rPr>
            </w:pPr>
          </w:p>
        </w:tc>
        <w:tc>
          <w:tcPr>
            <w:tcW w:w="700" w:type="dxa"/>
            <w:vAlign w:val="bottom"/>
            <w:gridSpan w:val="2"/>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940" w:type="dxa"/>
            <w:vAlign w:val="bottom"/>
            <w:tcBorders>
              <w:right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38. S/R Account No.</w:t>
            </w:r>
          </w:p>
        </w:tc>
        <w:tc>
          <w:tcPr>
            <w:tcW w:w="222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39. S/R Voucher Number</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40. Paid By</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60" w:type="dxa"/>
            <w:vAlign w:val="bottom"/>
            <w:gridSpan w:val="6"/>
          </w:tcPr>
          <w:p>
            <w:pPr>
              <w:ind w:left="140"/>
              <w:spacing w:after="0"/>
              <w:rPr>
                <w:sz w:val="20"/>
                <w:szCs w:val="20"/>
                <w:color w:val="auto"/>
              </w:rPr>
            </w:pPr>
            <w:r>
              <w:rPr>
                <w:rFonts w:ascii="Arial" w:cs="Arial" w:eastAsia="Arial" w:hAnsi="Arial"/>
                <w:sz w:val="14"/>
                <w:szCs w:val="14"/>
                <w:b w:val="1"/>
                <w:bCs w:val="1"/>
                <w:color w:val="auto"/>
                <w:w w:val="96"/>
              </w:rPr>
              <w:t>41a. I Certify This Account Is Correct And Proper For Payment</w:t>
            </w:r>
          </w:p>
        </w:tc>
        <w:tc>
          <w:tcPr>
            <w:tcW w:w="1140" w:type="dxa"/>
            <w:vAlign w:val="bottom"/>
            <w:tcBorders>
              <w:right w:val="single" w:sz="8" w:color="auto"/>
            </w:tcBorders>
          </w:tcPr>
          <w:p>
            <w:pPr>
              <w:spacing w:after="0"/>
              <w:rPr>
                <w:sz w:val="16"/>
                <w:szCs w:val="16"/>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rPr>
              <w:t>42a. Received By (Print)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60" w:type="dxa"/>
            <w:vAlign w:val="bottom"/>
            <w:tcBorders>
              <w:right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41b. Signature And Title Of Certifying Officer</w:t>
            </w:r>
          </w:p>
        </w:tc>
        <w:tc>
          <w:tcPr>
            <w:tcW w:w="1140" w:type="dxa"/>
            <w:vAlign w:val="bottom"/>
            <w:tcBorders>
              <w:right w:val="single" w:sz="8" w:color="auto"/>
            </w:tcBorders>
          </w:tcPr>
          <w:p>
            <w:pPr>
              <w:ind w:left="120"/>
              <w:spacing w:after="0"/>
              <w:rPr>
                <w:sz w:val="20"/>
                <w:szCs w:val="20"/>
                <w:color w:val="auto"/>
              </w:rPr>
            </w:pPr>
            <w:r>
              <w:rPr>
                <w:rFonts w:ascii="Arial" w:cs="Arial" w:eastAsia="Arial" w:hAnsi="Arial"/>
                <w:sz w:val="14"/>
                <w:szCs w:val="14"/>
                <w:b w:val="1"/>
                <w:bCs w:val="1"/>
                <w:color w:val="auto"/>
              </w:rPr>
              <w:t>41c. Date</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gridSpan w:val="3"/>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rPr>
              <w:t>42b. Received At (Location)</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42c. Date Rec’d (YY/MM/DD)</w:t>
            </w:r>
          </w:p>
        </w:tc>
        <w:tc>
          <w:tcPr>
            <w:tcW w:w="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40" w:type="dxa"/>
            <w:vAlign w:val="bottom"/>
            <w:gridSpan w:val="3"/>
          </w:tcPr>
          <w:p>
            <w:pPr>
              <w:ind w:left="100"/>
              <w:spacing w:after="0"/>
              <w:rPr>
                <w:sz w:val="20"/>
                <w:szCs w:val="20"/>
                <w:color w:val="auto"/>
              </w:rPr>
            </w:pPr>
            <w:r>
              <w:rPr>
                <w:rFonts w:ascii="Arial" w:cs="Arial" w:eastAsia="Arial" w:hAnsi="Arial"/>
                <w:sz w:val="14"/>
                <w:szCs w:val="14"/>
                <w:b w:val="1"/>
                <w:bCs w:val="1"/>
                <w:color w:val="auto"/>
              </w:rPr>
              <w:t>42d. Total Containers</w:t>
            </w: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-2176780</wp:posOffset>
            </wp:positionV>
            <wp:extent cx="120015"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-2176780</wp:posOffset>
            </wp:positionV>
            <wp:extent cx="120015"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-2176780</wp:posOffset>
            </wp:positionV>
            <wp:extent cx="120015"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46"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Standard Form 1449 (Rev. 2/2012) Back</w:t>
      </w:r>
    </w:p>
    <w:p>
      <w:pPr>
        <w:sectPr>
          <w:pgSz w:w="11900" w:h="16838" w:orient="portrait"/>
          <w:cols w:equalWidth="0" w:num="1">
            <w:col w:w="10960"/>
          </w:cols>
          <w:pgMar w:left="320" w:top="673" w:right="6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46"/>
        </w:trPr>
        <w:tc>
          <w:tcPr>
            <w:tcW w:w="328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CONTINUATION SHEET</w:t>
            </w:r>
          </w:p>
        </w:tc>
        <w:tc>
          <w:tcPr>
            <w:tcW w:w="5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940" w:type="dxa"/>
            <w:vAlign w:val="bottom"/>
            <w:tcBorders>
              <w:top w:val="single" w:sz="8" w:color="auto"/>
            </w:tcBorders>
          </w:tcPr>
          <w:p>
            <w:pPr>
              <w:ind w:left="18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2</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80" w:type="dxa"/>
            <w:vAlign w:val="bottom"/>
            <w:tcBorders>
              <w:right w:val="single" w:sz="8" w:color="auto"/>
            </w:tcBorders>
          </w:tcPr>
          <w:p>
            <w:pPr>
              <w:spacing w:after="0"/>
              <w:rPr>
                <w:sz w:val="9"/>
                <w:szCs w:val="9"/>
                <w:color w:val="auto"/>
              </w:rPr>
            </w:pPr>
          </w:p>
        </w:tc>
        <w:tc>
          <w:tcPr>
            <w:tcW w:w="518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940" w:type="dxa"/>
            <w:vAlign w:val="bottom"/>
          </w:tcPr>
          <w:p>
            <w:pPr>
              <w:spacing w:after="0"/>
              <w:rPr>
                <w:sz w:val="9"/>
                <w:szCs w:val="9"/>
                <w:color w:val="auto"/>
              </w:rPr>
            </w:pPr>
          </w:p>
        </w:tc>
      </w:tr>
      <w:tr>
        <w:trPr>
          <w:trHeight w:val="188"/>
        </w:trPr>
        <w:tc>
          <w:tcPr>
            <w:tcW w:w="3280" w:type="dxa"/>
            <w:vAlign w:val="bottom"/>
            <w:tcBorders>
              <w:bottom w:val="single" w:sz="8" w:color="auto"/>
              <w:right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94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6008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77"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SUPPLEMENTAL INFORMATION</w:t>
      </w:r>
    </w:p>
    <w:p>
      <w:pPr>
        <w:spacing w:after="0" w:line="200" w:lineRule="exact"/>
        <w:rPr>
          <w:sz w:val="20"/>
          <w:szCs w:val="20"/>
          <w:color w:val="auto"/>
        </w:rPr>
      </w:pPr>
    </w:p>
    <w:p>
      <w:pPr>
        <w:spacing w:after="0" w:line="287"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Buyer Name:</w:t>
      </w:r>
    </w:p>
    <w:p>
      <w:pPr>
        <w:spacing w:after="0" w:line="55"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Buyer Office Symbol/Telephone Number: Type of Contract 1: Firm</w:t>
      </w:r>
    </w:p>
    <w:p>
      <w:pPr>
        <w:spacing w:after="0" w:line="2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Fixed Price</w:t>
      </w:r>
    </w:p>
    <w:p>
      <w:pPr>
        <w:spacing w:after="0" w:line="2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Kind of Contract: Supply Contracts and Priced Orders Type</w:t>
      </w:r>
    </w:p>
    <w:p>
      <w:pPr>
        <w:spacing w:after="0" w:line="2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of Business: Large Business Performing in U.S. Surveillance</w:t>
      </w:r>
    </w:p>
    <w:p>
      <w:pPr>
        <w:spacing w:after="0" w:line="2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Criticality Designator: A</w:t>
      </w:r>
    </w:p>
    <w:p>
      <w:pPr>
        <w:spacing w:after="0" w:line="15"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Contract Expiration Date: 2022JAN11</w:t>
      </w: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3"/>
          <w:szCs w:val="13"/>
          <w:color w:val="auto"/>
        </w:rPr>
        <w:t>*** End of Narrative A0000 ***</w:t>
      </w:r>
    </w:p>
    <w:p>
      <w:pPr>
        <w:spacing w:after="0" w:line="244"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Executive Summary</w:t>
      </w:r>
    </w:p>
    <w:p>
      <w:pPr>
        <w:spacing w:after="0" w:line="264" w:lineRule="exact"/>
        <w:rPr>
          <w:sz w:val="20"/>
          <w:szCs w:val="20"/>
          <w:color w:val="auto"/>
        </w:rPr>
      </w:pPr>
    </w:p>
    <w:p>
      <w:pPr>
        <w:ind w:left="280" w:hanging="2"/>
        <w:spacing w:after="0" w:line="312" w:lineRule="auto"/>
        <w:tabs>
          <w:tab w:leader="none" w:pos="647"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Background: The Department of Health and Human Services (DHHS) continuously monitors emerging infectious disease risk and prepares to respond to the threat of novel emerging infectious disease outbreaks in the United States. DHHS is responding to an outbreak of respiratory disease caused by a novel coronavirus that was first detected in China, and which has now spread worldwide, including in the United States. The virus has been named SARS-CoV-2 and the disease it causes has been named Coronavirus Disease 2019 (abbreviated COVID- 19).</w:t>
      </w:r>
    </w:p>
    <w:p>
      <w:pPr>
        <w:spacing w:after="0" w:line="252" w:lineRule="exact"/>
        <w:rPr>
          <w:sz w:val="20"/>
          <w:szCs w:val="20"/>
          <w:color w:val="auto"/>
        </w:rPr>
      </w:pPr>
    </w:p>
    <w:p>
      <w:pPr>
        <w:ind w:left="280" w:right="80"/>
        <w:spacing w:after="0" w:line="312" w:lineRule="auto"/>
        <w:rPr>
          <w:sz w:val="20"/>
          <w:szCs w:val="20"/>
          <w:color w:val="auto"/>
        </w:rPr>
      </w:pPr>
      <w:r>
        <w:rPr>
          <w:rFonts w:ascii="Courier New" w:cs="Courier New" w:eastAsia="Courier New" w:hAnsi="Courier New"/>
          <w:sz w:val="12"/>
          <w:szCs w:val="12"/>
          <w:color w:val="auto"/>
        </w:rPr>
        <w:t>On January 30, 2020, the International Health Regulations Emergency Committee of the World Health Organization (WHO) declared the outbreak a Public Health Emergency of International Concern (PHEIC). On January 31, Health and Human Services Secretary Alex M. Azar II declared a Public Health Emergency (PHE) for the United States to aid the nations healthcare community in responding to COVID-19. On March 11, WHO publicly characterized COVID-19 as a pandemic. On March 13, the President of the United States declared the COVID-19 outbreak a national emergency.</w:t>
      </w:r>
    </w:p>
    <w:p>
      <w:pPr>
        <w:spacing w:after="0" w:line="238" w:lineRule="exact"/>
        <w:rPr>
          <w:sz w:val="20"/>
          <w:szCs w:val="20"/>
          <w:color w:val="auto"/>
        </w:rPr>
      </w:pPr>
    </w:p>
    <w:p>
      <w:pPr>
        <w:ind w:left="280" w:right="300"/>
        <w:spacing w:after="0" w:line="283" w:lineRule="auto"/>
        <w:rPr>
          <w:sz w:val="20"/>
          <w:szCs w:val="20"/>
          <w:color w:val="auto"/>
        </w:rPr>
      </w:pPr>
      <w:r>
        <w:rPr>
          <w:rFonts w:ascii="Courier New" w:cs="Courier New" w:eastAsia="Courier New" w:hAnsi="Courier New"/>
          <w:sz w:val="13"/>
          <w:szCs w:val="13"/>
          <w:color w:val="auto"/>
        </w:rPr>
        <w:t>In July 2020, the Department of Defense (DoD) awarded an Other Transaction Agreement under the authority 10 USC 2371b to Regeneron to manufacture and sell drug product to the Government, and to distribute such drug product for the Government in the U.S. These manufacturing production activities included manufacturing at-scale, filling and finishing, and storage and shipping of REGN10987 and REGN10933 as a therapeutic cocktail (casirivimab and imdevimab) to treat COVID-19 infected patients. On November 21, 2020, Regeneron announced that the antibody cocktail casirivimab and imdevimab administered together, received Emergency Use Authorization (EUA) from the U.S. Food and Drug Administration (FDA).</w:t>
      </w:r>
    </w:p>
    <w:p>
      <w:pPr>
        <w:spacing w:after="0" w:line="268" w:lineRule="exact"/>
        <w:rPr>
          <w:sz w:val="20"/>
          <w:szCs w:val="20"/>
          <w:color w:val="auto"/>
        </w:rPr>
      </w:pPr>
    </w:p>
    <w:p>
      <w:pPr>
        <w:ind w:left="280" w:right="80" w:hanging="2"/>
        <w:spacing w:after="0" w:line="283" w:lineRule="auto"/>
        <w:tabs>
          <w:tab w:leader="none" w:pos="647"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Contract Description: The U.S Army Contracting Command - New Jersey (CCNJ), on behalf of the Joint Program Executive Office for Chemical, Biological, Radiological and Nuclear Defense (JPEO-CBRND) and the Biomedical Advanced Research and Development Authority (BARDA), will execute a contract for the procurement of up to 1,250,000 doses of the EUA authorized (or Biologics License Application (BLA) approved) casirivimab and imdevimab therapeutic, enough to treat much of the targeted US population currently or projected to be infected over the coming months. This contract award is a sole-source Firm Fixed Price (FFP) contract pursuant to FAR 6.302-2, "Unusual and Compelling Urgency," to Regeneron Pharmaceuticals, Inc., Tarrytown, New York. This action has a total FFP value of</w:t>
      </w:r>
    </w:p>
    <w:p>
      <w:pPr>
        <w:spacing w:after="0" w:line="11" w:lineRule="exact"/>
        <w:rPr>
          <w:rFonts w:ascii="Courier New" w:cs="Courier New" w:eastAsia="Courier New" w:hAnsi="Courier New"/>
          <w:sz w:val="13"/>
          <w:szCs w:val="13"/>
          <w:color w:val="auto"/>
        </w:rPr>
      </w:pPr>
    </w:p>
    <w:p>
      <w:pPr>
        <w:jc w:val="both"/>
        <w:ind w:left="280" w:right="100"/>
        <w:spacing w:after="0" w:line="280"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$2,625,000,000.00. The price per dose is inclusive of storage, distribution, insurance and administration costs, costs associated with obtaining and maintaining regulatory authorization for the product (packaging, labeling, and informational materials), and Regeneron's manufacturing facilities. The period of performance for this contract is twelve (12) months, to include distribution of the product.</w:t>
      </w:r>
    </w:p>
    <w:p>
      <w:pPr>
        <w:spacing w:after="0" w:line="254" w:lineRule="exact"/>
        <w:rPr>
          <w:rFonts w:ascii="Courier New" w:cs="Courier New" w:eastAsia="Courier New" w:hAnsi="Courier New"/>
          <w:sz w:val="13"/>
          <w:szCs w:val="13"/>
          <w:color w:val="auto"/>
        </w:rPr>
      </w:pPr>
    </w:p>
    <w:p>
      <w:pPr>
        <w:ind w:left="280" w:right="540" w:hanging="2"/>
        <w:spacing w:after="0" w:line="275" w:lineRule="auto"/>
        <w:tabs>
          <w:tab w:leader="none" w:pos="647"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Representations and Certifications made by Regeneron in the System for Award Management (SAM) are hereby incorporated into this contract by reference.</w:t>
      </w:r>
    </w:p>
    <w:p>
      <w:pPr>
        <w:spacing w:after="0" w:line="270" w:lineRule="exact"/>
        <w:rPr>
          <w:rFonts w:ascii="Courier New" w:cs="Courier New" w:eastAsia="Courier New" w:hAnsi="Courier New"/>
          <w:sz w:val="13"/>
          <w:szCs w:val="13"/>
          <w:color w:val="auto"/>
        </w:rPr>
      </w:pPr>
    </w:p>
    <w:p>
      <w:pPr>
        <w:ind w:left="280" w:right="80" w:hanging="2"/>
        <w:spacing w:after="0" w:line="318" w:lineRule="auto"/>
        <w:tabs>
          <w:tab w:leader="none" w:pos="647"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Regeneron Draft Small Business Subcontracting Plan, dated 30 November 2020, is hereby incorporated into this contract by attachment. It is noted that this draft plan will be replaced by the plan that is ultimately approved by the United States Department of Veterans Affairs.</w:t>
      </w:r>
    </w:p>
    <w:p>
      <w:pPr>
        <w:spacing w:after="0" w:line="213" w:lineRule="exact"/>
        <w:rPr>
          <w:rFonts w:ascii="Courier New" w:cs="Courier New" w:eastAsia="Courier New" w:hAnsi="Courier New"/>
          <w:sz w:val="12"/>
          <w:szCs w:val="12"/>
          <w:color w:val="auto"/>
        </w:rPr>
      </w:pPr>
    </w:p>
    <w:p>
      <w:pPr>
        <w:ind w:left="500" w:hanging="223"/>
        <w:spacing w:after="0"/>
        <w:tabs>
          <w:tab w:leader="none" w:pos="500"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Contract Point of Contact:</w:t>
      </w:r>
    </w:p>
    <w:p>
      <w:pPr>
        <w:spacing w:after="0" w:line="25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Name:</w:t>
      </w:r>
    </w:p>
    <w:p>
      <w:pPr>
        <w:spacing w:after="0" w:line="2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Title:</w:t>
      </w:r>
    </w:p>
    <w:p>
      <w:pPr>
        <w:spacing w:after="0" w:line="42"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Email:</w:t>
      </w:r>
    </w:p>
    <w:p>
      <w:pPr>
        <w:spacing w:after="0" w:line="2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Phone:</w:t>
      </w:r>
    </w:p>
    <w:p>
      <w:pPr>
        <w:spacing w:after="0" w:line="271"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Name:</w:t>
      </w:r>
    </w:p>
    <w:p>
      <w:pPr>
        <w:spacing w:after="0" w:line="2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Title:</w:t>
      </w:r>
    </w:p>
    <w:p>
      <w:pPr>
        <w:spacing w:after="0" w:line="2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Email:</w:t>
      </w:r>
    </w:p>
    <w:p>
      <w:pPr>
        <w:spacing w:after="0" w:line="2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Phone:</w:t>
      </w:r>
    </w:p>
    <w:p>
      <w:pPr>
        <w:sectPr>
          <w:pgSz w:w="11900" w:h="16838" w:orient="portrait"/>
          <w:cols w:equalWidth="0" w:num="1">
            <w:col w:w="11080"/>
          </w:cols>
          <w:pgMar w:left="320" w:top="849" w:right="499" w:bottom="1440" w:gutter="0" w:footer="0" w:header="0"/>
        </w:sectPr>
      </w:pPr>
    </w:p>
    <w:bookmarkStart w:id="86" w:name="page87"/>
    <w:bookmarkEnd w:id="8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46"/>
        </w:trPr>
        <w:tc>
          <w:tcPr>
            <w:tcW w:w="328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CONTINUATION SHEET</w:t>
            </w:r>
          </w:p>
        </w:tc>
        <w:tc>
          <w:tcPr>
            <w:tcW w:w="5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940" w:type="dxa"/>
            <w:vAlign w:val="bottom"/>
            <w:tcBorders>
              <w:top w:val="single" w:sz="8" w:color="auto"/>
            </w:tcBorders>
          </w:tcPr>
          <w:p>
            <w:pPr>
              <w:ind w:left="18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3</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80" w:type="dxa"/>
            <w:vAlign w:val="bottom"/>
            <w:tcBorders>
              <w:right w:val="single" w:sz="8" w:color="auto"/>
            </w:tcBorders>
          </w:tcPr>
          <w:p>
            <w:pPr>
              <w:spacing w:after="0"/>
              <w:rPr>
                <w:sz w:val="9"/>
                <w:szCs w:val="9"/>
                <w:color w:val="auto"/>
              </w:rPr>
            </w:pPr>
          </w:p>
        </w:tc>
        <w:tc>
          <w:tcPr>
            <w:tcW w:w="518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940" w:type="dxa"/>
            <w:vAlign w:val="bottom"/>
          </w:tcPr>
          <w:p>
            <w:pPr>
              <w:spacing w:after="0"/>
              <w:rPr>
                <w:sz w:val="9"/>
                <w:szCs w:val="9"/>
                <w:color w:val="auto"/>
              </w:rPr>
            </w:pPr>
          </w:p>
        </w:tc>
      </w:tr>
      <w:tr>
        <w:trPr>
          <w:trHeight w:val="188"/>
        </w:trPr>
        <w:tc>
          <w:tcPr>
            <w:tcW w:w="3280" w:type="dxa"/>
            <w:vAlign w:val="bottom"/>
            <w:tcBorders>
              <w:bottom w:val="single" w:sz="8" w:color="auto"/>
              <w:right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94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6008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77" w:lineRule="exact"/>
        <w:rPr>
          <w:sz w:val="20"/>
          <w:szCs w:val="20"/>
          <w:color w:val="auto"/>
        </w:rPr>
      </w:pPr>
    </w:p>
    <w:p>
      <w:pPr>
        <w:ind w:left="4500"/>
        <w:spacing w:after="0"/>
        <w:rPr>
          <w:sz w:val="20"/>
          <w:szCs w:val="20"/>
          <w:color w:val="auto"/>
        </w:rPr>
      </w:pPr>
      <w:r>
        <w:rPr>
          <w:rFonts w:ascii="Courier New" w:cs="Courier New" w:eastAsia="Courier New" w:hAnsi="Courier New"/>
          <w:sz w:val="13"/>
          <w:szCs w:val="13"/>
          <w:color w:val="auto"/>
        </w:rPr>
        <w:t>*** END OF NARRATIVE A0001 ***</w:t>
      </w:r>
    </w:p>
    <w:p>
      <w:pPr>
        <w:sectPr>
          <w:pgSz w:w="11900" w:h="16838" w:orient="portrait"/>
          <w:cols w:equalWidth="0" w:num="1">
            <w:col w:w="10400"/>
          </w:cols>
          <w:pgMar w:left="320" w:top="849" w:right="11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46"/>
        </w:trPr>
        <w:tc>
          <w:tcPr>
            <w:tcW w:w="3300" w:type="dxa"/>
            <w:vAlign w:val="bottom"/>
            <w:tcBorders>
              <w:top w:val="single" w:sz="8" w:color="auto"/>
              <w:right w:val="single" w:sz="8" w:color="auto"/>
            </w:tcBorders>
          </w:tcPr>
          <w:p>
            <w:pPr>
              <w:spacing w:after="0"/>
              <w:rPr>
                <w:sz w:val="21"/>
                <w:szCs w:val="21"/>
                <w:color w:val="auto"/>
              </w:rPr>
            </w:pPr>
          </w:p>
        </w:tc>
        <w:tc>
          <w:tcPr>
            <w:tcW w:w="490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6"/>
                <w:szCs w:val="16"/>
                <w:b w:val="1"/>
                <w:bCs w:val="1"/>
                <w:color w:val="auto"/>
              </w:rPr>
              <w:t>Reference No. of Document Being Continued</w:t>
            </w:r>
          </w:p>
        </w:tc>
        <w:tc>
          <w:tcPr>
            <w:tcW w:w="2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 xml:space="preserve">Page  </w:t>
            </w:r>
            <w:r>
              <w:rPr>
                <w:rFonts w:ascii="Courier New" w:cs="Courier New" w:eastAsia="Courier New" w:hAnsi="Courier New"/>
                <w:sz w:val="12"/>
                <w:szCs w:val="12"/>
                <w:color w:val="auto"/>
              </w:rPr>
              <w:t>4</w:t>
            </w:r>
            <w:r>
              <w:rPr>
                <w:rFonts w:ascii="Arial" w:cs="Arial" w:eastAsia="Arial" w:hAnsi="Arial"/>
                <w:sz w:val="16"/>
                <w:szCs w:val="16"/>
                <w:color w:val="auto"/>
              </w:rPr>
              <w:t xml:space="preserve"> of </w:t>
            </w:r>
            <w:r>
              <w:rPr>
                <w:rFonts w:ascii="Courier New" w:cs="Courier New" w:eastAsia="Courier New" w:hAnsi="Courier New"/>
                <w:sz w:val="12"/>
                <w:szCs w:val="12"/>
                <w:color w:val="auto"/>
              </w:rPr>
              <w:t>31</w:t>
            </w:r>
          </w:p>
        </w:tc>
        <w:tc>
          <w:tcPr>
            <w:tcW w:w="0" w:type="dxa"/>
            <w:vAlign w:val="bottom"/>
          </w:tcPr>
          <w:p>
            <w:pPr>
              <w:spacing w:after="0"/>
              <w:rPr>
                <w:sz w:val="1"/>
                <w:szCs w:val="1"/>
                <w:color w:val="auto"/>
              </w:rPr>
            </w:pPr>
          </w:p>
        </w:tc>
      </w:tr>
      <w:tr>
        <w:trPr>
          <w:trHeight w:val="105"/>
        </w:trPr>
        <w:tc>
          <w:tcPr>
            <w:tcW w:w="330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CONTINUATION SHEET</w:t>
            </w:r>
          </w:p>
        </w:tc>
        <w:tc>
          <w:tcPr>
            <w:tcW w:w="4900" w:type="dxa"/>
            <w:vAlign w:val="bottom"/>
            <w:tcBorders>
              <w:right w:val="single" w:sz="8" w:color="auto"/>
            </w:tcBorders>
          </w:tcPr>
          <w:p>
            <w:pPr>
              <w:ind w:left="1840"/>
              <w:spacing w:after="0" w:line="105" w:lineRule="exact"/>
              <w:rPr>
                <w:sz w:val="20"/>
                <w:szCs w:val="20"/>
                <w:color w:val="auto"/>
              </w:rPr>
            </w:pPr>
            <w:r>
              <w:rPr>
                <w:rFonts w:ascii="Courier New" w:cs="Courier New" w:eastAsia="Courier New" w:hAnsi="Courier New"/>
                <w:sz w:val="12"/>
                <w:szCs w:val="12"/>
                <w:color w:val="auto"/>
              </w:rPr>
              <w:t>W15QKN-21-C-0014</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300" w:type="dxa"/>
            <w:vAlign w:val="bottom"/>
            <w:tcBorders>
              <w:right w:val="single" w:sz="8" w:color="auto"/>
            </w:tcBorders>
            <w:vMerge w:val="continue"/>
          </w:tcPr>
          <w:p>
            <w:pPr>
              <w:spacing w:after="0"/>
              <w:rPr>
                <w:sz w:val="12"/>
                <w:szCs w:val="12"/>
                <w:color w:val="auto"/>
              </w:rPr>
            </w:pPr>
          </w:p>
        </w:tc>
        <w:tc>
          <w:tcPr>
            <w:tcW w:w="4900" w:type="dxa"/>
            <w:vAlign w:val="bottom"/>
            <w:tcBorders>
              <w:right w:val="single" w:sz="8" w:color="auto"/>
            </w:tcBorders>
            <w:vMerge w:val="restart"/>
          </w:tcPr>
          <w:p>
            <w:pPr>
              <w:ind w:left="540"/>
              <w:spacing w:after="0"/>
              <w:rPr>
                <w:sz w:val="20"/>
                <w:szCs w:val="20"/>
                <w:color w:val="auto"/>
              </w:rPr>
            </w:pPr>
            <w:r>
              <w:rPr>
                <w:rFonts w:ascii="Arial" w:cs="Arial" w:eastAsia="Arial" w:hAnsi="Arial"/>
                <w:sz w:val="16"/>
                <w:szCs w:val="16"/>
                <w:b w:val="1"/>
                <w:bCs w:val="1"/>
                <w:color w:val="auto"/>
              </w:rPr>
              <w:t>PIIN/SIIN   MOD/AMD</w:t>
            </w: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3300" w:type="dxa"/>
            <w:vAlign w:val="bottom"/>
            <w:tcBorders>
              <w:bottom w:val="single" w:sz="8" w:color="auto"/>
              <w:right w:val="single" w:sz="8" w:color="auto"/>
            </w:tcBorders>
          </w:tcPr>
          <w:p>
            <w:pPr>
              <w:spacing w:after="0"/>
              <w:rPr>
                <w:sz w:val="5"/>
                <w:szCs w:val="5"/>
                <w:color w:val="auto"/>
              </w:rPr>
            </w:pPr>
          </w:p>
        </w:tc>
        <w:tc>
          <w:tcPr>
            <w:tcW w:w="4900" w:type="dxa"/>
            <w:vAlign w:val="bottom"/>
            <w:tcBorders>
              <w:bottom w:val="single" w:sz="8" w:color="auto"/>
              <w:right w:val="single" w:sz="8" w:color="auto"/>
            </w:tcBorders>
            <w:vMerge w:val="continue"/>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Name of Offeror or Contractor: </w:t>
      </w: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4979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1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ITEM NO</w:t>
            </w:r>
          </w:p>
        </w:tc>
        <w:tc>
          <w:tcPr>
            <w:tcW w:w="1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960" w:type="dxa"/>
            <w:vAlign w:val="bottom"/>
            <w:tcBorders>
              <w:top w:val="single" w:sz="8" w:color="auto"/>
              <w:bottom w:val="single" w:sz="8" w:color="auto"/>
            </w:tcBorders>
            <w:gridSpan w:val="10"/>
          </w:tcPr>
          <w:p>
            <w:pPr>
              <w:ind w:left="180"/>
              <w:spacing w:after="0"/>
              <w:rPr>
                <w:sz w:val="20"/>
                <w:szCs w:val="20"/>
                <w:color w:val="auto"/>
              </w:rPr>
            </w:pPr>
            <w:r>
              <w:rPr>
                <w:rFonts w:ascii="Arial" w:cs="Arial" w:eastAsia="Arial" w:hAnsi="Arial"/>
                <w:sz w:val="16"/>
                <w:szCs w:val="16"/>
                <w:b w:val="1"/>
                <w:bCs w:val="1"/>
                <w:color w:val="auto"/>
              </w:rPr>
              <w:t>SUPPLIES/SERVICES</w:t>
            </w:r>
          </w:p>
        </w:tc>
        <w:tc>
          <w:tcPr>
            <w:tcW w:w="4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right w:val="single" w:sz="8" w:color="auto"/>
            </w:tcBorders>
          </w:tcPr>
          <w:p>
            <w:pPr>
              <w:spacing w:after="0"/>
              <w:rPr>
                <w:sz w:val="22"/>
                <w:szCs w:val="22"/>
                <w:color w:val="auto"/>
              </w:rPr>
            </w:pPr>
          </w:p>
        </w:tc>
        <w:tc>
          <w:tcPr>
            <w:tcW w:w="1220" w:type="dxa"/>
            <w:vAlign w:val="bottom"/>
            <w:tcBorders>
              <w:top w:val="single" w:sz="8" w:color="auto"/>
              <w:bottom w:val="single" w:sz="8" w:color="auto"/>
              <w:right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QUANTITY</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UNIT</w:t>
            </w:r>
          </w:p>
        </w:tc>
        <w:tc>
          <w:tcPr>
            <w:tcW w:w="1360" w:type="dxa"/>
            <w:vAlign w:val="bottom"/>
            <w:tcBorders>
              <w:top w:val="single" w:sz="8" w:color="auto"/>
              <w:bottom w:val="single" w:sz="8" w:color="auto"/>
              <w:right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UNIT PRICE</w:t>
            </w:r>
          </w:p>
        </w:tc>
        <w:tc>
          <w:tcPr>
            <w:tcW w:w="3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AMOUNT</w:t>
            </w:r>
          </w:p>
        </w:tc>
      </w:tr>
      <w:tr>
        <w:trPr>
          <w:trHeight w:val="171"/>
        </w:trPr>
        <w:tc>
          <w:tcPr>
            <w:tcW w:w="1120" w:type="dxa"/>
            <w:vAlign w:val="bottom"/>
            <w:tcBorders>
              <w:right w:val="single" w:sz="8" w:color="auto"/>
            </w:tcBorders>
          </w:tcPr>
          <w:p>
            <w:pPr>
              <w:spacing w:after="0"/>
              <w:rPr>
                <w:sz w:val="14"/>
                <w:szCs w:val="14"/>
                <w:color w:val="auto"/>
              </w:rPr>
            </w:pPr>
          </w:p>
        </w:tc>
        <w:tc>
          <w:tcPr>
            <w:tcW w:w="2860" w:type="dxa"/>
            <w:vAlign w:val="bottom"/>
            <w:gridSpan w:val="14"/>
          </w:tcPr>
          <w:p>
            <w:pPr>
              <w:ind w:left="60"/>
              <w:spacing w:after="0"/>
              <w:rPr>
                <w:sz w:val="20"/>
                <w:szCs w:val="20"/>
                <w:color w:val="auto"/>
              </w:rPr>
            </w:pPr>
            <w:r>
              <w:rPr>
                <w:rFonts w:ascii="Courier New" w:cs="Courier New" w:eastAsia="Courier New" w:hAnsi="Courier New"/>
                <w:sz w:val="13"/>
                <w:szCs w:val="13"/>
                <w:color w:val="auto"/>
                <w:w w:val="96"/>
              </w:rPr>
              <w:t>SUPPLIES OR SERVICES AND PRICES/COSTS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81"/>
        </w:trPr>
        <w:tc>
          <w:tcPr>
            <w:tcW w:w="1120" w:type="dxa"/>
            <w:vAlign w:val="bottom"/>
            <w:tcBorders>
              <w:right w:val="single" w:sz="8" w:color="auto"/>
            </w:tcBorders>
          </w:tcPr>
          <w:p>
            <w:pPr>
              <w:ind w:left="140"/>
              <w:spacing w:after="0"/>
              <w:rPr>
                <w:sz w:val="20"/>
                <w:szCs w:val="20"/>
                <w:color w:val="auto"/>
              </w:rPr>
            </w:pPr>
            <w:r>
              <w:rPr>
                <w:rFonts w:ascii="Courier New" w:cs="Courier New" w:eastAsia="Courier New" w:hAnsi="Courier New"/>
                <w:sz w:val="13"/>
                <w:szCs w:val="13"/>
                <w:color w:val="auto"/>
              </w:rPr>
              <w:t>0001</w:t>
            </w:r>
          </w:p>
        </w:tc>
        <w:tc>
          <w:tcPr>
            <w:tcW w:w="140" w:type="dxa"/>
            <w:vAlign w:val="bottom"/>
          </w:tcPr>
          <w:p>
            <w:pPr>
              <w:spacing w:after="0"/>
              <w:rPr>
                <w:sz w:val="24"/>
                <w:szCs w:val="24"/>
                <w:color w:val="auto"/>
              </w:rPr>
            </w:pPr>
          </w:p>
        </w:tc>
        <w:tc>
          <w:tcPr>
            <w:tcW w:w="1660" w:type="dxa"/>
            <w:vAlign w:val="bottom"/>
            <w:gridSpan w:val="7"/>
          </w:tcPr>
          <w:p>
            <w:pPr>
              <w:spacing w:after="0"/>
              <w:rPr>
                <w:sz w:val="20"/>
                <w:szCs w:val="20"/>
                <w:color w:val="auto"/>
              </w:rPr>
            </w:pPr>
            <w:r>
              <w:rPr>
                <w:rFonts w:ascii="Courier New" w:cs="Courier New" w:eastAsia="Courier New" w:hAnsi="Courier New"/>
                <w:sz w:val="13"/>
                <w:szCs w:val="13"/>
                <w:color w:val="auto"/>
                <w:w w:val="95"/>
              </w:rPr>
              <w:t>COVID THERAPEUTIC NSN:</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5"/>
        </w:trPr>
        <w:tc>
          <w:tcPr>
            <w:tcW w:w="1120" w:type="dxa"/>
            <w:vAlign w:val="bottom"/>
            <w:tcBorders>
              <w:right w:val="single" w:sz="8" w:color="auto"/>
            </w:tcBorders>
          </w:tcPr>
          <w:p>
            <w:pPr>
              <w:spacing w:after="0"/>
              <w:rPr>
                <w:sz w:val="15"/>
                <w:szCs w:val="15"/>
                <w:color w:val="auto"/>
              </w:rPr>
            </w:pPr>
          </w:p>
        </w:tc>
        <w:tc>
          <w:tcPr>
            <w:tcW w:w="1520" w:type="dxa"/>
            <w:vAlign w:val="bottom"/>
            <w:gridSpan w:val="5"/>
          </w:tcPr>
          <w:p>
            <w:pPr>
              <w:ind w:left="140"/>
              <w:spacing w:after="0"/>
              <w:rPr>
                <w:sz w:val="20"/>
                <w:szCs w:val="20"/>
                <w:color w:val="auto"/>
              </w:rPr>
            </w:pPr>
            <w:r>
              <w:rPr>
                <w:rFonts w:ascii="Courier New" w:cs="Courier New" w:eastAsia="Courier New" w:hAnsi="Courier New"/>
                <w:sz w:val="13"/>
                <w:szCs w:val="13"/>
                <w:color w:val="auto"/>
              </w:rPr>
              <w:t>9999-99-999-9999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680"/>
        </w:trPr>
        <w:tc>
          <w:tcPr>
            <w:tcW w:w="1120" w:type="dxa"/>
            <w:vAlign w:val="bottom"/>
            <w:tcBorders>
              <w:right w:val="single" w:sz="8" w:color="auto"/>
            </w:tcBorders>
          </w:tcPr>
          <w:p>
            <w:pPr>
              <w:ind w:left="140"/>
              <w:spacing w:after="0"/>
              <w:rPr>
                <w:sz w:val="20"/>
                <w:szCs w:val="20"/>
                <w:color w:val="auto"/>
              </w:rPr>
            </w:pPr>
            <w:r>
              <w:rPr>
                <w:rFonts w:ascii="Courier New" w:cs="Courier New" w:eastAsia="Courier New" w:hAnsi="Courier New"/>
                <w:sz w:val="13"/>
                <w:szCs w:val="13"/>
                <w:color w:val="auto"/>
              </w:rPr>
              <w:t>0001AA</w:t>
            </w:r>
          </w:p>
        </w:tc>
        <w:tc>
          <w:tcPr>
            <w:tcW w:w="140" w:type="dxa"/>
            <w:vAlign w:val="bottom"/>
          </w:tcPr>
          <w:p>
            <w:pPr>
              <w:spacing w:after="0"/>
              <w:rPr>
                <w:sz w:val="24"/>
                <w:szCs w:val="24"/>
                <w:color w:val="auto"/>
              </w:rPr>
            </w:pPr>
          </w:p>
        </w:tc>
        <w:tc>
          <w:tcPr>
            <w:tcW w:w="4240" w:type="dxa"/>
            <w:vAlign w:val="bottom"/>
            <w:tcBorders>
              <w:right w:val="single" w:sz="8" w:color="auto"/>
            </w:tcBorders>
            <w:gridSpan w:val="18"/>
          </w:tcPr>
          <w:p>
            <w:pPr>
              <w:spacing w:after="0"/>
              <w:rPr>
                <w:sz w:val="20"/>
                <w:szCs w:val="20"/>
                <w:color w:val="auto"/>
              </w:rPr>
            </w:pPr>
            <w:r>
              <w:rPr>
                <w:rFonts w:ascii="Courier New" w:cs="Courier New" w:eastAsia="Courier New" w:hAnsi="Courier New"/>
                <w:sz w:val="13"/>
                <w:szCs w:val="13"/>
                <w:color w:val="auto"/>
              </w:rPr>
              <w:t>COVID-19 THERAPEUTIC (REGN10987 AND REGN10933)</w:t>
            </w:r>
          </w:p>
        </w:tc>
        <w:tc>
          <w:tcPr>
            <w:tcW w:w="1220" w:type="dxa"/>
            <w:vAlign w:val="bottom"/>
            <w:tcBorders>
              <w:right w:val="single" w:sz="8" w:color="auto"/>
            </w:tcBorders>
          </w:tcPr>
          <w:p>
            <w:pPr>
              <w:jc w:val="right"/>
              <w:ind w:right="331"/>
              <w:spacing w:after="0"/>
              <w:rPr>
                <w:sz w:val="20"/>
                <w:szCs w:val="20"/>
                <w:color w:val="auto"/>
              </w:rPr>
            </w:pPr>
            <w:r>
              <w:rPr>
                <w:rFonts w:ascii="Courier New" w:cs="Courier New" w:eastAsia="Courier New" w:hAnsi="Courier New"/>
                <w:sz w:val="13"/>
                <w:szCs w:val="13"/>
                <w:color w:val="auto"/>
              </w:rPr>
              <w:t>[* * *]</w:t>
            </w:r>
          </w:p>
        </w:tc>
        <w:tc>
          <w:tcPr>
            <w:tcW w:w="620" w:type="dxa"/>
            <w:vAlign w:val="bottom"/>
            <w:tcBorders>
              <w:right w:val="single" w:sz="8" w:color="auto"/>
            </w:tcBorders>
          </w:tcPr>
          <w:p>
            <w:pPr>
              <w:jc w:val="center"/>
              <w:spacing w:after="0"/>
              <w:rPr>
                <w:sz w:val="20"/>
                <w:szCs w:val="20"/>
                <w:color w:val="auto"/>
              </w:rPr>
            </w:pPr>
            <w:r>
              <w:rPr>
                <w:rFonts w:ascii="Courier New" w:cs="Courier New" w:eastAsia="Courier New" w:hAnsi="Courier New"/>
                <w:sz w:val="13"/>
                <w:szCs w:val="13"/>
                <w:color w:val="auto"/>
              </w:rPr>
              <w:t>EA</w:t>
            </w:r>
          </w:p>
        </w:tc>
        <w:tc>
          <w:tcPr>
            <w:tcW w:w="240" w:type="dxa"/>
            <w:vAlign w:val="bottom"/>
          </w:tcPr>
          <w:p>
            <w:pPr>
              <w:ind w:left="160"/>
              <w:spacing w:after="0"/>
              <w:rPr>
                <w:sz w:val="20"/>
                <w:szCs w:val="20"/>
                <w:color w:val="auto"/>
              </w:rPr>
            </w:pPr>
            <w:r>
              <w:rPr>
                <w:rFonts w:ascii="Courier New" w:cs="Courier New" w:eastAsia="Courier New" w:hAnsi="Courier New"/>
                <w:sz w:val="13"/>
                <w:szCs w:val="13"/>
                <w:color w:val="auto"/>
                <w:w w:val="76"/>
              </w:rPr>
              <w:t>$</w:t>
            </w:r>
          </w:p>
        </w:tc>
        <w:tc>
          <w:tcPr>
            <w:tcW w:w="920" w:type="dxa"/>
            <w:vAlign w:val="bottom"/>
          </w:tcPr>
          <w:p>
            <w:pPr>
              <w:jc w:val="right"/>
              <w:spacing w:after="0"/>
              <w:rPr>
                <w:sz w:val="20"/>
                <w:szCs w:val="20"/>
                <w:color w:val="auto"/>
              </w:rPr>
            </w:pPr>
            <w:r>
              <w:rPr>
                <w:rFonts w:ascii="Courier New" w:cs="Courier New" w:eastAsia="Courier New" w:hAnsi="Courier New"/>
                <w:sz w:val="13"/>
                <w:szCs w:val="13"/>
                <w:color w:val="auto"/>
              </w:rPr>
              <w:t>2,100.00000</w:t>
            </w:r>
          </w:p>
        </w:tc>
        <w:tc>
          <w:tcPr>
            <w:tcW w:w="200" w:type="dxa"/>
            <w:vAlign w:val="bottom"/>
            <w:tcBorders>
              <w:right w:val="single" w:sz="8" w:color="auto"/>
            </w:tcBorders>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Courier New" w:cs="Courier New" w:eastAsia="Courier New" w:hAnsi="Courier New"/>
                <w:sz w:val="13"/>
                <w:szCs w:val="13"/>
                <w:color w:val="auto"/>
              </w:rPr>
              <w:t>$</w:t>
            </w:r>
          </w:p>
        </w:tc>
        <w:tc>
          <w:tcPr>
            <w:tcW w:w="1200" w:type="dxa"/>
            <w:vAlign w:val="bottom"/>
            <w:gridSpan w:val="2"/>
          </w:tcPr>
          <w:p>
            <w:pPr>
              <w:jc w:val="right"/>
              <w:ind w:right="320"/>
              <w:spacing w:after="0"/>
              <w:rPr>
                <w:sz w:val="20"/>
                <w:szCs w:val="20"/>
                <w:color w:val="auto"/>
              </w:rPr>
            </w:pPr>
            <w:r>
              <w:rPr>
                <w:rFonts w:ascii="Courier New" w:cs="Courier New" w:eastAsia="Courier New" w:hAnsi="Courier New"/>
                <w:sz w:val="13"/>
                <w:szCs w:val="13"/>
                <w:color w:val="auto"/>
              </w:rPr>
              <w:t>[* * *]</w:t>
            </w:r>
          </w:p>
        </w:tc>
      </w:tr>
      <w:tr>
        <w:trPr>
          <w:trHeight w:val="461"/>
        </w:trPr>
        <w:tc>
          <w:tcPr>
            <w:tcW w:w="1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Borders>
              <w:top w:val="single" w:sz="8" w:color="auto"/>
            </w:tcBorders>
            <w:gridSpan w:val="13"/>
          </w:tcPr>
          <w:p>
            <w:pPr>
              <w:spacing w:after="0"/>
              <w:rPr>
                <w:sz w:val="20"/>
                <w:szCs w:val="20"/>
                <w:color w:val="auto"/>
              </w:rPr>
            </w:pPr>
            <w:r>
              <w:rPr>
                <w:rFonts w:ascii="Courier New" w:cs="Courier New" w:eastAsia="Courier New" w:hAnsi="Courier New"/>
                <w:sz w:val="13"/>
                <w:szCs w:val="13"/>
                <w:color w:val="auto"/>
              </w:rPr>
              <w:t>COMMODITY NAME: COVID THERAPEUTIC</w:t>
            </w: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1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Courier New" w:cs="Courier New" w:eastAsia="Courier New" w:hAnsi="Courier New"/>
                <w:sz w:val="13"/>
                <w:szCs w:val="13"/>
                <w:color w:val="auto"/>
                <w:w w:val="95"/>
              </w:rPr>
              <w:t>CLIN CONTRACT TYPE:</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1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6"/>
          </w:tcPr>
          <w:p>
            <w:pPr>
              <w:jc w:val="right"/>
              <w:ind w:right="60"/>
              <w:spacing w:after="0"/>
              <w:rPr>
                <w:sz w:val="20"/>
                <w:szCs w:val="20"/>
                <w:color w:val="auto"/>
              </w:rPr>
            </w:pPr>
            <w:r>
              <w:rPr>
                <w:rFonts w:ascii="Courier New" w:cs="Courier New" w:eastAsia="Courier New" w:hAnsi="Courier New"/>
                <w:sz w:val="13"/>
                <w:szCs w:val="13"/>
                <w:color w:val="auto"/>
              </w:rPr>
              <w:t>Firm Fixed Price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1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5"/>
          </w:tcPr>
          <w:p>
            <w:pPr>
              <w:spacing w:after="0"/>
              <w:rPr>
                <w:sz w:val="20"/>
                <w:szCs w:val="20"/>
                <w:color w:val="auto"/>
              </w:rPr>
            </w:pPr>
            <w:r>
              <w:rPr>
                <w:rFonts w:ascii="Courier New" w:cs="Courier New" w:eastAsia="Courier New" w:hAnsi="Courier New"/>
                <w:sz w:val="13"/>
                <w:szCs w:val="13"/>
                <w:color w:val="auto"/>
              </w:rPr>
              <w:t>PRON: CB1RD13635</w:t>
            </w:r>
          </w:p>
        </w:tc>
        <w:tc>
          <w:tcPr>
            <w:tcW w:w="1280" w:type="dxa"/>
            <w:vAlign w:val="bottom"/>
            <w:gridSpan w:val="8"/>
          </w:tcPr>
          <w:p>
            <w:pPr>
              <w:jc w:val="right"/>
              <w:ind w:right="300"/>
              <w:spacing w:after="0"/>
              <w:rPr>
                <w:sz w:val="20"/>
                <w:szCs w:val="20"/>
                <w:color w:val="auto"/>
              </w:rPr>
            </w:pPr>
            <w:r>
              <w:rPr>
                <w:rFonts w:ascii="Courier New" w:cs="Courier New" w:eastAsia="Courier New" w:hAnsi="Courier New"/>
                <w:sz w:val="13"/>
                <w:szCs w:val="13"/>
                <w:color w:val="auto"/>
              </w:rPr>
              <w:t>PRON AMD: 01</w:t>
            </w:r>
          </w:p>
        </w:tc>
        <w:tc>
          <w:tcPr>
            <w:tcW w:w="1520" w:type="dxa"/>
            <w:vAlign w:val="bottom"/>
            <w:tcBorders>
              <w:right w:val="single" w:sz="8" w:color="auto"/>
            </w:tcBorders>
            <w:gridSpan w:val="5"/>
          </w:tcPr>
          <w:p>
            <w:pPr>
              <w:spacing w:after="0"/>
              <w:rPr>
                <w:sz w:val="20"/>
                <w:szCs w:val="20"/>
                <w:color w:val="auto"/>
              </w:rPr>
            </w:pPr>
            <w:r>
              <w:rPr>
                <w:rFonts w:ascii="Courier New" w:cs="Courier New" w:eastAsia="Courier New" w:hAnsi="Courier New"/>
                <w:sz w:val="13"/>
                <w:szCs w:val="13"/>
                <w:color w:val="auto"/>
              </w:rPr>
              <w:t>ACRN: AA</w:t>
            </w:r>
          </w:p>
        </w:tc>
        <w:tc>
          <w:tcPr>
            <w:tcW w:w="12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76"/>
        </w:trPr>
        <w:tc>
          <w:tcPr>
            <w:tcW w:w="1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Courier New" w:cs="Courier New" w:eastAsia="Courier New" w:hAnsi="Courier New"/>
                <w:sz w:val="13"/>
                <w:szCs w:val="13"/>
                <w:color w:val="auto"/>
              </w:rPr>
              <w:t>PSC: 6505</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437"/>
        </w:trPr>
        <w:tc>
          <w:tcPr>
            <w:tcW w:w="1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Borders>
              <w:bottom w:val="single" w:sz="8" w:color="auto"/>
            </w:tcBorders>
            <w:gridSpan w:val="6"/>
          </w:tcPr>
          <w:p>
            <w:pPr>
              <w:spacing w:after="0"/>
              <w:rPr>
                <w:sz w:val="20"/>
                <w:szCs w:val="20"/>
                <w:color w:val="auto"/>
              </w:rPr>
            </w:pPr>
            <w:r>
              <w:rPr>
                <w:rFonts w:ascii="Courier New" w:cs="Courier New" w:eastAsia="Courier New" w:hAnsi="Courier New"/>
                <w:sz w:val="13"/>
                <w:szCs w:val="13"/>
                <w:color w:val="auto"/>
                <w:w w:val="96"/>
              </w:rPr>
              <w:t>Packaging and Marking</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25"/>
        </w:trPr>
        <w:tc>
          <w:tcPr>
            <w:tcW w:w="1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Borders>
              <w:bottom w:val="single" w:sz="8" w:color="auto"/>
            </w:tcBorders>
            <w:gridSpan w:val="8"/>
          </w:tcPr>
          <w:p>
            <w:pPr>
              <w:spacing w:after="0"/>
              <w:rPr>
                <w:sz w:val="20"/>
                <w:szCs w:val="20"/>
                <w:color w:val="auto"/>
              </w:rPr>
            </w:pPr>
            <w:r>
              <w:rPr>
                <w:rFonts w:ascii="Courier New" w:cs="Courier New" w:eastAsia="Courier New" w:hAnsi="Courier New"/>
                <w:sz w:val="13"/>
                <w:szCs w:val="13"/>
                <w:color w:val="auto"/>
                <w:w w:val="98"/>
              </w:rPr>
              <w:t>Inspection and Acceptance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2"/>
        </w:trPr>
        <w:tc>
          <w:tcPr>
            <w:tcW w:w="1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9"/>
          </w:tcPr>
          <w:p>
            <w:pPr>
              <w:spacing w:after="0"/>
              <w:rPr>
                <w:sz w:val="20"/>
                <w:szCs w:val="20"/>
                <w:color w:val="auto"/>
              </w:rPr>
            </w:pPr>
            <w:r>
              <w:rPr>
                <w:rFonts w:ascii="Courier New" w:cs="Courier New" w:eastAsia="Courier New" w:hAnsi="Courier New"/>
                <w:sz w:val="13"/>
                <w:szCs w:val="13"/>
                <w:color w:val="auto"/>
              </w:rPr>
              <w:t>INSPECTION: Destination</w:t>
            </w:r>
          </w:p>
        </w:tc>
        <w:tc>
          <w:tcPr>
            <w:tcW w:w="2200" w:type="dxa"/>
            <w:vAlign w:val="bottom"/>
            <w:tcBorders>
              <w:right w:val="single" w:sz="8" w:color="auto"/>
            </w:tcBorders>
            <w:gridSpan w:val="9"/>
          </w:tcPr>
          <w:p>
            <w:pPr>
              <w:spacing w:after="0"/>
              <w:rPr>
                <w:sz w:val="20"/>
                <w:szCs w:val="20"/>
                <w:color w:val="auto"/>
              </w:rPr>
            </w:pPr>
            <w:r>
              <w:rPr>
                <w:rFonts w:ascii="Courier New" w:cs="Courier New" w:eastAsia="Courier New" w:hAnsi="Courier New"/>
                <w:sz w:val="13"/>
                <w:szCs w:val="13"/>
                <w:color w:val="auto"/>
              </w:rPr>
              <w:t>ACCEPTANCE: Destination</w:t>
            </w:r>
          </w:p>
        </w:tc>
        <w:tc>
          <w:tcPr>
            <w:tcW w:w="12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37"/>
        </w:trPr>
        <w:tc>
          <w:tcPr>
            <w:tcW w:w="1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9"/>
          </w:tcPr>
          <w:p>
            <w:pPr>
              <w:spacing w:after="0"/>
              <w:rPr>
                <w:sz w:val="20"/>
                <w:szCs w:val="20"/>
                <w:color w:val="auto"/>
              </w:rPr>
            </w:pPr>
            <w:r>
              <w:rPr>
                <w:rFonts w:ascii="Courier New" w:cs="Courier New" w:eastAsia="Courier New" w:hAnsi="Courier New"/>
                <w:sz w:val="13"/>
                <w:szCs w:val="13"/>
                <w:color w:val="auto"/>
              </w:rPr>
              <w:t>Deliveries or Performance</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8"/>
        </w:trPr>
        <w:tc>
          <w:tcPr>
            <w:tcW w:w="1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20"/>
                <w:szCs w:val="20"/>
                <w:color w:val="auto"/>
              </w:rPr>
            </w:pPr>
            <w:r>
              <w:rPr>
                <w:rFonts w:ascii="Courier New" w:cs="Courier New" w:eastAsia="Courier New" w:hAnsi="Courier New"/>
                <w:sz w:val="13"/>
                <w:szCs w:val="13"/>
                <w:color w:val="auto"/>
                <w:w w:val="93"/>
              </w:rPr>
              <w:t>DOC</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ind w:left="80"/>
              <w:spacing w:after="0"/>
              <w:rPr>
                <w:sz w:val="20"/>
                <w:szCs w:val="20"/>
                <w:color w:val="auto"/>
              </w:rPr>
            </w:pPr>
            <w:r>
              <w:rPr>
                <w:rFonts w:ascii="Courier New" w:cs="Courier New" w:eastAsia="Courier New" w:hAnsi="Courier New"/>
                <w:sz w:val="13"/>
                <w:szCs w:val="13"/>
                <w:color w:val="auto"/>
              </w:rPr>
              <w:t>SUPPL</w:t>
            </w: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53"/>
        </w:trPr>
        <w:tc>
          <w:tcPr>
            <w:tcW w:w="1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Courier New" w:cs="Courier New" w:eastAsia="Courier New" w:hAnsi="Courier New"/>
                <w:sz w:val="13"/>
                <w:szCs w:val="13"/>
                <w:color w:val="auto"/>
                <w:w w:val="93"/>
              </w:rPr>
              <w:t>REL CD</w:t>
            </w:r>
          </w:p>
        </w:tc>
        <w:tc>
          <w:tcPr>
            <w:tcW w:w="3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Courier New" w:cs="Courier New" w:eastAsia="Courier New" w:hAnsi="Courier New"/>
                <w:sz w:val="13"/>
                <w:szCs w:val="13"/>
                <w:color w:val="auto"/>
                <w:w w:val="92"/>
              </w:rPr>
              <w:t>MILSTRIP</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tcBorders>
              <w:right w:val="single" w:sz="8" w:color="auto"/>
            </w:tcBorders>
            <w:gridSpan w:val="11"/>
          </w:tcPr>
          <w:p>
            <w:pPr>
              <w:spacing w:after="0"/>
              <w:rPr>
                <w:sz w:val="20"/>
                <w:szCs w:val="20"/>
                <w:color w:val="auto"/>
              </w:rPr>
            </w:pPr>
            <w:r>
              <w:rPr>
                <w:rFonts w:ascii="Courier New" w:cs="Courier New" w:eastAsia="Courier New" w:hAnsi="Courier New"/>
                <w:sz w:val="13"/>
                <w:szCs w:val="13"/>
                <w:color w:val="auto"/>
              </w:rPr>
              <w:t>ADDR SIG CD MARK FOR TP CD 001</w:t>
            </w:r>
          </w:p>
        </w:tc>
        <w:tc>
          <w:tcPr>
            <w:tcW w:w="12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1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8"/>
        </w:trPr>
        <w:tc>
          <w:tcPr>
            <w:tcW w:w="1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7"/>
          </w:tcPr>
          <w:p>
            <w:pPr>
              <w:ind w:left="80"/>
              <w:spacing w:after="0"/>
              <w:rPr>
                <w:sz w:val="20"/>
                <w:szCs w:val="20"/>
                <w:color w:val="auto"/>
              </w:rPr>
            </w:pPr>
            <w:r>
              <w:rPr>
                <w:rFonts w:ascii="Courier New" w:cs="Courier New" w:eastAsia="Courier New" w:hAnsi="Courier New"/>
                <w:sz w:val="13"/>
                <w:szCs w:val="13"/>
                <w:color w:val="auto"/>
                <w:w w:val="95"/>
              </w:rPr>
              <w:t>W56XNH10011001 75A501</w:t>
            </w:r>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J</w:t>
            </w:r>
          </w:p>
        </w:tc>
        <w:tc>
          <w:tcPr>
            <w:tcW w:w="46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53"/>
        </w:trPr>
        <w:tc>
          <w:tcPr>
            <w:tcW w:w="1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Courier New" w:cs="Courier New" w:eastAsia="Courier New" w:hAnsi="Courier New"/>
                <w:sz w:val="13"/>
                <w:szCs w:val="13"/>
                <w:color w:val="auto"/>
                <w:w w:val="94"/>
              </w:rPr>
              <w:t>DEL REL CD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right"/>
              <w:spacing w:after="0"/>
              <w:rPr>
                <w:sz w:val="20"/>
                <w:szCs w:val="20"/>
                <w:color w:val="auto"/>
              </w:rPr>
            </w:pPr>
            <w:r>
              <w:rPr>
                <w:rFonts w:ascii="Courier New" w:cs="Courier New" w:eastAsia="Courier New" w:hAnsi="Courier New"/>
                <w:sz w:val="13"/>
                <w:szCs w:val="13"/>
                <w:color w:val="auto"/>
                <w:w w:val="92"/>
              </w:rPr>
              <w:t>QUANTITY</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right w:val="single" w:sz="8" w:color="auto"/>
            </w:tcBorders>
            <w:gridSpan w:val="5"/>
          </w:tcPr>
          <w:p>
            <w:pPr>
              <w:spacing w:after="0"/>
              <w:rPr>
                <w:sz w:val="20"/>
                <w:szCs w:val="20"/>
                <w:color w:val="auto"/>
              </w:rPr>
            </w:pPr>
            <w:r>
              <w:rPr>
                <w:rFonts w:ascii="Courier New" w:cs="Courier New" w:eastAsia="Courier New" w:hAnsi="Courier New"/>
                <w:sz w:val="13"/>
                <w:szCs w:val="13"/>
                <w:color w:val="auto"/>
              </w:rPr>
              <w:t>DEL DATE</w:t>
            </w:r>
          </w:p>
        </w:tc>
        <w:tc>
          <w:tcPr>
            <w:tcW w:w="12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1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8"/>
        </w:trPr>
        <w:tc>
          <w:tcPr>
            <w:tcW w:w="1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237"/>
              <w:spacing w:after="0"/>
              <w:rPr>
                <w:sz w:val="20"/>
                <w:szCs w:val="20"/>
                <w:color w:val="auto"/>
              </w:rPr>
            </w:pPr>
            <w:r>
              <w:rPr>
                <w:rFonts w:ascii="Courier New" w:cs="Courier New" w:eastAsia="Courier New" w:hAnsi="Courier New"/>
                <w:sz w:val="13"/>
                <w:szCs w:val="13"/>
                <w:color w:val="auto"/>
                <w:w w:val="85"/>
              </w:rPr>
              <w:t>001</w:t>
            </w:r>
          </w:p>
        </w:tc>
        <w:tc>
          <w:tcPr>
            <w:tcW w:w="900" w:type="dxa"/>
            <w:vAlign w:val="bottom"/>
            <w:gridSpan w:val="4"/>
          </w:tcPr>
          <w:p>
            <w:pPr>
              <w:jc w:val="right"/>
              <w:ind w:right="60"/>
              <w:spacing w:after="0"/>
              <w:rPr>
                <w:sz w:val="20"/>
                <w:szCs w:val="20"/>
                <w:color w:val="auto"/>
              </w:rPr>
            </w:pPr>
            <w:r>
              <w:rPr>
                <w:rFonts w:ascii="Courier New" w:cs="Courier New" w:eastAsia="Courier New" w:hAnsi="Courier New"/>
                <w:sz w:val="13"/>
                <w:szCs w:val="13"/>
                <w:color w:val="auto"/>
              </w:rPr>
              <w:t>[* * *]</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Courier New" w:cs="Courier New" w:eastAsia="Courier New" w:hAnsi="Courier New"/>
                <w:sz w:val="13"/>
                <w:szCs w:val="13"/>
                <w:color w:val="auto"/>
              </w:rPr>
              <w:t>[* * *]</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459"/>
        </w:trPr>
        <w:tc>
          <w:tcPr>
            <w:tcW w:w="1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7"/>
          </w:tcPr>
          <w:p>
            <w:pPr>
              <w:spacing w:after="0"/>
              <w:rPr>
                <w:sz w:val="20"/>
                <w:szCs w:val="20"/>
                <w:color w:val="auto"/>
              </w:rPr>
            </w:pPr>
            <w:r>
              <w:rPr>
                <w:rFonts w:ascii="Courier New" w:cs="Courier New" w:eastAsia="Courier New" w:hAnsi="Courier New"/>
                <w:sz w:val="13"/>
                <w:szCs w:val="13"/>
                <w:color w:val="auto"/>
                <w:w w:val="95"/>
              </w:rPr>
              <w:t>FOB POINT: Destination</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1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Courier New" w:cs="Courier New" w:eastAsia="Courier New" w:hAnsi="Courier New"/>
                <w:sz w:val="13"/>
                <w:szCs w:val="13"/>
                <w:color w:val="auto"/>
              </w:rPr>
              <w:t>SHIP TO:</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9"/>
        </w:trPr>
        <w:tc>
          <w:tcPr>
            <w:tcW w:w="1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spacing w:after="0"/>
              <w:rPr>
                <w:sz w:val="20"/>
                <w:szCs w:val="20"/>
                <w:color w:val="auto"/>
              </w:rPr>
            </w:pPr>
            <w:r>
              <w:rPr>
                <w:rFonts w:ascii="Courier New" w:cs="Courier New" w:eastAsia="Courier New" w:hAnsi="Courier New"/>
                <w:sz w:val="13"/>
                <w:szCs w:val="13"/>
                <w:color w:val="auto"/>
              </w:rPr>
              <w:t>(75A501)</w:t>
            </w:r>
          </w:p>
        </w:tc>
        <w:tc>
          <w:tcPr>
            <w:tcW w:w="3480" w:type="dxa"/>
            <w:vAlign w:val="bottom"/>
            <w:tcBorders>
              <w:right w:val="single" w:sz="8" w:color="auto"/>
            </w:tcBorders>
            <w:gridSpan w:val="15"/>
          </w:tcPr>
          <w:p>
            <w:pPr>
              <w:ind w:left="460"/>
              <w:spacing w:after="0"/>
              <w:rPr>
                <w:sz w:val="20"/>
                <w:szCs w:val="20"/>
                <w:color w:val="auto"/>
              </w:rPr>
            </w:pPr>
            <w:r>
              <w:rPr>
                <w:rFonts w:ascii="Courier New" w:cs="Courier New" w:eastAsia="Courier New" w:hAnsi="Courier New"/>
                <w:sz w:val="13"/>
                <w:szCs w:val="13"/>
                <w:color w:val="auto"/>
              </w:rPr>
              <w:t>OFFICE OF ACQ MGMT POLICY</w:t>
            </w:r>
          </w:p>
        </w:tc>
        <w:tc>
          <w:tcPr>
            <w:tcW w:w="12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6"/>
        </w:trPr>
        <w:tc>
          <w:tcPr>
            <w:tcW w:w="1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10"/>
          </w:tcPr>
          <w:p>
            <w:pPr>
              <w:ind w:left="80"/>
              <w:spacing w:after="0"/>
              <w:rPr>
                <w:sz w:val="20"/>
                <w:szCs w:val="20"/>
                <w:color w:val="auto"/>
              </w:rPr>
            </w:pPr>
            <w:r>
              <w:rPr>
                <w:rFonts w:ascii="Courier New" w:cs="Courier New" w:eastAsia="Courier New" w:hAnsi="Courier New"/>
                <w:sz w:val="13"/>
                <w:szCs w:val="13"/>
                <w:color w:val="auto"/>
                <w:w w:val="99"/>
              </w:rPr>
              <w:t>HUBERT HUMPHREY BLDG 200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1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80" w:type="dxa"/>
            <w:vAlign w:val="bottom"/>
            <w:tcBorders>
              <w:right w:val="single" w:sz="8" w:color="auto"/>
            </w:tcBorders>
            <w:gridSpan w:val="15"/>
          </w:tcPr>
          <w:p>
            <w:pPr>
              <w:ind w:left="80"/>
              <w:spacing w:after="0"/>
              <w:rPr>
                <w:sz w:val="20"/>
                <w:szCs w:val="20"/>
                <w:color w:val="auto"/>
              </w:rPr>
            </w:pPr>
            <w:r>
              <w:rPr>
                <w:rFonts w:ascii="Courier New" w:cs="Courier New" w:eastAsia="Courier New" w:hAnsi="Courier New"/>
                <w:sz w:val="13"/>
                <w:szCs w:val="13"/>
                <w:color w:val="auto"/>
              </w:rPr>
              <w:t>INDEPENDENCE AVENUE SW ROOM 336E</w:t>
            </w: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1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10"/>
          </w:tcPr>
          <w:p>
            <w:pPr>
              <w:ind w:left="80"/>
              <w:spacing w:after="0"/>
              <w:rPr>
                <w:sz w:val="20"/>
                <w:szCs w:val="20"/>
                <w:color w:val="auto"/>
              </w:rPr>
            </w:pPr>
            <w:r>
              <w:rPr>
                <w:rFonts w:ascii="Courier New" w:cs="Courier New" w:eastAsia="Courier New" w:hAnsi="Courier New"/>
                <w:sz w:val="13"/>
                <w:szCs w:val="13"/>
                <w:color w:val="auto"/>
              </w:rPr>
              <w:t>WASHINGTON,DC,20201</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608"/>
        </w:trPr>
        <w:tc>
          <w:tcPr>
            <w:tcW w:w="11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19"/>
          </w:tcPr>
          <w:p>
            <w:pPr>
              <w:ind w:left="80"/>
              <w:spacing w:after="0"/>
              <w:rPr>
                <w:sz w:val="20"/>
                <w:szCs w:val="20"/>
                <w:color w:val="auto"/>
              </w:rPr>
            </w:pPr>
            <w:r>
              <w:rPr>
                <w:rFonts w:ascii="Courier New" w:cs="Courier New" w:eastAsia="Courier New" w:hAnsi="Courier New"/>
                <w:sz w:val="13"/>
                <w:szCs w:val="13"/>
                <w:color w:val="auto"/>
              </w:rPr>
              <w:t>The parties will coordinate ordering through</w:t>
            </w:r>
          </w:p>
        </w:tc>
        <w:tc>
          <w:tcPr>
            <w:tcW w:w="12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5"/>
        </w:trPr>
        <w:tc>
          <w:tcPr>
            <w:tcW w:w="112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gridSpan w:val="19"/>
          </w:tcPr>
          <w:p>
            <w:pPr>
              <w:ind w:left="80"/>
              <w:spacing w:after="0"/>
              <w:rPr>
                <w:sz w:val="20"/>
                <w:szCs w:val="20"/>
                <w:color w:val="auto"/>
              </w:rPr>
            </w:pPr>
            <w:r>
              <w:rPr>
                <w:rFonts w:ascii="Courier New" w:cs="Courier New" w:eastAsia="Courier New" w:hAnsi="Courier New"/>
                <w:sz w:val="13"/>
                <w:szCs w:val="13"/>
                <w:color w:val="auto"/>
              </w:rPr>
              <w:t>centralized distribution via the established</w:t>
            </w: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112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gridSpan w:val="19"/>
          </w:tcPr>
          <w:p>
            <w:pPr>
              <w:ind w:left="80"/>
              <w:spacing w:after="0"/>
              <w:rPr>
                <w:sz w:val="20"/>
                <w:szCs w:val="20"/>
                <w:color w:val="auto"/>
              </w:rPr>
            </w:pPr>
            <w:r>
              <w:rPr>
                <w:rFonts w:ascii="Courier New" w:cs="Courier New" w:eastAsia="Courier New" w:hAnsi="Courier New"/>
                <w:sz w:val="13"/>
                <w:szCs w:val="13"/>
                <w:color w:val="auto"/>
              </w:rPr>
              <w:t>Memorandum of Understanding between Regeneron, ASPR,</w:t>
            </w: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112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gridSpan w:val="19"/>
          </w:tcPr>
          <w:p>
            <w:pPr>
              <w:ind w:left="80"/>
              <w:spacing w:after="0"/>
              <w:rPr>
                <w:sz w:val="20"/>
                <w:szCs w:val="20"/>
                <w:color w:val="auto"/>
              </w:rPr>
            </w:pPr>
            <w:r>
              <w:rPr>
                <w:rFonts w:ascii="Courier New" w:cs="Courier New" w:eastAsia="Courier New" w:hAnsi="Courier New"/>
                <w:sz w:val="13"/>
                <w:szCs w:val="13"/>
                <w:color w:val="auto"/>
              </w:rPr>
              <w:t>and AmerisourceBergen. Exact ship-to locations for</w:t>
            </w: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112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gridSpan w:val="19"/>
          </w:tcPr>
          <w:p>
            <w:pPr>
              <w:ind w:left="80"/>
              <w:spacing w:after="0"/>
              <w:rPr>
                <w:sz w:val="20"/>
                <w:szCs w:val="20"/>
                <w:color w:val="auto"/>
              </w:rPr>
            </w:pPr>
            <w:r>
              <w:rPr>
                <w:rFonts w:ascii="Courier New" w:cs="Courier New" w:eastAsia="Courier New" w:hAnsi="Courier New"/>
                <w:sz w:val="13"/>
                <w:szCs w:val="13"/>
                <w:color w:val="auto"/>
              </w:rPr>
              <w:t>product will be identified through this coordinated</w:t>
            </w: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1120" w:type="dxa"/>
            <w:vAlign w:val="bottom"/>
            <w:tcBorders>
              <w:right w:val="single" w:sz="8" w:color="auto"/>
            </w:tcBorders>
          </w:tcPr>
          <w:p>
            <w:pPr>
              <w:spacing w:after="0"/>
              <w:rPr>
                <w:sz w:val="15"/>
                <w:szCs w:val="15"/>
                <w:color w:val="auto"/>
              </w:rPr>
            </w:pPr>
          </w:p>
        </w:tc>
        <w:tc>
          <w:tcPr>
            <w:tcW w:w="90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process.</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6"/>
        </w:trPr>
        <w:tc>
          <w:tcPr>
            <w:tcW w:w="1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tcBorders>
              <w:right w:val="single" w:sz="8" w:color="auto"/>
            </w:tcBorders>
            <w:gridSpan w:val="15"/>
          </w:tcPr>
          <w:p>
            <w:pPr>
              <w:ind w:left="460"/>
              <w:spacing w:after="0"/>
              <w:rPr>
                <w:sz w:val="20"/>
                <w:szCs w:val="20"/>
                <w:color w:val="auto"/>
              </w:rPr>
            </w:pPr>
            <w:r>
              <w:rPr>
                <w:rFonts w:ascii="Courier New" w:cs="Courier New" w:eastAsia="Courier New" w:hAnsi="Courier New"/>
                <w:sz w:val="13"/>
                <w:szCs w:val="13"/>
                <w:color w:val="auto"/>
              </w:rPr>
              <w:t>(End of narrative F001)</w:t>
            </w:r>
          </w:p>
        </w:tc>
        <w:tc>
          <w:tcPr>
            <w:tcW w:w="12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666"/>
        </w:trPr>
        <w:tc>
          <w:tcPr>
            <w:tcW w:w="1120" w:type="dxa"/>
            <w:vAlign w:val="bottom"/>
            <w:tcBorders>
              <w:right w:val="single" w:sz="8" w:color="auto"/>
            </w:tcBorders>
          </w:tcPr>
          <w:p>
            <w:pPr>
              <w:ind w:left="140"/>
              <w:spacing w:after="0"/>
              <w:rPr>
                <w:sz w:val="20"/>
                <w:szCs w:val="20"/>
                <w:color w:val="auto"/>
              </w:rPr>
            </w:pPr>
            <w:r>
              <w:rPr>
                <w:rFonts w:ascii="Courier New" w:cs="Courier New" w:eastAsia="Courier New" w:hAnsi="Courier New"/>
                <w:sz w:val="13"/>
                <w:szCs w:val="13"/>
                <w:color w:val="auto"/>
              </w:rPr>
              <w:t>0001AB</w:t>
            </w:r>
          </w:p>
        </w:tc>
        <w:tc>
          <w:tcPr>
            <w:tcW w:w="140" w:type="dxa"/>
            <w:vAlign w:val="bottom"/>
          </w:tcPr>
          <w:p>
            <w:pPr>
              <w:spacing w:after="0"/>
              <w:rPr>
                <w:sz w:val="24"/>
                <w:szCs w:val="24"/>
                <w:color w:val="auto"/>
              </w:rPr>
            </w:pPr>
          </w:p>
        </w:tc>
        <w:tc>
          <w:tcPr>
            <w:tcW w:w="4240" w:type="dxa"/>
            <w:vAlign w:val="bottom"/>
            <w:tcBorders>
              <w:right w:val="single" w:sz="8" w:color="auto"/>
            </w:tcBorders>
            <w:gridSpan w:val="18"/>
          </w:tcPr>
          <w:p>
            <w:pPr>
              <w:spacing w:after="0"/>
              <w:rPr>
                <w:sz w:val="20"/>
                <w:szCs w:val="20"/>
                <w:color w:val="auto"/>
              </w:rPr>
            </w:pPr>
            <w:r>
              <w:rPr>
                <w:rFonts w:ascii="Courier New" w:cs="Courier New" w:eastAsia="Courier New" w:hAnsi="Courier New"/>
                <w:sz w:val="13"/>
                <w:szCs w:val="13"/>
                <w:color w:val="auto"/>
              </w:rPr>
              <w:t>COVID-19 THERAPEUTIC (REGN10987 AND REGN10933)</w:t>
            </w:r>
          </w:p>
        </w:tc>
        <w:tc>
          <w:tcPr>
            <w:tcW w:w="1220" w:type="dxa"/>
            <w:vAlign w:val="bottom"/>
            <w:tcBorders>
              <w:right w:val="single" w:sz="8" w:color="auto"/>
            </w:tcBorders>
          </w:tcPr>
          <w:p>
            <w:pPr>
              <w:jc w:val="right"/>
              <w:ind w:right="331"/>
              <w:spacing w:after="0"/>
              <w:rPr>
                <w:sz w:val="20"/>
                <w:szCs w:val="20"/>
                <w:color w:val="auto"/>
              </w:rPr>
            </w:pPr>
            <w:r>
              <w:rPr>
                <w:rFonts w:ascii="Courier New" w:cs="Courier New" w:eastAsia="Courier New" w:hAnsi="Courier New"/>
                <w:sz w:val="13"/>
                <w:szCs w:val="13"/>
                <w:color w:val="auto"/>
              </w:rPr>
              <w:t>[* * *]</w:t>
            </w:r>
          </w:p>
        </w:tc>
        <w:tc>
          <w:tcPr>
            <w:tcW w:w="620" w:type="dxa"/>
            <w:vAlign w:val="bottom"/>
            <w:tcBorders>
              <w:right w:val="single" w:sz="8" w:color="auto"/>
            </w:tcBorders>
          </w:tcPr>
          <w:p>
            <w:pPr>
              <w:jc w:val="center"/>
              <w:spacing w:after="0"/>
              <w:rPr>
                <w:sz w:val="20"/>
                <w:szCs w:val="20"/>
                <w:color w:val="auto"/>
              </w:rPr>
            </w:pPr>
            <w:r>
              <w:rPr>
                <w:rFonts w:ascii="Courier New" w:cs="Courier New" w:eastAsia="Courier New" w:hAnsi="Courier New"/>
                <w:sz w:val="13"/>
                <w:szCs w:val="13"/>
                <w:color w:val="auto"/>
              </w:rPr>
              <w:t>EA</w:t>
            </w:r>
          </w:p>
        </w:tc>
        <w:tc>
          <w:tcPr>
            <w:tcW w:w="240" w:type="dxa"/>
            <w:vAlign w:val="bottom"/>
          </w:tcPr>
          <w:p>
            <w:pPr>
              <w:ind w:left="160"/>
              <w:spacing w:after="0"/>
              <w:rPr>
                <w:sz w:val="20"/>
                <w:szCs w:val="20"/>
                <w:color w:val="auto"/>
              </w:rPr>
            </w:pPr>
            <w:r>
              <w:rPr>
                <w:rFonts w:ascii="Courier New" w:cs="Courier New" w:eastAsia="Courier New" w:hAnsi="Courier New"/>
                <w:sz w:val="13"/>
                <w:szCs w:val="13"/>
                <w:color w:val="auto"/>
                <w:w w:val="76"/>
              </w:rPr>
              <w:t>$</w:t>
            </w:r>
          </w:p>
        </w:tc>
        <w:tc>
          <w:tcPr>
            <w:tcW w:w="920" w:type="dxa"/>
            <w:vAlign w:val="bottom"/>
          </w:tcPr>
          <w:p>
            <w:pPr>
              <w:jc w:val="right"/>
              <w:spacing w:after="0"/>
              <w:rPr>
                <w:sz w:val="20"/>
                <w:szCs w:val="20"/>
                <w:color w:val="auto"/>
              </w:rPr>
            </w:pPr>
            <w:r>
              <w:rPr>
                <w:rFonts w:ascii="Courier New" w:cs="Courier New" w:eastAsia="Courier New" w:hAnsi="Courier New"/>
                <w:sz w:val="13"/>
                <w:szCs w:val="13"/>
                <w:color w:val="auto"/>
              </w:rPr>
              <w:t>2,100.00000</w:t>
            </w:r>
          </w:p>
        </w:tc>
        <w:tc>
          <w:tcPr>
            <w:tcW w:w="200" w:type="dxa"/>
            <w:vAlign w:val="bottom"/>
            <w:tcBorders>
              <w:right w:val="single" w:sz="8" w:color="auto"/>
            </w:tcBorders>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Courier New" w:cs="Courier New" w:eastAsia="Courier New" w:hAnsi="Courier New"/>
                <w:sz w:val="13"/>
                <w:szCs w:val="13"/>
                <w:color w:val="auto"/>
              </w:rPr>
              <w:t>$</w:t>
            </w:r>
          </w:p>
        </w:tc>
        <w:tc>
          <w:tcPr>
            <w:tcW w:w="1200" w:type="dxa"/>
            <w:vAlign w:val="bottom"/>
            <w:gridSpan w:val="2"/>
          </w:tcPr>
          <w:p>
            <w:pPr>
              <w:jc w:val="right"/>
              <w:ind w:right="320"/>
              <w:spacing w:after="0"/>
              <w:rPr>
                <w:sz w:val="20"/>
                <w:szCs w:val="20"/>
                <w:color w:val="auto"/>
              </w:rPr>
            </w:pPr>
            <w:r>
              <w:rPr>
                <w:rFonts w:ascii="Courier New" w:cs="Courier New" w:eastAsia="Courier New" w:hAnsi="Courier New"/>
                <w:sz w:val="13"/>
                <w:szCs w:val="13"/>
                <w:color w:val="auto"/>
              </w:rPr>
              <w:t>[* * *]</w:t>
            </w:r>
          </w:p>
        </w:tc>
      </w:tr>
      <w:tr>
        <w:trPr>
          <w:trHeight w:val="461"/>
        </w:trPr>
        <w:tc>
          <w:tcPr>
            <w:tcW w:w="1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Borders>
              <w:top w:val="single" w:sz="8" w:color="auto"/>
            </w:tcBorders>
            <w:gridSpan w:val="13"/>
          </w:tcPr>
          <w:p>
            <w:pPr>
              <w:spacing w:after="0"/>
              <w:rPr>
                <w:sz w:val="20"/>
                <w:szCs w:val="20"/>
                <w:color w:val="auto"/>
              </w:rPr>
            </w:pPr>
            <w:r>
              <w:rPr>
                <w:rFonts w:ascii="Courier New" w:cs="Courier New" w:eastAsia="Courier New" w:hAnsi="Courier New"/>
                <w:sz w:val="13"/>
                <w:szCs w:val="13"/>
                <w:color w:val="auto"/>
              </w:rPr>
              <w:t>COMMODITY NAME: COVID THERAPEUTIC</w:t>
            </w: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175"/>
        </w:trPr>
        <w:tc>
          <w:tcPr>
            <w:tcW w:w="1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Courier New" w:cs="Courier New" w:eastAsia="Courier New" w:hAnsi="Courier New"/>
                <w:sz w:val="13"/>
                <w:szCs w:val="13"/>
                <w:color w:val="auto"/>
                <w:w w:val="95"/>
              </w:rPr>
              <w:t>CLIN CONTRACT TYPE:</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1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6"/>
          </w:tcPr>
          <w:p>
            <w:pPr>
              <w:jc w:val="right"/>
              <w:ind w:right="60"/>
              <w:spacing w:after="0"/>
              <w:rPr>
                <w:sz w:val="20"/>
                <w:szCs w:val="20"/>
                <w:color w:val="auto"/>
              </w:rPr>
            </w:pPr>
            <w:r>
              <w:rPr>
                <w:rFonts w:ascii="Courier New" w:cs="Courier New" w:eastAsia="Courier New" w:hAnsi="Courier New"/>
                <w:sz w:val="13"/>
                <w:szCs w:val="13"/>
                <w:color w:val="auto"/>
              </w:rPr>
              <w:t>Firm Fixed Price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1"/>
        </w:trPr>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ectPr>
          <w:pgSz w:w="11900" w:h="16838" w:orient="portrait"/>
          <w:cols w:equalWidth="0" w:num="1">
            <w:col w:w="10300"/>
          </w:cols>
          <w:pgMar w:left="320" w:top="147" w:right="127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00" w:type="dxa"/>
            <w:vAlign w:val="bottom"/>
            <w:tcBorders>
              <w:top w:val="single" w:sz="8" w:color="auto"/>
              <w:right w:val="single" w:sz="8" w:color="auto"/>
            </w:tcBorders>
          </w:tcPr>
          <w:p>
            <w:pPr>
              <w:spacing w:after="0"/>
              <w:rPr>
                <w:sz w:val="21"/>
                <w:szCs w:val="21"/>
                <w:color w:val="auto"/>
              </w:rPr>
            </w:pPr>
          </w:p>
        </w:tc>
        <w:tc>
          <w:tcPr>
            <w:tcW w:w="490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6"/>
                <w:szCs w:val="16"/>
                <w:b w:val="1"/>
                <w:bCs w:val="1"/>
                <w:color w:val="auto"/>
              </w:rPr>
              <w:t>Reference No. of Document Being Continued</w:t>
            </w:r>
          </w:p>
        </w:tc>
        <w:tc>
          <w:tcPr>
            <w:tcW w:w="2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 xml:space="preserve">Page  </w:t>
            </w:r>
            <w:r>
              <w:rPr>
                <w:rFonts w:ascii="Courier New" w:cs="Courier New" w:eastAsia="Courier New" w:hAnsi="Courier New"/>
                <w:sz w:val="12"/>
                <w:szCs w:val="12"/>
                <w:color w:val="auto"/>
              </w:rPr>
              <w:t>5</w:t>
            </w:r>
            <w:r>
              <w:rPr>
                <w:rFonts w:ascii="Arial" w:cs="Arial" w:eastAsia="Arial" w:hAnsi="Arial"/>
                <w:sz w:val="16"/>
                <w:szCs w:val="16"/>
                <w:color w:val="auto"/>
              </w:rPr>
              <w:t xml:space="preserve"> of </w:t>
            </w:r>
            <w:r>
              <w:rPr>
                <w:rFonts w:ascii="Courier New" w:cs="Courier New" w:eastAsia="Courier New" w:hAnsi="Courier New"/>
                <w:sz w:val="12"/>
                <w:szCs w:val="12"/>
                <w:color w:val="auto"/>
              </w:rPr>
              <w:t>31</w:t>
            </w:r>
          </w:p>
        </w:tc>
        <w:tc>
          <w:tcPr>
            <w:tcW w:w="0" w:type="dxa"/>
            <w:vAlign w:val="bottom"/>
          </w:tcPr>
          <w:p>
            <w:pPr>
              <w:spacing w:after="0"/>
              <w:rPr>
                <w:sz w:val="1"/>
                <w:szCs w:val="1"/>
                <w:color w:val="auto"/>
              </w:rPr>
            </w:pPr>
          </w:p>
        </w:tc>
      </w:tr>
      <w:tr>
        <w:trPr>
          <w:trHeight w:val="105"/>
        </w:trPr>
        <w:tc>
          <w:tcPr>
            <w:tcW w:w="330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CONTINUATION SHEET</w:t>
            </w:r>
          </w:p>
        </w:tc>
        <w:tc>
          <w:tcPr>
            <w:tcW w:w="4900" w:type="dxa"/>
            <w:vAlign w:val="bottom"/>
            <w:tcBorders>
              <w:right w:val="single" w:sz="8" w:color="auto"/>
            </w:tcBorders>
          </w:tcPr>
          <w:p>
            <w:pPr>
              <w:ind w:left="1840"/>
              <w:spacing w:after="0" w:line="105" w:lineRule="exact"/>
              <w:rPr>
                <w:sz w:val="20"/>
                <w:szCs w:val="20"/>
                <w:color w:val="auto"/>
              </w:rPr>
            </w:pPr>
            <w:r>
              <w:rPr>
                <w:rFonts w:ascii="Courier New" w:cs="Courier New" w:eastAsia="Courier New" w:hAnsi="Courier New"/>
                <w:sz w:val="12"/>
                <w:szCs w:val="12"/>
                <w:b w:val="1"/>
                <w:bCs w:val="1"/>
                <w:color w:val="auto"/>
              </w:rPr>
              <w:t>W15QKN-21-C-0014</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00" w:type="dxa"/>
            <w:vAlign w:val="bottom"/>
            <w:tcBorders>
              <w:right w:val="single" w:sz="8" w:color="auto"/>
            </w:tcBorders>
            <w:vMerge w:val="continue"/>
          </w:tcPr>
          <w:p>
            <w:pPr>
              <w:spacing w:after="0"/>
              <w:rPr>
                <w:sz w:val="12"/>
                <w:szCs w:val="12"/>
                <w:color w:val="auto"/>
              </w:rPr>
            </w:pPr>
          </w:p>
        </w:tc>
        <w:tc>
          <w:tcPr>
            <w:tcW w:w="4900" w:type="dxa"/>
            <w:vAlign w:val="bottom"/>
            <w:tcBorders>
              <w:right w:val="single" w:sz="8" w:color="auto"/>
            </w:tcBorders>
            <w:vMerge w:val="restart"/>
          </w:tcPr>
          <w:p>
            <w:pPr>
              <w:ind w:left="540"/>
              <w:spacing w:after="0"/>
              <w:rPr>
                <w:sz w:val="20"/>
                <w:szCs w:val="20"/>
                <w:color w:val="auto"/>
              </w:rPr>
            </w:pPr>
            <w:r>
              <w:rPr>
                <w:rFonts w:ascii="Arial" w:cs="Arial" w:eastAsia="Arial" w:hAnsi="Arial"/>
                <w:sz w:val="16"/>
                <w:szCs w:val="16"/>
                <w:b w:val="1"/>
                <w:bCs w:val="1"/>
                <w:color w:val="auto"/>
              </w:rPr>
              <w:t>PIIN/SIIN   MOD/AMD</w:t>
            </w: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3300" w:type="dxa"/>
            <w:vAlign w:val="bottom"/>
            <w:tcBorders>
              <w:bottom w:val="single" w:sz="8" w:color="auto"/>
              <w:right w:val="single" w:sz="8" w:color="auto"/>
            </w:tcBorders>
          </w:tcPr>
          <w:p>
            <w:pPr>
              <w:spacing w:after="0"/>
              <w:rPr>
                <w:sz w:val="5"/>
                <w:szCs w:val="5"/>
                <w:color w:val="auto"/>
              </w:rPr>
            </w:pPr>
          </w:p>
        </w:tc>
        <w:tc>
          <w:tcPr>
            <w:tcW w:w="4900" w:type="dxa"/>
            <w:vAlign w:val="bottom"/>
            <w:tcBorders>
              <w:bottom w:val="single" w:sz="8" w:color="auto"/>
              <w:right w:val="single" w:sz="8" w:color="auto"/>
            </w:tcBorders>
            <w:vMerge w:val="continue"/>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Name of Offeror or Contractor: </w:t>
      </w: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540500" cy="8443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40500" cy="844359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ITEM NO</w:t>
            </w: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10"/>
          </w:tcPr>
          <w:p>
            <w:pPr>
              <w:ind w:left="180"/>
              <w:spacing w:after="0"/>
              <w:rPr>
                <w:sz w:val="20"/>
                <w:szCs w:val="20"/>
                <w:color w:val="auto"/>
              </w:rPr>
            </w:pPr>
            <w:r>
              <w:rPr>
                <w:rFonts w:ascii="Arial" w:cs="Arial" w:eastAsia="Arial" w:hAnsi="Arial"/>
                <w:sz w:val="16"/>
                <w:szCs w:val="16"/>
                <w:b w:val="1"/>
                <w:bCs w:val="1"/>
                <w:color w:val="auto"/>
              </w:rPr>
              <w:t>SUPPLIES/SERVICES</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QUANTITY</w:t>
            </w: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UNIT</w:t>
            </w: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UNIT PRICE</w:t>
            </w: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65"/>
        </w:trPr>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4"/>
          </w:tcPr>
          <w:p>
            <w:pPr>
              <w:spacing w:after="0"/>
              <w:rPr>
                <w:sz w:val="20"/>
                <w:szCs w:val="20"/>
                <w:color w:val="auto"/>
              </w:rPr>
            </w:pPr>
            <w:r>
              <w:rPr>
                <w:rFonts w:ascii="Courier New" w:cs="Courier New" w:eastAsia="Courier New" w:hAnsi="Courier New"/>
                <w:sz w:val="13"/>
                <w:szCs w:val="13"/>
                <w:color w:val="auto"/>
                <w:w w:val="96"/>
              </w:rPr>
              <w:t>PRON: CB1RD14381</w:t>
            </w:r>
          </w:p>
        </w:tc>
        <w:tc>
          <w:tcPr>
            <w:tcW w:w="160" w:type="dxa"/>
            <w:vAlign w:val="bottom"/>
          </w:tcPr>
          <w:p>
            <w:pPr>
              <w:spacing w:after="0"/>
              <w:rPr>
                <w:sz w:val="23"/>
                <w:szCs w:val="23"/>
                <w:color w:val="auto"/>
              </w:rPr>
            </w:pPr>
          </w:p>
        </w:tc>
        <w:tc>
          <w:tcPr>
            <w:tcW w:w="1340" w:type="dxa"/>
            <w:vAlign w:val="bottom"/>
            <w:gridSpan w:val="8"/>
          </w:tcPr>
          <w:p>
            <w:pPr>
              <w:jc w:val="right"/>
              <w:ind w:right="300"/>
              <w:spacing w:after="0"/>
              <w:rPr>
                <w:sz w:val="20"/>
                <w:szCs w:val="20"/>
                <w:color w:val="auto"/>
              </w:rPr>
            </w:pPr>
            <w:r>
              <w:rPr>
                <w:rFonts w:ascii="Courier New" w:cs="Courier New" w:eastAsia="Courier New" w:hAnsi="Courier New"/>
                <w:sz w:val="13"/>
                <w:szCs w:val="13"/>
                <w:color w:val="auto"/>
              </w:rPr>
              <w:t>PRON AMD: 01</w:t>
            </w:r>
          </w:p>
        </w:tc>
        <w:tc>
          <w:tcPr>
            <w:tcW w:w="1440" w:type="dxa"/>
            <w:vAlign w:val="bottom"/>
            <w:gridSpan w:val="4"/>
          </w:tcPr>
          <w:p>
            <w:pPr>
              <w:spacing w:after="0"/>
              <w:rPr>
                <w:sz w:val="20"/>
                <w:szCs w:val="20"/>
                <w:color w:val="auto"/>
              </w:rPr>
            </w:pPr>
            <w:r>
              <w:rPr>
                <w:rFonts w:ascii="Courier New" w:cs="Courier New" w:eastAsia="Courier New" w:hAnsi="Courier New"/>
                <w:sz w:val="13"/>
                <w:szCs w:val="13"/>
                <w:color w:val="auto"/>
              </w:rPr>
              <w:t>ACRN: AB</w:t>
            </w:r>
          </w:p>
        </w:tc>
        <w:tc>
          <w:tcPr>
            <w:tcW w:w="1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Courier New" w:cs="Courier New" w:eastAsia="Courier New" w:hAnsi="Courier New"/>
                <w:sz w:val="13"/>
                <w:szCs w:val="13"/>
                <w:color w:val="auto"/>
              </w:rPr>
              <w:t>PSC: 6505</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9"/>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Borders>
              <w:bottom w:val="single" w:sz="8" w:color="auto"/>
            </w:tcBorders>
            <w:gridSpan w:val="6"/>
          </w:tcPr>
          <w:p>
            <w:pPr>
              <w:spacing w:after="0"/>
              <w:rPr>
                <w:sz w:val="20"/>
                <w:szCs w:val="20"/>
                <w:color w:val="auto"/>
              </w:rPr>
            </w:pPr>
            <w:r>
              <w:rPr>
                <w:rFonts w:ascii="Courier New" w:cs="Courier New" w:eastAsia="Courier New" w:hAnsi="Courier New"/>
                <w:sz w:val="13"/>
                <w:szCs w:val="13"/>
                <w:color w:val="auto"/>
                <w:w w:val="96"/>
              </w:rPr>
              <w:t>Packaging and Marking</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Borders>
              <w:bottom w:val="single" w:sz="8" w:color="auto"/>
            </w:tcBorders>
            <w:gridSpan w:val="8"/>
          </w:tcPr>
          <w:p>
            <w:pPr>
              <w:spacing w:after="0"/>
              <w:rPr>
                <w:sz w:val="20"/>
                <w:szCs w:val="20"/>
                <w:color w:val="auto"/>
              </w:rPr>
            </w:pPr>
            <w:r>
              <w:rPr>
                <w:rFonts w:ascii="Courier New" w:cs="Courier New" w:eastAsia="Courier New" w:hAnsi="Courier New"/>
                <w:sz w:val="13"/>
                <w:szCs w:val="13"/>
                <w:color w:val="auto"/>
                <w:w w:val="98"/>
              </w:rPr>
              <w:t>Inspection and Acceptance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9"/>
          </w:tcPr>
          <w:p>
            <w:pPr>
              <w:spacing w:after="0"/>
              <w:rPr>
                <w:sz w:val="20"/>
                <w:szCs w:val="20"/>
                <w:color w:val="auto"/>
              </w:rPr>
            </w:pPr>
            <w:r>
              <w:rPr>
                <w:rFonts w:ascii="Courier New" w:cs="Courier New" w:eastAsia="Courier New" w:hAnsi="Courier New"/>
                <w:sz w:val="13"/>
                <w:szCs w:val="13"/>
                <w:color w:val="auto"/>
              </w:rPr>
              <w:t>INSPECTION: Destination</w:t>
            </w:r>
          </w:p>
        </w:tc>
        <w:tc>
          <w:tcPr>
            <w:tcW w:w="2120" w:type="dxa"/>
            <w:vAlign w:val="bottom"/>
            <w:gridSpan w:val="8"/>
          </w:tcPr>
          <w:p>
            <w:pPr>
              <w:spacing w:after="0"/>
              <w:rPr>
                <w:sz w:val="20"/>
                <w:szCs w:val="20"/>
                <w:color w:val="auto"/>
              </w:rPr>
            </w:pPr>
            <w:r>
              <w:rPr>
                <w:rFonts w:ascii="Courier New" w:cs="Courier New" w:eastAsia="Courier New" w:hAnsi="Courier New"/>
                <w:sz w:val="13"/>
                <w:szCs w:val="13"/>
                <w:color w:val="auto"/>
              </w:rPr>
              <w:t>ACCEPTANCE: Destination</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9"/>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9"/>
          </w:tcPr>
          <w:p>
            <w:pPr>
              <w:spacing w:after="0"/>
              <w:rPr>
                <w:sz w:val="20"/>
                <w:szCs w:val="20"/>
                <w:color w:val="auto"/>
              </w:rPr>
            </w:pPr>
            <w:r>
              <w:rPr>
                <w:rFonts w:ascii="Courier New" w:cs="Courier New" w:eastAsia="Courier New" w:hAnsi="Courier New"/>
                <w:sz w:val="13"/>
                <w:szCs w:val="13"/>
                <w:color w:val="auto"/>
              </w:rPr>
              <w:t>Deliveries or Performance</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top w:val="single" w:sz="8" w:color="auto"/>
            </w:tcBorders>
            <w:gridSpan w:val="2"/>
          </w:tcPr>
          <w:p>
            <w:pPr>
              <w:spacing w:after="0"/>
              <w:rPr>
                <w:sz w:val="20"/>
                <w:szCs w:val="20"/>
                <w:color w:val="auto"/>
              </w:rPr>
            </w:pPr>
            <w:r>
              <w:rPr>
                <w:rFonts w:ascii="Courier New" w:cs="Courier New" w:eastAsia="Courier New" w:hAnsi="Courier New"/>
                <w:sz w:val="13"/>
                <w:szCs w:val="13"/>
                <w:color w:val="auto"/>
              </w:rPr>
              <w:t>DOC</w:t>
            </w:r>
          </w:p>
        </w:tc>
        <w:tc>
          <w:tcPr>
            <w:tcW w:w="720" w:type="dxa"/>
            <w:vAlign w:val="bottom"/>
            <w:tcBorders>
              <w:top w:val="single" w:sz="8" w:color="auto"/>
            </w:tcBorders>
            <w:gridSpan w:val="2"/>
          </w:tcPr>
          <w:p>
            <w:pPr>
              <w:ind w:left="40"/>
              <w:spacing w:after="0"/>
              <w:rPr>
                <w:sz w:val="20"/>
                <w:szCs w:val="20"/>
                <w:color w:val="auto"/>
              </w:rPr>
            </w:pPr>
            <w:r>
              <w:rPr>
                <w:rFonts w:ascii="Courier New" w:cs="Courier New" w:eastAsia="Courier New" w:hAnsi="Courier New"/>
                <w:sz w:val="13"/>
                <w:szCs w:val="13"/>
                <w:color w:val="auto"/>
              </w:rPr>
              <w:t>SUPPL</w:t>
            </w: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Courier New" w:cs="Courier New" w:eastAsia="Courier New" w:hAnsi="Courier New"/>
                <w:sz w:val="13"/>
                <w:szCs w:val="13"/>
                <w:color w:val="auto"/>
                <w:w w:val="93"/>
              </w:rPr>
              <w:t>REL CD</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Courier New" w:cs="Courier New" w:eastAsia="Courier New" w:hAnsi="Courier New"/>
                <w:sz w:val="13"/>
                <w:szCs w:val="13"/>
                <w:color w:val="auto"/>
                <w:w w:val="92"/>
              </w:rPr>
              <w:t>MILSTRIP</w:t>
            </w:r>
          </w:p>
        </w:tc>
        <w:tc>
          <w:tcPr>
            <w:tcW w:w="280" w:type="dxa"/>
            <w:vAlign w:val="bottom"/>
            <w:gridSpan w:val="2"/>
          </w:tcPr>
          <w:p>
            <w:pPr>
              <w:spacing w:after="0"/>
              <w:rPr>
                <w:sz w:val="13"/>
                <w:szCs w:val="13"/>
                <w:color w:val="auto"/>
              </w:rPr>
            </w:pPr>
          </w:p>
        </w:tc>
        <w:tc>
          <w:tcPr>
            <w:tcW w:w="2500" w:type="dxa"/>
            <w:vAlign w:val="bottom"/>
            <w:gridSpan w:val="10"/>
          </w:tcPr>
          <w:p>
            <w:pPr>
              <w:spacing w:after="0"/>
              <w:rPr>
                <w:sz w:val="20"/>
                <w:szCs w:val="20"/>
                <w:color w:val="auto"/>
              </w:rPr>
            </w:pPr>
            <w:r>
              <w:rPr>
                <w:rFonts w:ascii="Courier New" w:cs="Courier New" w:eastAsia="Courier New" w:hAnsi="Courier New"/>
                <w:sz w:val="13"/>
                <w:szCs w:val="13"/>
                <w:color w:val="auto"/>
              </w:rPr>
              <w:t>ADDR SIG CD MARK FOR TP CD 001</w:t>
            </w: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7"/>
          </w:tcPr>
          <w:p>
            <w:pPr>
              <w:ind w:left="80"/>
              <w:spacing w:after="0"/>
              <w:rPr>
                <w:sz w:val="20"/>
                <w:szCs w:val="20"/>
                <w:color w:val="auto"/>
              </w:rPr>
            </w:pPr>
            <w:r>
              <w:rPr>
                <w:rFonts w:ascii="Courier New" w:cs="Courier New" w:eastAsia="Courier New" w:hAnsi="Courier New"/>
                <w:sz w:val="13"/>
                <w:szCs w:val="13"/>
                <w:color w:val="auto"/>
                <w:w w:val="95"/>
              </w:rPr>
              <w:t>W56XNH10011002 75A501</w:t>
            </w:r>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J</w:t>
            </w:r>
          </w:p>
        </w:tc>
        <w:tc>
          <w:tcPr>
            <w:tcW w:w="460" w:type="dxa"/>
            <w:vAlign w:val="bottom"/>
            <w:gridSpan w:val="2"/>
          </w:tcPr>
          <w:p>
            <w:pPr>
              <w:jc w:val="right"/>
              <w:ind w:right="80"/>
              <w:spacing w:after="0"/>
              <w:rPr>
                <w:sz w:val="20"/>
                <w:szCs w:val="20"/>
                <w:color w:val="auto"/>
              </w:rPr>
            </w:pPr>
            <w:r>
              <w:rPr>
                <w:rFonts w:ascii="Courier New" w:cs="Courier New" w:eastAsia="Courier New" w:hAnsi="Courier New"/>
                <w:sz w:val="13"/>
                <w:szCs w:val="13"/>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Courier New" w:cs="Courier New" w:eastAsia="Courier New" w:hAnsi="Courier New"/>
                <w:sz w:val="13"/>
                <w:szCs w:val="13"/>
                <w:color w:val="auto"/>
                <w:w w:val="94"/>
              </w:rPr>
              <w:t>DEL REL CD</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4"/>
          </w:tcPr>
          <w:p>
            <w:pPr>
              <w:jc w:val="right"/>
              <w:spacing w:after="0"/>
              <w:rPr>
                <w:sz w:val="20"/>
                <w:szCs w:val="20"/>
                <w:color w:val="auto"/>
              </w:rPr>
            </w:pPr>
            <w:r>
              <w:rPr>
                <w:rFonts w:ascii="Courier New" w:cs="Courier New" w:eastAsia="Courier New" w:hAnsi="Courier New"/>
                <w:sz w:val="13"/>
                <w:szCs w:val="13"/>
                <w:color w:val="auto"/>
              </w:rPr>
              <w:t>QUANTITY</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tcPr>
          <w:p>
            <w:pPr>
              <w:spacing w:after="0"/>
              <w:rPr>
                <w:sz w:val="20"/>
                <w:szCs w:val="20"/>
                <w:color w:val="auto"/>
              </w:rPr>
            </w:pPr>
            <w:r>
              <w:rPr>
                <w:rFonts w:ascii="Courier New" w:cs="Courier New" w:eastAsia="Courier New" w:hAnsi="Courier New"/>
                <w:sz w:val="13"/>
                <w:szCs w:val="13"/>
                <w:color w:val="auto"/>
              </w:rPr>
              <w:t>DEL DATE</w:t>
            </w: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001</w:t>
            </w:r>
          </w:p>
        </w:tc>
        <w:tc>
          <w:tcPr>
            <w:tcW w:w="260" w:type="dxa"/>
            <w:vAlign w:val="bottom"/>
          </w:tcPr>
          <w:p>
            <w:pPr>
              <w:spacing w:after="0"/>
              <w:rPr>
                <w:sz w:val="15"/>
                <w:szCs w:val="15"/>
                <w:color w:val="auto"/>
              </w:rPr>
            </w:pPr>
          </w:p>
        </w:tc>
        <w:tc>
          <w:tcPr>
            <w:tcW w:w="900" w:type="dxa"/>
            <w:vAlign w:val="bottom"/>
            <w:gridSpan w:val="4"/>
          </w:tcPr>
          <w:p>
            <w:pPr>
              <w:jc w:val="right"/>
              <w:ind w:right="60"/>
              <w:spacing w:after="0"/>
              <w:rPr>
                <w:sz w:val="20"/>
                <w:szCs w:val="20"/>
                <w:color w:val="auto"/>
              </w:rPr>
            </w:pPr>
            <w:r>
              <w:rPr>
                <w:rFonts w:ascii="Courier New" w:cs="Courier New" w:eastAsia="Courier New" w:hAnsi="Courier New"/>
                <w:sz w:val="13"/>
                <w:szCs w:val="13"/>
                <w:color w:val="auto"/>
              </w:rPr>
              <w:t>[* * *]</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Courier New" w:cs="Courier New" w:eastAsia="Courier New" w:hAnsi="Courier New"/>
                <w:sz w:val="13"/>
                <w:szCs w:val="13"/>
                <w:color w:val="auto"/>
              </w:rPr>
              <w:t>[* * *]</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0"/>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7"/>
          </w:tcPr>
          <w:p>
            <w:pPr>
              <w:spacing w:after="0"/>
              <w:rPr>
                <w:sz w:val="20"/>
                <w:szCs w:val="20"/>
                <w:color w:val="auto"/>
              </w:rPr>
            </w:pPr>
            <w:r>
              <w:rPr>
                <w:rFonts w:ascii="Courier New" w:cs="Courier New" w:eastAsia="Courier New" w:hAnsi="Courier New"/>
                <w:sz w:val="13"/>
                <w:szCs w:val="13"/>
                <w:color w:val="auto"/>
                <w:w w:val="95"/>
              </w:rPr>
              <w:t>FOB POINT: Destination</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Courier New" w:cs="Courier New" w:eastAsia="Courier New" w:hAnsi="Courier New"/>
                <w:sz w:val="13"/>
                <w:szCs w:val="13"/>
                <w:color w:val="auto"/>
              </w:rPr>
              <w:t>SHIP TO:</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Courier New" w:cs="Courier New" w:eastAsia="Courier New" w:hAnsi="Courier New"/>
                <w:sz w:val="13"/>
                <w:szCs w:val="13"/>
                <w:color w:val="auto"/>
              </w:rPr>
              <w:t>(75A501)</w:t>
            </w:r>
          </w:p>
        </w:tc>
        <w:tc>
          <w:tcPr>
            <w:tcW w:w="460" w:type="dxa"/>
            <w:vAlign w:val="bottom"/>
          </w:tcPr>
          <w:p>
            <w:pPr>
              <w:spacing w:after="0"/>
              <w:rPr>
                <w:sz w:val="24"/>
                <w:szCs w:val="24"/>
                <w:color w:val="auto"/>
              </w:rPr>
            </w:pPr>
          </w:p>
        </w:tc>
        <w:tc>
          <w:tcPr>
            <w:tcW w:w="2940" w:type="dxa"/>
            <w:vAlign w:val="bottom"/>
            <w:gridSpan w:val="13"/>
          </w:tcPr>
          <w:p>
            <w:pPr>
              <w:spacing w:after="0"/>
              <w:rPr>
                <w:sz w:val="20"/>
                <w:szCs w:val="20"/>
                <w:color w:val="auto"/>
              </w:rPr>
            </w:pPr>
            <w:r>
              <w:rPr>
                <w:rFonts w:ascii="Courier New" w:cs="Courier New" w:eastAsia="Courier New" w:hAnsi="Courier New"/>
                <w:sz w:val="13"/>
                <w:szCs w:val="13"/>
                <w:color w:val="auto"/>
              </w:rPr>
              <w:t>OFFICE OF ACQ MGMT POLICY</w:t>
            </w: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gridSpan w:val="10"/>
          </w:tcPr>
          <w:p>
            <w:pPr>
              <w:ind w:left="80"/>
              <w:spacing w:after="0"/>
              <w:rPr>
                <w:sz w:val="20"/>
                <w:szCs w:val="20"/>
                <w:color w:val="auto"/>
              </w:rPr>
            </w:pPr>
            <w:r>
              <w:rPr>
                <w:rFonts w:ascii="Courier New" w:cs="Courier New" w:eastAsia="Courier New" w:hAnsi="Courier New"/>
                <w:sz w:val="13"/>
                <w:szCs w:val="13"/>
                <w:color w:val="auto"/>
                <w:w w:val="99"/>
              </w:rPr>
              <w:t>HUBERT HUMPHREY BLDG 200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0" w:type="dxa"/>
            <w:vAlign w:val="bottom"/>
            <w:gridSpan w:val="14"/>
          </w:tcPr>
          <w:p>
            <w:pPr>
              <w:ind w:left="80"/>
              <w:spacing w:after="0"/>
              <w:rPr>
                <w:sz w:val="20"/>
                <w:szCs w:val="20"/>
                <w:color w:val="auto"/>
              </w:rPr>
            </w:pPr>
            <w:r>
              <w:rPr>
                <w:rFonts w:ascii="Courier New" w:cs="Courier New" w:eastAsia="Courier New" w:hAnsi="Courier New"/>
                <w:sz w:val="13"/>
                <w:szCs w:val="13"/>
                <w:color w:val="auto"/>
              </w:rPr>
              <w:t>INDEPENDENCE AVENUE SW ROOM 336E</w:t>
            </w: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gridSpan w:val="10"/>
          </w:tcPr>
          <w:p>
            <w:pPr>
              <w:ind w:left="80"/>
              <w:spacing w:after="0"/>
              <w:rPr>
                <w:sz w:val="20"/>
                <w:szCs w:val="20"/>
                <w:color w:val="auto"/>
              </w:rPr>
            </w:pPr>
            <w:r>
              <w:rPr>
                <w:rFonts w:ascii="Courier New" w:cs="Courier New" w:eastAsia="Courier New" w:hAnsi="Courier New"/>
                <w:sz w:val="13"/>
                <w:szCs w:val="13"/>
                <w:color w:val="auto"/>
              </w:rPr>
              <w:t>WASHINGTON,DC,20201</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5"/>
        </w:trPr>
        <w:tc>
          <w:tcPr>
            <w:tcW w:w="1020" w:type="dxa"/>
            <w:vAlign w:val="bottom"/>
          </w:tcPr>
          <w:p>
            <w:pPr>
              <w:spacing w:after="0"/>
              <w:rPr>
                <w:sz w:val="24"/>
                <w:szCs w:val="24"/>
                <w:color w:val="auto"/>
              </w:rPr>
            </w:pPr>
          </w:p>
        </w:tc>
        <w:tc>
          <w:tcPr>
            <w:tcW w:w="4400" w:type="dxa"/>
            <w:vAlign w:val="bottom"/>
            <w:gridSpan w:val="18"/>
          </w:tcPr>
          <w:p>
            <w:pPr>
              <w:ind w:left="180"/>
              <w:spacing w:after="0"/>
              <w:rPr>
                <w:sz w:val="20"/>
                <w:szCs w:val="20"/>
                <w:color w:val="auto"/>
              </w:rPr>
            </w:pPr>
            <w:r>
              <w:rPr>
                <w:rFonts w:ascii="Courier New" w:cs="Courier New" w:eastAsia="Courier New" w:hAnsi="Courier New"/>
                <w:sz w:val="13"/>
                <w:szCs w:val="13"/>
                <w:color w:val="auto"/>
              </w:rPr>
              <w:t>The parties will coordinate ordering through</w:t>
            </w: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4400" w:type="dxa"/>
            <w:vAlign w:val="bottom"/>
            <w:gridSpan w:val="18"/>
          </w:tcPr>
          <w:p>
            <w:pPr>
              <w:ind w:left="180"/>
              <w:spacing w:after="0"/>
              <w:rPr>
                <w:sz w:val="20"/>
                <w:szCs w:val="20"/>
                <w:color w:val="auto"/>
              </w:rPr>
            </w:pPr>
            <w:r>
              <w:rPr>
                <w:rFonts w:ascii="Courier New" w:cs="Courier New" w:eastAsia="Courier New" w:hAnsi="Courier New"/>
                <w:sz w:val="13"/>
                <w:szCs w:val="13"/>
                <w:color w:val="auto"/>
              </w:rPr>
              <w:t>centralized distribution via the established</w:t>
            </w:r>
          </w:p>
        </w:tc>
        <w:tc>
          <w:tcPr>
            <w:tcW w:w="1220" w:type="dxa"/>
            <w:vAlign w:val="bottom"/>
            <w:vMerge w:val="restart"/>
          </w:tcPr>
          <w:p>
            <w:pPr>
              <w:jc w:val="right"/>
              <w:ind w:right="248"/>
              <w:spacing w:after="0"/>
              <w:rPr>
                <w:sz w:val="20"/>
                <w:szCs w:val="20"/>
                <w:color w:val="auto"/>
              </w:rPr>
            </w:pPr>
            <w:r>
              <w:rPr>
                <w:rFonts w:ascii="Courier New" w:cs="Courier New" w:eastAsia="Courier New" w:hAnsi="Courier New"/>
                <w:sz w:val="13"/>
                <w:szCs w:val="13"/>
                <w:color w:val="auto"/>
              </w:rPr>
              <w:t>[* * *]</w:t>
            </w:r>
          </w:p>
        </w:tc>
        <w:tc>
          <w:tcPr>
            <w:tcW w:w="720" w:type="dxa"/>
            <w:vAlign w:val="bottom"/>
          </w:tcPr>
          <w:p>
            <w:pPr>
              <w:ind w:left="100"/>
              <w:spacing w:after="0"/>
              <w:rPr>
                <w:sz w:val="20"/>
                <w:szCs w:val="20"/>
                <w:color w:val="auto"/>
              </w:rPr>
            </w:pPr>
            <w:r>
              <w:rPr>
                <w:rFonts w:ascii="Courier New" w:cs="Courier New" w:eastAsia="Courier New" w:hAnsi="Courier New"/>
                <w:sz w:val="13"/>
                <w:szCs w:val="13"/>
                <w:color w:val="auto"/>
              </w:rPr>
              <w:t>EA</w:t>
            </w:r>
          </w:p>
        </w:tc>
        <w:tc>
          <w:tcPr>
            <w:tcW w:w="1140" w:type="dxa"/>
            <w:vAlign w:val="bottom"/>
            <w:gridSpan w:val="2"/>
            <w:vMerge w:val="restart"/>
          </w:tcPr>
          <w:p>
            <w:pPr>
              <w:ind w:left="140"/>
              <w:spacing w:after="0"/>
              <w:rPr>
                <w:sz w:val="20"/>
                <w:szCs w:val="20"/>
                <w:color w:val="auto"/>
              </w:rPr>
            </w:pPr>
            <w:r>
              <w:rPr>
                <w:rFonts w:ascii="Courier New" w:cs="Courier New" w:eastAsia="Courier New" w:hAnsi="Courier New"/>
                <w:sz w:val="13"/>
                <w:szCs w:val="13"/>
                <w:color w:val="auto"/>
                <w:w w:val="96"/>
              </w:rPr>
              <w:t>$ 2,100.00000</w:t>
            </w:r>
          </w:p>
        </w:tc>
        <w:tc>
          <w:tcPr>
            <w:tcW w:w="600" w:type="dxa"/>
            <w:vAlign w:val="bottom"/>
            <w:gridSpan w:val="2"/>
            <w:vMerge w:val="restart"/>
          </w:tcPr>
          <w:p>
            <w:pPr>
              <w:jc w:val="right"/>
              <w:ind w:right="20"/>
              <w:spacing w:after="0"/>
              <w:rPr>
                <w:sz w:val="20"/>
                <w:szCs w:val="20"/>
                <w:color w:val="auto"/>
              </w:rPr>
            </w:pPr>
            <w:r>
              <w:rPr>
                <w:rFonts w:ascii="Courier New" w:cs="Courier New" w:eastAsia="Courier New" w:hAnsi="Courier New"/>
                <w:sz w:val="13"/>
                <w:szCs w:val="13"/>
                <w:color w:val="auto"/>
              </w:rPr>
              <w:t>$</w:t>
            </w:r>
          </w:p>
        </w:tc>
        <w:tc>
          <w:tcPr>
            <w:tcW w:w="1200" w:type="dxa"/>
            <w:vAlign w:val="bottom"/>
            <w:gridSpan w:val="2"/>
            <w:vMerge w:val="restart"/>
          </w:tcPr>
          <w:p>
            <w:pPr>
              <w:jc w:val="right"/>
              <w:ind w:right="320"/>
              <w:spacing w:after="0"/>
              <w:rPr>
                <w:sz w:val="20"/>
                <w:szCs w:val="20"/>
                <w:color w:val="auto"/>
              </w:rPr>
            </w:pPr>
            <w:r>
              <w:rPr>
                <w:rFonts w:ascii="Courier New" w:cs="Courier New" w:eastAsia="Courier New" w:hAnsi="Courier New"/>
                <w:sz w:val="13"/>
                <w:szCs w:val="13"/>
                <w:color w:val="auto"/>
              </w:rPr>
              <w:t>[* * *]</w:t>
            </w:r>
          </w:p>
        </w:tc>
        <w:tc>
          <w:tcPr>
            <w:tcW w:w="0" w:type="dxa"/>
            <w:vAlign w:val="bottom"/>
          </w:tcPr>
          <w:p>
            <w:pPr>
              <w:spacing w:after="0"/>
              <w:rPr>
                <w:sz w:val="1"/>
                <w:szCs w:val="1"/>
                <w:color w:val="auto"/>
              </w:rPr>
            </w:pPr>
          </w:p>
        </w:tc>
      </w:tr>
      <w:tr>
        <w:trPr>
          <w:trHeight w:val="99"/>
        </w:trPr>
        <w:tc>
          <w:tcPr>
            <w:tcW w:w="1020" w:type="dxa"/>
            <w:vAlign w:val="bottom"/>
          </w:tcPr>
          <w:p>
            <w:pPr>
              <w:spacing w:after="0"/>
              <w:rPr>
                <w:sz w:val="8"/>
                <w:szCs w:val="8"/>
                <w:color w:val="auto"/>
              </w:rPr>
            </w:pPr>
          </w:p>
        </w:tc>
        <w:tc>
          <w:tcPr>
            <w:tcW w:w="4400" w:type="dxa"/>
            <w:vAlign w:val="bottom"/>
            <w:gridSpan w:val="18"/>
            <w:vMerge w:val="restart"/>
          </w:tcPr>
          <w:p>
            <w:pPr>
              <w:ind w:left="180"/>
              <w:spacing w:after="0"/>
              <w:rPr>
                <w:sz w:val="20"/>
                <w:szCs w:val="20"/>
                <w:color w:val="auto"/>
              </w:rPr>
            </w:pPr>
            <w:r>
              <w:rPr>
                <w:rFonts w:ascii="Courier New" w:cs="Courier New" w:eastAsia="Courier New" w:hAnsi="Courier New"/>
                <w:sz w:val="13"/>
                <w:szCs w:val="13"/>
                <w:color w:val="auto"/>
              </w:rPr>
              <w:t>Memorandum of Understanding between Regeneron, ASPR,</w:t>
            </w:r>
          </w:p>
        </w:tc>
        <w:tc>
          <w:tcPr>
            <w:tcW w:w="12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020" w:type="dxa"/>
            <w:vAlign w:val="bottom"/>
          </w:tcPr>
          <w:p>
            <w:pPr>
              <w:spacing w:after="0"/>
              <w:rPr>
                <w:sz w:val="3"/>
                <w:szCs w:val="3"/>
                <w:color w:val="auto"/>
              </w:rPr>
            </w:pPr>
          </w:p>
        </w:tc>
        <w:tc>
          <w:tcPr>
            <w:tcW w:w="4400" w:type="dxa"/>
            <w:vAlign w:val="bottom"/>
            <w:gridSpan w:val="18"/>
            <w:vMerge w:val="continue"/>
          </w:tcPr>
          <w:p>
            <w:pPr>
              <w:spacing w:after="0"/>
              <w:rPr>
                <w:sz w:val="3"/>
                <w:szCs w:val="3"/>
                <w:color w:val="auto"/>
              </w:rPr>
            </w:pPr>
          </w:p>
        </w:tc>
        <w:tc>
          <w:tcPr>
            <w:tcW w:w="1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140"/>
              <w:spacing w:after="0"/>
              <w:rPr>
                <w:sz w:val="20"/>
                <w:szCs w:val="20"/>
                <w:color w:val="auto"/>
              </w:rPr>
            </w:pPr>
            <w:r>
              <w:rPr>
                <w:rFonts w:ascii="Courier New" w:cs="Courier New" w:eastAsia="Courier New" w:hAnsi="Courier New"/>
                <w:sz w:val="13"/>
                <w:szCs w:val="13"/>
                <w:color w:val="auto"/>
              </w:rPr>
              <w:t>0001AC</w:t>
            </w:r>
          </w:p>
        </w:tc>
        <w:tc>
          <w:tcPr>
            <w:tcW w:w="4400" w:type="dxa"/>
            <w:vAlign w:val="bottom"/>
            <w:gridSpan w:val="18"/>
          </w:tcPr>
          <w:p>
            <w:pPr>
              <w:ind w:left="180"/>
              <w:spacing w:after="0"/>
              <w:rPr>
                <w:sz w:val="20"/>
                <w:szCs w:val="20"/>
                <w:color w:val="auto"/>
              </w:rPr>
            </w:pPr>
            <w:r>
              <w:rPr>
                <w:rFonts w:ascii="Courier New" w:cs="Courier New" w:eastAsia="Courier New" w:hAnsi="Courier New"/>
                <w:sz w:val="13"/>
                <w:szCs w:val="13"/>
                <w:color w:val="auto"/>
              </w:rPr>
              <w:t>and AmerisourceBergen. Exact ship-to locations for</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4400" w:type="dxa"/>
            <w:vAlign w:val="bottom"/>
            <w:gridSpan w:val="18"/>
          </w:tcPr>
          <w:p>
            <w:pPr>
              <w:ind w:left="180"/>
              <w:spacing w:after="0"/>
              <w:rPr>
                <w:sz w:val="20"/>
                <w:szCs w:val="20"/>
                <w:color w:val="auto"/>
              </w:rPr>
            </w:pPr>
            <w:r>
              <w:rPr>
                <w:rFonts w:ascii="Courier New" w:cs="Courier New" w:eastAsia="Courier New" w:hAnsi="Courier New"/>
                <w:sz w:val="13"/>
                <w:szCs w:val="13"/>
                <w:color w:val="auto"/>
              </w:rPr>
              <w:t>product will be identified through this coordinated</w:t>
            </w:r>
          </w:p>
        </w:tc>
        <w:tc>
          <w:tcPr>
            <w:tcW w:w="1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1000" w:type="dxa"/>
            <w:vAlign w:val="bottom"/>
            <w:gridSpan w:val="4"/>
          </w:tcPr>
          <w:p>
            <w:pPr>
              <w:ind w:left="180"/>
              <w:spacing w:after="0"/>
              <w:rPr>
                <w:sz w:val="20"/>
                <w:szCs w:val="20"/>
                <w:color w:val="auto"/>
              </w:rPr>
            </w:pPr>
            <w:r>
              <w:rPr>
                <w:rFonts w:ascii="Courier New" w:cs="Courier New" w:eastAsia="Courier New" w:hAnsi="Courier New"/>
                <w:sz w:val="13"/>
                <w:szCs w:val="13"/>
                <w:color w:val="auto"/>
              </w:rPr>
              <w:t>process.</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gridSpan w:val="13"/>
          </w:tcPr>
          <w:p>
            <w:pPr>
              <w:spacing w:after="0"/>
              <w:rPr>
                <w:sz w:val="20"/>
                <w:szCs w:val="20"/>
                <w:color w:val="auto"/>
              </w:rPr>
            </w:pPr>
            <w:r>
              <w:rPr>
                <w:rFonts w:ascii="Courier New" w:cs="Courier New" w:eastAsia="Courier New" w:hAnsi="Courier New"/>
                <w:sz w:val="13"/>
                <w:szCs w:val="13"/>
                <w:color w:val="auto"/>
              </w:rPr>
              <w:t>(End of narrative F001)</w:t>
            </w: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u w:val="single" w:color="auto"/>
          <w:color w:val="auto"/>
        </w:rPr>
        <w:t>COVID-19 THERAPEUTIC (REGN10987 AND REGN10933)</w:t>
      </w: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COMMODITY NAME: COVID THERAPEUTIC</w:t>
      </w:r>
    </w:p>
    <w:p>
      <w:pPr>
        <w:spacing w:after="0" w:line="28"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CLIN CONTRACT TYPE:</w:t>
      </w:r>
    </w:p>
    <w:p>
      <w:pPr>
        <w:spacing w:after="0" w:line="15" w:lineRule="exact"/>
        <w:rPr>
          <w:sz w:val="20"/>
          <w:szCs w:val="20"/>
          <w:color w:val="auto"/>
        </w:rPr>
      </w:pPr>
    </w:p>
    <w:tbl>
      <w:tblPr>
        <w:tblLayout w:type="fixed"/>
        <w:tblInd w:w="1260" w:type="dxa"/>
        <w:tblCellMar>
          <w:top w:w="0" w:type="dxa"/>
          <w:left w:w="0" w:type="dxa"/>
          <w:bottom w:w="0" w:type="dxa"/>
          <w:right w:w="0" w:type="dxa"/>
        </w:tblCellMar>
      </w:tblPr>
      <w:tr>
        <w:trPr>
          <w:trHeight w:val="147"/>
        </w:trPr>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8"/>
          </w:tcPr>
          <w:p>
            <w:pPr>
              <w:jc w:val="right"/>
              <w:ind w:right="180"/>
              <w:spacing w:after="0"/>
              <w:rPr>
                <w:sz w:val="20"/>
                <w:szCs w:val="20"/>
                <w:color w:val="auto"/>
              </w:rPr>
            </w:pPr>
            <w:r>
              <w:rPr>
                <w:rFonts w:ascii="Courier New" w:cs="Courier New" w:eastAsia="Courier New" w:hAnsi="Courier New"/>
                <w:sz w:val="13"/>
                <w:szCs w:val="13"/>
                <w:color w:val="auto"/>
              </w:rPr>
              <w:t>Firm Fixed Price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03"/>
        </w:trPr>
        <w:tc>
          <w:tcPr>
            <w:tcW w:w="1440" w:type="dxa"/>
            <w:vAlign w:val="bottom"/>
            <w:gridSpan w:val="6"/>
          </w:tcPr>
          <w:p>
            <w:pPr>
              <w:spacing w:after="0"/>
              <w:rPr>
                <w:sz w:val="20"/>
                <w:szCs w:val="20"/>
                <w:color w:val="auto"/>
              </w:rPr>
            </w:pPr>
            <w:r>
              <w:rPr>
                <w:rFonts w:ascii="Courier New" w:cs="Courier New" w:eastAsia="Courier New" w:hAnsi="Courier New"/>
                <w:sz w:val="13"/>
                <w:szCs w:val="13"/>
                <w:color w:val="auto"/>
              </w:rPr>
              <w:t>PRON: CB1RD41544</w:t>
            </w:r>
          </w:p>
        </w:tc>
        <w:tc>
          <w:tcPr>
            <w:tcW w:w="980" w:type="dxa"/>
            <w:vAlign w:val="bottom"/>
            <w:gridSpan w:val="7"/>
          </w:tcPr>
          <w:p>
            <w:pPr>
              <w:jc w:val="right"/>
              <w:spacing w:after="0"/>
              <w:rPr>
                <w:sz w:val="20"/>
                <w:szCs w:val="20"/>
                <w:color w:val="auto"/>
              </w:rPr>
            </w:pPr>
            <w:r>
              <w:rPr>
                <w:rFonts w:ascii="Courier New" w:cs="Courier New" w:eastAsia="Courier New" w:hAnsi="Courier New"/>
                <w:sz w:val="13"/>
                <w:szCs w:val="13"/>
                <w:color w:val="auto"/>
              </w:rPr>
              <w:t>PRON AMD: 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5"/>
          </w:tcPr>
          <w:p>
            <w:pPr>
              <w:ind w:left="140"/>
              <w:spacing w:after="0"/>
              <w:rPr>
                <w:sz w:val="20"/>
                <w:szCs w:val="20"/>
                <w:color w:val="auto"/>
              </w:rPr>
            </w:pPr>
            <w:r>
              <w:rPr>
                <w:rFonts w:ascii="Courier New" w:cs="Courier New" w:eastAsia="Courier New" w:hAnsi="Courier New"/>
                <w:sz w:val="13"/>
                <w:szCs w:val="13"/>
                <w:color w:val="auto"/>
              </w:rPr>
              <w:t>ACRN: AC</w:t>
            </w:r>
          </w:p>
        </w:tc>
      </w:tr>
      <w:tr>
        <w:trPr>
          <w:trHeight w:val="175"/>
        </w:trPr>
        <w:tc>
          <w:tcPr>
            <w:tcW w:w="780" w:type="dxa"/>
            <w:vAlign w:val="bottom"/>
            <w:gridSpan w:val="3"/>
          </w:tcPr>
          <w:p>
            <w:pPr>
              <w:spacing w:after="0"/>
              <w:rPr>
                <w:sz w:val="20"/>
                <w:szCs w:val="20"/>
                <w:color w:val="auto"/>
              </w:rPr>
            </w:pPr>
            <w:r>
              <w:rPr>
                <w:rFonts w:ascii="Courier New" w:cs="Courier New" w:eastAsia="Courier New" w:hAnsi="Courier New"/>
                <w:sz w:val="13"/>
                <w:szCs w:val="13"/>
                <w:color w:val="auto"/>
              </w:rPr>
              <w:t>PSC: 6505</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625"/>
        </w:trPr>
        <w:tc>
          <w:tcPr>
            <w:tcW w:w="200" w:type="dxa"/>
            <w:vAlign w:val="bottom"/>
          </w:tcPr>
          <w:p>
            <w:pPr>
              <w:spacing w:after="0"/>
              <w:rPr>
                <w:sz w:val="24"/>
                <w:szCs w:val="24"/>
                <w:color w:val="auto"/>
              </w:rPr>
            </w:pPr>
          </w:p>
        </w:tc>
        <w:tc>
          <w:tcPr>
            <w:tcW w:w="1760" w:type="dxa"/>
            <w:vAlign w:val="bottom"/>
            <w:gridSpan w:val="9"/>
          </w:tcPr>
          <w:p>
            <w:pPr>
              <w:jc w:val="right"/>
              <w:ind w:right="180"/>
              <w:spacing w:after="0"/>
              <w:rPr>
                <w:sz w:val="20"/>
                <w:szCs w:val="20"/>
                <w:color w:val="auto"/>
              </w:rPr>
            </w:pPr>
            <w:r>
              <w:rPr>
                <w:rFonts w:ascii="Courier New" w:cs="Courier New" w:eastAsia="Courier New" w:hAnsi="Courier New"/>
                <w:sz w:val="13"/>
                <w:szCs w:val="13"/>
                <w:color w:val="auto"/>
                <w:w w:val="95"/>
              </w:rPr>
              <w:t>Packaging and Marking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628"/>
        </w:trPr>
        <w:tc>
          <w:tcPr>
            <w:tcW w:w="1900" w:type="dxa"/>
            <w:vAlign w:val="bottom"/>
            <w:tcBorders>
              <w:bottom w:val="single" w:sz="8" w:color="auto"/>
            </w:tcBorders>
            <w:gridSpan w:val="9"/>
          </w:tcPr>
          <w:p>
            <w:pPr>
              <w:spacing w:after="0"/>
              <w:rPr>
                <w:sz w:val="20"/>
                <w:szCs w:val="20"/>
                <w:color w:val="auto"/>
              </w:rPr>
            </w:pPr>
            <w:r>
              <w:rPr>
                <w:rFonts w:ascii="Courier New" w:cs="Courier New" w:eastAsia="Courier New" w:hAnsi="Courier New"/>
                <w:sz w:val="13"/>
                <w:szCs w:val="13"/>
                <w:color w:val="auto"/>
                <w:w w:val="96"/>
              </w:rPr>
              <w:t>Inspection and Acceptance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8"/>
        </w:trPr>
        <w:tc>
          <w:tcPr>
            <w:tcW w:w="1960" w:type="dxa"/>
            <w:vAlign w:val="bottom"/>
            <w:gridSpan w:val="10"/>
          </w:tcPr>
          <w:p>
            <w:pPr>
              <w:spacing w:after="0"/>
              <w:rPr>
                <w:sz w:val="20"/>
                <w:szCs w:val="20"/>
                <w:color w:val="auto"/>
              </w:rPr>
            </w:pPr>
            <w:r>
              <w:rPr>
                <w:rFonts w:ascii="Courier New" w:cs="Courier New" w:eastAsia="Courier New" w:hAnsi="Courier New"/>
                <w:sz w:val="13"/>
                <w:szCs w:val="13"/>
                <w:color w:val="auto"/>
              </w:rPr>
              <w:t>INSPECTION: Destination</w:t>
            </w:r>
          </w:p>
        </w:tc>
        <w:tc>
          <w:tcPr>
            <w:tcW w:w="100" w:type="dxa"/>
            <w:vAlign w:val="bottom"/>
          </w:tcPr>
          <w:p>
            <w:pPr>
              <w:spacing w:after="0"/>
              <w:rPr>
                <w:sz w:val="15"/>
                <w:szCs w:val="15"/>
                <w:color w:val="auto"/>
              </w:rPr>
            </w:pPr>
          </w:p>
        </w:tc>
        <w:tc>
          <w:tcPr>
            <w:tcW w:w="1880" w:type="dxa"/>
            <w:vAlign w:val="bottom"/>
            <w:gridSpan w:val="9"/>
          </w:tcPr>
          <w:p>
            <w:pPr>
              <w:spacing w:after="0"/>
              <w:rPr>
                <w:sz w:val="20"/>
                <w:szCs w:val="20"/>
                <w:color w:val="auto"/>
              </w:rPr>
            </w:pPr>
            <w:r>
              <w:rPr>
                <w:rFonts w:ascii="Courier New" w:cs="Courier New" w:eastAsia="Courier New" w:hAnsi="Courier New"/>
                <w:sz w:val="13"/>
                <w:szCs w:val="13"/>
                <w:color w:val="auto"/>
              </w:rPr>
              <w:t>ACCEPTANCE: Destination</w:t>
            </w:r>
          </w:p>
        </w:tc>
      </w:tr>
      <w:tr>
        <w:trPr>
          <w:trHeight w:val="639"/>
        </w:trPr>
        <w:tc>
          <w:tcPr>
            <w:tcW w:w="1960" w:type="dxa"/>
            <w:vAlign w:val="bottom"/>
            <w:gridSpan w:val="10"/>
          </w:tcPr>
          <w:p>
            <w:pPr>
              <w:spacing w:after="0"/>
              <w:rPr>
                <w:sz w:val="20"/>
                <w:szCs w:val="20"/>
                <w:color w:val="auto"/>
              </w:rPr>
            </w:pPr>
            <w:r>
              <w:rPr>
                <w:rFonts w:ascii="Courier New" w:cs="Courier New" w:eastAsia="Courier New" w:hAnsi="Courier New"/>
                <w:sz w:val="13"/>
                <w:szCs w:val="13"/>
                <w:color w:val="auto"/>
                <w:w w:val="99"/>
              </w:rPr>
              <w:t>Deliveries or Performance</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8"/>
        </w:trPr>
        <w:tc>
          <w:tcPr>
            <w:tcW w:w="460" w:type="dxa"/>
            <w:vAlign w:val="bottom"/>
            <w:tcBorders>
              <w:top w:val="single" w:sz="8" w:color="auto"/>
            </w:tcBorders>
            <w:gridSpan w:val="2"/>
          </w:tcPr>
          <w:p>
            <w:pPr>
              <w:spacing w:after="0"/>
              <w:rPr>
                <w:sz w:val="20"/>
                <w:szCs w:val="20"/>
                <w:color w:val="auto"/>
              </w:rPr>
            </w:pPr>
            <w:r>
              <w:rPr>
                <w:rFonts w:ascii="Courier New" w:cs="Courier New" w:eastAsia="Courier New" w:hAnsi="Courier New"/>
                <w:sz w:val="13"/>
                <w:szCs w:val="13"/>
                <w:color w:val="auto"/>
              </w:rPr>
              <w:t>DOC</w:t>
            </w:r>
          </w:p>
        </w:tc>
        <w:tc>
          <w:tcPr>
            <w:tcW w:w="980" w:type="dxa"/>
            <w:vAlign w:val="bottom"/>
            <w:tcBorders>
              <w:top w:val="single" w:sz="8" w:color="auto"/>
            </w:tcBorders>
            <w:gridSpan w:val="4"/>
          </w:tcPr>
          <w:p>
            <w:pPr>
              <w:ind w:left="80"/>
              <w:spacing w:after="0"/>
              <w:rPr>
                <w:sz w:val="20"/>
                <w:szCs w:val="20"/>
                <w:color w:val="auto"/>
              </w:rPr>
            </w:pPr>
            <w:r>
              <w:rPr>
                <w:rFonts w:ascii="Courier New" w:cs="Courier New" w:eastAsia="Courier New" w:hAnsi="Courier New"/>
                <w:sz w:val="13"/>
                <w:szCs w:val="13"/>
                <w:color w:val="auto"/>
              </w:rPr>
              <w:t>SUPPL</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53"/>
        </w:trPr>
        <w:tc>
          <w:tcPr>
            <w:tcW w:w="460" w:type="dxa"/>
            <w:vAlign w:val="bottom"/>
            <w:gridSpan w:val="2"/>
          </w:tcPr>
          <w:p>
            <w:pPr>
              <w:spacing w:after="0"/>
              <w:rPr>
                <w:sz w:val="20"/>
                <w:szCs w:val="20"/>
                <w:color w:val="auto"/>
              </w:rPr>
            </w:pPr>
            <w:r>
              <w:rPr>
                <w:rFonts w:ascii="Courier New" w:cs="Courier New" w:eastAsia="Courier New" w:hAnsi="Courier New"/>
                <w:sz w:val="13"/>
                <w:szCs w:val="13"/>
                <w:color w:val="auto"/>
                <w:w w:val="93"/>
              </w:rPr>
              <w:t>REL CD</w:t>
            </w:r>
          </w:p>
        </w:tc>
        <w:tc>
          <w:tcPr>
            <w:tcW w:w="32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Courier New" w:cs="Courier New" w:eastAsia="Courier New" w:hAnsi="Courier New"/>
                <w:sz w:val="13"/>
                <w:szCs w:val="13"/>
                <w:color w:val="auto"/>
              </w:rPr>
              <w:t>MILSTRIP</w:t>
            </w:r>
          </w:p>
        </w:tc>
        <w:tc>
          <w:tcPr>
            <w:tcW w:w="2500" w:type="dxa"/>
            <w:vAlign w:val="bottom"/>
            <w:gridSpan w:val="14"/>
          </w:tcPr>
          <w:p>
            <w:pPr>
              <w:ind w:left="220"/>
              <w:spacing w:after="0"/>
              <w:rPr>
                <w:sz w:val="20"/>
                <w:szCs w:val="20"/>
                <w:color w:val="auto"/>
              </w:rPr>
            </w:pPr>
            <w:r>
              <w:rPr>
                <w:rFonts w:ascii="Courier New" w:cs="Courier New" w:eastAsia="Courier New" w:hAnsi="Courier New"/>
                <w:sz w:val="13"/>
                <w:szCs w:val="13"/>
                <w:color w:val="auto"/>
                <w:w w:val="96"/>
              </w:rPr>
              <w:t>ADDR SIG CD MARK FOR TP CD 001</w:t>
            </w:r>
          </w:p>
        </w:tc>
      </w:tr>
      <w:tr>
        <w:trPr>
          <w:trHeight w:val="20"/>
        </w:trPr>
        <w:tc>
          <w:tcPr>
            <w:tcW w:w="4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8"/>
        </w:trPr>
        <w:tc>
          <w:tcPr>
            <w:tcW w:w="1960" w:type="dxa"/>
            <w:vAlign w:val="bottom"/>
            <w:gridSpan w:val="10"/>
          </w:tcPr>
          <w:p>
            <w:pPr>
              <w:ind w:left="80"/>
              <w:spacing w:after="0"/>
              <w:rPr>
                <w:sz w:val="20"/>
                <w:szCs w:val="20"/>
                <w:color w:val="auto"/>
              </w:rPr>
            </w:pPr>
            <w:r>
              <w:rPr>
                <w:rFonts w:ascii="Courier New" w:cs="Courier New" w:eastAsia="Courier New" w:hAnsi="Courier New"/>
                <w:sz w:val="13"/>
                <w:szCs w:val="13"/>
                <w:color w:val="auto"/>
              </w:rPr>
              <w:t>W56XNH10011003 75A501</w:t>
            </w:r>
          </w:p>
        </w:tc>
        <w:tc>
          <w:tcPr>
            <w:tcW w:w="100" w:type="dxa"/>
            <w:vAlign w:val="bottom"/>
          </w:tcPr>
          <w:p>
            <w:pPr>
              <w:spacing w:after="0"/>
              <w:rPr>
                <w:sz w:val="20"/>
                <w:szCs w:val="20"/>
                <w:color w:val="auto"/>
              </w:rPr>
            </w:pPr>
            <w:r>
              <w:rPr>
                <w:rFonts w:ascii="Courier New" w:cs="Courier New" w:eastAsia="Courier New" w:hAnsi="Courier New"/>
                <w:sz w:val="13"/>
                <w:szCs w:val="13"/>
                <w:color w:val="auto"/>
                <w:w w:val="76"/>
              </w:rPr>
              <w:t>J</w:t>
            </w:r>
          </w:p>
        </w:tc>
        <w:tc>
          <w:tcPr>
            <w:tcW w:w="3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39"/>
        </w:trPr>
        <w:tc>
          <w:tcPr>
            <w:tcW w:w="780" w:type="dxa"/>
            <w:vAlign w:val="bottom"/>
            <w:gridSpan w:val="3"/>
          </w:tcPr>
          <w:p>
            <w:pPr>
              <w:spacing w:after="0" w:line="140" w:lineRule="exact"/>
              <w:rPr>
                <w:sz w:val="20"/>
                <w:szCs w:val="20"/>
                <w:color w:val="auto"/>
              </w:rPr>
            </w:pPr>
            <w:r>
              <w:rPr>
                <w:rFonts w:ascii="Courier New" w:cs="Courier New" w:eastAsia="Courier New" w:hAnsi="Courier New"/>
                <w:sz w:val="13"/>
                <w:szCs w:val="13"/>
                <w:color w:val="auto"/>
                <w:w w:val="94"/>
              </w:rPr>
              <w:t>DEL REL CD</w:t>
            </w:r>
          </w:p>
        </w:tc>
        <w:tc>
          <w:tcPr>
            <w:tcW w:w="280" w:type="dxa"/>
            <w:vAlign w:val="bottom"/>
          </w:tcPr>
          <w:p>
            <w:pPr>
              <w:spacing w:after="0"/>
              <w:rPr>
                <w:sz w:val="12"/>
                <w:szCs w:val="12"/>
                <w:color w:val="auto"/>
              </w:rPr>
            </w:pPr>
          </w:p>
        </w:tc>
        <w:tc>
          <w:tcPr>
            <w:tcW w:w="900" w:type="dxa"/>
            <w:vAlign w:val="bottom"/>
            <w:gridSpan w:val="6"/>
          </w:tcPr>
          <w:p>
            <w:pPr>
              <w:ind w:left="80"/>
              <w:spacing w:after="0" w:line="140" w:lineRule="exact"/>
              <w:rPr>
                <w:sz w:val="20"/>
                <w:szCs w:val="20"/>
                <w:color w:val="auto"/>
              </w:rPr>
            </w:pPr>
            <w:r>
              <w:rPr>
                <w:rFonts w:ascii="Courier New" w:cs="Courier New" w:eastAsia="Courier New" w:hAnsi="Courier New"/>
                <w:sz w:val="13"/>
                <w:szCs w:val="13"/>
                <w:color w:val="auto"/>
              </w:rPr>
              <w:t>QUANTITY</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7"/>
          </w:tcPr>
          <w:p>
            <w:pPr>
              <w:spacing w:after="0" w:line="140" w:lineRule="exact"/>
              <w:rPr>
                <w:sz w:val="20"/>
                <w:szCs w:val="20"/>
                <w:color w:val="auto"/>
              </w:rPr>
            </w:pPr>
            <w:r>
              <w:rPr>
                <w:rFonts w:ascii="Courier New" w:cs="Courier New" w:eastAsia="Courier New" w:hAnsi="Courier New"/>
                <w:sz w:val="13"/>
                <w:szCs w:val="13"/>
                <w:color w:val="auto"/>
              </w:rPr>
              <w:t>DEL DATE</w:t>
            </w:r>
          </w:p>
        </w:tc>
      </w:tr>
      <w:tr>
        <w:trPr>
          <w:trHeight w:val="20"/>
        </w:trPr>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995160" cy="24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ectPr>
          <w:pgSz w:w="11900" w:h="16838" w:orient="portrait"/>
          <w:cols w:equalWidth="0" w:num="1">
            <w:col w:w="10300"/>
          </w:cols>
          <w:pgMar w:left="320" w:top="849" w:right="1279" w:bottom="1440" w:gutter="0" w:footer="0" w:header="0"/>
        </w:sectPr>
      </w:pPr>
    </w:p>
    <w:bookmarkStart w:id="90" w:name="page91"/>
    <w:bookmarkEnd w:id="90"/>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00" w:type="dxa"/>
            <w:vAlign w:val="bottom"/>
            <w:tcBorders>
              <w:top w:val="single" w:sz="8" w:color="auto"/>
              <w:right w:val="single" w:sz="8" w:color="auto"/>
            </w:tcBorders>
          </w:tcPr>
          <w:p>
            <w:pPr>
              <w:spacing w:after="0"/>
              <w:rPr>
                <w:sz w:val="21"/>
                <w:szCs w:val="21"/>
                <w:color w:val="auto"/>
              </w:rPr>
            </w:pPr>
          </w:p>
        </w:tc>
        <w:tc>
          <w:tcPr>
            <w:tcW w:w="490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6"/>
                <w:szCs w:val="16"/>
                <w:b w:val="1"/>
                <w:bCs w:val="1"/>
                <w:color w:val="auto"/>
              </w:rPr>
              <w:t>Reference No. of Document Being Continued</w:t>
            </w:r>
          </w:p>
        </w:tc>
        <w:tc>
          <w:tcPr>
            <w:tcW w:w="2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 xml:space="preserve">Page  </w:t>
            </w:r>
            <w:r>
              <w:rPr>
                <w:rFonts w:ascii="Courier New" w:cs="Courier New" w:eastAsia="Courier New" w:hAnsi="Courier New"/>
                <w:sz w:val="12"/>
                <w:szCs w:val="12"/>
                <w:color w:val="auto"/>
              </w:rPr>
              <w:t>6</w:t>
            </w:r>
            <w:r>
              <w:rPr>
                <w:rFonts w:ascii="Arial" w:cs="Arial" w:eastAsia="Arial" w:hAnsi="Arial"/>
                <w:sz w:val="16"/>
                <w:szCs w:val="16"/>
                <w:color w:val="auto"/>
              </w:rPr>
              <w:t xml:space="preserve"> of </w:t>
            </w:r>
            <w:r>
              <w:rPr>
                <w:rFonts w:ascii="Courier New" w:cs="Courier New" w:eastAsia="Courier New" w:hAnsi="Courier New"/>
                <w:sz w:val="12"/>
                <w:szCs w:val="12"/>
                <w:color w:val="auto"/>
              </w:rPr>
              <w:t>31</w:t>
            </w:r>
          </w:p>
        </w:tc>
        <w:tc>
          <w:tcPr>
            <w:tcW w:w="0" w:type="dxa"/>
            <w:vAlign w:val="bottom"/>
          </w:tcPr>
          <w:p>
            <w:pPr>
              <w:spacing w:after="0"/>
              <w:rPr>
                <w:sz w:val="1"/>
                <w:szCs w:val="1"/>
                <w:color w:val="auto"/>
              </w:rPr>
            </w:pPr>
          </w:p>
        </w:tc>
      </w:tr>
      <w:tr>
        <w:trPr>
          <w:trHeight w:val="105"/>
        </w:trPr>
        <w:tc>
          <w:tcPr>
            <w:tcW w:w="330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CONTINUATION SHEET</w:t>
            </w:r>
          </w:p>
        </w:tc>
        <w:tc>
          <w:tcPr>
            <w:tcW w:w="4900" w:type="dxa"/>
            <w:vAlign w:val="bottom"/>
            <w:tcBorders>
              <w:right w:val="single" w:sz="8" w:color="auto"/>
            </w:tcBorders>
          </w:tcPr>
          <w:p>
            <w:pPr>
              <w:ind w:left="1840"/>
              <w:spacing w:after="0" w:line="105" w:lineRule="exact"/>
              <w:rPr>
                <w:sz w:val="20"/>
                <w:szCs w:val="20"/>
                <w:color w:val="auto"/>
              </w:rPr>
            </w:pPr>
            <w:r>
              <w:rPr>
                <w:rFonts w:ascii="Courier New" w:cs="Courier New" w:eastAsia="Courier New" w:hAnsi="Courier New"/>
                <w:sz w:val="12"/>
                <w:szCs w:val="12"/>
                <w:color w:val="auto"/>
              </w:rPr>
              <w:t>W15QKN-21-C-0014</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300" w:type="dxa"/>
            <w:vAlign w:val="bottom"/>
            <w:tcBorders>
              <w:bottom w:val="single" w:sz="8" w:color="auto"/>
              <w:right w:val="single" w:sz="8" w:color="auto"/>
            </w:tcBorders>
            <w:vMerge w:val="continue"/>
          </w:tcPr>
          <w:p>
            <w:pPr>
              <w:spacing w:after="0"/>
              <w:rPr>
                <w:sz w:val="18"/>
                <w:szCs w:val="18"/>
                <w:color w:val="auto"/>
              </w:rPr>
            </w:pPr>
          </w:p>
        </w:tc>
        <w:tc>
          <w:tcPr>
            <w:tcW w:w="490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6"/>
                <w:szCs w:val="16"/>
                <w:b w:val="1"/>
                <w:bCs w:val="1"/>
                <w:color w:val="auto"/>
              </w:rPr>
              <w:t>PIIN/SIIN   MOD/AMD</w:t>
            </w:r>
          </w:p>
        </w:tc>
        <w:tc>
          <w:tcPr>
            <w:tcW w:w="2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Name of Offeror or Contractor: </w:t>
      </w: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600825" cy="5871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00825" cy="587184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ITEM NO</w:t>
            </w:r>
          </w:p>
        </w:tc>
        <w:tc>
          <w:tcPr>
            <w:tcW w:w="31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SUPPLIES/SERVICES</w:t>
            </w:r>
          </w:p>
        </w:tc>
        <w:tc>
          <w:tcPr>
            <w:tcW w:w="162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QUANTITY</w:t>
            </w:r>
          </w:p>
        </w:tc>
        <w:tc>
          <w:tcPr>
            <w:tcW w:w="2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UNIT    UNIT PRICE</w:t>
            </w:r>
          </w:p>
        </w:tc>
        <w:tc>
          <w:tcPr>
            <w:tcW w:w="15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AMOUNT</w:t>
            </w:r>
          </w:p>
        </w:tc>
      </w:tr>
      <w:tr>
        <w:trPr>
          <w:trHeight w:val="171"/>
        </w:trPr>
        <w:tc>
          <w:tcPr>
            <w:tcW w:w="1960" w:type="dxa"/>
            <w:vAlign w:val="bottom"/>
          </w:tcPr>
          <w:p>
            <w:pPr>
              <w:ind w:left="1500"/>
              <w:spacing w:after="0"/>
              <w:rPr>
                <w:sz w:val="20"/>
                <w:szCs w:val="20"/>
                <w:color w:val="auto"/>
              </w:rPr>
            </w:pPr>
            <w:r>
              <w:rPr>
                <w:rFonts w:ascii="Courier New" w:cs="Courier New" w:eastAsia="Courier New" w:hAnsi="Courier New"/>
                <w:sz w:val="13"/>
                <w:szCs w:val="13"/>
                <w:color w:val="auto"/>
              </w:rPr>
              <w:t>001</w:t>
            </w:r>
          </w:p>
        </w:tc>
        <w:tc>
          <w:tcPr>
            <w:tcW w:w="3160" w:type="dxa"/>
            <w:vAlign w:val="bottom"/>
          </w:tcPr>
          <w:p>
            <w:pPr>
              <w:ind w:left="80"/>
              <w:spacing w:after="0"/>
              <w:rPr>
                <w:sz w:val="20"/>
                <w:szCs w:val="20"/>
                <w:color w:val="auto"/>
              </w:rPr>
            </w:pPr>
            <w:r>
              <w:rPr>
                <w:rFonts w:ascii="Courier New" w:cs="Courier New" w:eastAsia="Courier New" w:hAnsi="Courier New"/>
                <w:sz w:val="13"/>
                <w:szCs w:val="13"/>
                <w:color w:val="auto"/>
                <w:w w:val="98"/>
              </w:rPr>
              <w:t>[* * *][* * *]</w:t>
            </w:r>
          </w:p>
        </w:tc>
        <w:tc>
          <w:tcPr>
            <w:tcW w:w="1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446"/>
        </w:trPr>
        <w:tc>
          <w:tcPr>
            <w:tcW w:w="5120" w:type="dxa"/>
            <w:vAlign w:val="bottom"/>
            <w:gridSpan w:val="2"/>
          </w:tcPr>
          <w:p>
            <w:pPr>
              <w:ind w:left="1280"/>
              <w:spacing w:after="0"/>
              <w:rPr>
                <w:sz w:val="20"/>
                <w:szCs w:val="20"/>
                <w:color w:val="auto"/>
              </w:rPr>
            </w:pPr>
            <w:r>
              <w:rPr>
                <w:rFonts w:ascii="Courier New" w:cs="Courier New" w:eastAsia="Courier New" w:hAnsi="Courier New"/>
                <w:sz w:val="13"/>
                <w:szCs w:val="13"/>
                <w:color w:val="auto"/>
              </w:rPr>
              <w:t>FOB POINT: Destination</w:t>
            </w:r>
          </w:p>
        </w:tc>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97"/>
        </w:trPr>
        <w:tc>
          <w:tcPr>
            <w:tcW w:w="1960" w:type="dxa"/>
            <w:vAlign w:val="bottom"/>
          </w:tcPr>
          <w:p>
            <w:pPr>
              <w:ind w:left="1280"/>
              <w:spacing w:after="0"/>
              <w:rPr>
                <w:sz w:val="20"/>
                <w:szCs w:val="20"/>
                <w:color w:val="auto"/>
              </w:rPr>
            </w:pPr>
            <w:r>
              <w:rPr>
                <w:rFonts w:ascii="Courier New" w:cs="Courier New" w:eastAsia="Courier New" w:hAnsi="Courier New"/>
                <w:sz w:val="13"/>
                <w:szCs w:val="13"/>
                <w:color w:val="auto"/>
              </w:rPr>
              <w:t>SHIP TO:</w:t>
            </w:r>
          </w:p>
        </w:tc>
        <w:tc>
          <w:tcPr>
            <w:tcW w:w="3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3"/>
        </w:trPr>
        <w:tc>
          <w:tcPr>
            <w:tcW w:w="1960" w:type="dxa"/>
            <w:vAlign w:val="bottom"/>
          </w:tcPr>
          <w:p>
            <w:pPr>
              <w:ind w:left="1280"/>
              <w:spacing w:after="0"/>
              <w:rPr>
                <w:sz w:val="20"/>
                <w:szCs w:val="20"/>
                <w:color w:val="auto"/>
              </w:rPr>
            </w:pPr>
            <w:r>
              <w:rPr>
                <w:rFonts w:ascii="Courier New" w:cs="Courier New" w:eastAsia="Courier New" w:hAnsi="Courier New"/>
                <w:sz w:val="13"/>
                <w:szCs w:val="13"/>
                <w:color w:val="auto"/>
              </w:rPr>
              <w:t>(75A501)</w:t>
            </w:r>
          </w:p>
        </w:tc>
        <w:tc>
          <w:tcPr>
            <w:tcW w:w="3160" w:type="dxa"/>
            <w:vAlign w:val="bottom"/>
          </w:tcPr>
          <w:p>
            <w:pPr>
              <w:ind w:left="520"/>
              <w:spacing w:after="0"/>
              <w:rPr>
                <w:sz w:val="20"/>
                <w:szCs w:val="20"/>
                <w:color w:val="auto"/>
              </w:rPr>
            </w:pPr>
            <w:r>
              <w:rPr>
                <w:rFonts w:ascii="Courier New" w:cs="Courier New" w:eastAsia="Courier New" w:hAnsi="Courier New"/>
                <w:sz w:val="13"/>
                <w:szCs w:val="13"/>
                <w:color w:val="auto"/>
              </w:rPr>
              <w:t>OFFICE OF ACQ MGMT POLICY</w:t>
            </w:r>
          </w:p>
        </w:tc>
        <w:tc>
          <w:tcPr>
            <w:tcW w:w="16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76"/>
        </w:trPr>
        <w:tc>
          <w:tcPr>
            <w:tcW w:w="1960" w:type="dxa"/>
            <w:vAlign w:val="bottom"/>
          </w:tcPr>
          <w:p>
            <w:pPr>
              <w:spacing w:after="0"/>
              <w:rPr>
                <w:sz w:val="15"/>
                <w:szCs w:val="15"/>
                <w:color w:val="auto"/>
              </w:rPr>
            </w:pPr>
          </w:p>
        </w:tc>
        <w:tc>
          <w:tcPr>
            <w:tcW w:w="3160" w:type="dxa"/>
            <w:vAlign w:val="bottom"/>
          </w:tcPr>
          <w:p>
            <w:pPr>
              <w:ind w:left="140"/>
              <w:spacing w:after="0"/>
              <w:rPr>
                <w:sz w:val="20"/>
                <w:szCs w:val="20"/>
                <w:color w:val="auto"/>
              </w:rPr>
            </w:pPr>
            <w:r>
              <w:rPr>
                <w:rFonts w:ascii="Courier New" w:cs="Courier New" w:eastAsia="Courier New" w:hAnsi="Courier New"/>
                <w:sz w:val="13"/>
                <w:szCs w:val="13"/>
                <w:color w:val="auto"/>
              </w:rPr>
              <w:t>HUBERT HUMPHREY BLDG 200</w:t>
            </w:r>
          </w:p>
        </w:tc>
        <w:tc>
          <w:tcPr>
            <w:tcW w:w="1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1960" w:type="dxa"/>
            <w:vAlign w:val="bottom"/>
          </w:tcPr>
          <w:p>
            <w:pPr>
              <w:spacing w:after="0"/>
              <w:rPr>
                <w:sz w:val="15"/>
                <w:szCs w:val="15"/>
                <w:color w:val="auto"/>
              </w:rPr>
            </w:pPr>
          </w:p>
        </w:tc>
        <w:tc>
          <w:tcPr>
            <w:tcW w:w="3160" w:type="dxa"/>
            <w:vAlign w:val="bottom"/>
          </w:tcPr>
          <w:p>
            <w:pPr>
              <w:ind w:left="140"/>
              <w:spacing w:after="0"/>
              <w:rPr>
                <w:sz w:val="20"/>
                <w:szCs w:val="20"/>
                <w:color w:val="auto"/>
              </w:rPr>
            </w:pPr>
            <w:r>
              <w:rPr>
                <w:rFonts w:ascii="Courier New" w:cs="Courier New" w:eastAsia="Courier New" w:hAnsi="Courier New"/>
                <w:sz w:val="13"/>
                <w:szCs w:val="13"/>
                <w:color w:val="auto"/>
              </w:rPr>
              <w:t>INDEPENDENCE AVENUE SW ROOM 336E</w:t>
            </w:r>
          </w:p>
        </w:tc>
        <w:tc>
          <w:tcPr>
            <w:tcW w:w="1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1960" w:type="dxa"/>
            <w:vAlign w:val="bottom"/>
          </w:tcPr>
          <w:p>
            <w:pPr>
              <w:spacing w:after="0"/>
              <w:rPr>
                <w:sz w:val="15"/>
                <w:szCs w:val="15"/>
                <w:color w:val="auto"/>
              </w:rPr>
            </w:pPr>
          </w:p>
        </w:tc>
        <w:tc>
          <w:tcPr>
            <w:tcW w:w="3160" w:type="dxa"/>
            <w:vAlign w:val="bottom"/>
          </w:tcPr>
          <w:p>
            <w:pPr>
              <w:ind w:left="140"/>
              <w:spacing w:after="0"/>
              <w:rPr>
                <w:sz w:val="20"/>
                <w:szCs w:val="20"/>
                <w:color w:val="auto"/>
              </w:rPr>
            </w:pPr>
            <w:r>
              <w:rPr>
                <w:rFonts w:ascii="Courier New" w:cs="Courier New" w:eastAsia="Courier New" w:hAnsi="Courier New"/>
                <w:sz w:val="13"/>
                <w:szCs w:val="13"/>
                <w:color w:val="auto"/>
              </w:rPr>
              <w:t>WASHINGTON,DC,20201</w:t>
            </w:r>
          </w:p>
        </w:tc>
        <w:tc>
          <w:tcPr>
            <w:tcW w:w="1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200" w:lineRule="exact"/>
        <w:rPr>
          <w:sz w:val="20"/>
          <w:szCs w:val="20"/>
          <w:color w:val="auto"/>
        </w:rPr>
      </w:pPr>
    </w:p>
    <w:p>
      <w:pPr>
        <w:spacing w:after="0" w:line="247"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color w:val="auto"/>
        </w:rPr>
        <w:t>The parties will coordinate ordering through</w:t>
      </w:r>
    </w:p>
    <w:p>
      <w:pPr>
        <w:spacing w:after="0" w:line="28"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color w:val="auto"/>
        </w:rPr>
        <w:t>centralized distribution via the established</w:t>
      </w:r>
    </w:p>
    <w:p>
      <w:pPr>
        <w:spacing w:after="0" w:line="28"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color w:val="auto"/>
        </w:rPr>
        <w:t>Memorandum of Understanding between Regeneron, ASPR,</w:t>
      </w:r>
    </w:p>
    <w:p>
      <w:pPr>
        <w:spacing w:after="0" w:line="28"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color w:val="auto"/>
        </w:rPr>
        <w:t>and AmerisourceBergen. Exact ship-to locations for</w:t>
      </w:r>
    </w:p>
    <w:p>
      <w:pPr>
        <w:spacing w:after="0" w:line="28"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color w:val="auto"/>
        </w:rPr>
        <w:t>product will be identified through this coordinated</w:t>
      </w:r>
    </w:p>
    <w:p>
      <w:pPr>
        <w:spacing w:after="0" w:line="28"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color w:val="auto"/>
        </w:rPr>
        <w:t>process.</w:t>
      </w:r>
    </w:p>
    <w:p>
      <w:pPr>
        <w:spacing w:after="0" w:line="69" w:lineRule="exact"/>
        <w:rPr>
          <w:sz w:val="20"/>
          <w:szCs w:val="20"/>
          <w:color w:val="auto"/>
        </w:rPr>
      </w:pPr>
    </w:p>
    <w:p>
      <w:pPr>
        <w:ind w:left="2480"/>
        <w:spacing w:after="0"/>
        <w:rPr>
          <w:sz w:val="20"/>
          <w:szCs w:val="20"/>
          <w:color w:val="auto"/>
        </w:rPr>
      </w:pPr>
      <w:r>
        <w:rPr>
          <w:rFonts w:ascii="Courier New" w:cs="Courier New" w:eastAsia="Courier New" w:hAnsi="Courier New"/>
          <w:sz w:val="13"/>
          <w:szCs w:val="13"/>
          <w:color w:val="auto"/>
        </w:rPr>
        <w:t>(End of narrative F001)</w:t>
      </w:r>
    </w:p>
    <w:p>
      <w:pPr>
        <w:spacing w:after="0" w:line="200" w:lineRule="exact"/>
        <w:rPr>
          <w:sz w:val="20"/>
          <w:szCs w:val="20"/>
          <w:color w:val="auto"/>
        </w:rPr>
      </w:pPr>
    </w:p>
    <w:p>
      <w:pPr>
        <w:spacing w:after="0" w:line="319" w:lineRule="exact"/>
        <w:rPr>
          <w:sz w:val="20"/>
          <w:szCs w:val="20"/>
          <w:color w:val="auto"/>
        </w:rPr>
      </w:pPr>
    </w:p>
    <w:tbl>
      <w:tblPr>
        <w:tblLayout w:type="fixed"/>
        <w:tblInd w:w="140" w:type="dxa"/>
        <w:tblCellMar>
          <w:top w:w="0" w:type="dxa"/>
          <w:left w:w="0" w:type="dxa"/>
          <w:bottom w:w="0" w:type="dxa"/>
          <w:right w:w="0" w:type="dxa"/>
        </w:tblCellMar>
      </w:tblPr>
      <w:tr>
        <w:trPr>
          <w:trHeight w:val="147"/>
        </w:trPr>
        <w:tc>
          <w:tcPr>
            <w:tcW w:w="1140" w:type="dxa"/>
            <w:vAlign w:val="bottom"/>
          </w:tcPr>
          <w:p>
            <w:pPr>
              <w:jc w:val="right"/>
              <w:ind w:right="777"/>
              <w:spacing w:after="0"/>
              <w:rPr>
                <w:sz w:val="20"/>
                <w:szCs w:val="20"/>
                <w:color w:val="auto"/>
              </w:rPr>
            </w:pPr>
            <w:r>
              <w:rPr>
                <w:rFonts w:ascii="Courier New" w:cs="Courier New" w:eastAsia="Courier New" w:hAnsi="Courier New"/>
                <w:sz w:val="13"/>
                <w:szCs w:val="13"/>
                <w:color w:val="auto"/>
                <w:w w:val="89"/>
              </w:rPr>
              <w:t>0002</w:t>
            </w:r>
          </w:p>
        </w:tc>
        <w:tc>
          <w:tcPr>
            <w:tcW w:w="2260" w:type="dxa"/>
            <w:vAlign w:val="bottom"/>
            <w:tcBorders>
              <w:bottom w:val="single" w:sz="8" w:color="auto"/>
            </w:tcBorders>
          </w:tcPr>
          <w:p>
            <w:pPr>
              <w:spacing w:after="0"/>
              <w:rPr>
                <w:sz w:val="20"/>
                <w:szCs w:val="20"/>
                <w:color w:val="auto"/>
              </w:rPr>
            </w:pPr>
            <w:r>
              <w:rPr>
                <w:rFonts w:ascii="Courier New" w:cs="Courier New" w:eastAsia="Courier New" w:hAnsi="Courier New"/>
                <w:sz w:val="13"/>
                <w:szCs w:val="13"/>
                <w:color w:val="auto"/>
                <w:w w:val="95"/>
              </w:rPr>
              <w:t>DD1423 CDRLS A001 THROUGH A030</w:t>
            </w:r>
          </w:p>
        </w:tc>
      </w:tr>
    </w:tbl>
    <w:p>
      <w:pPr>
        <w:spacing w:after="0" w:line="327" w:lineRule="exact"/>
        <w:rPr>
          <w:sz w:val="20"/>
          <w:szCs w:val="20"/>
          <w:color w:val="auto"/>
        </w:rPr>
      </w:pPr>
    </w:p>
    <w:p>
      <w:pPr>
        <w:ind w:left="1200"/>
        <w:spacing w:after="0"/>
        <w:rPr>
          <w:sz w:val="20"/>
          <w:szCs w:val="20"/>
          <w:color w:val="auto"/>
        </w:rPr>
      </w:pPr>
      <w:r>
        <w:rPr>
          <w:rFonts w:ascii="Courier New" w:cs="Courier New" w:eastAsia="Courier New" w:hAnsi="Courier New"/>
          <w:sz w:val="12"/>
          <w:szCs w:val="12"/>
          <w:color w:val="auto"/>
        </w:rPr>
        <w:t>The ELIN below is associated with the Data Item numbers</w:t>
      </w:r>
    </w:p>
    <w:p>
      <w:pPr>
        <w:spacing w:after="0" w:line="40" w:lineRule="exact"/>
        <w:rPr>
          <w:sz w:val="20"/>
          <w:szCs w:val="20"/>
          <w:color w:val="auto"/>
        </w:rPr>
      </w:pPr>
    </w:p>
    <w:p>
      <w:pPr>
        <w:ind w:left="1200"/>
        <w:spacing w:after="0"/>
        <w:rPr>
          <w:sz w:val="20"/>
          <w:szCs w:val="20"/>
          <w:color w:val="auto"/>
        </w:rPr>
      </w:pPr>
      <w:r>
        <w:rPr>
          <w:rFonts w:ascii="Courier New" w:cs="Courier New" w:eastAsia="Courier New" w:hAnsi="Courier New"/>
          <w:sz w:val="12"/>
          <w:szCs w:val="12"/>
          <w:color w:val="auto"/>
        </w:rPr>
        <w:t>in the Contract Data Requirements List (CDRL, DD 1423),</w:t>
      </w:r>
    </w:p>
    <w:p>
      <w:pPr>
        <w:spacing w:after="0" w:line="40" w:lineRule="exact"/>
        <w:rPr>
          <w:sz w:val="20"/>
          <w:szCs w:val="20"/>
          <w:color w:val="auto"/>
        </w:rPr>
      </w:pPr>
    </w:p>
    <w:p>
      <w:pPr>
        <w:ind w:left="1200"/>
        <w:spacing w:after="0"/>
        <w:rPr>
          <w:sz w:val="20"/>
          <w:szCs w:val="20"/>
          <w:color w:val="auto"/>
        </w:rPr>
      </w:pPr>
      <w:r>
        <w:rPr>
          <w:rFonts w:ascii="Courier New" w:cs="Courier New" w:eastAsia="Courier New" w:hAnsi="Courier New"/>
          <w:sz w:val="12"/>
          <w:szCs w:val="12"/>
          <w:color w:val="auto"/>
        </w:rPr>
        <w:t>in Section J. Reference individual CDRLs for applicable</w:t>
      </w:r>
    </w:p>
    <w:p>
      <w:pPr>
        <w:spacing w:after="0" w:line="33" w:lineRule="exact"/>
        <w:rPr>
          <w:sz w:val="20"/>
          <w:szCs w:val="20"/>
          <w:color w:val="auto"/>
        </w:rPr>
      </w:pPr>
    </w:p>
    <w:p>
      <w:pPr>
        <w:ind w:left="1200"/>
        <w:spacing w:after="0"/>
        <w:rPr>
          <w:sz w:val="20"/>
          <w:szCs w:val="20"/>
          <w:color w:val="auto"/>
        </w:rPr>
      </w:pPr>
      <w:r>
        <w:rPr>
          <w:rFonts w:ascii="Courier New" w:cs="Courier New" w:eastAsia="Courier New" w:hAnsi="Courier New"/>
          <w:sz w:val="13"/>
          <w:szCs w:val="13"/>
          <w:color w:val="auto"/>
        </w:rPr>
        <w:t>instructions and delivery dates.</w:t>
      </w:r>
    </w:p>
    <w:p>
      <w:pPr>
        <w:spacing w:after="0" w:line="69" w:lineRule="exact"/>
        <w:rPr>
          <w:sz w:val="20"/>
          <w:szCs w:val="20"/>
          <w:color w:val="auto"/>
        </w:rPr>
      </w:pPr>
    </w:p>
    <w:p>
      <w:pPr>
        <w:ind w:left="2480"/>
        <w:spacing w:after="0"/>
        <w:rPr>
          <w:sz w:val="20"/>
          <w:szCs w:val="20"/>
          <w:color w:val="auto"/>
        </w:rPr>
      </w:pPr>
      <w:r>
        <w:rPr>
          <w:rFonts w:ascii="Courier New" w:cs="Courier New" w:eastAsia="Courier New" w:hAnsi="Courier New"/>
          <w:sz w:val="13"/>
          <w:szCs w:val="13"/>
          <w:color w:val="auto"/>
        </w:rPr>
        <w:t>(End of narrative A001)</w:t>
      </w:r>
    </w:p>
    <w:p>
      <w:pPr>
        <w:spacing w:after="0" w:line="200" w:lineRule="exact"/>
        <w:rPr>
          <w:sz w:val="20"/>
          <w:szCs w:val="20"/>
          <w:color w:val="auto"/>
        </w:rPr>
      </w:pPr>
    </w:p>
    <w:p>
      <w:pPr>
        <w:spacing w:after="0" w:line="319" w:lineRule="exact"/>
        <w:rPr>
          <w:sz w:val="20"/>
          <w:szCs w:val="20"/>
          <w:color w:val="auto"/>
        </w:rPr>
      </w:pPr>
    </w:p>
    <w:tbl>
      <w:tblPr>
        <w:tblLayout w:type="fixed"/>
        <w:tblInd w:w="140" w:type="dxa"/>
        <w:tblCellMar>
          <w:top w:w="0" w:type="dxa"/>
          <w:left w:w="0" w:type="dxa"/>
          <w:bottom w:w="0" w:type="dxa"/>
          <w:right w:w="0" w:type="dxa"/>
        </w:tblCellMar>
      </w:tblP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A001</w:t>
            </w:r>
          </w:p>
        </w:tc>
        <w:tc>
          <w:tcPr>
            <w:tcW w:w="2260" w:type="dxa"/>
            <w:vAlign w:val="bottom"/>
          </w:tcPr>
          <w:p>
            <w:pPr>
              <w:spacing w:after="0"/>
              <w:rPr>
                <w:sz w:val="20"/>
                <w:szCs w:val="20"/>
                <w:color w:val="auto"/>
              </w:rPr>
            </w:pPr>
            <w:r>
              <w:rPr>
                <w:rFonts w:ascii="Courier New" w:cs="Courier New" w:eastAsia="Courier New" w:hAnsi="Courier New"/>
                <w:sz w:val="13"/>
                <w:szCs w:val="13"/>
                <w:color w:val="auto"/>
                <w:w w:val="95"/>
              </w:rPr>
              <w:t>DD1423 CDRLS A001 TRHOUGH A030</w:t>
            </w:r>
          </w:p>
        </w:tc>
        <w:tc>
          <w:tcPr>
            <w:tcW w:w="3060" w:type="dxa"/>
            <w:vAlign w:val="bottom"/>
          </w:tcPr>
          <w:p>
            <w:pPr>
              <w:jc w:val="right"/>
              <w:ind w:right="357"/>
              <w:spacing w:after="0"/>
              <w:rPr>
                <w:sz w:val="20"/>
                <w:szCs w:val="20"/>
                <w:color w:val="auto"/>
              </w:rPr>
            </w:pPr>
            <w:r>
              <w:rPr>
                <w:rFonts w:ascii="Courier New" w:cs="Courier New" w:eastAsia="Courier New" w:hAnsi="Courier New"/>
                <w:sz w:val="13"/>
                <w:szCs w:val="13"/>
                <w:color w:val="auto"/>
              </w:rPr>
              <w:t>1</w:t>
            </w:r>
          </w:p>
        </w:tc>
        <w:tc>
          <w:tcPr>
            <w:tcW w:w="1540" w:type="dxa"/>
            <w:vAlign w:val="bottom"/>
          </w:tcPr>
          <w:p>
            <w:pPr>
              <w:ind w:left="440"/>
              <w:spacing w:after="0"/>
              <w:rPr>
                <w:sz w:val="20"/>
                <w:szCs w:val="20"/>
                <w:color w:val="auto"/>
              </w:rPr>
            </w:pPr>
            <w:r>
              <w:rPr>
                <w:rFonts w:ascii="Courier New" w:cs="Courier New" w:eastAsia="Courier New" w:hAnsi="Courier New"/>
                <w:sz w:val="13"/>
                <w:szCs w:val="13"/>
                <w:color w:val="auto"/>
              </w:rPr>
              <w:t>LO</w:t>
            </w:r>
          </w:p>
        </w:tc>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 *]</w:t>
            </w:r>
          </w:p>
        </w:tc>
      </w:tr>
      <w:tr>
        <w:trPr>
          <w:trHeight w:val="20"/>
        </w:trPr>
        <w:tc>
          <w:tcPr>
            <w:tcW w:w="11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321"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color w:val="auto"/>
        </w:rPr>
        <w:t>SERVICE REQUESTED: DATA ITEMS</w:t>
      </w:r>
    </w:p>
    <w:p>
      <w:pPr>
        <w:spacing w:after="0" w:line="28"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color w:val="auto"/>
        </w:rPr>
        <w:t>CLIN CONTRACT TYPE:</w:t>
      </w:r>
    </w:p>
    <w:p>
      <w:pPr>
        <w:spacing w:after="0" w:line="15"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Firm Fixed Price</w:t>
      </w:r>
    </w:p>
    <w:p>
      <w:pPr>
        <w:spacing w:after="0" w:line="397" w:lineRule="exact"/>
        <w:rPr>
          <w:sz w:val="20"/>
          <w:szCs w:val="20"/>
          <w:color w:val="auto"/>
        </w:rPr>
      </w:pPr>
    </w:p>
    <w:tbl>
      <w:tblPr>
        <w:tblLayout w:type="fixed"/>
        <w:tblInd w:w="1280" w:type="dxa"/>
        <w:tblCellMar>
          <w:top w:w="0" w:type="dxa"/>
          <w:left w:w="0" w:type="dxa"/>
          <w:bottom w:w="0" w:type="dxa"/>
          <w:right w:w="0" w:type="dxa"/>
        </w:tblCellMar>
      </w:tblPr>
      <w:tr>
        <w:trPr>
          <w:trHeight w:val="147"/>
        </w:trPr>
        <w:tc>
          <w:tcPr>
            <w:tcW w:w="1960" w:type="dxa"/>
            <w:vAlign w:val="bottom"/>
            <w:gridSpan w:val="5"/>
          </w:tcPr>
          <w:p>
            <w:pPr>
              <w:spacing w:after="0"/>
              <w:rPr>
                <w:sz w:val="20"/>
                <w:szCs w:val="20"/>
                <w:color w:val="auto"/>
              </w:rPr>
            </w:pPr>
            <w:r>
              <w:rPr>
                <w:rFonts w:ascii="Courier New" w:cs="Courier New" w:eastAsia="Courier New" w:hAnsi="Courier New"/>
                <w:sz w:val="13"/>
                <w:szCs w:val="13"/>
                <w:color w:val="auto"/>
                <w:w w:val="99"/>
              </w:rPr>
              <w:t>Inspection and Acceptance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8"/>
        </w:trPr>
        <w:tc>
          <w:tcPr>
            <w:tcW w:w="1880" w:type="dxa"/>
            <w:vAlign w:val="bottom"/>
            <w:tcBorders>
              <w:top w:val="single" w:sz="8" w:color="auto"/>
            </w:tcBorders>
            <w:gridSpan w:val="4"/>
          </w:tcPr>
          <w:p>
            <w:pPr>
              <w:spacing w:after="0"/>
              <w:rPr>
                <w:sz w:val="20"/>
                <w:szCs w:val="20"/>
                <w:color w:val="auto"/>
              </w:rPr>
            </w:pPr>
            <w:r>
              <w:rPr>
                <w:rFonts w:ascii="Courier New" w:cs="Courier New" w:eastAsia="Courier New" w:hAnsi="Courier New"/>
                <w:sz w:val="13"/>
                <w:szCs w:val="13"/>
                <w:color w:val="auto"/>
              </w:rPr>
              <w:t>INSPECTION: Destination</w:t>
            </w:r>
          </w:p>
        </w:tc>
        <w:tc>
          <w:tcPr>
            <w:tcW w:w="80" w:type="dxa"/>
            <w:vAlign w:val="bottom"/>
          </w:tcPr>
          <w:p>
            <w:pPr>
              <w:spacing w:after="0"/>
              <w:rPr>
                <w:sz w:val="15"/>
                <w:szCs w:val="15"/>
                <w:color w:val="auto"/>
              </w:rPr>
            </w:pPr>
          </w:p>
        </w:tc>
        <w:tc>
          <w:tcPr>
            <w:tcW w:w="1820" w:type="dxa"/>
            <w:vAlign w:val="bottom"/>
            <w:gridSpan w:val="4"/>
          </w:tcPr>
          <w:p>
            <w:pPr>
              <w:jc w:val="right"/>
              <w:spacing w:after="0"/>
              <w:rPr>
                <w:sz w:val="20"/>
                <w:szCs w:val="20"/>
                <w:color w:val="auto"/>
              </w:rPr>
            </w:pPr>
            <w:r>
              <w:rPr>
                <w:rFonts w:ascii="Courier New" w:cs="Courier New" w:eastAsia="Courier New" w:hAnsi="Courier New"/>
                <w:sz w:val="13"/>
                <w:szCs w:val="13"/>
                <w:color w:val="auto"/>
              </w:rPr>
              <w:t>ACCEPTANCE: Destination</w:t>
            </w:r>
          </w:p>
        </w:tc>
      </w:tr>
      <w:tr>
        <w:trPr>
          <w:trHeight w:val="180"/>
        </w:trPr>
        <w:tc>
          <w:tcPr>
            <w:tcW w:w="1960" w:type="dxa"/>
            <w:vAlign w:val="bottom"/>
            <w:gridSpan w:val="5"/>
          </w:tcPr>
          <w:p>
            <w:pPr>
              <w:spacing w:after="0"/>
              <w:rPr>
                <w:sz w:val="20"/>
                <w:szCs w:val="20"/>
                <w:color w:val="auto"/>
              </w:rPr>
            </w:pPr>
            <w:r>
              <w:rPr>
                <w:rFonts w:ascii="Courier New" w:cs="Courier New" w:eastAsia="Courier New" w:hAnsi="Courier New"/>
                <w:sz w:val="13"/>
                <w:szCs w:val="13"/>
                <w:color w:val="auto"/>
                <w:w w:val="99"/>
              </w:rPr>
              <w:t>Deliveries or Performance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1"/>
        </w:trPr>
        <w:tc>
          <w:tcPr>
            <w:tcW w:w="780" w:type="dxa"/>
            <w:vAlign w:val="bottom"/>
            <w:tcBorders>
              <w:top w:val="single" w:sz="8" w:color="auto"/>
            </w:tcBorders>
            <w:gridSpan w:val="2"/>
          </w:tcPr>
          <w:p>
            <w:pPr>
              <w:spacing w:after="0"/>
              <w:rPr>
                <w:sz w:val="20"/>
                <w:szCs w:val="20"/>
                <w:color w:val="auto"/>
              </w:rPr>
            </w:pPr>
            <w:r>
              <w:rPr>
                <w:rFonts w:ascii="Courier New" w:cs="Courier New" w:eastAsia="Courier New" w:hAnsi="Courier New"/>
                <w:sz w:val="13"/>
                <w:szCs w:val="13"/>
                <w:color w:val="auto"/>
              </w:rPr>
              <w:t>DLVR SCH</w:t>
            </w:r>
          </w:p>
        </w:tc>
        <w:tc>
          <w:tcPr>
            <w:tcW w:w="1100" w:type="dxa"/>
            <w:vAlign w:val="bottom"/>
            <w:tcBorders>
              <w:top w:val="single" w:sz="8" w:color="auto"/>
            </w:tcBorders>
            <w:gridSpan w:val="2"/>
          </w:tcPr>
          <w:p>
            <w:pPr>
              <w:ind w:left="120"/>
              <w:spacing w:after="0"/>
              <w:rPr>
                <w:sz w:val="20"/>
                <w:szCs w:val="20"/>
                <w:color w:val="auto"/>
              </w:rPr>
            </w:pPr>
            <w:r>
              <w:rPr>
                <w:rFonts w:ascii="Courier New" w:cs="Courier New" w:eastAsia="Courier New" w:hAnsi="Courier New"/>
                <w:sz w:val="13"/>
                <w:szCs w:val="13"/>
                <w:color w:val="auto"/>
              </w:rPr>
              <w:t>PERF COMPL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7"/>
        </w:trPr>
        <w:tc>
          <w:tcPr>
            <w:tcW w:w="260" w:type="dxa"/>
            <w:vAlign w:val="bottom"/>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Courier New" w:cs="Courier New" w:eastAsia="Courier New" w:hAnsi="Courier New"/>
                <w:sz w:val="13"/>
                <w:szCs w:val="13"/>
                <w:color w:val="auto"/>
                <w:w w:val="89"/>
              </w:rPr>
              <w:t>REL CD</w:t>
            </w:r>
          </w:p>
        </w:tc>
        <w:tc>
          <w:tcPr>
            <w:tcW w:w="30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Courier New" w:cs="Courier New" w:eastAsia="Courier New" w:hAnsi="Courier New"/>
                <w:sz w:val="13"/>
                <w:szCs w:val="13"/>
                <w:color w:val="auto"/>
              </w:rPr>
              <w:t>QUANTITY</w:t>
            </w: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Courier New" w:cs="Courier New" w:eastAsia="Courier New" w:hAnsi="Courier New"/>
                <w:sz w:val="13"/>
                <w:szCs w:val="13"/>
                <w:color w:val="auto"/>
              </w:rPr>
              <w:t>DATE</w:t>
            </w:r>
          </w:p>
        </w:tc>
        <w:tc>
          <w:tcPr>
            <w:tcW w:w="720" w:type="dxa"/>
            <w:vAlign w:val="bottom"/>
          </w:tcPr>
          <w:p>
            <w:pPr>
              <w:jc w:val="right"/>
              <w:ind w:right="357"/>
              <w:spacing w:after="0"/>
              <w:rPr>
                <w:sz w:val="20"/>
                <w:szCs w:val="20"/>
                <w:color w:val="auto"/>
              </w:rPr>
            </w:pPr>
            <w:r>
              <w:rPr>
                <w:rFonts w:ascii="Courier New" w:cs="Courier New" w:eastAsia="Courier New" w:hAnsi="Courier New"/>
                <w:sz w:val="13"/>
                <w:szCs w:val="13"/>
                <w:color w:val="auto"/>
              </w:rPr>
              <w:t>001</w:t>
            </w:r>
          </w:p>
        </w:tc>
      </w:tr>
    </w:tbl>
    <w:p>
      <w:pPr>
        <w:spacing w:after="0" w:line="37" w:lineRule="exact"/>
        <w:rPr>
          <w:sz w:val="20"/>
          <w:szCs w:val="20"/>
          <w:color w:val="auto"/>
        </w:rPr>
      </w:pPr>
    </w:p>
    <w:p>
      <w:pPr>
        <w:ind w:left="3880"/>
        <w:spacing w:after="0"/>
        <w:rPr>
          <w:sz w:val="20"/>
          <w:szCs w:val="20"/>
          <w:color w:val="auto"/>
        </w:rPr>
      </w:pPr>
      <w:r>
        <w:rPr>
          <w:rFonts w:ascii="Courier New" w:cs="Courier New" w:eastAsia="Courier New" w:hAnsi="Courier New"/>
          <w:sz w:val="13"/>
          <w:szCs w:val="13"/>
          <w:color w:val="auto"/>
        </w:rPr>
        <w:t>1 SEE DD FORM 1423</w:t>
      </w:r>
    </w:p>
    <w:p>
      <w:pPr>
        <w:sectPr>
          <w:pgSz w:w="11900" w:h="16838" w:orient="portrait"/>
          <w:cols w:equalWidth="0" w:num="1">
            <w:col w:w="10400"/>
          </w:cols>
          <w:pgMar w:left="320" w:top="1440" w:right="1179" w:bottom="1440" w:gutter="0" w:footer="0" w:header="0"/>
        </w:sectPr>
      </w:pPr>
    </w:p>
    <w:bookmarkStart w:id="91" w:name="page92"/>
    <w:bookmarkEnd w:id="91"/>
    <w:tbl>
      <w:tblPr>
        <w:tblLayout w:type="fixed"/>
        <w:tblInd w:w="40" w:type="dxa"/>
        <w:tblCellMar>
          <w:top w:w="0" w:type="dxa"/>
          <w:left w:w="0" w:type="dxa"/>
          <w:bottom w:w="0" w:type="dxa"/>
          <w:right w:w="0" w:type="dxa"/>
        </w:tblCellMar>
      </w:tblPr>
      <w:tr>
        <w:trPr>
          <w:trHeight w:val="246"/>
        </w:trPr>
        <w:tc>
          <w:tcPr>
            <w:tcW w:w="328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CONTINUATION SHEET</w:t>
            </w:r>
          </w:p>
        </w:tc>
        <w:tc>
          <w:tcPr>
            <w:tcW w:w="5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94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7</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80" w:type="dxa"/>
            <w:vAlign w:val="bottom"/>
            <w:tcBorders>
              <w:right w:val="single" w:sz="8" w:color="auto"/>
            </w:tcBorders>
          </w:tcPr>
          <w:p>
            <w:pPr>
              <w:spacing w:after="0"/>
              <w:rPr>
                <w:sz w:val="9"/>
                <w:szCs w:val="9"/>
                <w:color w:val="auto"/>
              </w:rPr>
            </w:pPr>
          </w:p>
        </w:tc>
        <w:tc>
          <w:tcPr>
            <w:tcW w:w="518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940" w:type="dxa"/>
            <w:vAlign w:val="bottom"/>
          </w:tcPr>
          <w:p>
            <w:pPr>
              <w:spacing w:after="0"/>
              <w:rPr>
                <w:sz w:val="9"/>
                <w:szCs w:val="9"/>
                <w:color w:val="auto"/>
              </w:rPr>
            </w:pPr>
          </w:p>
        </w:tc>
      </w:tr>
      <w:tr>
        <w:trPr>
          <w:trHeight w:val="188"/>
        </w:trPr>
        <w:tc>
          <w:tcPr>
            <w:tcW w:w="3280" w:type="dxa"/>
            <w:vAlign w:val="bottom"/>
            <w:tcBorders>
              <w:bottom w:val="single" w:sz="8" w:color="auto"/>
              <w:right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94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31115</wp:posOffset>
            </wp:positionV>
            <wp:extent cx="66090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DESCRIPTION/SPECIFICATIONS/WORK STATEMENT</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STATEMENT OF WORK</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Production of Regeneron Therapeutic in Support of National Emergency Response to Coronavirus 2019 (COVID-19)</w:t>
      </w:r>
    </w:p>
    <w:p>
      <w:pPr>
        <w:spacing w:after="0" w:line="264" w:lineRule="exact"/>
        <w:rPr>
          <w:sz w:val="20"/>
          <w:szCs w:val="20"/>
          <w:color w:val="auto"/>
        </w:rPr>
      </w:pPr>
    </w:p>
    <w:p>
      <w:pPr>
        <w:ind w:right="220"/>
        <w:spacing w:after="0" w:line="282" w:lineRule="auto"/>
        <w:rPr>
          <w:sz w:val="20"/>
          <w:szCs w:val="20"/>
          <w:color w:val="auto"/>
        </w:rPr>
      </w:pPr>
      <w:r>
        <w:rPr>
          <w:rFonts w:ascii="Courier New" w:cs="Courier New" w:eastAsia="Courier New" w:hAnsi="Courier New"/>
          <w:sz w:val="13"/>
          <w:szCs w:val="13"/>
          <w:color w:val="auto"/>
        </w:rPr>
        <w:t>c.1 Scope: The Department of Defense (DoD) and Department of Health and Human Services (DHHS), in support of Operation Warp Speed (OWS) and national emergency response to the Coronavirus Disease 2019 (COVID-19), requires the production of Regeneron therapeutic cocktail REGN10987 and REGN10933 (casirivimab and imdevimab) on a commercial item basis, up to 1,250,000 doses to treat members of the DoD and the general population infected with the SARS CoV-2 Virus.</w:t>
      </w:r>
    </w:p>
    <w:p>
      <w:pPr>
        <w:spacing w:after="0" w:line="253" w:lineRule="exact"/>
        <w:rPr>
          <w:sz w:val="20"/>
          <w:szCs w:val="20"/>
          <w:color w:val="auto"/>
        </w:rPr>
      </w:pPr>
    </w:p>
    <w:p>
      <w:pPr>
        <w:spacing w:after="0" w:line="282" w:lineRule="auto"/>
        <w:rPr>
          <w:sz w:val="20"/>
          <w:szCs w:val="20"/>
          <w:color w:val="auto"/>
        </w:rPr>
      </w:pPr>
      <w:r>
        <w:rPr>
          <w:rFonts w:ascii="Courier New" w:cs="Courier New" w:eastAsia="Courier New" w:hAnsi="Courier New"/>
          <w:sz w:val="13"/>
          <w:szCs w:val="13"/>
          <w:color w:val="auto"/>
        </w:rPr>
        <w:t>c.1.1 Background: The DHHS continuously monitors emerging infectious disease risk and prepares to respond to the threat of novel emerging infectious disease outbreaks in the United States. DHHS is responding to an outbreak of respiratory disease caused by a novel coronavirus that was first detected in China, and which has now spread worldwide, including in the United States. The virus has been named SARS-CoV-2 and the disease it causes has been named Coronavirus Disease 2019 (abbreviated COVID-19).</w:t>
      </w:r>
    </w:p>
    <w:p>
      <w:pPr>
        <w:spacing w:after="0" w:line="266" w:lineRule="exact"/>
        <w:rPr>
          <w:sz w:val="20"/>
          <w:szCs w:val="20"/>
          <w:color w:val="auto"/>
        </w:rPr>
      </w:pPr>
    </w:p>
    <w:p>
      <w:pPr>
        <w:ind w:right="300"/>
        <w:spacing w:after="0" w:line="312" w:lineRule="auto"/>
        <w:rPr>
          <w:sz w:val="20"/>
          <w:szCs w:val="20"/>
          <w:color w:val="auto"/>
        </w:rPr>
      </w:pPr>
      <w:r>
        <w:rPr>
          <w:rFonts w:ascii="Courier New" w:cs="Courier New" w:eastAsia="Courier New" w:hAnsi="Courier New"/>
          <w:sz w:val="12"/>
          <w:szCs w:val="12"/>
          <w:color w:val="auto"/>
        </w:rPr>
        <w:t>On January 30, 2020, the International Health Regulations Emergency Committee of the World Health Organization (WHO) declared the outbreak a Public Health Emergency of International Concern (PHEIC). On January 31, Health and Human Services Secretary Alex M. Azar II declared a Public Health Emergency (PHE) for the United States to aid the nations healthcare community in responding to COVID-19. On March 11, WHO publicly characterized COVID-19 as a pandemic. On March 13, the President of the United States declared the COVID-19 outbreak a national emergency.</w:t>
      </w:r>
    </w:p>
    <w:p>
      <w:pPr>
        <w:spacing w:after="0" w:line="238" w:lineRule="exact"/>
        <w:rPr>
          <w:sz w:val="20"/>
          <w:szCs w:val="20"/>
          <w:color w:val="auto"/>
        </w:rPr>
      </w:pPr>
    </w:p>
    <w:p>
      <w:pPr>
        <w:spacing w:after="0" w:line="283" w:lineRule="auto"/>
        <w:rPr>
          <w:sz w:val="20"/>
          <w:szCs w:val="20"/>
          <w:color w:val="auto"/>
        </w:rPr>
      </w:pPr>
      <w:r>
        <w:rPr>
          <w:rFonts w:ascii="Courier New" w:cs="Courier New" w:eastAsia="Courier New" w:hAnsi="Courier New"/>
          <w:sz w:val="13"/>
          <w:szCs w:val="13"/>
          <w:color w:val="auto"/>
        </w:rPr>
        <w:t>In July 2020, the DoD awarded an Other Transaction Agreement under the authority of 10 USC 2371b to Regeneron to manufacture and sell drug product to the Government, and to distribute such drug product for the Government in the U.S. These manufacturing production activities included manufacturing at-scale, filling and finishing, and storage and shipping of REGN10987 and REGN10933 as a therapeutic cocktail to treat COVID-19 infected patients. On November 21, 2020, Regeneron announced that the antibody cocktail casirivimab and imdevimab administered together, has received Emergency Use Authorization (EUA) from the U.S. Food and Drug Administration (FDA).</w:t>
      </w:r>
    </w:p>
    <w:p>
      <w:pPr>
        <w:spacing w:after="0" w:line="266" w:lineRule="exact"/>
        <w:rPr>
          <w:sz w:val="20"/>
          <w:szCs w:val="20"/>
          <w:color w:val="auto"/>
        </w:rPr>
      </w:pPr>
    </w:p>
    <w:p>
      <w:pPr>
        <w:spacing w:after="0" w:line="280" w:lineRule="auto"/>
        <w:rPr>
          <w:sz w:val="20"/>
          <w:szCs w:val="20"/>
          <w:color w:val="auto"/>
        </w:rPr>
      </w:pPr>
      <w:r>
        <w:rPr>
          <w:rFonts w:ascii="Courier New" w:cs="Courier New" w:eastAsia="Courier New" w:hAnsi="Courier New"/>
          <w:sz w:val="13"/>
          <w:szCs w:val="13"/>
          <w:color w:val="auto"/>
        </w:rPr>
        <w:t>As part of DHHS preparedness and response activities, DHHS seeks to purchase up to 1,250,000 doses of the EUA authorized (or Biologics License Application (BLA) approved) casirivimab and imdevimab therapeutic, enough to treat much of the targeted US population currently or projected to be infected over the coming months.</w:t>
      </w:r>
    </w:p>
    <w:p>
      <w:pPr>
        <w:spacing w:after="0" w:line="254" w:lineRule="exact"/>
        <w:rPr>
          <w:sz w:val="20"/>
          <w:szCs w:val="20"/>
          <w:color w:val="auto"/>
        </w:rPr>
      </w:pPr>
    </w:p>
    <w:p>
      <w:pPr>
        <w:ind w:right="220"/>
        <w:spacing w:after="0" w:line="275" w:lineRule="auto"/>
        <w:rPr>
          <w:sz w:val="20"/>
          <w:szCs w:val="20"/>
          <w:color w:val="auto"/>
        </w:rPr>
      </w:pPr>
      <w:r>
        <w:rPr>
          <w:rFonts w:ascii="Courier New" w:cs="Courier New" w:eastAsia="Courier New" w:hAnsi="Courier New"/>
          <w:sz w:val="13"/>
          <w:szCs w:val="13"/>
          <w:color w:val="auto"/>
        </w:rPr>
        <w:t>c.2 Objectives and Quantity: The contractor shall produce up to 1,250,000 doses of therapeutic, and the Government will purchase all such doses available in Vendor-Managed Inventory (VMI) by the applicable date set forth below:</w:t>
      </w:r>
    </w:p>
    <w:p>
      <w:pPr>
        <w:spacing w:after="0" w:line="270" w:lineRule="exact"/>
        <w:rPr>
          <w:sz w:val="20"/>
          <w:szCs w:val="20"/>
          <w:color w:val="auto"/>
        </w:rPr>
      </w:pPr>
    </w:p>
    <w:p>
      <w:pPr>
        <w:ind w:right="460"/>
        <w:spacing w:after="0" w:line="282" w:lineRule="auto"/>
        <w:rPr>
          <w:sz w:val="20"/>
          <w:szCs w:val="20"/>
          <w:color w:val="auto"/>
        </w:rPr>
      </w:pPr>
      <w:r>
        <w:rPr>
          <w:rFonts w:ascii="Courier New" w:cs="Courier New" w:eastAsia="Courier New" w:hAnsi="Courier New"/>
          <w:sz w:val="13"/>
          <w:szCs w:val="13"/>
          <w:color w:val="auto"/>
        </w:rPr>
        <w:t>No Later Than (NLT) June 30, 2021. The Government will consider extending the time for delivery to NLT September 30, 2021, if the contractor is unable to complete delivery to VMI by June 30, 2021, after making a good faith effort to do so. However, prior to any extension to the delivery schedule, the contractor shall coordinate with the Government to determine an appropriate path forward, aligning with Government needs. The contractor shall comply with the procedures of FAR 52.212-4(f), Excusable Delays.</w:t>
      </w:r>
    </w:p>
    <w:p>
      <w:pPr>
        <w:spacing w:after="0" w:line="246" w:lineRule="exact"/>
        <w:rPr>
          <w:sz w:val="20"/>
          <w:szCs w:val="20"/>
          <w:color w:val="auto"/>
        </w:rPr>
      </w:pPr>
    </w:p>
    <w:p>
      <w:pPr>
        <w:ind w:left="20"/>
        <w:spacing w:after="0"/>
        <w:rPr>
          <w:sz w:val="20"/>
          <w:szCs w:val="20"/>
          <w:color w:val="auto"/>
        </w:rPr>
      </w:pPr>
      <w:r>
        <w:rPr>
          <w:rFonts w:ascii="Courier New" w:cs="Courier New" w:eastAsia="Courier New" w:hAnsi="Courier New"/>
          <w:sz w:val="13"/>
          <w:szCs w:val="13"/>
          <w:color w:val="auto"/>
        </w:rPr>
        <w:t>c.3 Requirements:</w:t>
      </w:r>
    </w:p>
    <w:p>
      <w:pPr>
        <w:spacing w:after="0" w:line="264" w:lineRule="exact"/>
        <w:rPr>
          <w:sz w:val="20"/>
          <w:szCs w:val="20"/>
          <w:color w:val="auto"/>
        </w:rPr>
      </w:pPr>
    </w:p>
    <w:p>
      <w:pPr>
        <w:ind w:hanging="1"/>
        <w:spacing w:after="0" w:line="310" w:lineRule="auto"/>
        <w:rPr>
          <w:sz w:val="20"/>
          <w:szCs w:val="20"/>
          <w:color w:val="auto"/>
        </w:rPr>
      </w:pPr>
      <w:r>
        <w:rPr>
          <w:rFonts w:ascii="Courier New" w:cs="Courier New" w:eastAsia="Courier New" w:hAnsi="Courier New"/>
          <w:sz w:val="12"/>
          <w:szCs w:val="12"/>
          <w:color w:val="auto"/>
        </w:rPr>
        <w:t>c.3.1 Therapeutic: The contractor shall distribute the product to Government designated sites as directed by the Government, EUA authorized finished drug product in vials in accordance with the products storage and handling requirements in the EUA, including temperature controls. This shall include storage and distribution activities. Regeneron will engage one or more third party service providers (each a Distributor) to perform storage and distribution activities for drug product at the direction of the Government. The Government will be solely responsible for all allocation determinations related to drug product, including allocation to end users and communication of such allocation determinations to the Distributor. Unless otherwise mutually agreed upon by the parties, drug product shall be shipped to the Government or distributed, as applicable, solely within the United States (including its territories and possessions). The contractor shall [* * *], until the product is distributed to the end user (e.g., the hospital, infusion center or other end-user). To the extent that Regeneron is responsible for the correction, repair or replacement of Government property held in vendor-managed inventory or in distribution and in the possession of the Distributor, [* * *] , the Government will [* * *] of such property. The parties will coordinate ordering through centralized distribution via the established Memorandum of Understanding between Regeneron, Assistant Secretary for Preparedness and Response (ASPR), and AmerisourceBergen. Storage and distribution activities under the EUA shall be supported under this agreement through the end of the period of performance.</w:t>
      </w:r>
    </w:p>
    <w:p>
      <w:pPr>
        <w:spacing w:after="0" w:line="242" w:lineRule="exact"/>
        <w:rPr>
          <w:sz w:val="20"/>
          <w:szCs w:val="20"/>
          <w:color w:val="auto"/>
        </w:rPr>
      </w:pPr>
    </w:p>
    <w:p>
      <w:pPr>
        <w:ind w:right="80" w:hanging="1"/>
        <w:spacing w:after="0" w:line="311" w:lineRule="auto"/>
        <w:rPr>
          <w:sz w:val="20"/>
          <w:szCs w:val="20"/>
          <w:color w:val="auto"/>
        </w:rPr>
      </w:pPr>
      <w:r>
        <w:rPr>
          <w:rFonts w:ascii="Courier New" w:cs="Courier New" w:eastAsia="Courier New" w:hAnsi="Courier New"/>
          <w:sz w:val="12"/>
          <w:szCs w:val="12"/>
          <w:color w:val="auto"/>
        </w:rPr>
        <w:t>c.3.2 Product Development Manufacturing Reports and Projections: Regeneron will provide manufacturing reports and manufacturing dose tracking projections/actuals, in the format and having the content mutually agreed upon by the Government and Regeneron. Regeneron will update the reports [* * *] during manufacturing campaigns and upon manufacturing deliverable submission during COVID-19 response operations (where a Public Health Emergency has been declared), with the first deliverable submission within [* * *] of award. For clarity, the reports described in this section apply to Formulated Drug Substance and Drug Product prior to delivery and acceptance by the Government. Tracking reports for product following delivery and acceptance, shall be set forth in the Memorandum of Understanding between Regeneron, ASPR, and AmerisourceBergen.</w:t>
      </w:r>
    </w:p>
    <w:p>
      <w:pPr>
        <w:sectPr>
          <w:pgSz w:w="11900" w:h="16838" w:orient="portrait"/>
          <w:cols w:equalWidth="0" w:num="1">
            <w:col w:w="11040"/>
          </w:cols>
          <w:pgMar w:left="320" w:top="930" w:right="539" w:bottom="1440" w:gutter="0" w:footer="0" w:header="0"/>
        </w:sectPr>
      </w:pPr>
    </w:p>
    <w:bookmarkStart w:id="92" w:name="page93"/>
    <w:bookmarkEnd w:id="92"/>
    <w:tbl>
      <w:tblPr>
        <w:tblLayout w:type="fixed"/>
        <w:tblInd w:w="20" w:type="dxa"/>
        <w:tblCellMar>
          <w:top w:w="0" w:type="dxa"/>
          <w:left w:w="0" w:type="dxa"/>
          <w:bottom w:w="0" w:type="dxa"/>
          <w:right w:w="0" w:type="dxa"/>
        </w:tblCellMar>
      </w:tblPr>
      <w:tr>
        <w:trPr>
          <w:trHeight w:val="246"/>
        </w:trPr>
        <w:tc>
          <w:tcPr>
            <w:tcW w:w="328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CONTINUATION SHEET</w:t>
            </w:r>
          </w:p>
        </w:tc>
        <w:tc>
          <w:tcPr>
            <w:tcW w:w="5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94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8</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80" w:type="dxa"/>
            <w:vAlign w:val="bottom"/>
            <w:tcBorders>
              <w:right w:val="single" w:sz="8" w:color="auto"/>
            </w:tcBorders>
          </w:tcPr>
          <w:p>
            <w:pPr>
              <w:spacing w:after="0"/>
              <w:rPr>
                <w:sz w:val="9"/>
                <w:szCs w:val="9"/>
                <w:color w:val="auto"/>
              </w:rPr>
            </w:pPr>
          </w:p>
        </w:tc>
        <w:tc>
          <w:tcPr>
            <w:tcW w:w="518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940" w:type="dxa"/>
            <w:vAlign w:val="bottom"/>
          </w:tcPr>
          <w:p>
            <w:pPr>
              <w:spacing w:after="0"/>
              <w:rPr>
                <w:sz w:val="9"/>
                <w:szCs w:val="9"/>
                <w:color w:val="auto"/>
              </w:rPr>
            </w:pPr>
          </w:p>
        </w:tc>
      </w:tr>
      <w:tr>
        <w:trPr>
          <w:trHeight w:val="188"/>
        </w:trPr>
        <w:tc>
          <w:tcPr>
            <w:tcW w:w="3280" w:type="dxa"/>
            <w:vAlign w:val="bottom"/>
            <w:tcBorders>
              <w:bottom w:val="single" w:sz="8" w:color="auto"/>
              <w:right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94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31115</wp:posOffset>
            </wp:positionV>
            <wp:extent cx="66090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c.4 Reporting: The contractor shall provide the following reports/deliverables in accordance with Exhibit A:</w:t>
      </w:r>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60" w:type="dxa"/>
            <w:vAlign w:val="bottom"/>
            <w:tcBorders>
              <w:bottom w:val="single" w:sz="8" w:color="auto"/>
            </w:tcBorders>
          </w:tcPr>
          <w:p>
            <w:pPr>
              <w:spacing w:after="0"/>
              <w:rPr>
                <w:sz w:val="20"/>
                <w:szCs w:val="20"/>
                <w:color w:val="auto"/>
              </w:rPr>
            </w:pPr>
            <w:r>
              <w:rPr>
                <w:rFonts w:ascii="Courier New" w:cs="Courier New" w:eastAsia="Courier New" w:hAnsi="Courier New"/>
                <w:sz w:val="13"/>
                <w:szCs w:val="13"/>
                <w:color w:val="auto"/>
                <w:w w:val="93"/>
              </w:rPr>
              <w:t>CDRL #</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20"/>
                <w:szCs w:val="20"/>
                <w:color w:val="auto"/>
              </w:rPr>
            </w:pPr>
            <w:r>
              <w:rPr>
                <w:rFonts w:ascii="Courier New" w:cs="Courier New" w:eastAsia="Courier New" w:hAnsi="Courier New"/>
                <w:sz w:val="13"/>
                <w:szCs w:val="13"/>
                <w:color w:val="auto"/>
                <w:w w:val="92"/>
              </w:rPr>
              <w:t>Title</w:t>
            </w:r>
          </w:p>
        </w:tc>
        <w:tc>
          <w:tcPr>
            <w:tcW w:w="3960" w:type="dxa"/>
            <w:vAlign w:val="bottom"/>
          </w:tcPr>
          <w:p>
            <w:pPr>
              <w:spacing w:after="0"/>
              <w:rPr>
                <w:sz w:val="12"/>
                <w:szCs w:val="12"/>
                <w:color w:val="auto"/>
              </w:rPr>
            </w:pPr>
          </w:p>
        </w:tc>
      </w:tr>
      <w:tr>
        <w:trPr>
          <w:trHeight w:val="205"/>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A001</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Post Award Teleconference Minutes</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A002</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Kickoff Meeting Agenda and Minutes</w:t>
            </w:r>
          </w:p>
        </w:tc>
      </w:tr>
      <w:tr>
        <w:trPr>
          <w:trHeight w:val="148"/>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A003</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Teleconference Minutes</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A004</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Quarterly Meetings</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A005</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FDA Meeting Minutes</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A006</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Daily Check-in with Project Staff for COVID-19 Agreement</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A007</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Monthly Progress Reports</w:t>
            </w:r>
          </w:p>
        </w:tc>
      </w:tr>
      <w:tr>
        <w:trPr>
          <w:trHeight w:val="148"/>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A008</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Milestone Reports</w:t>
            </w:r>
          </w:p>
        </w:tc>
      </w:tr>
      <w:tr>
        <w:trPr>
          <w:trHeight w:val="189"/>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A009</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Draft Technical Progress Report</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A010</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Final Technical Progress Report</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A011</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w w:val="96"/>
              </w:rPr>
              <w:t>Product Development Source Material and Manufacturing Report</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A012</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Contractor Locations</w:t>
            </w:r>
          </w:p>
        </w:tc>
      </w:tr>
      <w:tr>
        <w:trPr>
          <w:trHeight w:val="148"/>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A013</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Pandemic Management Plan</w:t>
            </w:r>
          </w:p>
        </w:tc>
      </w:tr>
      <w:tr>
        <w:trPr>
          <w:trHeight w:val="203"/>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A014</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Supply Chain and Distribution Tracking</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A015</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Distribution Plan</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A016</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Manufacturing Development Plan</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A017</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Quality Management Plan</w:t>
            </w:r>
          </w:p>
        </w:tc>
      </w:tr>
      <w:tr>
        <w:trPr>
          <w:trHeight w:val="148"/>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A018</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Quality Agreement</w:t>
            </w:r>
          </w:p>
        </w:tc>
      </w:tr>
      <w:tr>
        <w:trPr>
          <w:trHeight w:val="203"/>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A019</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Release Documentation for Doses to be Delivered</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A020</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Manufacturing and Distribution Records</w:t>
            </w:r>
          </w:p>
        </w:tc>
      </w:tr>
      <w:tr>
        <w:trPr>
          <w:trHeight w:val="148"/>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A021</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Security Plan</w:t>
            </w:r>
          </w:p>
        </w:tc>
      </w:tr>
      <w:tr>
        <w:trPr>
          <w:trHeight w:val="203"/>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A022</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Supply Chain Resiliency Plan</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A023</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Manufacturing Data Requirements</w:t>
            </w:r>
          </w:p>
        </w:tc>
      </w:tr>
      <w:tr>
        <w:trPr>
          <w:trHeight w:val="149"/>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A024</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BARDA Audit</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A025</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FDA Inspections</w:t>
            </w:r>
          </w:p>
        </w:tc>
      </w:tr>
      <w:tr>
        <w:trPr>
          <w:trHeight w:val="175"/>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A026</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QA Audits</w:t>
            </w:r>
          </w:p>
        </w:tc>
      </w:tr>
      <w:tr>
        <w:trPr>
          <w:trHeight w:val="175"/>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A027</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FDA Submissions</w:t>
            </w:r>
          </w:p>
        </w:tc>
      </w:tr>
      <w:tr>
        <w:trPr>
          <w:trHeight w:val="175"/>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A028</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EUA Filing</w:t>
            </w:r>
          </w:p>
        </w:tc>
      </w:tr>
      <w:tr>
        <w:trPr>
          <w:trHeight w:val="176"/>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A029</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w w:val="97"/>
              </w:rPr>
              <w:t>Provision of Public Law 115-92 SPONSOR Authorization Letter</w:t>
            </w:r>
          </w:p>
        </w:tc>
      </w:tr>
      <w:tr>
        <w:trPr>
          <w:trHeight w:val="162"/>
        </w:trPr>
        <w:tc>
          <w:tcPr>
            <w:tcW w:w="540" w:type="dxa"/>
            <w:vAlign w:val="bottom"/>
            <w:gridSpan w:val="3"/>
          </w:tcPr>
          <w:p>
            <w:pPr>
              <w:spacing w:after="0"/>
              <w:rPr>
                <w:sz w:val="20"/>
                <w:szCs w:val="20"/>
                <w:color w:val="auto"/>
              </w:rPr>
            </w:pPr>
            <w:r>
              <w:rPr>
                <w:rFonts w:ascii="Courier New" w:cs="Courier New" w:eastAsia="Courier New" w:hAnsi="Courier New"/>
                <w:sz w:val="13"/>
                <w:szCs w:val="13"/>
                <w:color w:val="auto"/>
              </w:rPr>
              <w:t>A030</w:t>
            </w:r>
          </w:p>
        </w:tc>
        <w:tc>
          <w:tcPr>
            <w:tcW w:w="4580" w:type="dxa"/>
            <w:vAlign w:val="bottom"/>
            <w:gridSpan w:val="3"/>
          </w:tcPr>
          <w:p>
            <w:pPr>
              <w:ind w:left="60"/>
              <w:spacing w:after="0"/>
              <w:rPr>
                <w:sz w:val="20"/>
                <w:szCs w:val="20"/>
                <w:color w:val="auto"/>
              </w:rPr>
            </w:pPr>
            <w:r>
              <w:rPr>
                <w:rFonts w:ascii="Courier New" w:cs="Courier New" w:eastAsia="Courier New" w:hAnsi="Courier New"/>
                <w:sz w:val="13"/>
                <w:szCs w:val="13"/>
                <w:color w:val="auto"/>
              </w:rPr>
              <w:t>Press Releases</w:t>
            </w:r>
          </w:p>
        </w:tc>
      </w:tr>
    </w:tbl>
    <w:p>
      <w:pPr>
        <w:spacing w:after="0" w:line="244"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c.5 Period of Performance: The period of performance for this contract is twelve (12) months.</w:t>
      </w:r>
    </w:p>
    <w:p>
      <w:pPr>
        <w:spacing w:after="0" w:line="258"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c.6 Inspection/Acceptance:</w:t>
      </w:r>
    </w:p>
    <w:p>
      <w:pPr>
        <w:spacing w:after="0" w:line="264" w:lineRule="exact"/>
        <w:rPr>
          <w:sz w:val="20"/>
          <w:szCs w:val="20"/>
          <w:color w:val="auto"/>
        </w:rPr>
      </w:pPr>
    </w:p>
    <w:p>
      <w:pPr>
        <w:ind w:left="240" w:right="300"/>
        <w:spacing w:after="0" w:line="282" w:lineRule="auto"/>
        <w:rPr>
          <w:sz w:val="20"/>
          <w:szCs w:val="20"/>
          <w:color w:val="auto"/>
        </w:rPr>
      </w:pPr>
      <w:r>
        <w:rPr>
          <w:rFonts w:ascii="Courier New" w:cs="Courier New" w:eastAsia="Courier New" w:hAnsi="Courier New"/>
          <w:sz w:val="13"/>
          <w:szCs w:val="13"/>
          <w:color w:val="auto"/>
        </w:rPr>
        <w:t>c.6.1 Inspection: The Technical Point of Contact (TPOC) is a duly authorized representative of the Government, and is responsible for the inspection and/or acceptance of all items/activities to be delivered and/or completed under this contract. The parties acknowledge that acceptance may depend on the compliance with FDA regulations at 21 CFR 600-680 regarding the BLA, current Good Manufacturing Practice (cGMP) regulations at 21 CFR 210, 211, and other FDA regulations.</w:t>
      </w:r>
    </w:p>
    <w:p>
      <w:pPr>
        <w:spacing w:after="0" w:line="253" w:lineRule="exact"/>
        <w:rPr>
          <w:sz w:val="20"/>
          <w:szCs w:val="20"/>
          <w:color w:val="auto"/>
        </w:rPr>
      </w:pPr>
    </w:p>
    <w:p>
      <w:pPr>
        <w:ind w:left="240" w:hanging="1"/>
        <w:spacing w:after="0" w:line="310" w:lineRule="auto"/>
        <w:rPr>
          <w:sz w:val="20"/>
          <w:szCs w:val="20"/>
          <w:color w:val="auto"/>
        </w:rPr>
      </w:pPr>
      <w:r>
        <w:rPr>
          <w:rFonts w:ascii="Courier New" w:cs="Courier New" w:eastAsia="Courier New" w:hAnsi="Courier New"/>
          <w:sz w:val="12"/>
          <w:szCs w:val="12"/>
          <w:color w:val="auto"/>
        </w:rPr>
        <w:t>c.6.2 Acceptance: Title to drug product will pass to the Government upon delivery of such drug product to VMI, and the Governments corresponding written acceptance of such drug product. The Government shall accept product that conforms to contract requirements based on a Certificate of Analysis (COA) and any other quality documentation required to be provided by Regeneron, as set forth in the Quality Agreement ("Required Documents"), and the parties shall perform their obligations relating to product delivery set forth in the applicable Quality Agreement for the product. The Government's acceptance of drug product will be [* * *] provide written notice of acceptance or rejection within [* * *]. Any visibly damaged product will be rejected immediately. The contractor will transfer product from VMI to the Distributor for distribution directed by the Government; provided that, product shall not be provided to the Distributor until it is accepted by the Government. The contractor shall provide a shipment temperature tracking report within [* * *] of contractors receipt of such report from its storage vendor, or otherwise in accordance with the applicable Quality Agreement. Any product subject to a temperature excursion outside of acceptable tolerances, shall be rejected. Any rejected product shall be returned to the contractor or otherwise disposed of according to contractor instructions. The Government will not be obligated to pay for rejected vials, nor will rejected vials count toward the delivery requirement. The contractor shall establish a notification mechanism for delivery sites to contact the Government regarding rejected vials.</w:t>
      </w:r>
    </w:p>
    <w:p>
      <w:pPr>
        <w:spacing w:after="0" w:line="256" w:lineRule="exact"/>
        <w:rPr>
          <w:sz w:val="20"/>
          <w:szCs w:val="20"/>
          <w:color w:val="auto"/>
        </w:rPr>
      </w:pPr>
    </w:p>
    <w:p>
      <w:pPr>
        <w:ind w:left="240" w:right="920" w:hanging="1"/>
        <w:spacing w:after="0" w:line="275" w:lineRule="auto"/>
        <w:rPr>
          <w:sz w:val="20"/>
          <w:szCs w:val="20"/>
          <w:color w:val="auto"/>
        </w:rPr>
      </w:pPr>
      <w:r>
        <w:rPr>
          <w:rFonts w:ascii="Courier New" w:cs="Courier New" w:eastAsia="Courier New" w:hAnsi="Courier New"/>
          <w:sz w:val="13"/>
          <w:szCs w:val="13"/>
          <w:color w:val="auto"/>
        </w:rPr>
        <w:t>c.7 Packaging and Marking: The contractor shall label product according to FDA guidance/instructions. Packaging shall be in shipping containers according to the contractors standard commercial practice.</w:t>
      </w:r>
    </w:p>
    <w:p>
      <w:pPr>
        <w:spacing w:after="0" w:line="257" w:lineRule="exact"/>
        <w:rPr>
          <w:sz w:val="20"/>
          <w:szCs w:val="20"/>
          <w:color w:val="auto"/>
        </w:rPr>
      </w:pPr>
    </w:p>
    <w:p>
      <w:pPr>
        <w:ind w:left="240" w:right="160" w:hanging="1"/>
        <w:spacing w:after="0" w:line="282" w:lineRule="auto"/>
        <w:rPr>
          <w:sz w:val="20"/>
          <w:szCs w:val="20"/>
          <w:color w:val="auto"/>
        </w:rPr>
      </w:pPr>
      <w:r>
        <w:rPr>
          <w:rFonts w:ascii="Courier New" w:cs="Courier New" w:eastAsia="Courier New" w:hAnsi="Courier New"/>
          <w:sz w:val="13"/>
          <w:szCs w:val="13"/>
          <w:color w:val="auto"/>
        </w:rPr>
        <w:t>c.8 Delivery of Authorized or Approved Doses: The contractors delivery obligations under this contract are contingent on product being covered by an EUA or marketing approval issued by the FDA in effect on the date of delivery. For the purpose of this contract, a dose will constitute the lowest dose authorized or approved by the FDA for the treatment of high-risk adult and pediatric patients aged 12 years and older with recently diagnosed mild-to-moderate coronavirus disease (COVID-19) prior to or on the date of delivery. Except as</w:t>
      </w:r>
    </w:p>
    <w:p>
      <w:pPr>
        <w:sectPr>
          <w:pgSz w:w="11900" w:h="16838" w:orient="portrait"/>
          <w:cols w:equalWidth="0" w:num="1">
            <w:col w:w="11120"/>
          </w:cols>
          <w:pgMar w:left="340" w:top="930" w:right="4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46"/>
        </w:trPr>
        <w:tc>
          <w:tcPr>
            <w:tcW w:w="328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CONTINUATION SHEET</w:t>
            </w:r>
          </w:p>
        </w:tc>
        <w:tc>
          <w:tcPr>
            <w:tcW w:w="5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94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9</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80" w:type="dxa"/>
            <w:vAlign w:val="bottom"/>
            <w:tcBorders>
              <w:right w:val="single" w:sz="8" w:color="auto"/>
            </w:tcBorders>
          </w:tcPr>
          <w:p>
            <w:pPr>
              <w:spacing w:after="0"/>
              <w:rPr>
                <w:sz w:val="9"/>
                <w:szCs w:val="9"/>
                <w:color w:val="auto"/>
              </w:rPr>
            </w:pPr>
          </w:p>
        </w:tc>
        <w:tc>
          <w:tcPr>
            <w:tcW w:w="518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940" w:type="dxa"/>
            <w:vAlign w:val="bottom"/>
          </w:tcPr>
          <w:p>
            <w:pPr>
              <w:spacing w:after="0"/>
              <w:rPr>
                <w:sz w:val="9"/>
                <w:szCs w:val="9"/>
                <w:color w:val="auto"/>
              </w:rPr>
            </w:pPr>
          </w:p>
        </w:tc>
      </w:tr>
      <w:tr>
        <w:trPr>
          <w:trHeight w:val="188"/>
        </w:trPr>
        <w:tc>
          <w:tcPr>
            <w:tcW w:w="3280" w:type="dxa"/>
            <w:vAlign w:val="bottom"/>
            <w:tcBorders>
              <w:bottom w:val="single" w:sz="8" w:color="auto"/>
              <w:right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94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wp:posOffset>
            </wp:positionV>
            <wp:extent cx="66090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154" w:lineRule="exact"/>
        <w:rPr>
          <w:sz w:val="20"/>
          <w:szCs w:val="20"/>
          <w:color w:val="auto"/>
        </w:rPr>
      </w:pPr>
    </w:p>
    <w:p>
      <w:pPr>
        <w:ind w:left="240" w:right="380"/>
        <w:spacing w:after="0" w:line="275" w:lineRule="auto"/>
        <w:rPr>
          <w:sz w:val="20"/>
          <w:szCs w:val="20"/>
          <w:color w:val="auto"/>
        </w:rPr>
      </w:pPr>
      <w:r>
        <w:rPr>
          <w:rFonts w:ascii="Courier New" w:cs="Courier New" w:eastAsia="Courier New" w:hAnsi="Courier New"/>
          <w:sz w:val="13"/>
          <w:szCs w:val="13"/>
          <w:color w:val="auto"/>
        </w:rPr>
        <w:t>otherwise mutually agreed to by the parties, the product shall not be sold to the Government for use in any other approved or authorized indication or dose exceeding 2400mg/mAb.</w:t>
      </w:r>
    </w:p>
    <w:p>
      <w:pPr>
        <w:spacing w:after="0" w:line="257" w:lineRule="exact"/>
        <w:rPr>
          <w:sz w:val="20"/>
          <w:szCs w:val="20"/>
          <w:color w:val="auto"/>
        </w:rPr>
      </w:pPr>
    </w:p>
    <w:p>
      <w:pPr>
        <w:ind w:left="240"/>
        <w:spacing w:after="0" w:line="280" w:lineRule="auto"/>
        <w:rPr>
          <w:sz w:val="20"/>
          <w:szCs w:val="20"/>
          <w:color w:val="auto"/>
        </w:rPr>
      </w:pPr>
      <w:r>
        <w:rPr>
          <w:rFonts w:ascii="Courier New" w:cs="Courier New" w:eastAsia="Courier New" w:hAnsi="Courier New"/>
          <w:sz w:val="13"/>
          <w:szCs w:val="13"/>
          <w:color w:val="auto"/>
        </w:rPr>
        <w:t>Public Disclosures: Notwithstanding any other provision in this contract, the contractor may publicly release any information related to this contract without prior approval to the extent necessary to satisfy or address regulatory requirements, contractual obligations to third parties, and the public interest in data about the safety or efficacy of the product.</w:t>
      </w:r>
    </w:p>
    <w:p>
      <w:pPr>
        <w:spacing w:after="0" w:line="268" w:lineRule="exact"/>
        <w:rPr>
          <w:sz w:val="20"/>
          <w:szCs w:val="20"/>
          <w:color w:val="auto"/>
        </w:rPr>
      </w:pPr>
    </w:p>
    <w:p>
      <w:pPr>
        <w:ind w:left="240"/>
        <w:spacing w:after="0" w:line="280" w:lineRule="auto"/>
        <w:rPr>
          <w:sz w:val="20"/>
          <w:szCs w:val="20"/>
          <w:color w:val="auto"/>
        </w:rPr>
      </w:pPr>
      <w:r>
        <w:rPr>
          <w:rFonts w:ascii="Courier New" w:cs="Courier New" w:eastAsia="Courier New" w:hAnsi="Courier New"/>
          <w:sz w:val="13"/>
          <w:szCs w:val="13"/>
          <w:color w:val="auto"/>
        </w:rPr>
        <w:t>Public Readiness and Emergency Preparedness (PREP) Act: The Government will ensure that no product purchased under this contract is used outside the United States (including its territories or possessions) or in a way that is not protected from liability by a declaration issued under the PREP Act that is active at the time of use.</w:t>
      </w:r>
    </w:p>
    <w:p>
      <w:pPr>
        <w:spacing w:after="0" w:line="234" w:lineRule="exact"/>
        <w:rPr>
          <w:sz w:val="20"/>
          <w:szCs w:val="20"/>
          <w:color w:val="auto"/>
        </w:rPr>
      </w:pPr>
    </w:p>
    <w:p>
      <w:pPr>
        <w:ind w:left="220"/>
        <w:spacing w:after="0"/>
        <w:rPr>
          <w:sz w:val="20"/>
          <w:szCs w:val="20"/>
          <w:color w:val="auto"/>
        </w:rPr>
      </w:pPr>
      <w:r>
        <w:rPr>
          <w:rFonts w:ascii="Courier New" w:cs="Courier New" w:eastAsia="Courier New" w:hAnsi="Courier New"/>
          <w:sz w:val="13"/>
          <w:szCs w:val="13"/>
          <w:color w:val="auto"/>
        </w:rPr>
        <w:t>c.9 Government Technical Point of Contact:</w:t>
      </w:r>
    </w:p>
    <w:p>
      <w:pPr>
        <w:spacing w:after="0" w:line="200" w:lineRule="exact"/>
        <w:rPr>
          <w:sz w:val="20"/>
          <w:szCs w:val="20"/>
          <w:color w:val="auto"/>
        </w:rPr>
      </w:pPr>
    </w:p>
    <w:p>
      <w:pPr>
        <w:spacing w:after="0" w:line="301"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HHS BARDA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3"/>
          <w:szCs w:val="13"/>
          <w:color w:val="auto"/>
        </w:rPr>
        <w:t>*** END OF NARRATIVE C0001 ***</w:t>
      </w:r>
    </w:p>
    <w:p>
      <w:pPr>
        <w:sectPr>
          <w:pgSz w:w="11900" w:h="16838" w:orient="portrait"/>
          <w:cols w:equalWidth="0" w:num="1">
            <w:col w:w="10900"/>
          </w:cols>
          <w:pgMar w:left="360" w:top="930" w:right="6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46"/>
        </w:trPr>
        <w:tc>
          <w:tcPr>
            <w:tcW w:w="33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CONTINUATION SHEET</w:t>
            </w:r>
          </w:p>
        </w:tc>
        <w:tc>
          <w:tcPr>
            <w:tcW w:w="5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Reference No. of Document Being Continued</w:t>
            </w:r>
          </w:p>
        </w:tc>
        <w:tc>
          <w:tcPr>
            <w:tcW w:w="2040" w:type="dxa"/>
            <w:vAlign w:val="bottom"/>
            <w:tcBorders>
              <w:top w:val="single" w:sz="8" w:color="auto"/>
            </w:tcBorders>
          </w:tcPr>
          <w:p>
            <w:pPr>
              <w:ind w:left="18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10</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300" w:type="dxa"/>
            <w:vAlign w:val="bottom"/>
            <w:tcBorders>
              <w:right w:val="single" w:sz="8" w:color="auto"/>
            </w:tcBorders>
          </w:tcPr>
          <w:p>
            <w:pPr>
              <w:spacing w:after="0"/>
              <w:rPr>
                <w:sz w:val="9"/>
                <w:szCs w:val="9"/>
                <w:color w:val="auto"/>
              </w:rPr>
            </w:pPr>
          </w:p>
        </w:tc>
        <w:tc>
          <w:tcPr>
            <w:tcW w:w="520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2040" w:type="dxa"/>
            <w:vAlign w:val="bottom"/>
          </w:tcPr>
          <w:p>
            <w:pPr>
              <w:spacing w:after="0"/>
              <w:rPr>
                <w:sz w:val="9"/>
                <w:szCs w:val="9"/>
                <w:color w:val="auto"/>
              </w:rPr>
            </w:pPr>
          </w:p>
        </w:tc>
      </w:tr>
      <w:tr>
        <w:trPr>
          <w:trHeight w:val="188"/>
        </w:trPr>
        <w:tc>
          <w:tcPr>
            <w:tcW w:w="3300" w:type="dxa"/>
            <w:vAlign w:val="bottom"/>
            <w:tcBorders>
              <w:bottom w:val="single" w:sz="8" w:color="auto"/>
              <w:right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204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6865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86550" cy="825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240" w:type="dxa"/>
            <w:vAlign w:val="bottom"/>
            <w:gridSpan w:val="3"/>
          </w:tcPr>
          <w:p>
            <w:pPr>
              <w:spacing w:after="0"/>
              <w:rPr>
                <w:sz w:val="20"/>
                <w:szCs w:val="20"/>
                <w:color w:val="auto"/>
              </w:rPr>
            </w:pPr>
            <w:r>
              <w:rPr>
                <w:rFonts w:ascii="Courier New" w:cs="Courier New" w:eastAsia="Courier New" w:hAnsi="Courier New"/>
                <w:sz w:val="13"/>
                <w:szCs w:val="13"/>
                <w:color w:val="auto"/>
              </w:rPr>
              <w:t>INSPECTION AND ACCEPTANCE</w:t>
            </w:r>
          </w:p>
        </w:tc>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5"/>
        </w:trPr>
        <w:tc>
          <w:tcPr>
            <w:tcW w:w="480" w:type="dxa"/>
            <w:vAlign w:val="bottom"/>
          </w:tcPr>
          <w:p>
            <w:pPr>
              <w:spacing w:after="0"/>
              <w:rPr>
                <w:sz w:val="24"/>
                <w:szCs w:val="24"/>
                <w:color w:val="auto"/>
              </w:rPr>
            </w:pPr>
          </w:p>
        </w:tc>
        <w:tc>
          <w:tcPr>
            <w:tcW w:w="1760" w:type="dxa"/>
            <w:vAlign w:val="bottom"/>
            <w:gridSpan w:val="2"/>
          </w:tcPr>
          <w:p>
            <w:pPr>
              <w:ind w:left="360"/>
              <w:spacing w:after="0"/>
              <w:rPr>
                <w:sz w:val="20"/>
                <w:szCs w:val="20"/>
                <w:color w:val="auto"/>
              </w:rPr>
            </w:pPr>
            <w:r>
              <w:rPr>
                <w:rFonts w:ascii="Courier New" w:cs="Courier New" w:eastAsia="Courier New" w:hAnsi="Courier New"/>
                <w:sz w:val="13"/>
                <w:szCs w:val="13"/>
                <w:color w:val="auto"/>
              </w:rPr>
              <w:t>Regulatory Cite</w:t>
            </w:r>
          </w:p>
        </w:tc>
        <w:tc>
          <w:tcPr>
            <w:tcW w:w="5820" w:type="dxa"/>
            <w:vAlign w:val="bottom"/>
            <w:gridSpan w:val="2"/>
          </w:tcPr>
          <w:p>
            <w:pPr>
              <w:ind w:left="2660"/>
              <w:spacing w:after="0"/>
              <w:rPr>
                <w:sz w:val="20"/>
                <w:szCs w:val="20"/>
                <w:color w:val="auto"/>
              </w:rPr>
            </w:pPr>
            <w:r>
              <w:rPr>
                <w:rFonts w:ascii="Courier New" w:cs="Courier New" w:eastAsia="Courier New" w:hAnsi="Courier New"/>
                <w:sz w:val="13"/>
                <w:szCs w:val="13"/>
                <w:color w:val="auto"/>
              </w:rPr>
              <w:t>Title</w:t>
            </w:r>
          </w:p>
        </w:tc>
        <w:tc>
          <w:tcPr>
            <w:tcW w:w="1080" w:type="dxa"/>
            <w:vAlign w:val="bottom"/>
          </w:tcPr>
          <w:p>
            <w:pPr>
              <w:ind w:left="420"/>
              <w:spacing w:after="0"/>
              <w:rPr>
                <w:sz w:val="20"/>
                <w:szCs w:val="20"/>
                <w:color w:val="auto"/>
              </w:rPr>
            </w:pPr>
            <w:r>
              <w:rPr>
                <w:rFonts w:ascii="Courier New" w:cs="Courier New" w:eastAsia="Courier New" w:hAnsi="Courier New"/>
                <w:sz w:val="13"/>
                <w:szCs w:val="13"/>
                <w:color w:val="auto"/>
              </w:rPr>
              <w:t>Date</w:t>
            </w:r>
          </w:p>
        </w:tc>
        <w:tc>
          <w:tcPr>
            <w:tcW w:w="0" w:type="dxa"/>
            <w:vAlign w:val="bottom"/>
          </w:tcPr>
          <w:p>
            <w:pPr>
              <w:spacing w:after="0"/>
              <w:rPr>
                <w:sz w:val="1"/>
                <w:szCs w:val="1"/>
                <w:color w:val="auto"/>
              </w:rPr>
            </w:pPr>
          </w:p>
        </w:tc>
      </w:tr>
      <w:tr>
        <w:trPr>
          <w:trHeight w:val="32"/>
        </w:trPr>
        <w:tc>
          <w:tcPr>
            <w:tcW w:w="480" w:type="dxa"/>
            <w:vAlign w:val="bottom"/>
            <w:vMerge w:val="restart"/>
          </w:tcPr>
          <w:p>
            <w:pPr>
              <w:jc w:val="right"/>
              <w:ind w:right="277"/>
              <w:spacing w:after="0"/>
              <w:rPr>
                <w:sz w:val="20"/>
                <w:szCs w:val="20"/>
                <w:color w:val="auto"/>
              </w:rPr>
            </w:pPr>
            <w:r>
              <w:rPr>
                <w:rFonts w:ascii="Courier New" w:cs="Courier New" w:eastAsia="Courier New" w:hAnsi="Courier New"/>
                <w:sz w:val="13"/>
                <w:szCs w:val="13"/>
                <w:color w:val="auto"/>
              </w:rPr>
              <w:t>1</w:t>
            </w: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80" w:type="dxa"/>
            <w:vAlign w:val="bottom"/>
            <w:vMerge w:val="continue"/>
          </w:tcPr>
          <w:p>
            <w:pPr>
              <w:spacing w:after="0"/>
              <w:rPr>
                <w:sz w:val="15"/>
                <w:szCs w:val="15"/>
                <w:color w:val="auto"/>
              </w:rPr>
            </w:pPr>
          </w:p>
        </w:tc>
        <w:tc>
          <w:tcPr>
            <w:tcW w:w="1640" w:type="dxa"/>
            <w:vAlign w:val="bottom"/>
          </w:tcPr>
          <w:p>
            <w:pPr>
              <w:ind w:left="360"/>
              <w:spacing w:after="0"/>
              <w:rPr>
                <w:sz w:val="20"/>
                <w:szCs w:val="20"/>
                <w:color w:val="auto"/>
              </w:rPr>
            </w:pPr>
            <w:r>
              <w:rPr>
                <w:rFonts w:ascii="Courier New" w:cs="Courier New" w:eastAsia="Courier New" w:hAnsi="Courier New"/>
                <w:sz w:val="13"/>
                <w:szCs w:val="13"/>
                <w:color w:val="auto"/>
              </w:rPr>
              <w:t>52.246-2</w:t>
            </w:r>
          </w:p>
        </w:tc>
        <w:tc>
          <w:tcPr>
            <w:tcW w:w="120" w:type="dxa"/>
            <w:vAlign w:val="bottom"/>
          </w:tcPr>
          <w:p>
            <w:pPr>
              <w:spacing w:after="0"/>
              <w:rPr>
                <w:sz w:val="15"/>
                <w:szCs w:val="15"/>
                <w:color w:val="auto"/>
              </w:rPr>
            </w:pPr>
          </w:p>
        </w:tc>
        <w:tc>
          <w:tcPr>
            <w:tcW w:w="5820" w:type="dxa"/>
            <w:vAlign w:val="bottom"/>
            <w:gridSpan w:val="2"/>
          </w:tcPr>
          <w:p>
            <w:pPr>
              <w:ind w:left="100"/>
              <w:spacing w:after="0"/>
              <w:rPr>
                <w:sz w:val="20"/>
                <w:szCs w:val="20"/>
                <w:color w:val="auto"/>
              </w:rPr>
            </w:pPr>
            <w:r>
              <w:rPr>
                <w:rFonts w:ascii="Courier New" w:cs="Courier New" w:eastAsia="Courier New" w:hAnsi="Courier New"/>
                <w:sz w:val="13"/>
                <w:szCs w:val="13"/>
                <w:color w:val="auto"/>
              </w:rPr>
              <w:t>INSPECTION OF SUPPLIES--FIXED-PRICE</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AUG/1996</w:t>
            </w:r>
          </w:p>
        </w:tc>
        <w:tc>
          <w:tcPr>
            <w:tcW w:w="0" w:type="dxa"/>
            <w:vAlign w:val="bottom"/>
          </w:tcPr>
          <w:p>
            <w:pPr>
              <w:spacing w:after="0"/>
              <w:rPr>
                <w:sz w:val="1"/>
                <w:szCs w:val="1"/>
                <w:color w:val="auto"/>
              </w:rPr>
            </w:pPr>
          </w:p>
        </w:tc>
      </w:tr>
      <w:tr>
        <w:trPr>
          <w:trHeight w:val="203"/>
        </w:trPr>
        <w:tc>
          <w:tcPr>
            <w:tcW w:w="480" w:type="dxa"/>
            <w:vAlign w:val="bottom"/>
          </w:tcPr>
          <w:p>
            <w:pPr>
              <w:jc w:val="right"/>
              <w:ind w:right="277"/>
              <w:spacing w:after="0"/>
              <w:rPr>
                <w:sz w:val="20"/>
                <w:szCs w:val="20"/>
                <w:color w:val="auto"/>
              </w:rPr>
            </w:pPr>
            <w:r>
              <w:rPr>
                <w:rFonts w:ascii="Courier New" w:cs="Courier New" w:eastAsia="Courier New" w:hAnsi="Courier New"/>
                <w:sz w:val="13"/>
                <w:szCs w:val="13"/>
                <w:color w:val="auto"/>
              </w:rPr>
              <w:t>2</w:t>
            </w:r>
          </w:p>
        </w:tc>
        <w:tc>
          <w:tcPr>
            <w:tcW w:w="1640" w:type="dxa"/>
            <w:vAlign w:val="bottom"/>
          </w:tcPr>
          <w:p>
            <w:pPr>
              <w:ind w:left="360"/>
              <w:spacing w:after="0"/>
              <w:rPr>
                <w:sz w:val="20"/>
                <w:szCs w:val="20"/>
                <w:color w:val="auto"/>
              </w:rPr>
            </w:pPr>
            <w:r>
              <w:rPr>
                <w:rFonts w:ascii="Courier New" w:cs="Courier New" w:eastAsia="Courier New" w:hAnsi="Courier New"/>
                <w:sz w:val="13"/>
                <w:szCs w:val="13"/>
                <w:color w:val="auto"/>
              </w:rPr>
              <w:t>52.246-16</w:t>
            </w:r>
          </w:p>
        </w:tc>
        <w:tc>
          <w:tcPr>
            <w:tcW w:w="120" w:type="dxa"/>
            <w:vAlign w:val="bottom"/>
          </w:tcPr>
          <w:p>
            <w:pPr>
              <w:spacing w:after="0"/>
              <w:rPr>
                <w:sz w:val="17"/>
                <w:szCs w:val="17"/>
                <w:color w:val="auto"/>
              </w:rPr>
            </w:pPr>
          </w:p>
        </w:tc>
        <w:tc>
          <w:tcPr>
            <w:tcW w:w="5820" w:type="dxa"/>
            <w:vAlign w:val="bottom"/>
            <w:gridSpan w:val="2"/>
          </w:tcPr>
          <w:p>
            <w:pPr>
              <w:ind w:left="100"/>
              <w:spacing w:after="0"/>
              <w:rPr>
                <w:sz w:val="20"/>
                <w:szCs w:val="20"/>
                <w:color w:val="auto"/>
              </w:rPr>
            </w:pPr>
            <w:r>
              <w:rPr>
                <w:rFonts w:ascii="Courier New" w:cs="Courier New" w:eastAsia="Courier New" w:hAnsi="Courier New"/>
                <w:sz w:val="13"/>
                <w:szCs w:val="13"/>
                <w:color w:val="auto"/>
              </w:rPr>
              <w:t>RESPONSIBILITY FOR SUPPLIES</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APR/1984</w:t>
            </w:r>
          </w:p>
        </w:tc>
        <w:tc>
          <w:tcPr>
            <w:tcW w:w="0" w:type="dxa"/>
            <w:vAlign w:val="bottom"/>
          </w:tcPr>
          <w:p>
            <w:pPr>
              <w:spacing w:after="0"/>
              <w:rPr>
                <w:sz w:val="1"/>
                <w:szCs w:val="1"/>
                <w:color w:val="auto"/>
              </w:rPr>
            </w:pPr>
          </w:p>
        </w:tc>
      </w:tr>
    </w:tbl>
    <w:p>
      <w:pPr>
        <w:sectPr>
          <w:pgSz w:w="11900" w:h="16838" w:orient="portrait"/>
          <w:cols w:equalWidth="0" w:num="1">
            <w:col w:w="10540"/>
          </w:cols>
          <w:pgMar w:left="320" w:top="1173" w:right="10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CONTINUATION SHEET</w:t>
            </w:r>
          </w:p>
        </w:tc>
        <w:tc>
          <w:tcPr>
            <w:tcW w:w="5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206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11</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300" w:type="dxa"/>
            <w:vAlign w:val="bottom"/>
            <w:tcBorders>
              <w:right w:val="single" w:sz="8" w:color="auto"/>
            </w:tcBorders>
          </w:tcPr>
          <w:p>
            <w:pPr>
              <w:spacing w:after="0"/>
              <w:rPr>
                <w:sz w:val="9"/>
                <w:szCs w:val="9"/>
                <w:color w:val="auto"/>
              </w:rPr>
            </w:pPr>
          </w:p>
        </w:tc>
        <w:tc>
          <w:tcPr>
            <w:tcW w:w="520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2060" w:type="dxa"/>
            <w:vAlign w:val="bottom"/>
          </w:tcPr>
          <w:p>
            <w:pPr>
              <w:spacing w:after="0"/>
              <w:rPr>
                <w:sz w:val="9"/>
                <w:szCs w:val="9"/>
                <w:color w:val="auto"/>
              </w:rPr>
            </w:pPr>
          </w:p>
        </w:tc>
      </w:tr>
      <w:tr>
        <w:trPr>
          <w:trHeight w:val="188"/>
        </w:trPr>
        <w:tc>
          <w:tcPr>
            <w:tcW w:w="3300" w:type="dxa"/>
            <w:vAlign w:val="bottom"/>
            <w:tcBorders>
              <w:bottom w:val="single" w:sz="8" w:color="auto"/>
              <w:right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206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6948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14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DELIVERIES OR PERFORMANCE</w:t>
      </w:r>
    </w:p>
    <w:p>
      <w:pPr>
        <w:spacing w:after="0" w:line="249" w:lineRule="exact"/>
        <w:rPr>
          <w:sz w:val="20"/>
          <w:szCs w:val="20"/>
          <w:color w:val="auto"/>
        </w:rPr>
      </w:pPr>
    </w:p>
    <w:tbl>
      <w:tblPr>
        <w:tblLayout w:type="fixed"/>
        <w:tblInd w:w="900" w:type="dxa"/>
        <w:tblCellMar>
          <w:top w:w="0" w:type="dxa"/>
          <w:left w:w="0" w:type="dxa"/>
          <w:bottom w:w="0" w:type="dxa"/>
          <w:right w:w="0" w:type="dxa"/>
        </w:tblCellMar>
      </w:tblPr>
      <w:tr>
        <w:trPr>
          <w:trHeight w:val="147"/>
        </w:trPr>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Borders>
              <w:bottom w:val="single" w:sz="8" w:color="auto"/>
            </w:tcBorders>
            <w:gridSpan w:val="2"/>
          </w:tcPr>
          <w:p>
            <w:pPr>
              <w:spacing w:after="0"/>
              <w:rPr>
                <w:sz w:val="20"/>
                <w:szCs w:val="20"/>
                <w:color w:val="auto"/>
              </w:rPr>
            </w:pPr>
            <w:r>
              <w:rPr>
                <w:rFonts w:ascii="Courier New" w:cs="Courier New" w:eastAsia="Courier New" w:hAnsi="Courier New"/>
                <w:sz w:val="13"/>
                <w:szCs w:val="13"/>
                <w:color w:val="auto"/>
              </w:rPr>
              <w:t>Regulatory Cite</w:t>
            </w:r>
          </w:p>
        </w:tc>
        <w:tc>
          <w:tcPr>
            <w:tcW w:w="1140" w:type="dxa"/>
            <w:vAlign w:val="bottom"/>
            <w:tcBorders>
              <w:bottom w:val="single" w:sz="8" w:color="auto"/>
            </w:tcBorders>
          </w:tcPr>
          <w:p>
            <w:pPr>
              <w:ind w:left="340"/>
              <w:spacing w:after="0"/>
              <w:rPr>
                <w:sz w:val="20"/>
                <w:szCs w:val="20"/>
                <w:color w:val="auto"/>
              </w:rPr>
            </w:pPr>
            <w:r>
              <w:rPr>
                <w:rFonts w:ascii="Courier New" w:cs="Courier New" w:eastAsia="Courier New" w:hAnsi="Courier New"/>
                <w:sz w:val="13"/>
                <w:szCs w:val="13"/>
                <w:color w:val="auto"/>
              </w:rPr>
              <w:t>Title</w:t>
            </w:r>
          </w:p>
        </w:tc>
        <w:tc>
          <w:tcPr>
            <w:tcW w:w="1160" w:type="dxa"/>
            <w:vAlign w:val="bottom"/>
            <w:tcBorders>
              <w:bottom w:val="single" w:sz="8" w:color="auto"/>
            </w:tcBorders>
          </w:tcPr>
          <w:p>
            <w:pPr>
              <w:jc w:val="center"/>
              <w:ind w:left="197"/>
              <w:spacing w:after="0"/>
              <w:rPr>
                <w:sz w:val="20"/>
                <w:szCs w:val="20"/>
                <w:color w:val="auto"/>
              </w:rPr>
            </w:pPr>
            <w:r>
              <w:rPr>
                <w:rFonts w:ascii="Courier New" w:cs="Courier New" w:eastAsia="Courier New" w:hAnsi="Courier New"/>
                <w:sz w:val="13"/>
                <w:szCs w:val="13"/>
                <w:color w:val="auto"/>
                <w:w w:val="95"/>
              </w:rPr>
              <w:t>Date</w:t>
            </w:r>
          </w:p>
        </w:tc>
      </w:tr>
      <w:tr>
        <w:trPr>
          <w:trHeight w:val="164"/>
        </w:trPr>
        <w:tc>
          <w:tcPr>
            <w:tcW w:w="220" w:type="dxa"/>
            <w:vAlign w:val="bottom"/>
          </w:tcPr>
          <w:p>
            <w:pPr>
              <w:jc w:val="right"/>
              <w:ind w:right="77"/>
              <w:spacing w:after="0"/>
              <w:rPr>
                <w:sz w:val="20"/>
                <w:szCs w:val="20"/>
                <w:color w:val="auto"/>
              </w:rPr>
            </w:pPr>
            <w:r>
              <w:rPr>
                <w:rFonts w:ascii="Courier New" w:cs="Courier New" w:eastAsia="Courier New" w:hAnsi="Courier New"/>
                <w:sz w:val="13"/>
                <w:szCs w:val="13"/>
                <w:color w:val="auto"/>
                <w:w w:val="76"/>
              </w:rPr>
              <w:t>1</w:t>
            </w:r>
          </w:p>
        </w:tc>
        <w:tc>
          <w:tcPr>
            <w:tcW w:w="980" w:type="dxa"/>
            <w:vAlign w:val="bottom"/>
            <w:gridSpan w:val="2"/>
          </w:tcPr>
          <w:p>
            <w:pPr>
              <w:jc w:val="right"/>
              <w:ind w:right="77"/>
              <w:spacing w:after="0"/>
              <w:rPr>
                <w:sz w:val="20"/>
                <w:szCs w:val="20"/>
                <w:color w:val="auto"/>
              </w:rPr>
            </w:pPr>
            <w:r>
              <w:rPr>
                <w:rFonts w:ascii="Courier New" w:cs="Courier New" w:eastAsia="Courier New" w:hAnsi="Courier New"/>
                <w:sz w:val="13"/>
                <w:szCs w:val="13"/>
                <w:color w:val="auto"/>
              </w:rPr>
              <w:t>52.247-34</w:t>
            </w:r>
          </w:p>
        </w:tc>
        <w:tc>
          <w:tcPr>
            <w:tcW w:w="2000" w:type="dxa"/>
            <w:vAlign w:val="bottom"/>
            <w:gridSpan w:val="2"/>
          </w:tcPr>
          <w:p>
            <w:pPr>
              <w:ind w:left="160"/>
              <w:spacing w:after="0"/>
              <w:rPr>
                <w:sz w:val="20"/>
                <w:szCs w:val="20"/>
                <w:color w:val="auto"/>
              </w:rPr>
            </w:pPr>
            <w:r>
              <w:rPr>
                <w:rFonts w:ascii="Courier New" w:cs="Courier New" w:eastAsia="Courier New" w:hAnsi="Courier New"/>
                <w:sz w:val="13"/>
                <w:szCs w:val="13"/>
                <w:color w:val="auto"/>
              </w:rPr>
              <w:t>F.O.B. DESTINATION</w:t>
            </w:r>
          </w:p>
        </w:tc>
        <w:tc>
          <w:tcPr>
            <w:tcW w:w="1160" w:type="dxa"/>
            <w:vAlign w:val="bottom"/>
          </w:tcPr>
          <w:p>
            <w:pPr>
              <w:jc w:val="center"/>
              <w:ind w:left="237"/>
              <w:spacing w:after="0"/>
              <w:rPr>
                <w:sz w:val="20"/>
                <w:szCs w:val="20"/>
                <w:color w:val="auto"/>
              </w:rPr>
            </w:pPr>
            <w:r>
              <w:rPr>
                <w:rFonts w:ascii="Courier New" w:cs="Courier New" w:eastAsia="Courier New" w:hAnsi="Courier New"/>
                <w:sz w:val="13"/>
                <w:szCs w:val="13"/>
                <w:color w:val="auto"/>
                <w:w w:val="99"/>
              </w:rPr>
              <w:t>NOV/1991</w:t>
            </w:r>
          </w:p>
        </w:tc>
      </w:tr>
    </w:tbl>
    <w:p>
      <w:pPr>
        <w:spacing w:after="0" w:line="264" w:lineRule="exact"/>
        <w:rPr>
          <w:sz w:val="20"/>
          <w:szCs w:val="20"/>
          <w:color w:val="auto"/>
        </w:rPr>
      </w:pPr>
    </w:p>
    <w:p>
      <w:pPr>
        <w:ind w:left="280" w:right="980"/>
        <w:spacing w:after="0" w:line="275" w:lineRule="auto"/>
        <w:rPr>
          <w:sz w:val="20"/>
          <w:szCs w:val="20"/>
          <w:color w:val="auto"/>
        </w:rPr>
      </w:pPr>
      <w:r>
        <w:rPr>
          <w:rFonts w:ascii="Courier New" w:cs="Courier New" w:eastAsia="Courier New" w:hAnsi="Courier New"/>
          <w:sz w:val="13"/>
          <w:szCs w:val="13"/>
          <w:color w:val="auto"/>
        </w:rPr>
        <w:t>Any deliverables identified within this section are only required to be delivered should they differ from what has been previously delivered under Regeneron's prototype agreement, MCDC2008-005.</w:t>
      </w:r>
    </w:p>
    <w:p>
      <w:pPr>
        <w:spacing w:after="0" w:line="250"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I. Supply Chain Resiliency Plan</w:t>
      </w:r>
    </w:p>
    <w:p>
      <w:pPr>
        <w:spacing w:after="0" w:line="264" w:lineRule="exact"/>
        <w:rPr>
          <w:sz w:val="20"/>
          <w:szCs w:val="20"/>
          <w:color w:val="auto"/>
        </w:rPr>
      </w:pPr>
    </w:p>
    <w:p>
      <w:pPr>
        <w:ind w:left="280" w:right="240" w:hanging="2"/>
        <w:spacing w:after="0" w:line="280" w:lineRule="auto"/>
        <w:tabs>
          <w:tab w:leader="none" w:pos="647" w:val="left"/>
        </w:tabs>
        <w:numPr>
          <w:ilvl w:val="0"/>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contractor shall develop and submit within [* * *] of contract award, a comprehensive Supply Chain Resiliency Program that provides identification and reporting of critical components associated with the secure supply of drug substance, drug product, and work-in-process through to finished goods.</w:t>
      </w:r>
    </w:p>
    <w:p>
      <w:pPr>
        <w:spacing w:after="0" w:line="254" w:lineRule="exact"/>
        <w:rPr>
          <w:sz w:val="20"/>
          <w:szCs w:val="20"/>
          <w:color w:val="auto"/>
        </w:rPr>
      </w:pPr>
    </w:p>
    <w:p>
      <w:pPr>
        <w:jc w:val="both"/>
        <w:ind w:left="280" w:right="180" w:hanging="2"/>
        <w:spacing w:after="0" w:line="280" w:lineRule="auto"/>
        <w:tabs>
          <w:tab w:leader="none" w:pos="534"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critical component is defined as any material that is essential to the product or the manufacturing process associated with that product. Included in the definition are consumables and disposables associated with manufacturing. NOT included in the definition are facility and capital equipment.</w:t>
      </w:r>
    </w:p>
    <w:p>
      <w:pPr>
        <w:spacing w:after="0" w:line="268" w:lineRule="exact"/>
        <w:rPr>
          <w:sz w:val="20"/>
          <w:szCs w:val="20"/>
          <w:color w:val="auto"/>
        </w:rPr>
      </w:pPr>
    </w:p>
    <w:p>
      <w:pPr>
        <w:ind w:left="280" w:right="380" w:hanging="2"/>
        <w:spacing w:after="0" w:line="282" w:lineRule="auto"/>
        <w:tabs>
          <w:tab w:leader="none" w:pos="647" w:val="left"/>
        </w:tabs>
        <w:numPr>
          <w:ilvl w:val="0"/>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Consideration of critical components includes the evaluation and potential impact of raw materials, excipients, active ingredients, substances, pieces, parts, software, firmware, labeling, assembly, testing, analytical and environmental componentry, reagents, or utility materials which are used in the manufacturing of a drug, cell banks, seed stocks, devices and key processing components and equipment. A clear example of a critical component is one where a sole supplier is utilized.</w:t>
      </w:r>
    </w:p>
    <w:p>
      <w:pPr>
        <w:spacing w:after="0" w:line="266" w:lineRule="exact"/>
        <w:rPr>
          <w:rFonts w:ascii="Courier New" w:cs="Courier New" w:eastAsia="Courier New" w:hAnsi="Courier New"/>
          <w:sz w:val="13"/>
          <w:szCs w:val="13"/>
          <w:color w:val="auto"/>
        </w:rPr>
      </w:pPr>
    </w:p>
    <w:p>
      <w:pPr>
        <w:jc w:val="both"/>
        <w:ind w:left="280" w:right="20" w:hanging="2"/>
        <w:spacing w:after="0" w:line="280" w:lineRule="auto"/>
        <w:tabs>
          <w:tab w:leader="none" w:pos="647" w:val="left"/>
        </w:tabs>
        <w:numPr>
          <w:ilvl w:val="0"/>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contractor shall identify key equipment suppliers, their locations, local resources, and the associated control processes at the time of award. The Supply Chain Resiliency Plan shall address planning and scheduling for active pharmaceutical ingredients, upstream, downstream, component assembly, finished drug product and delivery events as necessary for the delivery of product.</w:t>
      </w:r>
    </w:p>
    <w:p>
      <w:pPr>
        <w:spacing w:after="0" w:line="254" w:lineRule="exact"/>
        <w:rPr>
          <w:sz w:val="20"/>
          <w:szCs w:val="20"/>
          <w:color w:val="auto"/>
        </w:rPr>
      </w:pPr>
    </w:p>
    <w:p>
      <w:pPr>
        <w:ind w:left="280" w:right="180" w:hanging="2"/>
        <w:spacing w:after="0" w:line="275" w:lineRule="auto"/>
        <w:tabs>
          <w:tab w:leader="none" w:pos="647"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Communication for these requirements shall be updated as part of an annual review, or as necessary, as part of regular contractual communications.</w:t>
      </w:r>
    </w:p>
    <w:p>
      <w:pPr>
        <w:spacing w:after="0" w:line="270" w:lineRule="exact"/>
        <w:rPr>
          <w:rFonts w:ascii="Courier New" w:cs="Courier New" w:eastAsia="Courier New" w:hAnsi="Courier New"/>
          <w:sz w:val="13"/>
          <w:szCs w:val="13"/>
          <w:color w:val="auto"/>
        </w:rPr>
      </w:pPr>
    </w:p>
    <w:p>
      <w:pPr>
        <w:jc w:val="both"/>
        <w:ind w:left="280" w:right="220" w:hanging="2"/>
        <w:spacing w:after="0" w:line="280" w:lineRule="auto"/>
        <w:tabs>
          <w:tab w:leader="none" w:pos="647"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upstream and downstream processing, both single-use and re-usable in-place processing equipment, and manufacturing disposables also shall be addressed. For finished goods, the inspection, labeling, packaging, and associated machinery shall be addressed taking into account capacity capabilities.</w:t>
      </w:r>
    </w:p>
    <w:p>
      <w:pPr>
        <w:spacing w:after="0" w:line="247" w:lineRule="exact"/>
        <w:rPr>
          <w:rFonts w:ascii="Courier New" w:cs="Courier New" w:eastAsia="Courier New" w:hAnsi="Courier New"/>
          <w:sz w:val="13"/>
          <w:szCs w:val="13"/>
          <w:color w:val="auto"/>
        </w:rPr>
      </w:pPr>
    </w:p>
    <w:p>
      <w:pPr>
        <w:ind w:left="640" w:hanging="362"/>
        <w:spacing w:after="0"/>
        <w:tabs>
          <w:tab w:leader="none" w:pos="640"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focus on the aspects of resiliency shall be on critical components and aspects of complying with the contractual delivery</w:t>
      </w:r>
    </w:p>
    <w:p>
      <w:pPr>
        <w:spacing w:after="0" w:line="35" w:lineRule="exact"/>
        <w:rPr>
          <w:sz w:val="20"/>
          <w:szCs w:val="20"/>
          <w:color w:val="auto"/>
        </w:rPr>
      </w:pPr>
    </w:p>
    <w:p>
      <w:pPr>
        <w:ind w:left="280" w:right="1060"/>
        <w:spacing w:after="0" w:line="275" w:lineRule="auto"/>
        <w:rPr>
          <w:sz w:val="20"/>
          <w:szCs w:val="20"/>
          <w:color w:val="auto"/>
        </w:rPr>
      </w:pPr>
      <w:r>
        <w:rPr>
          <w:rFonts w:ascii="Courier New" w:cs="Courier New" w:eastAsia="Courier New" w:hAnsi="Courier New"/>
          <w:sz w:val="13"/>
          <w:szCs w:val="13"/>
          <w:color w:val="auto"/>
        </w:rPr>
        <w:t>schedule. Delivery methods shall be addressed, inclusive of items that are foreign-sourced, both high and low volume, which would significantly affect throughput and adherence to the contractually agreed deliveries.</w:t>
      </w:r>
    </w:p>
    <w:p>
      <w:pPr>
        <w:spacing w:after="0" w:line="270" w:lineRule="exact"/>
        <w:rPr>
          <w:sz w:val="20"/>
          <w:szCs w:val="20"/>
          <w:color w:val="auto"/>
        </w:rPr>
      </w:pPr>
    </w:p>
    <w:p>
      <w:pPr>
        <w:ind w:left="280" w:right="840" w:hanging="2"/>
        <w:spacing w:after="0" w:line="275" w:lineRule="auto"/>
        <w:tabs>
          <w:tab w:leader="none" w:pos="647" w:val="left"/>
        </w:tabs>
        <w:numPr>
          <w:ilvl w:val="0"/>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contractor shall articulate in the plan, the contractors methodology for inventory control, production planning, scheduling processes and ordering mechanisms, as part of those agreed deliveries.</w:t>
      </w:r>
    </w:p>
    <w:p>
      <w:pPr>
        <w:spacing w:after="0" w:line="257" w:lineRule="exact"/>
        <w:rPr>
          <w:sz w:val="20"/>
          <w:szCs w:val="20"/>
          <w:color w:val="auto"/>
        </w:rPr>
      </w:pPr>
    </w:p>
    <w:p>
      <w:pPr>
        <w:ind w:left="280" w:right="920" w:hanging="2"/>
        <w:spacing w:after="0" w:line="275" w:lineRule="auto"/>
        <w:tabs>
          <w:tab w:leader="none" w:pos="647" w:val="left"/>
        </w:tabs>
        <w:numPr>
          <w:ilvl w:val="1"/>
          <w:numId w:val="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Production rates and lead times shall be understood and communicated to the Contracting Officer (CO) or the Technical Point of Contact (TPOC) as necessary.</w:t>
      </w:r>
    </w:p>
    <w:p>
      <w:pPr>
        <w:spacing w:after="0" w:line="270" w:lineRule="exact"/>
        <w:rPr>
          <w:rFonts w:ascii="Courier New" w:cs="Courier New" w:eastAsia="Courier New" w:hAnsi="Courier New"/>
          <w:sz w:val="13"/>
          <w:szCs w:val="13"/>
          <w:color w:val="auto"/>
        </w:rPr>
      </w:pPr>
    </w:p>
    <w:p>
      <w:pPr>
        <w:ind w:left="280" w:hanging="2"/>
        <w:spacing w:after="0" w:line="318" w:lineRule="auto"/>
        <w:tabs>
          <w:tab w:leader="none" w:pos="647"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Production throughput critical constraints should be well understood by activity and by design, and communicated to contractual personnel. As necessary, communication should focus on identification, exploitation, elevation, and secondary constraints of throughput, as appropriate.</w:t>
      </w:r>
    </w:p>
    <w:p>
      <w:pPr>
        <w:spacing w:after="0" w:line="213" w:lineRule="exact"/>
        <w:rPr>
          <w:rFonts w:ascii="Courier New" w:cs="Courier New" w:eastAsia="Courier New" w:hAnsi="Courier New"/>
          <w:sz w:val="12"/>
          <w:szCs w:val="12"/>
          <w:color w:val="auto"/>
        </w:rPr>
      </w:pPr>
    </w:p>
    <w:p>
      <w:pPr>
        <w:ind w:left="500" w:hanging="223"/>
        <w:spacing w:after="0"/>
        <w:tabs>
          <w:tab w:leader="none" w:pos="500" w:val="left"/>
        </w:tabs>
        <w:numPr>
          <w:ilvl w:val="0"/>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Reports for critical items shall include the following information:</w:t>
      </w:r>
    </w:p>
    <w:p>
      <w:pPr>
        <w:spacing w:after="0" w:line="244" w:lineRule="exact"/>
        <w:rPr>
          <w:rFonts w:ascii="Courier New" w:cs="Courier New" w:eastAsia="Courier New" w:hAnsi="Courier New"/>
          <w:sz w:val="13"/>
          <w:szCs w:val="13"/>
          <w:color w:val="auto"/>
        </w:rPr>
      </w:pPr>
    </w:p>
    <w:p>
      <w:pPr>
        <w:ind w:left="800" w:hanging="221"/>
        <w:spacing w:after="0"/>
        <w:tabs>
          <w:tab w:leader="none" w:pos="800" w:val="left"/>
        </w:tabs>
        <w:numPr>
          <w:ilvl w:val="2"/>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Critical Material</w:t>
      </w:r>
    </w:p>
    <w:p>
      <w:pPr>
        <w:spacing w:after="0" w:line="1" w:lineRule="exact"/>
        <w:rPr>
          <w:rFonts w:ascii="Courier New" w:cs="Courier New" w:eastAsia="Courier New" w:hAnsi="Courier New"/>
          <w:sz w:val="13"/>
          <w:szCs w:val="13"/>
          <w:color w:val="auto"/>
        </w:rPr>
      </w:pPr>
    </w:p>
    <w:p>
      <w:pPr>
        <w:ind w:left="800" w:hanging="221"/>
        <w:spacing w:after="0"/>
        <w:tabs>
          <w:tab w:leader="none" w:pos="800" w:val="left"/>
        </w:tabs>
        <w:numPr>
          <w:ilvl w:val="2"/>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Vendor</w:t>
      </w:r>
    </w:p>
    <w:p>
      <w:pPr>
        <w:spacing w:after="0" w:line="1" w:lineRule="exact"/>
        <w:rPr>
          <w:rFonts w:ascii="Courier New" w:cs="Courier New" w:eastAsia="Courier New" w:hAnsi="Courier New"/>
          <w:sz w:val="13"/>
          <w:szCs w:val="13"/>
          <w:color w:val="auto"/>
        </w:rPr>
      </w:pPr>
    </w:p>
    <w:p>
      <w:pPr>
        <w:ind w:left="800" w:hanging="221"/>
        <w:spacing w:after="0"/>
        <w:tabs>
          <w:tab w:leader="none" w:pos="800" w:val="left"/>
        </w:tabs>
        <w:numPr>
          <w:ilvl w:val="2"/>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Supplier, Manufacturing / Distribution Location</w:t>
      </w:r>
    </w:p>
    <w:p>
      <w:pPr>
        <w:spacing w:after="0" w:line="1" w:lineRule="exact"/>
        <w:rPr>
          <w:rFonts w:ascii="Courier New" w:cs="Courier New" w:eastAsia="Courier New" w:hAnsi="Courier New"/>
          <w:sz w:val="13"/>
          <w:szCs w:val="13"/>
          <w:color w:val="auto"/>
        </w:rPr>
      </w:pPr>
    </w:p>
    <w:p>
      <w:pPr>
        <w:ind w:left="800" w:hanging="221"/>
        <w:spacing w:after="0"/>
        <w:tabs>
          <w:tab w:leader="none" w:pos="800" w:val="left"/>
        </w:tabs>
        <w:numPr>
          <w:ilvl w:val="2"/>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Supplier Lead Time</w:t>
      </w:r>
    </w:p>
    <w:p>
      <w:pPr>
        <w:spacing w:after="0" w:line="1" w:lineRule="exact"/>
        <w:rPr>
          <w:rFonts w:ascii="Courier New" w:cs="Courier New" w:eastAsia="Courier New" w:hAnsi="Courier New"/>
          <w:sz w:val="13"/>
          <w:szCs w:val="13"/>
          <w:color w:val="auto"/>
        </w:rPr>
      </w:pPr>
    </w:p>
    <w:p>
      <w:pPr>
        <w:ind w:left="800" w:hanging="221"/>
        <w:spacing w:after="0"/>
        <w:tabs>
          <w:tab w:leader="none" w:pos="800" w:val="left"/>
        </w:tabs>
        <w:numPr>
          <w:ilvl w:val="2"/>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Shelf Life</w:t>
      </w:r>
    </w:p>
    <w:p>
      <w:pPr>
        <w:spacing w:after="0" w:line="1" w:lineRule="exact"/>
        <w:rPr>
          <w:rFonts w:ascii="Courier New" w:cs="Courier New" w:eastAsia="Courier New" w:hAnsi="Courier New"/>
          <w:sz w:val="13"/>
          <w:szCs w:val="13"/>
          <w:color w:val="auto"/>
        </w:rPr>
      </w:pPr>
    </w:p>
    <w:p>
      <w:pPr>
        <w:ind w:left="800" w:hanging="221"/>
        <w:spacing w:after="0"/>
        <w:tabs>
          <w:tab w:leader="none" w:pos="800" w:val="left"/>
        </w:tabs>
        <w:numPr>
          <w:ilvl w:val="2"/>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Transportation / Shipping Restrictions</w:t>
      </w:r>
    </w:p>
    <w:p>
      <w:pPr>
        <w:spacing w:after="0" w:line="277" w:lineRule="exact"/>
        <w:rPr>
          <w:rFonts w:ascii="Courier New" w:cs="Courier New" w:eastAsia="Courier New" w:hAnsi="Courier New"/>
          <w:sz w:val="13"/>
          <w:szCs w:val="13"/>
          <w:color w:val="auto"/>
        </w:rPr>
      </w:pPr>
    </w:p>
    <w:p>
      <w:pPr>
        <w:jc w:val="both"/>
        <w:ind w:left="280" w:right="100" w:hanging="2"/>
        <w:spacing w:after="0" w:line="280" w:lineRule="auto"/>
        <w:tabs>
          <w:tab w:leader="none" w:pos="647" w:val="left"/>
        </w:tabs>
        <w:numPr>
          <w:ilvl w:val="0"/>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 and TPOC reserve the right to request un-redacted copies of technical documents provided in response to this section, during the period of performance, for distribution within the Government. Documents shall be provided within [* * *] after CO issues the request. The contractor may arrange for additional time if deemed necessary, and agreed to by the CO.</w:t>
      </w:r>
    </w:p>
    <w:p>
      <w:pPr>
        <w:spacing w:after="0" w:line="234"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II. Manufacturing Data Requirements</w:t>
      </w:r>
    </w:p>
    <w:p>
      <w:pPr>
        <w:spacing w:after="0" w:line="264" w:lineRule="exact"/>
        <w:rPr>
          <w:sz w:val="20"/>
          <w:szCs w:val="20"/>
          <w:color w:val="auto"/>
        </w:rPr>
      </w:pPr>
    </w:p>
    <w:p>
      <w:pPr>
        <w:ind w:left="280" w:right="680"/>
        <w:spacing w:after="0" w:line="318" w:lineRule="auto"/>
        <w:rPr>
          <w:sz w:val="20"/>
          <w:szCs w:val="20"/>
          <w:color w:val="auto"/>
        </w:rPr>
      </w:pPr>
      <w:r>
        <w:rPr>
          <w:rFonts w:ascii="Courier New" w:cs="Courier New" w:eastAsia="Courier New" w:hAnsi="Courier New"/>
          <w:sz w:val="12"/>
          <w:szCs w:val="12"/>
          <w:color w:val="auto"/>
        </w:rPr>
        <w:t>A. The contractor shall submit within [* * *] of contract award, detailed data regarding project materials, sources, and manufacturing sites, including but not limited to: physical locations of sources of raw and processed material by type of material;</w:t>
      </w:r>
    </w:p>
    <w:p>
      <w:pPr>
        <w:sectPr>
          <w:pgSz w:w="11900" w:h="16838" w:orient="portrait"/>
          <w:cols w:equalWidth="0" w:num="1">
            <w:col w:w="11080"/>
          </w:cols>
          <w:pgMar w:left="320" w:top="1172" w:right="499" w:bottom="1440" w:gutter="0" w:footer="0" w:header="0"/>
        </w:sectPr>
      </w:pPr>
    </w:p>
    <w:bookmarkStart w:id="96" w:name="page97"/>
    <w:bookmarkEnd w:id="96"/>
    <w:p>
      <w:pPr>
        <w:spacing w:after="0" w:line="318" w:lineRule="auto"/>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46"/>
        </w:trPr>
        <w:tc>
          <w:tcPr>
            <w:tcW w:w="31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CONTINUATION SHEET</w:t>
            </w:r>
          </w:p>
        </w:tc>
        <w:tc>
          <w:tcPr>
            <w:tcW w:w="5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76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12</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180" w:type="dxa"/>
            <w:vAlign w:val="bottom"/>
            <w:tcBorders>
              <w:right w:val="single" w:sz="8" w:color="auto"/>
            </w:tcBorders>
          </w:tcPr>
          <w:p>
            <w:pPr>
              <w:spacing w:after="0"/>
              <w:rPr>
                <w:sz w:val="9"/>
                <w:szCs w:val="9"/>
                <w:color w:val="auto"/>
              </w:rPr>
            </w:pPr>
          </w:p>
        </w:tc>
        <w:tc>
          <w:tcPr>
            <w:tcW w:w="544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760" w:type="dxa"/>
            <w:vAlign w:val="bottom"/>
          </w:tcPr>
          <w:p>
            <w:pPr>
              <w:spacing w:after="0"/>
              <w:rPr>
                <w:sz w:val="9"/>
                <w:szCs w:val="9"/>
                <w:color w:val="auto"/>
              </w:rPr>
            </w:pPr>
          </w:p>
        </w:tc>
      </w:tr>
      <w:tr>
        <w:trPr>
          <w:trHeight w:val="188"/>
        </w:trPr>
        <w:tc>
          <w:tcPr>
            <w:tcW w:w="3180" w:type="dxa"/>
            <w:vAlign w:val="bottom"/>
            <w:tcBorders>
              <w:bottom w:val="single" w:sz="8" w:color="auto"/>
              <w:right w:val="single" w:sz="8" w:color="auto"/>
            </w:tcBorders>
          </w:tcPr>
          <w:p>
            <w:pPr>
              <w:spacing w:after="0"/>
              <w:rPr>
                <w:sz w:val="16"/>
                <w:szCs w:val="16"/>
                <w:color w:val="auto"/>
              </w:rPr>
            </w:pPr>
          </w:p>
        </w:tc>
        <w:tc>
          <w:tcPr>
            <w:tcW w:w="5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76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5836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383" w:lineRule="exact"/>
        <w:rPr>
          <w:sz w:val="20"/>
          <w:szCs w:val="20"/>
          <w:color w:val="auto"/>
        </w:rPr>
      </w:pPr>
    </w:p>
    <w:p>
      <w:pPr>
        <w:jc w:val="both"/>
        <w:ind w:right="20"/>
        <w:spacing w:after="0" w:line="237" w:lineRule="auto"/>
        <w:rPr>
          <w:sz w:val="20"/>
          <w:szCs w:val="20"/>
          <w:color w:val="auto"/>
        </w:rPr>
      </w:pPr>
      <w:r>
        <w:rPr>
          <w:rFonts w:ascii="Courier New" w:cs="Courier New" w:eastAsia="Courier New" w:hAnsi="Courier New"/>
          <w:sz w:val="13"/>
          <w:szCs w:val="13"/>
          <w:color w:val="auto"/>
        </w:rPr>
        <w:t>location and nature of work performed at manufacturing, processing, and fill/finish sites; and location and nature of clinical studies sites (it being understood that such information already has been provided). The Government may provide a table in tabular format for the contractor to be used to submit such data, which would include but not be limited to the following:</w:t>
      </w:r>
    </w:p>
    <w:p>
      <w:pPr>
        <w:spacing w:after="0" w:line="246" w:lineRule="exact"/>
        <w:rPr>
          <w:sz w:val="20"/>
          <w:szCs w:val="20"/>
          <w:color w:val="auto"/>
        </w:rPr>
      </w:pPr>
    </w:p>
    <w:p>
      <w:pPr>
        <w:ind w:left="500" w:hanging="223"/>
        <w:spacing w:after="0"/>
        <w:tabs>
          <w:tab w:leader="none" w:pos="5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Storage/inventory of ancillary materials (vials, needles, syringes, etc.)</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Shipment of ancillary materials (vials, needles, syringes, etc.)</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Disposal of ancillary materials (vials, needles, syringes, etc.)</w:t>
      </w:r>
    </w:p>
    <w:p>
      <w:pPr>
        <w:spacing w:after="0" w:line="28"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Seed development or other starting material manufacturing</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Bulk drug substance and/or adjuvant production</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Fill, finish, and release of product or adjuvant</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Storage/inventory of starting materials, bulk substance, or filled/final product or adjuvant</w:t>
      </w:r>
    </w:p>
    <w:p>
      <w:pPr>
        <w:spacing w:after="0" w:line="28"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Stability information of bulk substance and/or finished product</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Shipment of bulk substance of final product</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Disposal of bulk substance or final product</w:t>
      </w:r>
    </w:p>
    <w:p>
      <w:pPr>
        <w:spacing w:after="0" w:line="345" w:lineRule="exact"/>
        <w:rPr>
          <w:sz w:val="20"/>
          <w:szCs w:val="20"/>
          <w:color w:val="auto"/>
        </w:rPr>
      </w:pPr>
    </w:p>
    <w:p>
      <w:pPr>
        <w:ind w:left="280" w:right="60" w:hanging="2"/>
        <w:spacing w:after="0" w:line="314" w:lineRule="auto"/>
        <w:tabs>
          <w:tab w:leader="none" w:pos="647"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contractor shall submit a detailed spreadsheet regarding critical project materials that are sourced from a location other than the United States, sources, and manufacturing sites, including but not limited to: physical locations of sources of raw and processed material by type of material; location and nature of work performed at manufacturing sites; and location and nature of clinical studies sites.</w:t>
      </w:r>
    </w:p>
    <w:p>
      <w:pPr>
        <w:spacing w:after="0" w:line="87" w:lineRule="exact"/>
        <w:rPr>
          <w:rFonts w:ascii="Courier New" w:cs="Courier New" w:eastAsia="Courier New" w:hAnsi="Courier New"/>
          <w:sz w:val="12"/>
          <w:szCs w:val="12"/>
          <w:color w:val="auto"/>
        </w:rPr>
      </w:pPr>
    </w:p>
    <w:p>
      <w:pPr>
        <w:ind w:left="280" w:right="540" w:hanging="2"/>
        <w:spacing w:after="0" w:line="275" w:lineRule="auto"/>
        <w:tabs>
          <w:tab w:leader="none" w:pos="647" w:val="left"/>
        </w:tabs>
        <w:numPr>
          <w:ilvl w:val="1"/>
          <w:numId w:val="5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contractor will provide manufacturing reports and manufacturing dose tracking projections/actuals utilizing the "COVID-19 Dose Tracking Templates," on any contract/agreement that is manufacturing product.</w:t>
      </w:r>
    </w:p>
    <w:p>
      <w:pPr>
        <w:spacing w:after="0" w:line="74"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50"/>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Reporting Procedures and Due Dates:</w:t>
      </w:r>
    </w:p>
    <w:p>
      <w:pPr>
        <w:spacing w:after="0" w:line="95"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Contractor will submit Product Development Source Material Report:</w:t>
      </w:r>
    </w:p>
    <w:p>
      <w:pPr>
        <w:spacing w:after="0" w:line="96" w:lineRule="exact"/>
        <w:rPr>
          <w:sz w:val="20"/>
          <w:szCs w:val="20"/>
          <w:color w:val="auto"/>
        </w:rPr>
      </w:pPr>
    </w:p>
    <w:p>
      <w:pPr>
        <w:ind w:left="500" w:hanging="223"/>
        <w:spacing w:after="0"/>
        <w:tabs>
          <w:tab w:leader="none" w:pos="500" w:val="left"/>
        </w:tabs>
        <w:numPr>
          <w:ilvl w:val="1"/>
          <w:numId w:val="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Within [* * *] of contract award</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Within [* * *] of substantive changes made to sources and/or materials</w:t>
      </w:r>
    </w:p>
    <w:p>
      <w:pPr>
        <w:spacing w:after="0" w:line="28"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On the [* * *] contract anniversary, if no substantive changes have been made in the preceding [* * *] period</w:t>
      </w:r>
    </w:p>
    <w:p>
      <w:pPr>
        <w:spacing w:after="0" w:line="115" w:lineRule="exact"/>
        <w:rPr>
          <w:rFonts w:ascii="Courier New" w:cs="Courier New" w:eastAsia="Courier New" w:hAnsi="Courier New"/>
          <w:sz w:val="13"/>
          <w:szCs w:val="13"/>
          <w:color w:val="auto"/>
        </w:rPr>
      </w:pPr>
    </w:p>
    <w:p>
      <w:pPr>
        <w:ind w:left="260" w:right="160" w:hanging="9"/>
        <w:spacing w:after="0" w:line="275" w:lineRule="auto"/>
        <w:tabs>
          <w:tab w:leader="none" w:pos="487" w:val="left"/>
        </w:tabs>
        <w:numPr>
          <w:ilvl w:val="0"/>
          <w:numId w:val="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Government will provide written comments to the Product Development Source Material and Manufacturing Report within [* * *] after the submission.</w:t>
      </w:r>
    </w:p>
    <w:p>
      <w:pPr>
        <w:spacing w:after="0" w:line="88" w:lineRule="exact"/>
        <w:rPr>
          <w:sz w:val="20"/>
          <w:szCs w:val="20"/>
          <w:color w:val="auto"/>
        </w:rPr>
      </w:pPr>
    </w:p>
    <w:p>
      <w:pPr>
        <w:ind w:left="480" w:hanging="229"/>
        <w:spacing w:after="0"/>
        <w:tabs>
          <w:tab w:leader="none" w:pos="480" w:val="left"/>
        </w:tabs>
        <w:numPr>
          <w:ilvl w:val="1"/>
          <w:numId w:val="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corrective action is recommended, the contractor must address all concerns raised by the Government in writing.</w:t>
      </w:r>
    </w:p>
    <w:p>
      <w:pPr>
        <w:spacing w:after="0" w:line="102" w:lineRule="exact"/>
        <w:rPr>
          <w:rFonts w:ascii="Courier New" w:cs="Courier New" w:eastAsia="Courier New" w:hAnsi="Courier New"/>
          <w:sz w:val="13"/>
          <w:szCs w:val="13"/>
          <w:color w:val="auto"/>
        </w:rPr>
      </w:pPr>
    </w:p>
    <w:p>
      <w:pPr>
        <w:ind w:left="260" w:right="320" w:hanging="11"/>
        <w:spacing w:after="0" w:line="275" w:lineRule="auto"/>
        <w:tabs>
          <w:tab w:leader="none" w:pos="484" w:val="left"/>
        </w:tabs>
        <w:numPr>
          <w:ilvl w:val="0"/>
          <w:numId w:val="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Product Development and Source Material report to be submitted via spreadsheet; Dose Tracking can be completed via spreadsheet or other format (e.g. XML or JSON) as agreed to by the Government and contractor.</w:t>
      </w:r>
    </w:p>
    <w:p>
      <w:pPr>
        <w:spacing w:after="0" w:line="108" w:lineRule="exact"/>
        <w:rPr>
          <w:rFonts w:ascii="Courier New" w:cs="Courier New" w:eastAsia="Courier New" w:hAnsi="Courier New"/>
          <w:sz w:val="13"/>
          <w:szCs w:val="13"/>
          <w:color w:val="auto"/>
        </w:rPr>
      </w:pPr>
    </w:p>
    <w:p>
      <w:pPr>
        <w:ind w:left="260" w:right="400" w:hanging="11"/>
        <w:spacing w:after="0" w:line="280" w:lineRule="auto"/>
        <w:tabs>
          <w:tab w:leader="none" w:pos="484" w:val="left"/>
        </w:tabs>
        <w:numPr>
          <w:ilvl w:val="0"/>
          <w:numId w:val="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contractor will update the Dose Tracking Template weekly during manufacturing campaigns and upon manufacturing deliverable submission during COVID-19 response operations (where a Public Health Emergency has been declared), with the first deliverable submission within [* * *] of award.</w:t>
      </w:r>
    </w:p>
    <w:p>
      <w:pPr>
        <w:spacing w:after="0" w:line="335" w:lineRule="exact"/>
        <w:rPr>
          <w:sz w:val="20"/>
          <w:szCs w:val="20"/>
          <w:color w:val="auto"/>
        </w:rPr>
      </w:pPr>
    </w:p>
    <w:p>
      <w:pPr>
        <w:ind w:left="280"/>
        <w:spacing w:after="0" w:line="275" w:lineRule="auto"/>
        <w:rPr>
          <w:sz w:val="20"/>
          <w:szCs w:val="20"/>
          <w:color w:val="auto"/>
        </w:rPr>
      </w:pPr>
      <w:r>
        <w:rPr>
          <w:rFonts w:ascii="Courier New" w:cs="Courier New" w:eastAsia="Courier New" w:hAnsi="Courier New"/>
          <w:sz w:val="13"/>
          <w:szCs w:val="13"/>
          <w:color w:val="auto"/>
        </w:rPr>
        <w:t>A. The contractor shall submit detailed data regarding locations where work will be performed under this contract, including addresses, points of contact, and work performed per location, to include sub-contractors.</w:t>
      </w:r>
    </w:p>
    <w:p>
      <w:pPr>
        <w:spacing w:after="0" w:line="8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The contractor will submit Work Locations Report:</w:t>
      </w:r>
    </w:p>
    <w:p>
      <w:pPr>
        <w:spacing w:after="0" w:line="96" w:lineRule="exact"/>
        <w:rPr>
          <w:sz w:val="20"/>
          <w:szCs w:val="20"/>
          <w:color w:val="auto"/>
        </w:rPr>
      </w:pPr>
    </w:p>
    <w:p>
      <w:pPr>
        <w:ind w:left="500" w:hanging="223"/>
        <w:spacing w:after="0"/>
        <w:tabs>
          <w:tab w:leader="none" w:pos="500" w:val="left"/>
        </w:tabs>
        <w:numPr>
          <w:ilvl w:val="1"/>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Within [* * *] of contract award</w:t>
      </w:r>
    </w:p>
    <w:p>
      <w:pPr>
        <w:spacing w:after="0" w:line="28"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Within [* * *] after a substantive location or capabilities change</w:t>
      </w:r>
    </w:p>
    <w:p>
      <w:pPr>
        <w:spacing w:after="0" w:line="61" w:lineRule="exact"/>
        <w:rPr>
          <w:rFonts w:ascii="Courier New" w:cs="Courier New" w:eastAsia="Courier New" w:hAnsi="Courier New"/>
          <w:sz w:val="13"/>
          <w:szCs w:val="13"/>
          <w:color w:val="auto"/>
        </w:rPr>
      </w:pPr>
    </w:p>
    <w:p>
      <w:pPr>
        <w:ind w:left="280" w:right="300" w:hanging="2"/>
        <w:spacing w:after="0" w:line="318" w:lineRule="auto"/>
        <w:tabs>
          <w:tab w:leader="none" w:pos="647"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Within [* * *] of a substantive change if the work performed supports medical countermeasure development that addresses a threat that has been declared a Public Health Emergency by the HHS Secretary or a Public Health Emergency of International Concern by the WHO</w:t>
      </w:r>
    </w:p>
    <w:p>
      <w:pPr>
        <w:spacing w:after="0" w:line="65" w:lineRule="exact"/>
        <w:rPr>
          <w:rFonts w:ascii="Courier New" w:cs="Courier New" w:eastAsia="Courier New" w:hAnsi="Courier New"/>
          <w:sz w:val="12"/>
          <w:szCs w:val="12"/>
          <w:color w:val="auto"/>
        </w:rPr>
      </w:pPr>
    </w:p>
    <w:p>
      <w:pPr>
        <w:ind w:left="480" w:hanging="229"/>
        <w:spacing w:after="0"/>
        <w:tabs>
          <w:tab w:leader="none" w:pos="480"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Access and General Protection/Security Policy and Procedures</w:t>
      </w:r>
    </w:p>
    <w:p>
      <w:pPr>
        <w:sectPr>
          <w:pgSz w:w="11900" w:h="16838" w:orient="portrait"/>
          <w:cols w:equalWidth="0" w:num="1">
            <w:col w:w="11000"/>
          </w:cols>
          <w:pgMar w:left="320" w:top="929" w:right="579" w:bottom="1440" w:gutter="0" w:footer="0" w:header="0"/>
        </w:sectPr>
      </w:pPr>
    </w:p>
    <w:bookmarkStart w:id="98" w:name="page99"/>
    <w:bookmarkEnd w:id="98"/>
    <w:tbl>
      <w:tblPr>
        <w:tblLayout w:type="fixed"/>
        <w:tblInd w:w="20" w:type="dxa"/>
        <w:tblCellMar>
          <w:top w:w="0" w:type="dxa"/>
          <w:left w:w="0" w:type="dxa"/>
          <w:bottom w:w="0" w:type="dxa"/>
          <w:right w:w="0" w:type="dxa"/>
        </w:tblCellMar>
      </w:tblPr>
      <w:tr>
        <w:trPr>
          <w:trHeight w:val="246"/>
        </w:trPr>
        <w:tc>
          <w:tcPr>
            <w:tcW w:w="31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20"/>
                <w:szCs w:val="20"/>
                <w:b w:val="1"/>
                <w:bCs w:val="1"/>
                <w:color w:val="auto"/>
              </w:rPr>
              <w:t>CONTINUATION SHEET</w:t>
            </w:r>
          </w:p>
        </w:tc>
        <w:tc>
          <w:tcPr>
            <w:tcW w:w="5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680" w:type="dxa"/>
            <w:vAlign w:val="bottom"/>
            <w:tcBorders>
              <w:top w:val="single" w:sz="8" w:color="auto"/>
            </w:tcBorders>
          </w:tcPr>
          <w:p>
            <w:pPr>
              <w:ind w:left="18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13</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100" w:type="dxa"/>
            <w:vAlign w:val="bottom"/>
            <w:tcBorders>
              <w:right w:val="single" w:sz="8" w:color="auto"/>
            </w:tcBorders>
          </w:tcPr>
          <w:p>
            <w:pPr>
              <w:spacing w:after="0"/>
              <w:rPr>
                <w:sz w:val="9"/>
                <w:szCs w:val="9"/>
                <w:color w:val="auto"/>
              </w:rPr>
            </w:pPr>
          </w:p>
        </w:tc>
        <w:tc>
          <w:tcPr>
            <w:tcW w:w="532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680" w:type="dxa"/>
            <w:vAlign w:val="bottom"/>
          </w:tcPr>
          <w:p>
            <w:pPr>
              <w:spacing w:after="0"/>
              <w:rPr>
                <w:sz w:val="9"/>
                <w:szCs w:val="9"/>
                <w:color w:val="auto"/>
              </w:rPr>
            </w:pPr>
          </w:p>
        </w:tc>
      </w:tr>
      <w:tr>
        <w:trPr>
          <w:trHeight w:val="188"/>
        </w:trPr>
        <w:tc>
          <w:tcPr>
            <w:tcW w:w="3100" w:type="dxa"/>
            <w:vAlign w:val="bottom"/>
            <w:tcBorders>
              <w:bottom w:val="single" w:sz="8" w:color="auto"/>
              <w:right w:val="single" w:sz="8" w:color="auto"/>
            </w:tcBorders>
          </w:tcPr>
          <w:p>
            <w:pPr>
              <w:spacing w:after="0"/>
              <w:rPr>
                <w:sz w:val="16"/>
                <w:szCs w:val="16"/>
                <w:color w:val="auto"/>
              </w:rPr>
            </w:pP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68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31115</wp:posOffset>
            </wp:positionV>
            <wp:extent cx="64204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140" w:lineRule="exact"/>
        <w:rPr>
          <w:sz w:val="20"/>
          <w:szCs w:val="20"/>
          <w:color w:val="auto"/>
        </w:rPr>
      </w:pPr>
    </w:p>
    <w:p>
      <w:pPr>
        <w:jc w:val="both"/>
        <w:ind w:left="20"/>
        <w:spacing w:after="0" w:line="263" w:lineRule="auto"/>
        <w:rPr>
          <w:sz w:val="20"/>
          <w:szCs w:val="20"/>
          <w:color w:val="auto"/>
        </w:rPr>
      </w:pPr>
      <w:r>
        <w:rPr>
          <w:rFonts w:ascii="Courier New" w:cs="Courier New" w:eastAsia="Courier New" w:hAnsi="Courier New"/>
          <w:sz w:val="12"/>
          <w:szCs w:val="12"/>
          <w:color w:val="auto"/>
        </w:rPr>
        <w:t>This standard language text is applicable to ALL employees working on critical information related to Operation Warp Speed (OWS) with an area of performance within a Government controlled installation, facility or area. Employees shall comply with applicable installation, facility and area commander installation/facility access and local security policies and procedures (provided by government representative). The performer also shall provide all information required for background checks necessary to access critical information related to OWS, and to meet Government installation access requirements to be accomplished by installation Director of Emergency Services or Security Office. The workforce must comply with all personnel identity verification requirements as directed by the Government and/or local policy. In addition to the changes otherwise authorized by the changes clause of this contract, should the security status of OWS change, the Government may require changes in performer security matters or processes. In addition to the industry standards for employment background checks, the contractor must be willing to have key individuals, in exceptionally sensitive positions, identified for additional vetting by the United States Government.</w:t>
      </w:r>
    </w:p>
    <w:p>
      <w:pPr>
        <w:spacing w:after="0" w:line="233" w:lineRule="exact"/>
        <w:rPr>
          <w:sz w:val="20"/>
          <w:szCs w:val="20"/>
          <w:color w:val="auto"/>
        </w:rPr>
      </w:pPr>
    </w:p>
    <w:p>
      <w:pPr>
        <w:ind w:left="20"/>
        <w:spacing w:after="0"/>
        <w:rPr>
          <w:sz w:val="20"/>
          <w:szCs w:val="20"/>
          <w:color w:val="auto"/>
        </w:rPr>
      </w:pPr>
      <w:r>
        <w:rPr>
          <w:rFonts w:ascii="Courier New" w:cs="Courier New" w:eastAsia="Courier New" w:hAnsi="Courier New"/>
          <w:sz w:val="13"/>
          <w:szCs w:val="13"/>
          <w:color w:val="auto"/>
        </w:rPr>
        <w:t>VI. Operational Security (OPSEC)</w:t>
      </w:r>
    </w:p>
    <w:p>
      <w:pPr>
        <w:spacing w:after="0" w:line="264" w:lineRule="exact"/>
        <w:rPr>
          <w:sz w:val="20"/>
          <w:szCs w:val="20"/>
          <w:color w:val="auto"/>
        </w:rPr>
      </w:pPr>
    </w:p>
    <w:p>
      <w:pPr>
        <w:ind w:left="20" w:right="160"/>
        <w:spacing w:after="0" w:line="282" w:lineRule="auto"/>
        <w:rPr>
          <w:sz w:val="20"/>
          <w:szCs w:val="20"/>
          <w:color w:val="auto"/>
        </w:rPr>
      </w:pPr>
      <w:r>
        <w:rPr>
          <w:rFonts w:ascii="Courier New" w:cs="Courier New" w:eastAsia="Courier New" w:hAnsi="Courier New"/>
          <w:sz w:val="13"/>
          <w:szCs w:val="13"/>
          <w:color w:val="auto"/>
        </w:rPr>
        <w:t>The performer shall develop an OPSEC Standard Operating Procedure (SOP)/Plan within [* * *] of project award to be reviewed and approved by the responsible Government OPSEC officer. This plan will be submitted to the TPOC for coordination of approvals. This SOP/Plan will include identifying the critical information related to this contract, why it needs to be protected, where it is located, who is responsible for it, and how to protect it.</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VII. Security Plan</w:t>
      </w:r>
    </w:p>
    <w:p>
      <w:pPr>
        <w:spacing w:after="0" w:line="264" w:lineRule="exact"/>
        <w:rPr>
          <w:sz w:val="20"/>
          <w:szCs w:val="20"/>
          <w:color w:val="auto"/>
        </w:rPr>
      </w:pPr>
    </w:p>
    <w:p>
      <w:pPr>
        <w:ind w:left="20" w:right="920"/>
        <w:spacing w:after="0" w:line="283" w:lineRule="auto"/>
        <w:rPr>
          <w:sz w:val="20"/>
          <w:szCs w:val="20"/>
          <w:color w:val="auto"/>
        </w:rPr>
      </w:pPr>
      <w:r>
        <w:rPr>
          <w:rFonts w:ascii="Courier New" w:cs="Courier New" w:eastAsia="Courier New" w:hAnsi="Courier New"/>
          <w:sz w:val="13"/>
          <w:szCs w:val="13"/>
          <w:color w:val="auto"/>
        </w:rPr>
        <w:t>The contractor shall develop a comprehensive security program that provides overall protection of personnel, information, data, and facilities associated with fulfilling the Government requirement. This plan shall establish security practices and procedures that demonstrate how the contractor will meet and adhere to the security requirements outlined below prior to the commencement of product manufacturing, and shall be delivered to the Government within [* * *] of award. The contractor shall also ensure all subcontractors, consultants, researchers, etc. performing work on behalf of this effort, comply with all Government security requirements and prime contractor security plans.</w:t>
      </w:r>
    </w:p>
    <w:p>
      <w:pPr>
        <w:spacing w:after="0" w:line="268" w:lineRule="exact"/>
        <w:rPr>
          <w:sz w:val="20"/>
          <w:szCs w:val="20"/>
          <w:color w:val="auto"/>
        </w:rPr>
      </w:pPr>
    </w:p>
    <w:p>
      <w:pPr>
        <w:ind w:left="20" w:right="460" w:hanging="2"/>
        <w:spacing w:after="0" w:line="280" w:lineRule="auto"/>
        <w:tabs>
          <w:tab w:leader="none" w:pos="387"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Government will review in detail and submit comments within [* * *] to the CO to be forwarded to the contractor. The contractor shall review the Draft Security Plan comments, and, submit a Final Security Plan to the U.S. Government within [* * *] after receipt of the comments.</w:t>
      </w:r>
    </w:p>
    <w:p>
      <w:pPr>
        <w:spacing w:after="0" w:line="234" w:lineRule="exact"/>
        <w:rPr>
          <w:rFonts w:ascii="Courier New" w:cs="Courier New" w:eastAsia="Courier New" w:hAnsi="Courier New"/>
          <w:sz w:val="13"/>
          <w:szCs w:val="13"/>
          <w:color w:val="auto"/>
        </w:rPr>
      </w:pPr>
    </w:p>
    <w:p>
      <w:pPr>
        <w:ind w:left="240" w:hanging="223"/>
        <w:spacing w:after="0"/>
        <w:tabs>
          <w:tab w:leader="none" w:pos="240"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Security Plan shall include a timeline for compliance of all the required security measures outlined by the Government.</w:t>
      </w:r>
    </w:p>
    <w:p>
      <w:pPr>
        <w:spacing w:after="0" w:line="264" w:lineRule="exact"/>
        <w:rPr>
          <w:rFonts w:ascii="Courier New" w:cs="Courier New" w:eastAsia="Courier New" w:hAnsi="Courier New"/>
          <w:sz w:val="13"/>
          <w:szCs w:val="13"/>
          <w:color w:val="auto"/>
        </w:rPr>
      </w:pPr>
    </w:p>
    <w:p>
      <w:pPr>
        <w:ind w:left="20" w:right="920" w:hanging="2"/>
        <w:spacing w:after="0" w:line="275" w:lineRule="auto"/>
        <w:tabs>
          <w:tab w:leader="none" w:pos="387"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Upon completion of initiating all security measures, the contractor shall supply to the CO a letter certifying compliance to the elements outlined in the Final Security Plan.</w:t>
      </w:r>
    </w:p>
    <w:p>
      <w:pPr>
        <w:spacing w:after="0" w:line="250" w:lineRule="exact"/>
        <w:rPr>
          <w:sz w:val="20"/>
          <w:szCs w:val="20"/>
          <w:color w:val="auto"/>
        </w:rPr>
      </w:pPr>
    </w:p>
    <w:p>
      <w:pPr>
        <w:ind w:left="20"/>
        <w:spacing w:after="0"/>
        <w:rPr>
          <w:sz w:val="20"/>
          <w:szCs w:val="20"/>
          <w:color w:val="auto"/>
        </w:rPr>
      </w:pPr>
      <w:r>
        <w:rPr>
          <w:rFonts w:ascii="Courier New" w:cs="Courier New" w:eastAsia="Courier New" w:hAnsi="Courier New"/>
          <w:sz w:val="13"/>
          <w:szCs w:val="13"/>
          <w:color w:val="auto"/>
        </w:rPr>
        <w:t>At a minimum, the Final Security Plan shall address the following items:</w:t>
      </w:r>
    </w:p>
    <w:p>
      <w:pPr>
        <w:spacing w:after="0" w:line="244" w:lineRule="exact"/>
        <w:rPr>
          <w:sz w:val="20"/>
          <w:szCs w:val="20"/>
          <w:color w:val="auto"/>
        </w:rPr>
      </w:pPr>
    </w:p>
    <w:p>
      <w:pPr>
        <w:ind w:left="20"/>
        <w:spacing w:after="0"/>
        <w:rPr>
          <w:sz w:val="20"/>
          <w:szCs w:val="20"/>
          <w:color w:val="auto"/>
        </w:rPr>
      </w:pPr>
      <w:r>
        <w:rPr>
          <w:rFonts w:ascii="Courier New" w:cs="Courier New" w:eastAsia="Courier New" w:hAnsi="Courier New"/>
          <w:sz w:val="13"/>
          <w:szCs w:val="13"/>
          <w:color w:val="auto"/>
        </w:rPr>
        <w:t>Security Requirements:</w:t>
      </w:r>
    </w:p>
    <w:p>
      <w:pPr>
        <w:spacing w:after="0" w:line="244" w:lineRule="exact"/>
        <w:rPr>
          <w:sz w:val="20"/>
          <w:szCs w:val="20"/>
          <w:color w:val="auto"/>
        </w:rPr>
      </w:pPr>
    </w:p>
    <w:p>
      <w:pPr>
        <w:ind w:left="20"/>
        <w:spacing w:after="0"/>
        <w:rPr>
          <w:sz w:val="20"/>
          <w:szCs w:val="20"/>
          <w:color w:val="auto"/>
        </w:rPr>
      </w:pPr>
      <w:r>
        <w:rPr>
          <w:rFonts w:ascii="Courier New" w:cs="Courier New" w:eastAsia="Courier New" w:hAnsi="Courier New"/>
          <w:sz w:val="13"/>
          <w:szCs w:val="13"/>
          <w:color w:val="auto"/>
        </w:rPr>
        <w:t>1. Facility Security Plan</w:t>
      </w:r>
    </w:p>
    <w:p>
      <w:pPr>
        <w:spacing w:after="0" w:line="278" w:lineRule="exact"/>
        <w:rPr>
          <w:sz w:val="20"/>
          <w:szCs w:val="20"/>
          <w:color w:val="auto"/>
        </w:rPr>
      </w:pPr>
    </w:p>
    <w:p>
      <w:pPr>
        <w:ind w:left="20" w:right="380"/>
        <w:spacing w:after="0" w:line="314" w:lineRule="auto"/>
        <w:rPr>
          <w:sz w:val="20"/>
          <w:szCs w:val="20"/>
          <w:color w:val="auto"/>
        </w:rPr>
      </w:pPr>
      <w:r>
        <w:rPr>
          <w:rFonts w:ascii="Courier New" w:cs="Courier New" w:eastAsia="Courier New" w:hAnsi="Courier New"/>
          <w:sz w:val="12"/>
          <w:szCs w:val="12"/>
          <w:color w:val="auto"/>
        </w:rPr>
        <w:t>Description: As part of the partner facility's overall security program, the contractor shall submit a written security plan with their proposal to the Government for review and approval by Government security subject matter experts. The performance of work under the contract will be in accordance with the approved security plan. The security plan will include the following processes and procedures at a minimum:</w:t>
      </w:r>
    </w:p>
    <w:p>
      <w:pPr>
        <w:spacing w:after="0" w:line="216" w:lineRule="exact"/>
        <w:rPr>
          <w:sz w:val="20"/>
          <w:szCs w:val="20"/>
          <w:color w:val="auto"/>
        </w:rPr>
      </w:pPr>
    </w:p>
    <w:p>
      <w:pPr>
        <w:ind w:left="20"/>
        <w:spacing w:after="0"/>
        <w:rPr>
          <w:sz w:val="20"/>
          <w:szCs w:val="20"/>
          <w:color w:val="auto"/>
        </w:rPr>
      </w:pPr>
      <w:r>
        <w:rPr>
          <w:rFonts w:ascii="Courier New" w:cs="Courier New" w:eastAsia="Courier New" w:hAnsi="Courier New"/>
          <w:sz w:val="13"/>
          <w:szCs w:val="13"/>
          <w:color w:val="auto"/>
        </w:rPr>
        <w:t>A. Security Administration</w:t>
      </w:r>
    </w:p>
    <w:p>
      <w:pPr>
        <w:spacing w:after="0" w:line="4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-organization chart and responsibilities</w:t>
      </w:r>
    </w:p>
    <w:p>
      <w:pPr>
        <w:spacing w:after="0" w:line="4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-written security risk assessment for site</w:t>
      </w:r>
    </w:p>
    <w:p>
      <w:pPr>
        <w:spacing w:after="0" w:line="28"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-threat levels with identification matrix (High, Medium, or Low)</w:t>
      </w:r>
    </w:p>
    <w:p>
      <w:pPr>
        <w:spacing w:after="0" w:line="4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-enhanced security procedures during elevated threats</w:t>
      </w:r>
    </w:p>
    <w:p>
      <w:pPr>
        <w:spacing w:after="0" w:line="4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-liaison procedures with law enforcement</w:t>
      </w:r>
    </w:p>
    <w:p>
      <w:pPr>
        <w:spacing w:after="0" w:line="55"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-annual employee security education and training program</w:t>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 Personnel Security</w:t>
      </w:r>
    </w:p>
    <w:p>
      <w:pPr>
        <w:spacing w:after="0" w:line="4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-policies and procedures</w:t>
      </w:r>
    </w:p>
    <w:p>
      <w:pPr>
        <w:spacing w:after="0" w:line="28"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-candidate recruitment process</w:t>
      </w:r>
    </w:p>
    <w:p>
      <w:pPr>
        <w:spacing w:after="0" w:line="4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-background investigations process</w:t>
      </w:r>
    </w:p>
    <w:p>
      <w:pPr>
        <w:spacing w:after="0" w:line="4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-employment suitability policy</w:t>
      </w:r>
    </w:p>
    <w:p>
      <w:pPr>
        <w:spacing w:after="0" w:line="4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-employee access determination</w:t>
      </w:r>
    </w:p>
    <w:p>
      <w:pPr>
        <w:spacing w:after="0" w:line="28"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-rules of behavior/conduct</w:t>
      </w:r>
    </w:p>
    <w:p>
      <w:pPr>
        <w:spacing w:after="0" w:line="4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-termination procedures</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-non-disclosure agreements</w:t>
      </w:r>
    </w:p>
    <w:p>
      <w:pPr>
        <w:spacing w:after="0" w:line="129" w:lineRule="exact"/>
        <w:rPr>
          <w:sz w:val="20"/>
          <w:szCs w:val="20"/>
          <w:color w:val="auto"/>
        </w:rPr>
      </w:pPr>
    </w:p>
    <w:p>
      <w:pPr>
        <w:jc w:val="center"/>
        <w:ind w:right="7660"/>
        <w:spacing w:after="0"/>
        <w:rPr>
          <w:sz w:val="20"/>
          <w:szCs w:val="20"/>
          <w:color w:val="auto"/>
        </w:rPr>
      </w:pPr>
      <w:r>
        <w:rPr>
          <w:rFonts w:ascii="Courier New" w:cs="Courier New" w:eastAsia="Courier New" w:hAnsi="Courier New"/>
          <w:sz w:val="12"/>
          <w:szCs w:val="12"/>
          <w:color w:val="auto"/>
        </w:rPr>
        <w:t>C. Physical Security Policies and Procedures</w:t>
      </w:r>
    </w:p>
    <w:p>
      <w:pPr>
        <w:spacing w:after="0" w:line="4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-internal/external access control</w:t>
      </w:r>
    </w:p>
    <w:p>
      <w:pPr>
        <w:spacing w:after="0" w:line="4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-protective services</w:t>
      </w:r>
    </w:p>
    <w:p>
      <w:pPr>
        <w:spacing w:after="0" w:line="4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-identification/badging</w:t>
      </w:r>
    </w:p>
    <w:p>
      <w:pPr>
        <w:sectPr>
          <w:pgSz w:w="11900" w:h="16838" w:orient="portrait"/>
          <w:cols w:equalWidth="0" w:num="1">
            <w:col w:w="10980"/>
          </w:cols>
          <w:pgMar w:left="580" w:top="227" w:right="339"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2"/>
          <w:szCs w:val="12"/>
          <w:color w:val="auto"/>
        </w:rPr>
        <w:t>-employee and visitor access controls</w:t>
      </w:r>
    </w:p>
    <w:p>
      <w:pPr>
        <w:sectPr>
          <w:pgSz w:w="11900" w:h="16838" w:orient="portrait"/>
          <w:cols w:equalWidth="0" w:num="1">
            <w:col w:w="9479"/>
          </w:cols>
          <w:pgMar w:left="980" w:top="845"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46"/>
        </w:trPr>
        <w:tc>
          <w:tcPr>
            <w:tcW w:w="32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20"/>
                <w:szCs w:val="20"/>
                <w:b w:val="1"/>
                <w:bCs w:val="1"/>
                <w:color w:val="auto"/>
              </w:rPr>
              <w:t>CONTINUATION SHEET</w:t>
            </w:r>
          </w:p>
        </w:tc>
        <w:tc>
          <w:tcPr>
            <w:tcW w:w="5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80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14</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60" w:type="dxa"/>
            <w:vAlign w:val="bottom"/>
            <w:tcBorders>
              <w:right w:val="single" w:sz="8" w:color="auto"/>
            </w:tcBorders>
          </w:tcPr>
          <w:p>
            <w:pPr>
              <w:spacing w:after="0"/>
              <w:rPr>
                <w:sz w:val="9"/>
                <w:szCs w:val="9"/>
                <w:color w:val="auto"/>
              </w:rPr>
            </w:pPr>
          </w:p>
        </w:tc>
        <w:tc>
          <w:tcPr>
            <w:tcW w:w="55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800" w:type="dxa"/>
            <w:vAlign w:val="bottom"/>
          </w:tcPr>
          <w:p>
            <w:pPr>
              <w:spacing w:after="0"/>
              <w:rPr>
                <w:sz w:val="9"/>
                <w:szCs w:val="9"/>
                <w:color w:val="auto"/>
              </w:rPr>
            </w:pPr>
          </w:p>
        </w:tc>
      </w:tr>
      <w:tr>
        <w:trPr>
          <w:trHeight w:val="188"/>
        </w:trPr>
        <w:tc>
          <w:tcPr>
            <w:tcW w:w="3260" w:type="dxa"/>
            <w:vAlign w:val="bottom"/>
            <w:tcBorders>
              <w:bottom w:val="single" w:sz="8" w:color="auto"/>
              <w:right w:val="single" w:sz="8" w:color="auto"/>
            </w:tcBorders>
          </w:tcPr>
          <w:p>
            <w:pPr>
              <w:spacing w:after="0"/>
              <w:rPr>
                <w:sz w:val="16"/>
                <w:szCs w:val="16"/>
                <w:color w:val="auto"/>
              </w:rPr>
            </w:pPr>
          </w:p>
        </w:tc>
        <w:tc>
          <w:tcPr>
            <w:tcW w:w="5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80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141"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-parking areas and access control</w:t>
      </w:r>
    </w:p>
    <w:p>
      <w:pPr>
        <w:spacing w:after="0" w:line="28"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-perimeter fencing/barriers</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-product shipping, receiving and transport security procedures</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-facility security lighting</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-restricted areas</w:t>
      </w:r>
    </w:p>
    <w:p>
      <w:pPr>
        <w:spacing w:after="0" w:line="28"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-signage</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-intrusion detection systems</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-alarm monitoring/response</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-closed circuit television</w:t>
      </w:r>
    </w:p>
    <w:p>
      <w:pPr>
        <w:spacing w:after="0" w:line="28"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-product storage security</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-other control measures as identified</w:t>
      </w:r>
    </w:p>
    <w:p>
      <w:pPr>
        <w:spacing w:after="0" w:line="244"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D. Information Security</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-identification and marking of sensitive information</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-access control</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-storage of information</w:t>
      </w:r>
    </w:p>
    <w:p>
      <w:pPr>
        <w:spacing w:after="0" w:line="28"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-document control procedures</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-retention/destruction requirements</w:t>
      </w:r>
    </w:p>
    <w:p>
      <w:pPr>
        <w:spacing w:after="0" w:line="244"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E. Information Technology/Cyber Security Policies and Procedures</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-intrusion detection and prevention systems</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-threat identification</w:t>
      </w:r>
    </w:p>
    <w:p>
      <w:pPr>
        <w:spacing w:after="0" w:line="28"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-employee training (initial and annual)</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-encryption systems</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-identification of sensitive information/media</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-password policy (max days 90)</w:t>
      </w:r>
    </w:p>
    <w:p>
      <w:pPr>
        <w:spacing w:after="0" w:line="28"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-lock screen time out policy (minimum time 20 minutes)</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-removable media policy</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-laptop policy</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-removal of IT assets for domestic/foreign travel</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-access control and determination</w:t>
      </w:r>
    </w:p>
    <w:p>
      <w:pPr>
        <w:spacing w:after="0" w:line="28"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-VPN procedures</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-WiFi and Bluetooth disabled when not in use</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-system document control</w:t>
      </w:r>
    </w:p>
    <w:p>
      <w:pPr>
        <w:spacing w:after="0" w:line="28"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-system backup</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-system disaster recovery</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-incident response</w:t>
      </w:r>
    </w:p>
    <w:p>
      <w:pPr>
        <w:spacing w:after="0" w:line="42"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-system audit procedures</w:t>
      </w:r>
    </w:p>
    <w:p>
      <w:pPr>
        <w:spacing w:after="0" w:line="28" w:lineRule="exact"/>
        <w:rPr>
          <w:sz w:val="20"/>
          <w:szCs w:val="20"/>
          <w:color w:val="auto"/>
        </w:rPr>
      </w:pPr>
    </w:p>
    <w:p>
      <w:pPr>
        <w:ind w:left="660"/>
        <w:spacing w:after="0"/>
        <w:rPr>
          <w:sz w:val="20"/>
          <w:szCs w:val="20"/>
          <w:color w:val="auto"/>
        </w:rPr>
      </w:pPr>
      <w:r>
        <w:rPr>
          <w:rFonts w:ascii="Courier New" w:cs="Courier New" w:eastAsia="Courier New" w:hAnsi="Courier New"/>
          <w:sz w:val="13"/>
          <w:szCs w:val="13"/>
          <w:color w:val="auto"/>
        </w:rPr>
        <w:t>-property accountability</w:t>
      </w:r>
    </w:p>
    <w:p>
      <w:pPr>
        <w:spacing w:after="0" w:line="258"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2. Site Security Master Plan</w:t>
      </w:r>
    </w:p>
    <w:p>
      <w:pPr>
        <w:spacing w:after="0" w:line="264" w:lineRule="exact"/>
        <w:rPr>
          <w:sz w:val="20"/>
          <w:szCs w:val="20"/>
          <w:color w:val="auto"/>
        </w:rPr>
      </w:pPr>
    </w:p>
    <w:p>
      <w:pPr>
        <w:ind w:left="280" w:right="840"/>
        <w:spacing w:after="0" w:line="275" w:lineRule="auto"/>
        <w:rPr>
          <w:sz w:val="20"/>
          <w:szCs w:val="20"/>
          <w:color w:val="auto"/>
        </w:rPr>
      </w:pPr>
      <w:r>
        <w:rPr>
          <w:rFonts w:ascii="Courier New" w:cs="Courier New" w:eastAsia="Courier New" w:hAnsi="Courier New"/>
          <w:sz w:val="13"/>
          <w:szCs w:val="13"/>
          <w:color w:val="auto"/>
        </w:rPr>
        <w:t>Description: The partner facility shall provide a site schematic for security systems which includes: main access points; security cameras; electronic access points; IT Server Room; Product Storage Freezer/Room; and bio-containment laboratories.</w:t>
      </w:r>
    </w:p>
    <w:p>
      <w:pPr>
        <w:spacing w:after="0" w:line="237"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3. Site Threat/Vulnerability/Risk Assessment</w:t>
      </w:r>
    </w:p>
    <w:p>
      <w:pPr>
        <w:spacing w:after="0" w:line="278" w:lineRule="exact"/>
        <w:rPr>
          <w:sz w:val="20"/>
          <w:szCs w:val="20"/>
          <w:color w:val="auto"/>
        </w:rPr>
      </w:pPr>
    </w:p>
    <w:p>
      <w:pPr>
        <w:ind w:left="280"/>
        <w:spacing w:after="0" w:line="282" w:lineRule="auto"/>
        <w:rPr>
          <w:sz w:val="20"/>
          <w:szCs w:val="20"/>
          <w:color w:val="auto"/>
        </w:rPr>
      </w:pPr>
      <w:r>
        <w:rPr>
          <w:rFonts w:ascii="Courier New" w:cs="Courier New" w:eastAsia="Courier New" w:hAnsi="Courier New"/>
          <w:sz w:val="13"/>
          <w:szCs w:val="13"/>
          <w:color w:val="auto"/>
        </w:rPr>
        <w:t>Description: The partner facility shall provide a written risk assessment for the facility addressing: criminal threat, including crime data; foreign/domestic terrorist threat; industrial espionage; insider threats; natural disasters; and potential loss of critical infrastructure (power/water/natural gas, etc.) This assessment shall include recent data obtained from local law enforcement agencies. The assessment should be updated annually.</w:t>
      </w:r>
    </w:p>
    <w:p>
      <w:pPr>
        <w:spacing w:after="0" w:line="233" w:lineRule="exact"/>
        <w:rPr>
          <w:sz w:val="20"/>
          <w:szCs w:val="20"/>
          <w:color w:val="auto"/>
        </w:rPr>
      </w:pPr>
    </w:p>
    <w:p>
      <w:pPr>
        <w:ind w:left="480" w:hanging="229"/>
        <w:spacing w:after="0"/>
        <w:tabs>
          <w:tab w:leader="none" w:pos="480" w:val="left"/>
        </w:tabs>
        <w:numPr>
          <w:ilvl w:val="0"/>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Physical Security</w:t>
      </w:r>
    </w:p>
    <w:p>
      <w:pPr>
        <w:spacing w:after="0" w:line="244" w:lineRule="exact"/>
        <w:rPr>
          <w:rFonts w:ascii="Courier New" w:cs="Courier New" w:eastAsia="Courier New" w:hAnsi="Courier New"/>
          <w:sz w:val="13"/>
          <w:szCs w:val="13"/>
          <w:color w:val="auto"/>
        </w:rPr>
      </w:pPr>
    </w:p>
    <w:p>
      <w:pPr>
        <w:ind w:left="2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A. Closed Circuit Television (CCTV) Monitoring</w:t>
      </w:r>
    </w:p>
    <w:p>
      <w:pPr>
        <w:spacing w:after="0" w:line="277" w:lineRule="exact"/>
        <w:rPr>
          <w:rFonts w:ascii="Courier New" w:cs="Courier New" w:eastAsia="Courier New" w:hAnsi="Courier New"/>
          <w:sz w:val="13"/>
          <w:szCs w:val="13"/>
          <w:color w:val="auto"/>
        </w:rPr>
      </w:pPr>
    </w:p>
    <w:p>
      <w:pPr>
        <w:ind w:left="280" w:right="20" w:hanging="2"/>
        <w:spacing w:after="0" w:line="275" w:lineRule="auto"/>
        <w:tabs>
          <w:tab w:leader="none" w:pos="647" w:val="left"/>
        </w:tabs>
        <w:numPr>
          <w:ilvl w:val="2"/>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Layered (internal/external) CCTV coverage with time-lapse video recording for buildings and areas where critical assets are processed or stored.</w:t>
      </w:r>
    </w:p>
    <w:p>
      <w:pPr>
        <w:spacing w:after="0" w:line="13" w:lineRule="exact"/>
        <w:rPr>
          <w:rFonts w:ascii="Courier New" w:cs="Courier New" w:eastAsia="Courier New" w:hAnsi="Courier New"/>
          <w:sz w:val="13"/>
          <w:szCs w:val="13"/>
          <w:color w:val="auto"/>
        </w:rPr>
      </w:pPr>
    </w:p>
    <w:p>
      <w:pPr>
        <w:ind w:left="280" w:right="400" w:hanging="2"/>
        <w:spacing w:after="0" w:line="275" w:lineRule="auto"/>
        <w:tabs>
          <w:tab w:leader="none" w:pos="647" w:val="left"/>
        </w:tabs>
        <w:numPr>
          <w:ilvl w:val="2"/>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CCTV coverage must include entry and exits to critical facilities, perimeters, and areas within the facility deemed critical to the execution of the contract.</w:t>
      </w:r>
    </w:p>
    <w:p>
      <w:pPr>
        <w:spacing w:after="0" w:line="7" w:lineRule="exact"/>
        <w:rPr>
          <w:rFonts w:ascii="Courier New" w:cs="Courier New" w:eastAsia="Courier New" w:hAnsi="Courier New"/>
          <w:sz w:val="13"/>
          <w:szCs w:val="13"/>
          <w:color w:val="auto"/>
        </w:rPr>
      </w:pPr>
    </w:p>
    <w:p>
      <w:pPr>
        <w:ind w:left="640" w:hanging="362"/>
        <w:spacing w:after="0"/>
        <w:tabs>
          <w:tab w:leader="none" w:pos="640" w:val="left"/>
        </w:tabs>
        <w:numPr>
          <w:ilvl w:val="2"/>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Video recordings must be maintained for a minimum of 30 days.</w:t>
      </w:r>
    </w:p>
    <w:p>
      <w:pPr>
        <w:spacing w:after="0" w:line="28" w:lineRule="exact"/>
        <w:rPr>
          <w:rFonts w:ascii="Courier New" w:cs="Courier New" w:eastAsia="Courier New" w:hAnsi="Courier New"/>
          <w:sz w:val="13"/>
          <w:szCs w:val="13"/>
          <w:color w:val="auto"/>
        </w:rPr>
      </w:pPr>
    </w:p>
    <w:p>
      <w:pPr>
        <w:ind w:left="640" w:hanging="362"/>
        <w:spacing w:after="0"/>
        <w:tabs>
          <w:tab w:leader="none" w:pos="640" w:val="left"/>
        </w:tabs>
        <w:numPr>
          <w:ilvl w:val="2"/>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CCTV surveillance system must be on emergency power backup.</w:t>
      </w:r>
    </w:p>
    <w:p>
      <w:pPr>
        <w:sectPr>
          <w:pgSz w:w="11900" w:h="16838" w:orient="portrait"/>
          <w:cols w:equalWidth="0" w:num="1">
            <w:col w:w="10940"/>
          </w:cols>
          <w:pgMar w:left="320" w:top="929" w:right="639" w:bottom="1440" w:gutter="0" w:footer="0" w:header="0"/>
        </w:sectPr>
      </w:pPr>
    </w:p>
    <w:p>
      <w:pPr>
        <w:spacing w:after="0" w:line="264" w:lineRule="exact"/>
        <w:rPr>
          <w:sz w:val="20"/>
          <w:szCs w:val="20"/>
          <w:color w:val="auto"/>
        </w:rPr>
      </w:pPr>
    </w:p>
    <w:p>
      <w:pPr>
        <w:ind w:left="660"/>
        <w:spacing w:after="0"/>
        <w:rPr>
          <w:sz w:val="20"/>
          <w:szCs w:val="20"/>
          <w:color w:val="auto"/>
        </w:rPr>
      </w:pPr>
      <w:r>
        <w:rPr>
          <w:rFonts w:ascii="Courier New" w:cs="Courier New" w:eastAsia="Courier New" w:hAnsi="Courier New"/>
          <w:sz w:val="12"/>
          <w:szCs w:val="12"/>
          <w:color w:val="auto"/>
        </w:rPr>
        <w:t>B. Facility Lighting</w:t>
      </w:r>
    </w:p>
    <w:p>
      <w:pPr>
        <w:sectPr>
          <w:pgSz w:w="11900" w:h="16838" w:orient="portrait"/>
          <w:cols w:equalWidth="0" w:num="1">
            <w:col w:w="10940"/>
          </w:cols>
          <w:pgMar w:left="320" w:top="929" w:right="6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46"/>
        </w:trPr>
        <w:tc>
          <w:tcPr>
            <w:tcW w:w="32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20"/>
                <w:szCs w:val="20"/>
                <w:b w:val="1"/>
                <w:bCs w:val="1"/>
                <w:color w:val="auto"/>
              </w:rPr>
              <w:t>CONTINUATION SHEET</w:t>
            </w:r>
          </w:p>
        </w:tc>
        <w:tc>
          <w:tcPr>
            <w:tcW w:w="5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80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15</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60" w:type="dxa"/>
            <w:vAlign w:val="bottom"/>
            <w:tcBorders>
              <w:right w:val="single" w:sz="8" w:color="auto"/>
            </w:tcBorders>
          </w:tcPr>
          <w:p>
            <w:pPr>
              <w:spacing w:after="0"/>
              <w:rPr>
                <w:sz w:val="9"/>
                <w:szCs w:val="9"/>
                <w:color w:val="auto"/>
              </w:rPr>
            </w:pPr>
          </w:p>
        </w:tc>
        <w:tc>
          <w:tcPr>
            <w:tcW w:w="55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800" w:type="dxa"/>
            <w:vAlign w:val="bottom"/>
          </w:tcPr>
          <w:p>
            <w:pPr>
              <w:spacing w:after="0"/>
              <w:rPr>
                <w:sz w:val="9"/>
                <w:szCs w:val="9"/>
                <w:color w:val="auto"/>
              </w:rPr>
            </w:pPr>
          </w:p>
        </w:tc>
      </w:tr>
      <w:tr>
        <w:trPr>
          <w:trHeight w:val="188"/>
        </w:trPr>
        <w:tc>
          <w:tcPr>
            <w:tcW w:w="3260" w:type="dxa"/>
            <w:vAlign w:val="bottom"/>
            <w:tcBorders>
              <w:bottom w:val="single" w:sz="8" w:color="auto"/>
              <w:right w:val="single" w:sz="8" w:color="auto"/>
            </w:tcBorders>
          </w:tcPr>
          <w:p>
            <w:pPr>
              <w:spacing w:after="0"/>
              <w:rPr>
                <w:sz w:val="16"/>
                <w:szCs w:val="16"/>
                <w:color w:val="auto"/>
              </w:rPr>
            </w:pPr>
          </w:p>
        </w:tc>
        <w:tc>
          <w:tcPr>
            <w:tcW w:w="5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80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168" w:lineRule="exact"/>
        <w:rPr>
          <w:sz w:val="20"/>
          <w:szCs w:val="20"/>
          <w:color w:val="auto"/>
        </w:rPr>
      </w:pPr>
    </w:p>
    <w:p>
      <w:pPr>
        <w:ind w:left="500" w:hanging="223"/>
        <w:spacing w:after="0"/>
        <w:tabs>
          <w:tab w:leader="none" w:pos="500" w:val="left"/>
        </w:tabs>
        <w:numPr>
          <w:ilvl w:val="1"/>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Lighting must cover facility perimeter, parking areas, critical infrastructure, and entrances and exits to buildings.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Lighting must have emergency power backup.</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Lighting must be sufficient for the effective operation of the CCTV surveillance system during hours of darkness.</w:t>
      </w:r>
    </w:p>
    <w:p>
      <w:pPr>
        <w:spacing w:after="0" w:line="244" w:lineRule="exact"/>
        <w:rPr>
          <w:rFonts w:ascii="Courier New" w:cs="Courier New" w:eastAsia="Courier New" w:hAnsi="Courier New"/>
          <w:sz w:val="13"/>
          <w:szCs w:val="13"/>
          <w:color w:val="auto"/>
        </w:rPr>
      </w:pPr>
    </w:p>
    <w:p>
      <w:pPr>
        <w:ind w:left="480" w:hanging="231"/>
        <w:spacing w:after="0"/>
        <w:tabs>
          <w:tab w:leader="none" w:pos="480" w:val="left"/>
        </w:tabs>
        <w:numPr>
          <w:ilvl w:val="0"/>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Shipping and Receiving</w:t>
      </w:r>
    </w:p>
    <w:p>
      <w:pPr>
        <w:spacing w:after="0" w:line="244" w:lineRule="exact"/>
        <w:rPr>
          <w:rFonts w:ascii="Courier New" w:cs="Courier New" w:eastAsia="Courier New" w:hAnsi="Courier New"/>
          <w:sz w:val="13"/>
          <w:szCs w:val="13"/>
          <w:color w:val="auto"/>
        </w:rPr>
      </w:pPr>
    </w:p>
    <w:p>
      <w:pPr>
        <w:ind w:left="420" w:hanging="143"/>
        <w:spacing w:after="0"/>
        <w:tabs>
          <w:tab w:leader="none" w:pos="420" w:val="left"/>
        </w:tabs>
        <w:numPr>
          <w:ilvl w:val="1"/>
          <w:numId w:val="61"/>
        </w:numPr>
        <w:rPr>
          <w:rFonts w:ascii="Courier New" w:cs="Courier New" w:eastAsia="Courier New" w:hAnsi="Courier New"/>
          <w:sz w:val="11"/>
          <w:szCs w:val="11"/>
          <w:color w:val="auto"/>
        </w:rPr>
      </w:pPr>
      <w:r>
        <w:rPr>
          <w:rFonts w:ascii="Courier New" w:cs="Courier New" w:eastAsia="Courier New" w:hAnsi="Courier New"/>
          <w:sz w:val="13"/>
          <w:szCs w:val="13"/>
          <w:color w:val="auto"/>
        </w:rPr>
        <w:t>Must have CCTV coverage and an electronic access control system.</w:t>
      </w:r>
    </w:p>
    <w:p>
      <w:pPr>
        <w:spacing w:after="0" w:line="41" w:lineRule="exact"/>
        <w:rPr>
          <w:rFonts w:ascii="Courier New" w:cs="Courier New" w:eastAsia="Courier New" w:hAnsi="Courier New"/>
          <w:sz w:val="11"/>
          <w:szCs w:val="11"/>
          <w:color w:val="auto"/>
        </w:rPr>
      </w:pPr>
    </w:p>
    <w:p>
      <w:pPr>
        <w:ind w:left="420" w:hanging="143"/>
        <w:spacing w:after="0"/>
        <w:tabs>
          <w:tab w:leader="none" w:pos="420" w:val="left"/>
        </w:tabs>
        <w:numPr>
          <w:ilvl w:val="1"/>
          <w:numId w:val="61"/>
        </w:numPr>
        <w:rPr>
          <w:rFonts w:ascii="Courier New" w:cs="Courier New" w:eastAsia="Courier New" w:hAnsi="Courier New"/>
          <w:sz w:val="11"/>
          <w:szCs w:val="11"/>
          <w:color w:val="auto"/>
        </w:rPr>
      </w:pPr>
      <w:r>
        <w:rPr>
          <w:rFonts w:ascii="Courier New" w:cs="Courier New" w:eastAsia="Courier New" w:hAnsi="Courier New"/>
          <w:sz w:val="13"/>
          <w:szCs w:val="13"/>
          <w:color w:val="auto"/>
        </w:rPr>
        <w:t>Must have procedures in place to control access and movement of drivers picking up or delivering shipments.</w:t>
      </w:r>
    </w:p>
    <w:p>
      <w:pPr>
        <w:spacing w:after="0" w:line="28" w:lineRule="exact"/>
        <w:rPr>
          <w:rFonts w:ascii="Courier New" w:cs="Courier New" w:eastAsia="Courier New" w:hAnsi="Courier New"/>
          <w:sz w:val="11"/>
          <w:szCs w:val="11"/>
          <w:color w:val="auto"/>
        </w:rPr>
      </w:pPr>
    </w:p>
    <w:p>
      <w:pPr>
        <w:ind w:left="420" w:hanging="143"/>
        <w:spacing w:after="0"/>
        <w:tabs>
          <w:tab w:leader="none" w:pos="420" w:val="left"/>
        </w:tabs>
        <w:numPr>
          <w:ilvl w:val="1"/>
          <w:numId w:val="61"/>
        </w:numPr>
        <w:rPr>
          <w:rFonts w:ascii="Courier New" w:cs="Courier New" w:eastAsia="Courier New" w:hAnsi="Courier New"/>
          <w:sz w:val="11"/>
          <w:szCs w:val="11"/>
          <w:color w:val="auto"/>
        </w:rPr>
      </w:pPr>
      <w:r>
        <w:rPr>
          <w:rFonts w:ascii="Courier New" w:cs="Courier New" w:eastAsia="Courier New" w:hAnsi="Courier New"/>
          <w:sz w:val="13"/>
          <w:szCs w:val="13"/>
          <w:color w:val="auto"/>
        </w:rPr>
        <w:t>Must identify drivers picking up Government products by government issued photo identification.</w:t>
      </w:r>
    </w:p>
    <w:p>
      <w:pPr>
        <w:spacing w:after="0" w:line="257" w:lineRule="exact"/>
        <w:rPr>
          <w:rFonts w:ascii="Courier New" w:cs="Courier New" w:eastAsia="Courier New" w:hAnsi="Courier New"/>
          <w:sz w:val="11"/>
          <w:szCs w:val="11"/>
          <w:color w:val="auto"/>
        </w:rPr>
      </w:pPr>
    </w:p>
    <w:p>
      <w:pPr>
        <w:ind w:left="480" w:hanging="229"/>
        <w:spacing w:after="0"/>
        <w:tabs>
          <w:tab w:leader="none" w:pos="480" w:val="left"/>
        </w:tabs>
        <w:numPr>
          <w:ilvl w:val="0"/>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Access Control</w:t>
      </w:r>
    </w:p>
    <w:p>
      <w:pPr>
        <w:spacing w:after="0" w:line="244"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Must have an electronic intrusion detection system with centralized monitoring.</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Responses to alarms must be immediate and documented in writing.</w:t>
      </w:r>
    </w:p>
    <w:p>
      <w:pPr>
        <w:spacing w:after="0" w:line="48" w:lineRule="exact"/>
        <w:rPr>
          <w:rFonts w:ascii="Courier New" w:cs="Courier New" w:eastAsia="Courier New" w:hAnsi="Courier New"/>
          <w:sz w:val="13"/>
          <w:szCs w:val="13"/>
          <w:color w:val="auto"/>
        </w:rPr>
      </w:pPr>
    </w:p>
    <w:p>
      <w:pPr>
        <w:ind w:left="280" w:right="1200" w:hanging="2"/>
        <w:spacing w:after="0" w:line="275" w:lineRule="auto"/>
        <w:tabs>
          <w:tab w:leader="none" w:pos="647"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 an electronic system (i.e., card key) to control access to areas where assets critical to the contract are located (facilities, laboratories, clean rooms, production facilities, warehouses, server rooms, records storage, etc.).</w:t>
      </w:r>
    </w:p>
    <w:p>
      <w:pPr>
        <w:ind w:left="500" w:hanging="223"/>
        <w:spacing w:after="0"/>
        <w:tabs>
          <w:tab w:leader="none" w:pos="500"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electronic access control should signal an alarm notification of unauthorized attempts to access restricted areas.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Must have a system that provides a historical log of all key access transactions and kept on record for a minimum of [* * *].</w:t>
      </w:r>
    </w:p>
    <w:p>
      <w:pPr>
        <w:spacing w:after="0" w:line="61" w:lineRule="exact"/>
        <w:rPr>
          <w:rFonts w:ascii="Courier New" w:cs="Courier New" w:eastAsia="Courier New" w:hAnsi="Courier New"/>
          <w:sz w:val="13"/>
          <w:szCs w:val="13"/>
          <w:color w:val="auto"/>
        </w:rPr>
      </w:pPr>
    </w:p>
    <w:p>
      <w:pPr>
        <w:ind w:left="280" w:right="200" w:hanging="2"/>
        <w:spacing w:after="0" w:line="275" w:lineRule="auto"/>
        <w:tabs>
          <w:tab w:leader="none" w:pos="647"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Must have procedures in place to track issuance of access cards to employees and the ability to deactivate cards when they are lost or an employee leaves the company.</w:t>
      </w:r>
    </w:p>
    <w:p>
      <w:pPr>
        <w:spacing w:after="0" w:line="7" w:lineRule="exact"/>
        <w:rPr>
          <w:rFonts w:ascii="Courier New" w:cs="Courier New" w:eastAsia="Courier New" w:hAnsi="Courier New"/>
          <w:sz w:val="13"/>
          <w:szCs w:val="13"/>
          <w:color w:val="auto"/>
        </w:rPr>
      </w:pPr>
    </w:p>
    <w:p>
      <w:pPr>
        <w:ind w:left="640" w:hanging="362"/>
        <w:spacing w:after="0"/>
        <w:tabs>
          <w:tab w:leader="none" w:pos="640"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Response to electronic access control alarms must be immediate and documented in writing and kept on record for a minimum of [* *</w:t>
      </w:r>
    </w:p>
    <w:p>
      <w:pPr>
        <w:spacing w:after="0" w:line="2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w:t>
      </w:r>
    </w:p>
    <w:p>
      <w:pPr>
        <w:spacing w:after="0" w:line="15" w:lineRule="exact"/>
        <w:rPr>
          <w:sz w:val="20"/>
          <w:szCs w:val="20"/>
          <w:color w:val="auto"/>
        </w:rPr>
      </w:pPr>
    </w:p>
    <w:p>
      <w:pPr>
        <w:ind w:left="500" w:hanging="223"/>
        <w:spacing w:after="0"/>
        <w:tabs>
          <w:tab w:leader="none" w:pos="500" w:val="left"/>
        </w:tabs>
        <w:numPr>
          <w:ilvl w:val="1"/>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Should have written procedures to prevent employee piggybacking access.</w:t>
      </w:r>
    </w:p>
    <w:p>
      <w:pPr>
        <w:spacing w:after="0" w:line="61" w:lineRule="exact"/>
        <w:rPr>
          <w:rFonts w:ascii="Courier New" w:cs="Courier New" w:eastAsia="Courier New" w:hAnsi="Courier New"/>
          <w:sz w:val="13"/>
          <w:szCs w:val="13"/>
          <w:color w:val="auto"/>
        </w:rPr>
      </w:pPr>
    </w:p>
    <w:p>
      <w:pPr>
        <w:ind w:left="280" w:right="140" w:hanging="2"/>
        <w:spacing w:after="0" w:line="275" w:lineRule="auto"/>
        <w:tabs>
          <w:tab w:leader="none" w:pos="647" w:val="left"/>
        </w:tabs>
        <w:numPr>
          <w:ilvl w:val="1"/>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Critical infrastructure (generators, air handlers, fuel storage, etc.) should be controlled and limited to those with a legitimate need for access.</w:t>
      </w:r>
    </w:p>
    <w:p>
      <w:pPr>
        <w:ind w:left="500" w:hanging="223"/>
        <w:spacing w:after="0"/>
        <w:tabs>
          <w:tab w:leader="none" w:pos="500" w:val="left"/>
        </w:tabs>
        <w:numPr>
          <w:ilvl w:val="1"/>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Must have a written manual key accountability and inventory process.</w:t>
      </w:r>
    </w:p>
    <w:p>
      <w:pPr>
        <w:spacing w:after="0" w:line="28"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Physical access controls should present a layered approach to critical assets within the facility.</w:t>
      </w:r>
    </w:p>
    <w:p>
      <w:pPr>
        <w:spacing w:after="0" w:line="257" w:lineRule="exact"/>
        <w:rPr>
          <w:rFonts w:ascii="Courier New" w:cs="Courier New" w:eastAsia="Courier New" w:hAnsi="Courier New"/>
          <w:sz w:val="13"/>
          <w:szCs w:val="13"/>
          <w:color w:val="auto"/>
        </w:rPr>
      </w:pPr>
    </w:p>
    <w:p>
      <w:pPr>
        <w:ind w:left="480" w:hanging="229"/>
        <w:spacing w:after="0"/>
        <w:tabs>
          <w:tab w:leader="none" w:pos="480"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Employee/Visitor Identification</w:t>
      </w:r>
    </w:p>
    <w:p>
      <w:pPr>
        <w:spacing w:after="0" w:line="244"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Should issue company photo identification to all employees.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Photo identification should be displayed above the waist anytime the employee is on company property.</w:t>
      </w:r>
    </w:p>
    <w:p>
      <w:pPr>
        <w:spacing w:after="0" w:line="28"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Visitors should be sponsored by an employee and must present government issued photo identification to enter the property.</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Visitors should be logged in and out of the facility and should be escorted by an employee while on the premises at all times.</w:t>
      </w:r>
    </w:p>
    <w:p>
      <w:pPr>
        <w:spacing w:after="0" w:line="244" w:lineRule="exact"/>
        <w:rPr>
          <w:rFonts w:ascii="Courier New" w:cs="Courier New" w:eastAsia="Courier New" w:hAnsi="Courier New"/>
          <w:sz w:val="13"/>
          <w:szCs w:val="13"/>
          <w:color w:val="auto"/>
        </w:rPr>
      </w:pPr>
    </w:p>
    <w:p>
      <w:pPr>
        <w:ind w:left="480" w:hanging="229"/>
        <w:spacing w:after="0"/>
        <w:tabs>
          <w:tab w:leader="none" w:pos="480"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Security Fencing</w:t>
      </w:r>
    </w:p>
    <w:p>
      <w:pPr>
        <w:spacing w:after="0" w:line="278" w:lineRule="exact"/>
        <w:rPr>
          <w:sz w:val="20"/>
          <w:szCs w:val="20"/>
          <w:color w:val="auto"/>
        </w:rPr>
      </w:pPr>
    </w:p>
    <w:p>
      <w:pPr>
        <w:ind w:left="280" w:right="200"/>
        <w:spacing w:after="0" w:line="275" w:lineRule="auto"/>
        <w:rPr>
          <w:sz w:val="20"/>
          <w:szCs w:val="20"/>
          <w:color w:val="auto"/>
        </w:rPr>
      </w:pPr>
      <w:r>
        <w:rPr>
          <w:rFonts w:ascii="Courier New" w:cs="Courier New" w:eastAsia="Courier New" w:hAnsi="Courier New"/>
          <w:sz w:val="13"/>
          <w:szCs w:val="13"/>
          <w:color w:val="auto"/>
        </w:rPr>
        <w:t>Requirements for security fencing will be determined by the criticality of the program, review of the security plan, threat assessment, and onsite security assessment.</w:t>
      </w:r>
    </w:p>
    <w:p>
      <w:pPr>
        <w:spacing w:after="0" w:line="237"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G. Protective Security Forces</w:t>
      </w:r>
    </w:p>
    <w:p>
      <w:pPr>
        <w:spacing w:after="0" w:line="264" w:lineRule="exact"/>
        <w:rPr>
          <w:sz w:val="20"/>
          <w:szCs w:val="20"/>
          <w:color w:val="auto"/>
        </w:rPr>
      </w:pPr>
    </w:p>
    <w:p>
      <w:pPr>
        <w:ind w:left="280" w:right="120"/>
        <w:spacing w:after="0" w:line="275" w:lineRule="auto"/>
        <w:rPr>
          <w:sz w:val="20"/>
          <w:szCs w:val="20"/>
          <w:color w:val="auto"/>
        </w:rPr>
      </w:pPr>
      <w:r>
        <w:rPr>
          <w:rFonts w:ascii="Courier New" w:cs="Courier New" w:eastAsia="Courier New" w:hAnsi="Courier New"/>
          <w:sz w:val="13"/>
          <w:szCs w:val="13"/>
          <w:color w:val="auto"/>
        </w:rPr>
        <w:t>Requirements for security officers will be determined by the criticality of the program, review of the security plan, threat assessment, and onsite security assessment.</w:t>
      </w:r>
    </w:p>
    <w:p>
      <w:pPr>
        <w:spacing w:after="0" w:line="250"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H. Protective Security Forces Operations</w:t>
      </w:r>
    </w:p>
    <w:p>
      <w:pPr>
        <w:spacing w:after="0" w:line="244" w:lineRule="exact"/>
        <w:rPr>
          <w:sz w:val="20"/>
          <w:szCs w:val="20"/>
          <w:color w:val="auto"/>
        </w:rPr>
      </w:pPr>
    </w:p>
    <w:p>
      <w:pPr>
        <w:ind w:left="500" w:hanging="223"/>
        <w:spacing w:after="0"/>
        <w:tabs>
          <w:tab w:leader="none" w:pos="500" w:val="left"/>
        </w:tabs>
        <w:numPr>
          <w:ilvl w:val="1"/>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Must have in-service training program.</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Must have Use of Force Continuum.</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Must have communication systems available (i.e., landline on post, cell phones, handheld radio, and desktop computer).</w:t>
      </w:r>
    </w:p>
    <w:p>
      <w:pPr>
        <w:spacing w:after="0" w:line="28"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Must have Standing Post Orders.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Must wear distinct uniform identifying them as security officers.</w:t>
      </w:r>
    </w:p>
    <w:p>
      <w:pPr>
        <w:spacing w:after="0" w:line="244" w:lineRule="exact"/>
        <w:rPr>
          <w:rFonts w:ascii="Courier New" w:cs="Courier New" w:eastAsia="Courier New" w:hAnsi="Courier New"/>
          <w:sz w:val="13"/>
          <w:szCs w:val="13"/>
          <w:color w:val="auto"/>
        </w:rPr>
      </w:pPr>
    </w:p>
    <w:p>
      <w:pPr>
        <w:ind w:left="480" w:hanging="229"/>
        <w:spacing w:after="0"/>
        <w:tabs>
          <w:tab w:leader="none" w:pos="480"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Security Operations</w:t>
      </w:r>
    </w:p>
    <w:p>
      <w:pPr>
        <w:spacing w:after="0" w:line="25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A. Information Sharing</w:t>
      </w:r>
    </w:p>
    <w:p>
      <w:pPr>
        <w:spacing w:after="0" w:line="244" w:lineRule="exact"/>
        <w:rPr>
          <w:sz w:val="20"/>
          <w:szCs w:val="20"/>
          <w:color w:val="auto"/>
        </w:rPr>
      </w:pPr>
    </w:p>
    <w:p>
      <w:pPr>
        <w:ind w:left="500" w:hanging="223"/>
        <w:spacing w:after="0"/>
        <w:tabs>
          <w:tab w:leader="none" w:pos="500" w:val="left"/>
        </w:tabs>
        <w:numPr>
          <w:ilvl w:val="1"/>
          <w:numId w:val="66"/>
        </w:numPr>
        <w:rPr>
          <w:rFonts w:ascii="Courier New" w:cs="Courier New" w:eastAsia="Courier New" w:hAnsi="Courier New"/>
          <w:sz w:val="13"/>
          <w:szCs w:val="13"/>
          <w:color w:val="auto"/>
        </w:rPr>
      </w:pPr>
      <w:r>
        <w:rPr>
          <w:rFonts w:ascii="Courier New" w:cs="Courier New" w:eastAsia="Courier New" w:hAnsi="Courier New"/>
          <w:sz w:val="13"/>
          <w:szCs w:val="13"/>
          <w:color w:val="auto"/>
        </w:rPr>
        <w:t>Establish formal liaison with law enforcement.</w:t>
      </w:r>
    </w:p>
    <w:p>
      <w:pPr>
        <w:spacing w:after="0" w:line="61" w:lineRule="exact"/>
        <w:rPr>
          <w:rFonts w:ascii="Courier New" w:cs="Courier New" w:eastAsia="Courier New" w:hAnsi="Courier New"/>
          <w:sz w:val="13"/>
          <w:szCs w:val="13"/>
          <w:color w:val="auto"/>
        </w:rPr>
      </w:pPr>
    </w:p>
    <w:p>
      <w:pPr>
        <w:ind w:left="260" w:hanging="9"/>
        <w:spacing w:after="0" w:line="275" w:lineRule="auto"/>
        <w:tabs>
          <w:tab w:leader="none" w:pos="487"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Meet in person at a minimum annually. Document meeting notes and keep them on file for a minimum of [* * *]. POC information for LE Officer that attended the meeting must be documented.</w:t>
      </w:r>
    </w:p>
    <w:p>
      <w:pPr>
        <w:ind w:left="480" w:hanging="229"/>
        <w:spacing w:after="0"/>
        <w:tabs>
          <w:tab w:leader="none" w:pos="480"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Implement procedures for receiving and disseminating threat information.</w:t>
      </w:r>
    </w:p>
    <w:p>
      <w:pPr>
        <w:spacing w:after="0" w:line="244"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B. Training</w:t>
      </w:r>
    </w:p>
    <w:p>
      <w:pPr>
        <w:sectPr>
          <w:pgSz w:w="11900" w:h="16838" w:orient="portrait"/>
          <w:cols w:equalWidth="0" w:num="1">
            <w:col w:w="10980"/>
          </w:cols>
          <w:pgMar w:left="320" w:top="929" w:right="599" w:bottom="1440" w:gutter="0" w:footer="0" w:header="0"/>
        </w:sectPr>
      </w:pPr>
    </w:p>
    <w:p>
      <w:pPr>
        <w:spacing w:after="0" w:line="251"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a) Conduct new employee security awareness training.</w:t>
      </w:r>
    </w:p>
    <w:p>
      <w:pPr>
        <w:sectPr>
          <w:pgSz w:w="11900" w:h="16838" w:orient="portrait"/>
          <w:cols w:equalWidth="0" w:num="1">
            <w:col w:w="10980"/>
          </w:cols>
          <w:pgMar w:left="320" w:top="929" w:right="59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46"/>
        </w:trPr>
        <w:tc>
          <w:tcPr>
            <w:tcW w:w="32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20"/>
                <w:szCs w:val="20"/>
                <w:b w:val="1"/>
                <w:bCs w:val="1"/>
                <w:color w:val="auto"/>
              </w:rPr>
              <w:t>CONTINUATION SHEET</w:t>
            </w:r>
          </w:p>
        </w:tc>
        <w:tc>
          <w:tcPr>
            <w:tcW w:w="5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80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16</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60" w:type="dxa"/>
            <w:vAlign w:val="bottom"/>
            <w:tcBorders>
              <w:right w:val="single" w:sz="8" w:color="auto"/>
            </w:tcBorders>
          </w:tcPr>
          <w:p>
            <w:pPr>
              <w:spacing w:after="0"/>
              <w:rPr>
                <w:sz w:val="9"/>
                <w:szCs w:val="9"/>
                <w:color w:val="auto"/>
              </w:rPr>
            </w:pPr>
          </w:p>
        </w:tc>
        <w:tc>
          <w:tcPr>
            <w:tcW w:w="55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800" w:type="dxa"/>
            <w:vAlign w:val="bottom"/>
          </w:tcPr>
          <w:p>
            <w:pPr>
              <w:spacing w:after="0"/>
              <w:rPr>
                <w:sz w:val="9"/>
                <w:szCs w:val="9"/>
                <w:color w:val="auto"/>
              </w:rPr>
            </w:pPr>
          </w:p>
        </w:tc>
      </w:tr>
      <w:tr>
        <w:trPr>
          <w:trHeight w:val="188"/>
        </w:trPr>
        <w:tc>
          <w:tcPr>
            <w:tcW w:w="3260" w:type="dxa"/>
            <w:vAlign w:val="bottom"/>
            <w:tcBorders>
              <w:bottom w:val="single" w:sz="8" w:color="auto"/>
              <w:right w:val="single" w:sz="8" w:color="auto"/>
            </w:tcBorders>
          </w:tcPr>
          <w:p>
            <w:pPr>
              <w:spacing w:after="0"/>
              <w:rPr>
                <w:sz w:val="16"/>
                <w:szCs w:val="16"/>
                <w:color w:val="auto"/>
              </w:rPr>
            </w:pPr>
          </w:p>
        </w:tc>
        <w:tc>
          <w:tcPr>
            <w:tcW w:w="5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80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147" w:lineRule="exact"/>
        <w:rPr>
          <w:sz w:val="20"/>
          <w:szCs w:val="20"/>
          <w:color w:val="auto"/>
        </w:rPr>
      </w:pPr>
    </w:p>
    <w:p>
      <w:pPr>
        <w:ind w:left="260" w:right="5400" w:hanging="11"/>
        <w:spacing w:after="0" w:line="627" w:lineRule="auto"/>
        <w:tabs>
          <w:tab w:leader="none" w:pos="484" w:val="left"/>
        </w:tabs>
        <w:numPr>
          <w:ilvl w:val="0"/>
          <w:numId w:val="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Conduct and maintain records of annual security awareness training. c. Security Management</w:t>
      </w:r>
    </w:p>
    <w:p>
      <w:pPr>
        <w:spacing w:after="0" w:line="7"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Designate a knowledgeable security professional to manage the security of the facility.</w:t>
      </w:r>
    </w:p>
    <w:p>
      <w:pPr>
        <w:spacing w:after="0" w:line="28"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Ensure subcontractor compliance with all Government security requirements.</w:t>
      </w:r>
    </w:p>
    <w:p>
      <w:pPr>
        <w:spacing w:after="0" w:line="264" w:lineRule="exact"/>
        <w:rPr>
          <w:sz w:val="20"/>
          <w:szCs w:val="20"/>
          <w:color w:val="auto"/>
        </w:rPr>
      </w:pPr>
    </w:p>
    <w:p>
      <w:pPr>
        <w:ind w:left="260" w:right="9100" w:hanging="9"/>
        <w:spacing w:after="0" w:line="700" w:lineRule="auto"/>
        <w:tabs>
          <w:tab w:leader="none" w:pos="487"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Personnel Security A. Records Checks</w:t>
      </w:r>
    </w:p>
    <w:p>
      <w:pPr>
        <w:spacing w:after="0" w:line="4" w:lineRule="exact"/>
        <w:rPr>
          <w:sz w:val="20"/>
          <w:szCs w:val="20"/>
          <w:color w:val="auto"/>
        </w:rPr>
      </w:pPr>
    </w:p>
    <w:p>
      <w:pPr>
        <w:ind w:left="280"/>
        <w:spacing w:after="0" w:line="280" w:lineRule="auto"/>
        <w:rPr>
          <w:sz w:val="20"/>
          <w:szCs w:val="20"/>
          <w:color w:val="auto"/>
        </w:rPr>
      </w:pPr>
      <w:r>
        <w:rPr>
          <w:rFonts w:ascii="Courier New" w:cs="Courier New" w:eastAsia="Courier New" w:hAnsi="Courier New"/>
          <w:sz w:val="13"/>
          <w:szCs w:val="13"/>
          <w:color w:val="auto"/>
        </w:rPr>
        <w:t>Verification of social security number, date of birth, citizenship, education credentials, five-year previous employment history, five- year previous residence history, FDA disbarment, sex offender registry, credit check based upon position within the company; motor vehicle records check as appropriate; and local/national criminal history search.</w:t>
      </w:r>
    </w:p>
    <w:p>
      <w:pPr>
        <w:spacing w:after="0" w:line="234"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B. Hiring and Retention Standards</w:t>
      </w:r>
    </w:p>
    <w:p>
      <w:pPr>
        <w:spacing w:after="0" w:line="258" w:lineRule="exact"/>
        <w:rPr>
          <w:sz w:val="20"/>
          <w:szCs w:val="20"/>
          <w:color w:val="auto"/>
        </w:rPr>
      </w:pPr>
    </w:p>
    <w:p>
      <w:pPr>
        <w:ind w:left="500" w:hanging="223"/>
        <w:spacing w:after="0"/>
        <w:tabs>
          <w:tab w:leader="none" w:pos="500" w:val="left"/>
        </w:tabs>
        <w:numPr>
          <w:ilvl w:val="1"/>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Detailed policies and procedures concerning hiring and retention of employees, employee conduct, and off boarding procedures.</w:t>
      </w:r>
    </w:p>
    <w:p>
      <w:pPr>
        <w:spacing w:after="0" w:line="7" w:lineRule="exact"/>
        <w:rPr>
          <w:rFonts w:ascii="Courier New" w:cs="Courier New" w:eastAsia="Courier New" w:hAnsi="Courier New"/>
          <w:sz w:val="13"/>
          <w:szCs w:val="13"/>
          <w:color w:val="auto"/>
        </w:rPr>
      </w:pPr>
    </w:p>
    <w:p>
      <w:pPr>
        <w:ind w:left="500" w:right="160" w:hanging="223"/>
        <w:spacing w:after="0" w:line="235" w:lineRule="auto"/>
        <w:tabs>
          <w:tab w:leader="none" w:pos="491" w:val="left"/>
        </w:tabs>
        <w:numPr>
          <w:ilvl w:val="1"/>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Off Boarding procedures should be accomplished within 24 hours of employee leaving the company. This includes termination of all network access.</w:t>
      </w:r>
    </w:p>
    <w:p>
      <w:pPr>
        <w:spacing w:after="0" w:line="245" w:lineRule="exact"/>
        <w:rPr>
          <w:rFonts w:ascii="Courier New" w:cs="Courier New" w:eastAsia="Courier New" w:hAnsi="Courier New"/>
          <w:sz w:val="13"/>
          <w:szCs w:val="13"/>
          <w:color w:val="auto"/>
        </w:rPr>
      </w:pPr>
    </w:p>
    <w:p>
      <w:pPr>
        <w:ind w:left="480" w:hanging="229"/>
        <w:spacing w:after="0"/>
        <w:tabs>
          <w:tab w:leader="none" w:pos="480" w:val="left"/>
        </w:tabs>
        <w:numPr>
          <w:ilvl w:val="0"/>
          <w:numId w:val="7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Information Security</w:t>
      </w:r>
    </w:p>
    <w:p>
      <w:pPr>
        <w:spacing w:after="0" w:line="244"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A. Physical Document Control</w:t>
      </w:r>
    </w:p>
    <w:p>
      <w:pPr>
        <w:spacing w:after="0" w:line="258" w:lineRule="exact"/>
        <w:rPr>
          <w:sz w:val="20"/>
          <w:szCs w:val="20"/>
          <w:color w:val="auto"/>
        </w:rPr>
      </w:pPr>
    </w:p>
    <w:p>
      <w:pPr>
        <w:ind w:left="500" w:hanging="223"/>
        <w:spacing w:after="0"/>
        <w:tabs>
          <w:tab w:leader="none" w:pos="500" w:val="left"/>
        </w:tabs>
        <w:numPr>
          <w:ilvl w:val="1"/>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Applicable documents shall be identified and marked as procurement sensitive, proprietary, or with appropriate Government markings.</w:t>
      </w:r>
    </w:p>
    <w:p>
      <w:pPr>
        <w:spacing w:after="0" w:line="48" w:lineRule="exact"/>
        <w:rPr>
          <w:rFonts w:ascii="Courier New" w:cs="Courier New" w:eastAsia="Courier New" w:hAnsi="Courier New"/>
          <w:sz w:val="13"/>
          <w:szCs w:val="13"/>
          <w:color w:val="auto"/>
        </w:rPr>
      </w:pPr>
    </w:p>
    <w:p>
      <w:pPr>
        <w:ind w:left="280" w:right="100" w:hanging="2"/>
        <w:spacing w:after="0" w:line="275" w:lineRule="auto"/>
        <w:tabs>
          <w:tab w:leader="none" w:pos="647" w:val="left"/>
        </w:tabs>
        <w:numPr>
          <w:ilvl w:val="1"/>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Sensitive, proprietary, and Government documents should be maintained in a lockable filing cabinet/desk or other storage device and not be left unattended.</w:t>
      </w:r>
    </w:p>
    <w:p>
      <w:pPr>
        <w:ind w:left="500" w:hanging="223"/>
        <w:spacing w:after="0"/>
        <w:tabs>
          <w:tab w:leader="none" w:pos="500" w:val="left"/>
        </w:tabs>
        <w:numPr>
          <w:ilvl w:val="1"/>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Access to sensitive information should be restricted to those with a need to know.</w:t>
      </w:r>
    </w:p>
    <w:p>
      <w:pPr>
        <w:spacing w:after="0" w:line="257" w:lineRule="exact"/>
        <w:rPr>
          <w:rFonts w:ascii="Courier New" w:cs="Courier New" w:eastAsia="Courier New" w:hAnsi="Courier New"/>
          <w:sz w:val="13"/>
          <w:szCs w:val="13"/>
          <w:color w:val="auto"/>
        </w:rPr>
      </w:pPr>
    </w:p>
    <w:p>
      <w:pPr>
        <w:ind w:left="480" w:hanging="229"/>
        <w:spacing w:after="0"/>
        <w:tabs>
          <w:tab w:leader="none" w:pos="480"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Document Destruction</w:t>
      </w:r>
    </w:p>
    <w:p>
      <w:pPr>
        <w:spacing w:after="0" w:line="264" w:lineRule="exact"/>
        <w:rPr>
          <w:rFonts w:ascii="Courier New" w:cs="Courier New" w:eastAsia="Courier New" w:hAnsi="Courier New"/>
          <w:sz w:val="13"/>
          <w:szCs w:val="13"/>
          <w:color w:val="auto"/>
        </w:rPr>
      </w:pPr>
    </w:p>
    <w:p>
      <w:pPr>
        <w:ind w:left="280" w:right="1060" w:hanging="2"/>
        <w:spacing w:after="0" w:line="275" w:lineRule="auto"/>
        <w:tabs>
          <w:tab w:leader="none" w:pos="507" w:val="left"/>
        </w:tabs>
        <w:numPr>
          <w:ilvl w:val="1"/>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Documents must be destroyed using approved destruction measures (i.e, shredders/approved third party vendors / pulverizing / incinerating).</w:t>
      </w:r>
    </w:p>
    <w:p>
      <w:pPr>
        <w:spacing w:after="0" w:line="243" w:lineRule="exact"/>
        <w:rPr>
          <w:sz w:val="20"/>
          <w:szCs w:val="20"/>
          <w:color w:val="auto"/>
        </w:rPr>
      </w:pPr>
    </w:p>
    <w:p>
      <w:pPr>
        <w:ind w:left="280" w:right="7440" w:hanging="29"/>
        <w:spacing w:after="0" w:line="649" w:lineRule="auto"/>
        <w:tabs>
          <w:tab w:leader="none" w:pos="480" w:val="left"/>
        </w:tabs>
        <w:numPr>
          <w:ilvl w:val="0"/>
          <w:numId w:val="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Information Technology and Cybersecurity A. Identity Management</w:t>
      </w:r>
    </w:p>
    <w:p>
      <w:pPr>
        <w:ind w:left="500" w:hanging="223"/>
        <w:spacing w:after="0" w:line="229" w:lineRule="auto"/>
        <w:tabs>
          <w:tab w:leader="none" w:pos="500" w:val="left"/>
        </w:tabs>
        <w:numPr>
          <w:ilvl w:val="2"/>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Physical devices and systems within the organization are inventoried and accounted for annually.</w:t>
      </w:r>
    </w:p>
    <w:p>
      <w:pPr>
        <w:spacing w:after="0" w:line="42"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Organizational cybersecurity policy is established and communicated.</w:t>
      </w:r>
    </w:p>
    <w:p>
      <w:pPr>
        <w:spacing w:after="0" w:line="28"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Asset vulnerabilities are identified and documented.</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Cyber threat intelligence is received from information sharing forums and sources.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Threats, vulnerabilities, likelihoods, and impacts are used to determine risk.</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Identities and credentials are issued, managed, verified, revoked, and audited for authorized devices, users and processes.</w:t>
      </w:r>
    </w:p>
    <w:p>
      <w:pPr>
        <w:spacing w:after="0" w:line="7" w:lineRule="exact"/>
        <w:rPr>
          <w:rFonts w:ascii="Courier New" w:cs="Courier New" w:eastAsia="Courier New" w:hAnsi="Courier New"/>
          <w:sz w:val="13"/>
          <w:szCs w:val="13"/>
          <w:color w:val="auto"/>
        </w:rPr>
      </w:pPr>
    </w:p>
    <w:p>
      <w:pPr>
        <w:ind w:left="500" w:right="20" w:hanging="223"/>
        <w:spacing w:after="0" w:line="235" w:lineRule="auto"/>
        <w:tabs>
          <w:tab w:leader="none" w:pos="491" w:val="left"/>
        </w:tabs>
        <w:numPr>
          <w:ilvl w:val="2"/>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Users, devices, and other assets are authenticated (e.g., single-factor, multifactor) commensurate with the risk of the transaction (e.g., individuals security and privacy risks and other organizational risks).</w:t>
      </w:r>
    </w:p>
    <w:p>
      <w:pPr>
        <w:spacing w:after="0" w:line="245" w:lineRule="exact"/>
        <w:rPr>
          <w:rFonts w:ascii="Courier New" w:cs="Courier New" w:eastAsia="Courier New" w:hAnsi="Courier New"/>
          <w:sz w:val="13"/>
          <w:szCs w:val="13"/>
          <w:color w:val="auto"/>
        </w:rPr>
      </w:pPr>
    </w:p>
    <w:p>
      <w:pPr>
        <w:ind w:left="480" w:hanging="229"/>
        <w:spacing w:after="0"/>
        <w:tabs>
          <w:tab w:leader="none" w:pos="480" w:val="left"/>
        </w:tabs>
        <w:numPr>
          <w:ilvl w:val="1"/>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Access Control</w:t>
      </w:r>
    </w:p>
    <w:p>
      <w:pPr>
        <w:spacing w:after="0" w:line="244"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Limit information system access to authorized users.</w:t>
      </w:r>
    </w:p>
    <w:p>
      <w:pPr>
        <w:spacing w:after="0" w:line="7"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Identify information system users, processes acting on behalf of users, or devices and authenticate identities before allowing access.</w:t>
      </w:r>
    </w:p>
    <w:p>
      <w:pPr>
        <w:spacing w:after="0" w:line="6" w:lineRule="exact"/>
        <w:rPr>
          <w:rFonts w:ascii="Courier New" w:cs="Courier New" w:eastAsia="Courier New" w:hAnsi="Courier New"/>
          <w:sz w:val="12"/>
          <w:szCs w:val="12"/>
          <w:color w:val="auto"/>
        </w:rPr>
      </w:pPr>
    </w:p>
    <w:p>
      <w:pPr>
        <w:ind w:left="500" w:hanging="223"/>
        <w:spacing w:after="0"/>
        <w:tabs>
          <w:tab w:leader="none" w:pos="500" w:val="left"/>
        </w:tabs>
        <w:numPr>
          <w:ilvl w:val="2"/>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Limit physical access to information systems, equipment, and server rooms with electronic access controls.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Limit access to/verify access to use of external information systems.</w:t>
      </w:r>
    </w:p>
    <w:p>
      <w:pPr>
        <w:spacing w:after="0" w:line="244" w:lineRule="exact"/>
        <w:rPr>
          <w:rFonts w:ascii="Courier New" w:cs="Courier New" w:eastAsia="Courier New" w:hAnsi="Courier New"/>
          <w:sz w:val="13"/>
          <w:szCs w:val="13"/>
          <w:color w:val="auto"/>
        </w:rPr>
      </w:pPr>
    </w:p>
    <w:p>
      <w:pPr>
        <w:ind w:left="480" w:hanging="229"/>
        <w:spacing w:after="0"/>
        <w:tabs>
          <w:tab w:leader="none" w:pos="480" w:val="left"/>
        </w:tabs>
        <w:numPr>
          <w:ilvl w:val="1"/>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Training</w:t>
      </w:r>
    </w:p>
    <w:p>
      <w:pPr>
        <w:spacing w:after="0" w:line="264" w:lineRule="exact"/>
        <w:rPr>
          <w:rFonts w:ascii="Courier New" w:cs="Courier New" w:eastAsia="Courier New" w:hAnsi="Courier New"/>
          <w:sz w:val="13"/>
          <w:szCs w:val="13"/>
          <w:color w:val="auto"/>
        </w:rPr>
      </w:pPr>
    </w:p>
    <w:p>
      <w:pPr>
        <w:ind w:left="280" w:right="240" w:hanging="2"/>
        <w:spacing w:after="0" w:line="275" w:lineRule="auto"/>
        <w:tabs>
          <w:tab w:leader="none" w:pos="507" w:val="left"/>
        </w:tabs>
        <w:numPr>
          <w:ilvl w:val="2"/>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Ensure that personnel are trained and are made aware of the security risks associated with their activities and of the applicable laws, policies, standards, regulations, or procedures related to information technology systems.</w:t>
      </w:r>
    </w:p>
    <w:p>
      <w:pPr>
        <w:spacing w:after="0" w:line="250" w:lineRule="exact"/>
        <w:rPr>
          <w:rFonts w:ascii="Courier New" w:cs="Courier New" w:eastAsia="Courier New" w:hAnsi="Courier New"/>
          <w:sz w:val="13"/>
          <w:szCs w:val="13"/>
          <w:color w:val="auto"/>
        </w:rPr>
      </w:pPr>
    </w:p>
    <w:p>
      <w:pPr>
        <w:ind w:left="480" w:hanging="229"/>
        <w:spacing w:after="0"/>
        <w:tabs>
          <w:tab w:leader="none" w:pos="480" w:val="left"/>
        </w:tabs>
        <w:numPr>
          <w:ilvl w:val="1"/>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Audit and Accountability</w:t>
      </w:r>
    </w:p>
    <w:p>
      <w:pPr>
        <w:spacing w:after="0" w:line="264" w:lineRule="exact"/>
        <w:rPr>
          <w:rFonts w:ascii="Courier New" w:cs="Courier New" w:eastAsia="Courier New" w:hAnsi="Courier New"/>
          <w:sz w:val="13"/>
          <w:szCs w:val="13"/>
          <w:color w:val="auto"/>
        </w:rPr>
      </w:pPr>
    </w:p>
    <w:p>
      <w:pPr>
        <w:ind w:left="260" w:right="180" w:hanging="11"/>
        <w:spacing w:after="0" w:line="275" w:lineRule="auto"/>
        <w:tabs>
          <w:tab w:leader="none" w:pos="484" w:val="left"/>
        </w:tabs>
        <w:numPr>
          <w:ilvl w:val="0"/>
          <w:numId w:val="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Create, protect, and retain information system audit records to the extent needed to enable the monitoring, analysis, investigation, and reporting of unlawful, unauthorized, or inappropriate system activity. Records must be kept for minimum of [* * *].</w:t>
      </w:r>
    </w:p>
    <w:p>
      <w:pPr>
        <w:sectPr>
          <w:pgSz w:w="11900" w:h="16838" w:orient="portrait"/>
          <w:cols w:equalWidth="0" w:num="1">
            <w:col w:w="10940"/>
          </w:cols>
          <w:pgMar w:left="320" w:top="929" w:right="6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46"/>
        </w:trPr>
        <w:tc>
          <w:tcPr>
            <w:tcW w:w="32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20"/>
                <w:szCs w:val="20"/>
                <w:b w:val="1"/>
                <w:bCs w:val="1"/>
                <w:color w:val="auto"/>
              </w:rPr>
              <w:t>CONTINUATION SHEET</w:t>
            </w:r>
          </w:p>
        </w:tc>
        <w:tc>
          <w:tcPr>
            <w:tcW w:w="5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80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17</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60" w:type="dxa"/>
            <w:vAlign w:val="bottom"/>
            <w:tcBorders>
              <w:right w:val="single" w:sz="8" w:color="auto"/>
            </w:tcBorders>
          </w:tcPr>
          <w:p>
            <w:pPr>
              <w:spacing w:after="0"/>
              <w:rPr>
                <w:sz w:val="9"/>
                <w:szCs w:val="9"/>
                <w:color w:val="auto"/>
              </w:rPr>
            </w:pPr>
          </w:p>
        </w:tc>
        <w:tc>
          <w:tcPr>
            <w:tcW w:w="55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800" w:type="dxa"/>
            <w:vAlign w:val="bottom"/>
          </w:tcPr>
          <w:p>
            <w:pPr>
              <w:spacing w:after="0"/>
              <w:rPr>
                <w:sz w:val="9"/>
                <w:szCs w:val="9"/>
                <w:color w:val="auto"/>
              </w:rPr>
            </w:pPr>
          </w:p>
        </w:tc>
      </w:tr>
      <w:tr>
        <w:trPr>
          <w:trHeight w:val="188"/>
        </w:trPr>
        <w:tc>
          <w:tcPr>
            <w:tcW w:w="3260" w:type="dxa"/>
            <w:vAlign w:val="bottom"/>
            <w:tcBorders>
              <w:bottom w:val="single" w:sz="8" w:color="auto"/>
              <w:right w:val="single" w:sz="8" w:color="auto"/>
            </w:tcBorders>
          </w:tcPr>
          <w:p>
            <w:pPr>
              <w:spacing w:after="0"/>
              <w:rPr>
                <w:sz w:val="16"/>
                <w:szCs w:val="16"/>
                <w:color w:val="auto"/>
              </w:rPr>
            </w:pPr>
          </w:p>
        </w:tc>
        <w:tc>
          <w:tcPr>
            <w:tcW w:w="5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80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141" w:lineRule="exact"/>
        <w:rPr>
          <w:sz w:val="20"/>
          <w:szCs w:val="20"/>
          <w:color w:val="auto"/>
        </w:rPr>
      </w:pPr>
    </w:p>
    <w:p>
      <w:pPr>
        <w:ind w:left="240" w:hanging="229"/>
        <w:spacing w:after="0"/>
        <w:tabs>
          <w:tab w:leader="none" w:pos="240" w:val="left"/>
        </w:tabs>
        <w:numPr>
          <w:ilvl w:val="0"/>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Ensure the actions of individual information system users can be uniquely traced to those users.</w:t>
      </w:r>
    </w:p>
    <w:p>
      <w:pPr>
        <w:spacing w:after="0" w:line="28" w:lineRule="exact"/>
        <w:rPr>
          <w:rFonts w:ascii="Courier New" w:cs="Courier New" w:eastAsia="Courier New" w:hAnsi="Courier New"/>
          <w:sz w:val="13"/>
          <w:szCs w:val="13"/>
          <w:color w:val="auto"/>
        </w:rPr>
      </w:pPr>
    </w:p>
    <w:p>
      <w:pPr>
        <w:ind w:left="480" w:hanging="229"/>
        <w:spacing w:after="0"/>
        <w:tabs>
          <w:tab w:leader="none" w:pos="480" w:val="left"/>
        </w:tabs>
        <w:numPr>
          <w:ilvl w:val="1"/>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Update malicious code mechanisms when new releases are available.</w:t>
      </w:r>
    </w:p>
    <w:p>
      <w:pPr>
        <w:spacing w:after="0" w:line="61" w:lineRule="exact"/>
        <w:rPr>
          <w:rFonts w:ascii="Courier New" w:cs="Courier New" w:eastAsia="Courier New" w:hAnsi="Courier New"/>
          <w:sz w:val="13"/>
          <w:szCs w:val="13"/>
          <w:color w:val="auto"/>
        </w:rPr>
      </w:pPr>
    </w:p>
    <w:p>
      <w:pPr>
        <w:ind w:left="260" w:right="400" w:hanging="9"/>
        <w:spacing w:after="0" w:line="275" w:lineRule="auto"/>
        <w:tabs>
          <w:tab w:leader="none" w:pos="487" w:val="left"/>
        </w:tabs>
        <w:numPr>
          <w:ilvl w:val="1"/>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Perform periodic scans of the information system and real time scans of files from external sources as files are downloaded, opened, or executed.</w:t>
      </w:r>
    </w:p>
    <w:p>
      <w:pPr>
        <w:spacing w:after="0" w:line="250"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E. Configuration Management</w:t>
      </w:r>
    </w:p>
    <w:p>
      <w:pPr>
        <w:spacing w:after="0" w:line="244" w:lineRule="exact"/>
        <w:rPr>
          <w:sz w:val="20"/>
          <w:szCs w:val="20"/>
          <w:color w:val="auto"/>
        </w:rPr>
      </w:pPr>
    </w:p>
    <w:p>
      <w:pPr>
        <w:ind w:left="880" w:hanging="224"/>
        <w:spacing w:after="0"/>
        <w:tabs>
          <w:tab w:leader="none" w:pos="880" w:val="left"/>
        </w:tabs>
        <w:numPr>
          <w:ilvl w:val="2"/>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Establish and enforce security configuration settings.</w:t>
      </w:r>
    </w:p>
    <w:p>
      <w:pPr>
        <w:spacing w:after="0" w:line="34" w:lineRule="exact"/>
        <w:rPr>
          <w:rFonts w:ascii="Courier New" w:cs="Courier New" w:eastAsia="Courier New" w:hAnsi="Courier New"/>
          <w:sz w:val="13"/>
          <w:szCs w:val="13"/>
          <w:color w:val="auto"/>
        </w:rPr>
      </w:pPr>
    </w:p>
    <w:p>
      <w:pPr>
        <w:ind w:left="260" w:right="140" w:firstLine="396"/>
        <w:spacing w:after="0" w:line="649" w:lineRule="auto"/>
        <w:tabs>
          <w:tab w:leader="none" w:pos="892" w:val="left"/>
        </w:tabs>
        <w:numPr>
          <w:ilvl w:val="2"/>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Implement sub networks for publically accessible system components that are physically or logically separated from internal networks. F. Contingency Planning</w:t>
      </w:r>
    </w:p>
    <w:p>
      <w:pPr>
        <w:spacing w:after="0" w:line="7" w:lineRule="exact"/>
        <w:rPr>
          <w:rFonts w:ascii="Courier New" w:cs="Courier New" w:eastAsia="Courier New" w:hAnsi="Courier New"/>
          <w:sz w:val="13"/>
          <w:szCs w:val="13"/>
          <w:color w:val="auto"/>
        </w:rPr>
      </w:pPr>
    </w:p>
    <w:p>
      <w:pPr>
        <w:ind w:left="500" w:hanging="222"/>
        <w:spacing w:after="0"/>
        <w:tabs>
          <w:tab w:leader="none" w:pos="500" w:val="left"/>
        </w:tabs>
        <w:numPr>
          <w:ilvl w:val="1"/>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Establish, implement, and maintain plans for emergency response, backup operations, and post-disaster recovery for information</w:t>
      </w:r>
    </w:p>
    <w:p>
      <w:pPr>
        <w:spacing w:after="0" w:line="2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systems to ensure the availability of critical information resources at all times.</w:t>
      </w:r>
    </w:p>
    <w:p>
      <w:pPr>
        <w:spacing w:after="0" w:line="258"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G. Incident Response</w:t>
      </w:r>
    </w:p>
    <w:p>
      <w:pPr>
        <w:spacing w:after="0" w:line="278" w:lineRule="exact"/>
        <w:rPr>
          <w:sz w:val="20"/>
          <w:szCs w:val="20"/>
          <w:color w:val="auto"/>
        </w:rPr>
      </w:pPr>
    </w:p>
    <w:p>
      <w:pPr>
        <w:ind w:left="280" w:right="1200" w:hanging="2"/>
        <w:spacing w:after="0" w:line="275" w:lineRule="auto"/>
        <w:tabs>
          <w:tab w:leader="none" w:pos="507" w:val="left"/>
        </w:tabs>
        <w:numPr>
          <w:ilvl w:val="2"/>
          <w:numId w:val="81"/>
        </w:numPr>
        <w:rPr>
          <w:rFonts w:ascii="Courier New" w:cs="Courier New" w:eastAsia="Courier New" w:hAnsi="Courier New"/>
          <w:sz w:val="13"/>
          <w:szCs w:val="13"/>
          <w:color w:val="auto"/>
        </w:rPr>
      </w:pPr>
      <w:r>
        <w:rPr>
          <w:rFonts w:ascii="Courier New" w:cs="Courier New" w:eastAsia="Courier New" w:hAnsi="Courier New"/>
          <w:sz w:val="13"/>
          <w:szCs w:val="13"/>
          <w:color w:val="auto"/>
        </w:rPr>
        <w:t>Establish an operational incident handling capability for information systems that includes adequate preparation, detection, analysis, containment, and recovery of cybersecurity incidents. Exercise this capability annually.</w:t>
      </w:r>
    </w:p>
    <w:p>
      <w:pPr>
        <w:spacing w:after="0" w:line="236" w:lineRule="exact"/>
        <w:rPr>
          <w:rFonts w:ascii="Courier New" w:cs="Courier New" w:eastAsia="Courier New" w:hAnsi="Courier New"/>
          <w:sz w:val="13"/>
          <w:szCs w:val="13"/>
          <w:color w:val="auto"/>
        </w:rPr>
      </w:pPr>
    </w:p>
    <w:p>
      <w:pPr>
        <w:ind w:left="26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H. Media and Information Protection</w:t>
      </w:r>
    </w:p>
    <w:p>
      <w:pPr>
        <w:spacing w:after="0" w:line="244"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Protect information system media, both paper and digital.</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Limit access to information on information systems media to authorized users.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Sanitize and destroy media no longer in use.</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Control the use of removable media through technology or policy.</w:t>
      </w:r>
    </w:p>
    <w:p>
      <w:pPr>
        <w:spacing w:after="0" w:line="244" w:lineRule="exact"/>
        <w:rPr>
          <w:rFonts w:ascii="Courier New" w:cs="Courier New" w:eastAsia="Courier New" w:hAnsi="Courier New"/>
          <w:sz w:val="13"/>
          <w:szCs w:val="13"/>
          <w:color w:val="auto"/>
        </w:rPr>
      </w:pPr>
    </w:p>
    <w:p>
      <w:pPr>
        <w:ind w:left="2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 Physical and Environmental Protection</w:t>
      </w:r>
    </w:p>
    <w:p>
      <w:pPr>
        <w:spacing w:after="0" w:line="244"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Limit access to information systems, equipment, and the respective operating environments to authorized individuals.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Intrusion detection and prevention system employed on IT networks.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Protect the physical and support infrastructure for all information systems.</w:t>
      </w:r>
    </w:p>
    <w:p>
      <w:pPr>
        <w:spacing w:after="0" w:line="28"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Protect information systems against environmental hazards.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2"/>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Escort visitors and monitor visitor activity.</w:t>
      </w:r>
    </w:p>
    <w:p>
      <w:pPr>
        <w:spacing w:after="0" w:line="244"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J. Network Protection</w:t>
      </w:r>
    </w:p>
    <w:p>
      <w:pPr>
        <w:spacing w:after="0" w:line="258" w:lineRule="exact"/>
        <w:rPr>
          <w:sz w:val="20"/>
          <w:szCs w:val="20"/>
          <w:color w:val="auto"/>
        </w:rPr>
      </w:pPr>
    </w:p>
    <w:p>
      <w:pPr>
        <w:ind w:left="500" w:hanging="222"/>
        <w:spacing w:after="0"/>
        <w:tabs>
          <w:tab w:leader="none" w:pos="500" w:val="left"/>
        </w:tabs>
        <w:numPr>
          <w:ilvl w:val="1"/>
          <w:numId w:val="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 intrusion prevention and detection technology with immediate analysis capabilities.</w:t>
      </w:r>
    </w:p>
    <w:p>
      <w:pPr>
        <w:spacing w:after="0" w:line="244" w:lineRule="exact"/>
        <w:rPr>
          <w:rFonts w:ascii="Courier New" w:cs="Courier New" w:eastAsia="Courier New" w:hAnsi="Courier New"/>
          <w:sz w:val="13"/>
          <w:szCs w:val="13"/>
          <w:color w:val="auto"/>
        </w:rPr>
      </w:pPr>
    </w:p>
    <w:p>
      <w:pPr>
        <w:ind w:left="480" w:hanging="229"/>
        <w:spacing w:after="0"/>
        <w:tabs>
          <w:tab w:leader="none" w:pos="480"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Transportation Security</w:t>
      </w:r>
    </w:p>
    <w:p>
      <w:pPr>
        <w:spacing w:after="0" w:line="264" w:lineRule="exact"/>
        <w:rPr>
          <w:sz w:val="20"/>
          <w:szCs w:val="20"/>
          <w:color w:val="auto"/>
        </w:rPr>
      </w:pPr>
    </w:p>
    <w:p>
      <w:pPr>
        <w:ind w:left="280" w:right="300"/>
        <w:spacing w:after="0" w:line="275" w:lineRule="auto"/>
        <w:rPr>
          <w:sz w:val="20"/>
          <w:szCs w:val="20"/>
          <w:color w:val="auto"/>
        </w:rPr>
      </w:pPr>
      <w:r>
        <w:rPr>
          <w:rFonts w:ascii="Courier New" w:cs="Courier New" w:eastAsia="Courier New" w:hAnsi="Courier New"/>
          <w:sz w:val="13"/>
          <w:szCs w:val="13"/>
          <w:color w:val="auto"/>
        </w:rPr>
        <w:t>Description: Adequate security controls must be implemented to protect materials while in transit from theft, destruction, manipulation, or damage.</w:t>
      </w:r>
    </w:p>
    <w:p>
      <w:pPr>
        <w:spacing w:after="0" w:line="250"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A. Drivers</w:t>
      </w:r>
    </w:p>
    <w:p>
      <w:pPr>
        <w:spacing w:after="0" w:line="244" w:lineRule="exact"/>
        <w:rPr>
          <w:sz w:val="20"/>
          <w:szCs w:val="20"/>
          <w:color w:val="auto"/>
        </w:rPr>
      </w:pPr>
    </w:p>
    <w:p>
      <w:pPr>
        <w:ind w:left="500" w:hanging="223"/>
        <w:spacing w:after="0"/>
        <w:tabs>
          <w:tab w:leader="none" w:pos="500" w:val="left"/>
        </w:tabs>
        <w:numPr>
          <w:ilvl w:val="1"/>
          <w:numId w:val="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Drivers must be vetted in accordance with Government Personnel Security Requirements.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Drivers must be trained on specific security and emergency procedures.</w:t>
      </w:r>
    </w:p>
    <w:p>
      <w:pPr>
        <w:spacing w:after="0" w:line="28"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Drivers must be equipped with backup communications.</w:t>
      </w:r>
    </w:p>
    <w:p>
      <w:pPr>
        <w:spacing w:after="0" w:line="41"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Driver identity must be 100 percent confirmed before the pick-up of any Government product.</w:t>
      </w:r>
    </w:p>
    <w:p>
      <w:pPr>
        <w:spacing w:after="0" w:line="7" w:lineRule="exact"/>
        <w:rPr>
          <w:rFonts w:ascii="Courier New" w:cs="Courier New" w:eastAsia="Courier New" w:hAnsi="Courier New"/>
          <w:sz w:val="13"/>
          <w:szCs w:val="13"/>
          <w:color w:val="auto"/>
        </w:rPr>
      </w:pPr>
    </w:p>
    <w:p>
      <w:pPr>
        <w:ind w:left="500" w:right="240" w:hanging="223"/>
        <w:spacing w:after="0" w:line="235" w:lineRule="auto"/>
        <w:tabs>
          <w:tab w:leader="none" w:pos="491" w:val="left"/>
        </w:tabs>
        <w:numPr>
          <w:ilvl w:val="1"/>
          <w:numId w:val="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Drivers must never leave Government products unattended, and two drivers may be required for longer transport routes or critical products during times of emergency.</w:t>
      </w:r>
    </w:p>
    <w:p>
      <w:pPr>
        <w:spacing w:after="0" w:line="2"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Truck pickup and deliveries must be logged and kept on record for a minimum of [* * *].</w:t>
      </w:r>
    </w:p>
    <w:p>
      <w:pPr>
        <w:spacing w:after="0" w:line="244" w:lineRule="exact"/>
        <w:rPr>
          <w:rFonts w:ascii="Courier New" w:cs="Courier New" w:eastAsia="Courier New" w:hAnsi="Courier New"/>
          <w:sz w:val="13"/>
          <w:szCs w:val="13"/>
          <w:color w:val="auto"/>
        </w:rPr>
      </w:pPr>
    </w:p>
    <w:p>
      <w:pPr>
        <w:ind w:left="480" w:hanging="229"/>
        <w:spacing w:after="0"/>
        <w:tabs>
          <w:tab w:leader="none" w:pos="480" w:val="left"/>
        </w:tabs>
        <w:numPr>
          <w:ilvl w:val="0"/>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Transport Routes</w:t>
      </w:r>
    </w:p>
    <w:p>
      <w:pPr>
        <w:spacing w:after="0" w:line="244" w:lineRule="exact"/>
        <w:rPr>
          <w:rFonts w:ascii="Courier New" w:cs="Courier New" w:eastAsia="Courier New" w:hAnsi="Courier New"/>
          <w:sz w:val="13"/>
          <w:szCs w:val="13"/>
          <w:color w:val="auto"/>
        </w:rPr>
      </w:pPr>
    </w:p>
    <w:p>
      <w:pPr>
        <w:ind w:left="500" w:hanging="223"/>
        <w:spacing w:after="0"/>
        <w:tabs>
          <w:tab w:leader="none" w:pos="500" w:val="left"/>
        </w:tabs>
        <w:numPr>
          <w:ilvl w:val="1"/>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Transport routes should be pre-planned and never deviated from except when approved or in the event of an emergency.</w:t>
      </w:r>
    </w:p>
    <w:p>
      <w:pPr>
        <w:spacing w:after="0" w:line="7" w:lineRule="exact"/>
        <w:rPr>
          <w:rFonts w:ascii="Courier New" w:cs="Courier New" w:eastAsia="Courier New" w:hAnsi="Courier New"/>
          <w:sz w:val="13"/>
          <w:szCs w:val="13"/>
          <w:color w:val="auto"/>
        </w:rPr>
      </w:pPr>
    </w:p>
    <w:p>
      <w:pPr>
        <w:ind w:left="500" w:hanging="223"/>
        <w:spacing w:after="0" w:line="235" w:lineRule="auto"/>
        <w:tabs>
          <w:tab w:leader="none" w:pos="491" w:val="left"/>
        </w:tabs>
        <w:numPr>
          <w:ilvl w:val="1"/>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Transport routes should be continuously evaluated based upon new threats, significant planned events, weather, and other situations that may delay or disrupt transport.</w:t>
      </w:r>
    </w:p>
    <w:p>
      <w:pPr>
        <w:spacing w:after="0" w:line="258" w:lineRule="exact"/>
        <w:rPr>
          <w:rFonts w:ascii="Courier New" w:cs="Courier New" w:eastAsia="Courier New" w:hAnsi="Courier New"/>
          <w:sz w:val="13"/>
          <w:szCs w:val="13"/>
          <w:color w:val="auto"/>
        </w:rPr>
      </w:pPr>
    </w:p>
    <w:p>
      <w:pPr>
        <w:ind w:left="480" w:hanging="229"/>
        <w:spacing w:after="0"/>
        <w:tabs>
          <w:tab w:leader="none" w:pos="480" w:val="left"/>
        </w:tabs>
        <w:numPr>
          <w:ilvl w:val="0"/>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Product Security</w:t>
      </w:r>
    </w:p>
    <w:p>
      <w:pPr>
        <w:spacing w:after="0" w:line="25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3"/>
          <w:szCs w:val="13"/>
          <w:color w:val="auto"/>
        </w:rPr>
        <w:t>a) Government products must be secured with tamper resistant seals during transport, and the transport trailer must be locked and</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sealed.</w:t>
      </w:r>
    </w:p>
    <w:p>
      <w:pPr>
        <w:spacing w:after="0" w:line="15" w:lineRule="exact"/>
        <w:rPr>
          <w:sz w:val="20"/>
          <w:szCs w:val="20"/>
          <w:color w:val="auto"/>
        </w:rPr>
      </w:pPr>
    </w:p>
    <w:p>
      <w:pPr>
        <w:ind w:left="580"/>
        <w:spacing w:after="0"/>
        <w:rPr>
          <w:sz w:val="20"/>
          <w:szCs w:val="20"/>
          <w:color w:val="auto"/>
        </w:rPr>
      </w:pPr>
      <w:r>
        <w:rPr>
          <w:rFonts w:ascii="Courier New" w:cs="Courier New" w:eastAsia="Courier New" w:hAnsi="Courier New"/>
          <w:sz w:val="13"/>
          <w:szCs w:val="13"/>
          <w:color w:val="auto"/>
        </w:rPr>
        <w:t>- Tamper resistant seals must be verified as secure after the product is placed in the transport vehicle.</w:t>
      </w:r>
    </w:p>
    <w:p>
      <w:pPr>
        <w:sectPr>
          <w:pgSz w:w="11900" w:h="16838" w:orient="portrait"/>
          <w:cols w:equalWidth="0" w:num="1">
            <w:col w:w="11080"/>
          </w:cols>
          <w:pgMar w:left="320" w:top="929" w:right="499" w:bottom="1440" w:gutter="0" w:footer="0" w:header="0"/>
        </w:sectPr>
      </w:pPr>
    </w:p>
    <w:bookmarkStart w:id="104" w:name="page105"/>
    <w:bookmarkEnd w:id="10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46"/>
        </w:trPr>
        <w:tc>
          <w:tcPr>
            <w:tcW w:w="32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20"/>
                <w:szCs w:val="20"/>
                <w:b w:val="1"/>
                <w:bCs w:val="1"/>
                <w:color w:val="auto"/>
              </w:rPr>
              <w:t>CONTINUATION SHEET</w:t>
            </w:r>
          </w:p>
        </w:tc>
        <w:tc>
          <w:tcPr>
            <w:tcW w:w="5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80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18</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60" w:type="dxa"/>
            <w:vAlign w:val="bottom"/>
            <w:tcBorders>
              <w:right w:val="single" w:sz="8" w:color="auto"/>
            </w:tcBorders>
          </w:tcPr>
          <w:p>
            <w:pPr>
              <w:spacing w:after="0"/>
              <w:rPr>
                <w:sz w:val="9"/>
                <w:szCs w:val="9"/>
                <w:color w:val="auto"/>
              </w:rPr>
            </w:pPr>
          </w:p>
        </w:tc>
        <w:tc>
          <w:tcPr>
            <w:tcW w:w="55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800" w:type="dxa"/>
            <w:vAlign w:val="bottom"/>
          </w:tcPr>
          <w:p>
            <w:pPr>
              <w:spacing w:after="0"/>
              <w:rPr>
                <w:sz w:val="9"/>
                <w:szCs w:val="9"/>
                <w:color w:val="auto"/>
              </w:rPr>
            </w:pPr>
          </w:p>
        </w:tc>
      </w:tr>
      <w:tr>
        <w:trPr>
          <w:trHeight w:val="188"/>
        </w:trPr>
        <w:tc>
          <w:tcPr>
            <w:tcW w:w="3260" w:type="dxa"/>
            <w:vAlign w:val="bottom"/>
            <w:tcBorders>
              <w:bottom w:val="single" w:sz="8" w:color="auto"/>
              <w:right w:val="single" w:sz="8" w:color="auto"/>
            </w:tcBorders>
          </w:tcPr>
          <w:p>
            <w:pPr>
              <w:spacing w:after="0"/>
              <w:rPr>
                <w:sz w:val="16"/>
                <w:szCs w:val="16"/>
                <w:color w:val="auto"/>
              </w:rPr>
            </w:pPr>
          </w:p>
        </w:tc>
        <w:tc>
          <w:tcPr>
            <w:tcW w:w="5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80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133" w:lineRule="exact"/>
        <w:rPr>
          <w:sz w:val="20"/>
          <w:szCs w:val="20"/>
          <w:color w:val="auto"/>
        </w:rPr>
      </w:pPr>
    </w:p>
    <w:p>
      <w:pPr>
        <w:ind w:left="260" w:hanging="11"/>
        <w:spacing w:after="0" w:line="235" w:lineRule="auto"/>
        <w:tabs>
          <w:tab w:leader="none" w:pos="484" w:val="left"/>
        </w:tabs>
        <w:numPr>
          <w:ilvl w:val="0"/>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Government products should be continually monitored by GPS technology while in transport, and any deviations from planned routes should be investigated and documented.</w:t>
      </w:r>
    </w:p>
    <w:p>
      <w:pPr>
        <w:spacing w:after="0" w:line="15" w:lineRule="exact"/>
        <w:rPr>
          <w:rFonts w:ascii="Courier New" w:cs="Courier New" w:eastAsia="Courier New" w:hAnsi="Courier New"/>
          <w:sz w:val="13"/>
          <w:szCs w:val="13"/>
          <w:color w:val="auto"/>
        </w:rPr>
      </w:pPr>
    </w:p>
    <w:p>
      <w:pPr>
        <w:ind w:left="480" w:hanging="229"/>
        <w:spacing w:after="0"/>
        <w:tabs>
          <w:tab w:leader="none" w:pos="480" w:val="left"/>
        </w:tabs>
        <w:numPr>
          <w:ilvl w:val="0"/>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Contingency plans should be in place to keep the product secure during emergencies such as accidents and transport vehicle</w:t>
      </w:r>
    </w:p>
    <w:p>
      <w:pPr>
        <w:spacing w:after="0" w:line="28"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breakdowns.</w:t>
      </w:r>
    </w:p>
    <w:p>
      <w:pPr>
        <w:spacing w:after="0" w:line="271"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10. Security Reporting Requirements</w:t>
      </w:r>
    </w:p>
    <w:p>
      <w:pPr>
        <w:spacing w:after="0" w:line="264" w:lineRule="exact"/>
        <w:rPr>
          <w:sz w:val="20"/>
          <w:szCs w:val="20"/>
          <w:color w:val="auto"/>
        </w:rPr>
      </w:pPr>
    </w:p>
    <w:p>
      <w:pPr>
        <w:ind w:left="280" w:right="40"/>
        <w:spacing w:after="0" w:line="280" w:lineRule="auto"/>
        <w:rPr>
          <w:sz w:val="20"/>
          <w:szCs w:val="20"/>
          <w:color w:val="auto"/>
        </w:rPr>
      </w:pPr>
      <w:r>
        <w:rPr>
          <w:rFonts w:ascii="Courier New" w:cs="Courier New" w:eastAsia="Courier New" w:hAnsi="Courier New"/>
          <w:sz w:val="13"/>
          <w:szCs w:val="13"/>
          <w:color w:val="auto"/>
        </w:rPr>
        <w:t>Description: The partner facility shall notify the Government Security Team within [* * *] of any activity or incident that is in violation of established security standards or indicates the loss or theft of Government products. The facts and circumstances associated with these incidents will be documented in writing for Government review.</w:t>
      </w:r>
    </w:p>
    <w:p>
      <w:pPr>
        <w:spacing w:after="0" w:line="234"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11. Security Audits</w:t>
      </w:r>
    </w:p>
    <w:p>
      <w:pPr>
        <w:spacing w:after="0" w:line="278" w:lineRule="exact"/>
        <w:rPr>
          <w:sz w:val="20"/>
          <w:szCs w:val="20"/>
          <w:color w:val="auto"/>
        </w:rPr>
      </w:pPr>
    </w:p>
    <w:p>
      <w:pPr>
        <w:ind w:left="280" w:right="360"/>
        <w:spacing w:after="0" w:line="275" w:lineRule="auto"/>
        <w:rPr>
          <w:sz w:val="20"/>
          <w:szCs w:val="20"/>
          <w:color w:val="auto"/>
        </w:rPr>
      </w:pPr>
      <w:r>
        <w:rPr>
          <w:rFonts w:ascii="Courier New" w:cs="Courier New" w:eastAsia="Courier New" w:hAnsi="Courier New"/>
          <w:sz w:val="13"/>
          <w:szCs w:val="13"/>
          <w:color w:val="auto"/>
        </w:rPr>
        <w:t>Description: The partner facility agrees to formal security audits conducted at the discretion of the Government. Security audits may include both prime and subcontractor.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Courier New" w:cs="Courier New" w:eastAsia="Courier New" w:hAnsi="Courier New"/>
          <w:sz w:val="13"/>
          <w:szCs w:val="13"/>
          <w:color w:val="auto"/>
        </w:rPr>
        <w:t>*** END OF NARRATIVE F0001 ***</w:t>
      </w:r>
    </w:p>
    <w:p>
      <w:pPr>
        <w:sectPr>
          <w:pgSz w:w="11900" w:h="16838" w:orient="portrait"/>
          <w:cols w:equalWidth="0" w:num="1">
            <w:col w:w="10680"/>
          </w:cols>
          <w:pgMar w:left="320" w:top="970" w:right="8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6"/>
        </w:trPr>
        <w:tc>
          <w:tcPr>
            <w:tcW w:w="32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20"/>
                <w:szCs w:val="20"/>
                <w:b w:val="1"/>
                <w:bCs w:val="1"/>
                <w:color w:val="auto"/>
              </w:rPr>
              <w:t>CONTINUATION SHEET</w:t>
            </w:r>
          </w:p>
        </w:tc>
        <w:tc>
          <w:tcPr>
            <w:tcW w:w="5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80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19</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60" w:type="dxa"/>
            <w:vAlign w:val="bottom"/>
            <w:tcBorders>
              <w:right w:val="single" w:sz="8" w:color="auto"/>
            </w:tcBorders>
          </w:tcPr>
          <w:p>
            <w:pPr>
              <w:spacing w:after="0"/>
              <w:rPr>
                <w:sz w:val="9"/>
                <w:szCs w:val="9"/>
                <w:color w:val="auto"/>
              </w:rPr>
            </w:pPr>
          </w:p>
        </w:tc>
        <w:tc>
          <w:tcPr>
            <w:tcW w:w="55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800" w:type="dxa"/>
            <w:vAlign w:val="bottom"/>
          </w:tcPr>
          <w:p>
            <w:pPr>
              <w:spacing w:after="0"/>
              <w:rPr>
                <w:sz w:val="9"/>
                <w:szCs w:val="9"/>
                <w:color w:val="auto"/>
              </w:rPr>
            </w:pPr>
          </w:p>
        </w:tc>
      </w:tr>
      <w:tr>
        <w:trPr>
          <w:trHeight w:val="188"/>
        </w:trPr>
        <w:tc>
          <w:tcPr>
            <w:tcW w:w="3260" w:type="dxa"/>
            <w:vAlign w:val="bottom"/>
            <w:tcBorders>
              <w:bottom w:val="single" w:sz="8" w:color="auto"/>
              <w:right w:val="single" w:sz="8" w:color="auto"/>
            </w:tcBorders>
          </w:tcPr>
          <w:p>
            <w:pPr>
              <w:spacing w:after="0"/>
              <w:rPr>
                <w:sz w:val="16"/>
                <w:szCs w:val="16"/>
                <w:color w:val="auto"/>
              </w:rPr>
            </w:pPr>
          </w:p>
        </w:tc>
        <w:tc>
          <w:tcPr>
            <w:tcW w:w="5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80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7379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7985"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360" w:type="dxa"/>
            <w:vAlign w:val="bottom"/>
            <w:gridSpan w:val="9"/>
          </w:tcPr>
          <w:p>
            <w:pPr>
              <w:spacing w:after="0"/>
              <w:rPr>
                <w:sz w:val="20"/>
                <w:szCs w:val="20"/>
                <w:color w:val="auto"/>
              </w:rPr>
            </w:pPr>
            <w:r>
              <w:rPr>
                <w:rFonts w:ascii="Courier New" w:cs="Courier New" w:eastAsia="Courier New" w:hAnsi="Courier New"/>
                <w:sz w:val="13"/>
                <w:szCs w:val="13"/>
                <w:color w:val="auto"/>
              </w:rPr>
              <w:t>CONTRACT ADMINISTRATION DATA</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3"/>
          </w:tcPr>
          <w:p>
            <w:pPr>
              <w:ind w:left="100"/>
              <w:spacing w:after="0"/>
              <w:rPr>
                <w:sz w:val="20"/>
                <w:szCs w:val="20"/>
                <w:color w:val="auto"/>
              </w:rPr>
            </w:pPr>
            <w:r>
              <w:rPr>
                <w:rFonts w:ascii="Courier New" w:cs="Courier New" w:eastAsia="Courier New" w:hAnsi="Courier New"/>
                <w:sz w:val="13"/>
                <w:szCs w:val="13"/>
                <w:color w:val="auto"/>
              </w:rPr>
              <w:t>PRON/</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100"/>
              <w:spacing w:after="0"/>
              <w:rPr>
                <w:sz w:val="20"/>
                <w:szCs w:val="20"/>
                <w:color w:val="auto"/>
              </w:rPr>
            </w:pPr>
            <w:r>
              <w:rPr>
                <w:rFonts w:ascii="Courier New" w:cs="Courier New" w:eastAsia="Courier New" w:hAnsi="Courier New"/>
                <w:sz w:val="13"/>
                <w:szCs w:val="13"/>
                <w:color w:val="auto"/>
              </w:rPr>
              <w:t>AMS CD/</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100"/>
              <w:spacing w:after="0"/>
              <w:rPr>
                <w:sz w:val="20"/>
                <w:szCs w:val="20"/>
                <w:color w:val="auto"/>
              </w:rPr>
            </w:pPr>
            <w:r>
              <w:rPr>
                <w:rFonts w:ascii="Courier New" w:cs="Courier New" w:eastAsia="Courier New" w:hAnsi="Courier New"/>
                <w:sz w:val="13"/>
                <w:szCs w:val="13"/>
                <w:color w:val="auto"/>
              </w:rPr>
              <w:t>MIPR/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3"/>
            <w:vMerge w:val="restart"/>
          </w:tcPr>
          <w:p>
            <w:pPr>
              <w:ind w:left="180"/>
              <w:spacing w:after="0"/>
              <w:rPr>
                <w:sz w:val="20"/>
                <w:szCs w:val="20"/>
                <w:color w:val="auto"/>
              </w:rPr>
            </w:pPr>
            <w:r>
              <w:rPr>
                <w:rFonts w:ascii="Courier New" w:cs="Courier New" w:eastAsia="Courier New" w:hAnsi="Courier New"/>
                <w:sz w:val="13"/>
                <w:szCs w:val="13"/>
                <w:color w:val="auto"/>
              </w:rPr>
              <w:t>JO NO/</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gridSpan w:val="3"/>
          </w:tcPr>
          <w:p>
            <w:pPr>
              <w:ind w:left="80"/>
              <w:spacing w:after="0" w:line="140" w:lineRule="exact"/>
              <w:rPr>
                <w:sz w:val="20"/>
                <w:szCs w:val="20"/>
                <w:color w:val="auto"/>
              </w:rPr>
            </w:pPr>
            <w:r>
              <w:rPr>
                <w:rFonts w:ascii="Courier New" w:cs="Courier New" w:eastAsia="Courier New" w:hAnsi="Courier New"/>
                <w:sz w:val="13"/>
                <w:szCs w:val="13"/>
                <w:color w:val="auto"/>
              </w:rPr>
              <w:t>LINE</w:t>
            </w:r>
          </w:p>
        </w:tc>
        <w:tc>
          <w:tcPr>
            <w:tcW w:w="1040" w:type="dxa"/>
            <w:vAlign w:val="bottom"/>
            <w:gridSpan w:val="3"/>
          </w:tcPr>
          <w:p>
            <w:pPr>
              <w:ind w:left="100"/>
              <w:spacing w:after="0" w:line="140" w:lineRule="exact"/>
              <w:rPr>
                <w:sz w:val="20"/>
                <w:szCs w:val="20"/>
                <w:color w:val="auto"/>
              </w:rPr>
            </w:pPr>
            <w:r>
              <w:rPr>
                <w:rFonts w:ascii="Courier New" w:cs="Courier New" w:eastAsia="Courier New" w:hAnsi="Courier New"/>
                <w:sz w:val="13"/>
                <w:szCs w:val="13"/>
                <w:color w:val="auto"/>
              </w:rPr>
              <w:t>GFEBS ATA</w:t>
            </w:r>
          </w:p>
        </w:tc>
        <w:tc>
          <w:tcPr>
            <w:tcW w:w="640" w:type="dxa"/>
            <w:vAlign w:val="bottom"/>
            <w:gridSpan w:val="3"/>
          </w:tcPr>
          <w:p>
            <w:pPr>
              <w:ind w:left="180"/>
              <w:spacing w:after="0" w:line="140" w:lineRule="exact"/>
              <w:rPr>
                <w:sz w:val="20"/>
                <w:szCs w:val="20"/>
                <w:color w:val="auto"/>
              </w:rPr>
            </w:pPr>
            <w:r>
              <w:rPr>
                <w:rFonts w:ascii="Courier New" w:cs="Courier New" w:eastAsia="Courier New" w:hAnsi="Courier New"/>
                <w:sz w:val="13"/>
                <w:szCs w:val="13"/>
                <w:color w:val="auto"/>
              </w:rPr>
              <w:t>OBLG</w:t>
            </w:r>
          </w:p>
        </w:tc>
        <w:tc>
          <w:tcPr>
            <w:tcW w:w="18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3"/>
          </w:tcPr>
          <w:p>
            <w:pPr>
              <w:ind w:left="560"/>
              <w:spacing w:after="0" w:line="140" w:lineRule="exact"/>
              <w:rPr>
                <w:sz w:val="20"/>
                <w:szCs w:val="20"/>
                <w:color w:val="auto"/>
              </w:rPr>
            </w:pPr>
            <w:r>
              <w:rPr>
                <w:rFonts w:ascii="Courier New" w:cs="Courier New" w:eastAsia="Courier New" w:hAnsi="Courier New"/>
                <w:sz w:val="13"/>
                <w:szCs w:val="13"/>
                <w:color w:val="auto"/>
              </w:rPr>
              <w:t>OBLIGATED</w:t>
            </w:r>
          </w:p>
        </w:tc>
        <w:tc>
          <w:tcPr>
            <w:tcW w:w="0" w:type="dxa"/>
            <w:vAlign w:val="bottom"/>
          </w:tcPr>
          <w:p>
            <w:pPr>
              <w:spacing w:after="0"/>
              <w:rPr>
                <w:sz w:val="1"/>
                <w:szCs w:val="1"/>
                <w:color w:val="auto"/>
              </w:rPr>
            </w:pPr>
          </w:p>
        </w:tc>
      </w:tr>
      <w:tr>
        <w:trPr>
          <w:trHeight w:val="128"/>
        </w:trPr>
        <w:tc>
          <w:tcPr>
            <w:tcW w:w="680" w:type="dxa"/>
            <w:vAlign w:val="bottom"/>
            <w:gridSpan w:val="3"/>
            <w:vMerge w:val="restart"/>
          </w:tcPr>
          <w:p>
            <w:pPr>
              <w:ind w:left="80"/>
              <w:spacing w:after="0"/>
              <w:rPr>
                <w:sz w:val="20"/>
                <w:szCs w:val="20"/>
                <w:color w:val="auto"/>
              </w:rPr>
            </w:pPr>
            <w:r>
              <w:rPr>
                <w:rFonts w:ascii="Courier New" w:cs="Courier New" w:eastAsia="Courier New" w:hAnsi="Courier New"/>
                <w:sz w:val="13"/>
                <w:szCs w:val="13"/>
                <w:color w:val="auto"/>
              </w:rPr>
              <w:t>ITEM</w:t>
            </w: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vMerge w:val="restart"/>
          </w:tcPr>
          <w:p>
            <w:pPr>
              <w:ind w:left="180"/>
              <w:spacing w:after="0"/>
              <w:rPr>
                <w:sz w:val="20"/>
                <w:szCs w:val="20"/>
                <w:color w:val="auto"/>
              </w:rPr>
            </w:pPr>
            <w:r>
              <w:rPr>
                <w:rFonts w:ascii="Courier New" w:cs="Courier New" w:eastAsia="Courier New" w:hAnsi="Courier New"/>
                <w:sz w:val="13"/>
                <w:szCs w:val="13"/>
                <w:color w:val="auto"/>
              </w:rPr>
              <w:t>STAT</w:t>
            </w:r>
          </w:p>
        </w:tc>
        <w:tc>
          <w:tcPr>
            <w:tcW w:w="1860" w:type="dxa"/>
            <w:vAlign w:val="bottom"/>
            <w:gridSpan w:val="3"/>
          </w:tcPr>
          <w:p>
            <w:pPr>
              <w:ind w:left="180"/>
              <w:spacing w:after="0" w:line="129" w:lineRule="exact"/>
              <w:rPr>
                <w:sz w:val="20"/>
                <w:szCs w:val="20"/>
                <w:color w:val="auto"/>
              </w:rPr>
            </w:pPr>
            <w:r>
              <w:rPr>
                <w:rFonts w:ascii="Courier New" w:cs="Courier New" w:eastAsia="Courier New" w:hAnsi="Courier New"/>
                <w:sz w:val="13"/>
                <w:szCs w:val="13"/>
                <w:color w:val="auto"/>
              </w:rPr>
              <w:t>ACCT ASSIGN</w:t>
            </w:r>
          </w:p>
        </w:tc>
        <w:tc>
          <w:tcPr>
            <w:tcW w:w="4000" w:type="dxa"/>
            <w:vAlign w:val="bottom"/>
            <w:gridSpan w:val="3"/>
            <w:vMerge w:val="restart"/>
          </w:tcPr>
          <w:p>
            <w:pPr>
              <w:jc w:val="center"/>
              <w:ind w:right="2717"/>
              <w:spacing w:after="0"/>
              <w:rPr>
                <w:sz w:val="20"/>
                <w:szCs w:val="20"/>
                <w:color w:val="auto"/>
              </w:rPr>
            </w:pPr>
            <w:r>
              <w:rPr>
                <w:rFonts w:ascii="Courier New" w:cs="Courier New" w:eastAsia="Courier New" w:hAnsi="Courier New"/>
                <w:sz w:val="13"/>
                <w:szCs w:val="13"/>
                <w:color w:val="auto"/>
                <w:w w:val="95"/>
              </w:rPr>
              <w:t>ACRN</w:t>
            </w:r>
          </w:p>
        </w:tc>
        <w:tc>
          <w:tcPr>
            <w:tcW w:w="420" w:type="dxa"/>
            <w:vAlign w:val="bottom"/>
          </w:tcPr>
          <w:p>
            <w:pPr>
              <w:spacing w:after="0"/>
              <w:rPr>
                <w:sz w:val="11"/>
                <w:szCs w:val="11"/>
                <w:color w:val="auto"/>
              </w:rPr>
            </w:pPr>
          </w:p>
        </w:tc>
        <w:tc>
          <w:tcPr>
            <w:tcW w:w="1360" w:type="dxa"/>
            <w:vAlign w:val="bottom"/>
            <w:gridSpan w:val="3"/>
            <w:vMerge w:val="restart"/>
          </w:tcPr>
          <w:p>
            <w:pPr>
              <w:ind w:left="560"/>
              <w:spacing w:after="0"/>
              <w:rPr>
                <w:sz w:val="20"/>
                <w:szCs w:val="20"/>
                <w:color w:val="auto"/>
              </w:rPr>
            </w:pPr>
            <w:r>
              <w:rPr>
                <w:rFonts w:ascii="Courier New" w:cs="Courier New" w:eastAsia="Courier New" w:hAnsi="Courier New"/>
                <w:sz w:val="13"/>
                <w:szCs w:val="13"/>
                <w:color w:val="auto"/>
              </w:rPr>
              <w:t>AMOUNT</w:t>
            </w:r>
          </w:p>
        </w:tc>
        <w:tc>
          <w:tcPr>
            <w:tcW w:w="0" w:type="dxa"/>
            <w:vAlign w:val="bottom"/>
          </w:tcPr>
          <w:p>
            <w:pPr>
              <w:spacing w:after="0"/>
              <w:rPr>
                <w:sz w:val="1"/>
                <w:szCs w:val="1"/>
                <w:color w:val="auto"/>
              </w:rPr>
            </w:pPr>
          </w:p>
        </w:tc>
      </w:tr>
      <w:tr>
        <w:trPr>
          <w:trHeight w:val="20"/>
        </w:trPr>
        <w:tc>
          <w:tcPr>
            <w:tcW w:w="6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80" w:type="dxa"/>
            <w:vAlign w:val="bottom"/>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1040" w:type="dxa"/>
            <w:vAlign w:val="bottom"/>
            <w:gridSpan w:val="3"/>
          </w:tcPr>
          <w:p>
            <w:pPr>
              <w:spacing w:after="0"/>
              <w:rPr>
                <w:sz w:val="2"/>
                <w:szCs w:val="2"/>
                <w:color w:val="auto"/>
              </w:rPr>
            </w:pPr>
          </w:p>
        </w:tc>
        <w:tc>
          <w:tcPr>
            <w:tcW w:w="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0" w:type="dxa"/>
            <w:vAlign w:val="bottom"/>
          </w:tcPr>
          <w:p>
            <w:pPr>
              <w:spacing w:after="0"/>
              <w:rPr>
                <w:sz w:val="20"/>
                <w:szCs w:val="20"/>
                <w:color w:val="auto"/>
              </w:rPr>
            </w:pPr>
          </w:p>
        </w:tc>
        <w:tc>
          <w:tcPr>
            <w:tcW w:w="60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0001AA</w:t>
            </w:r>
          </w:p>
        </w:tc>
        <w:tc>
          <w:tcPr>
            <w:tcW w:w="1040" w:type="dxa"/>
            <w:vAlign w:val="bottom"/>
            <w:gridSpan w:val="3"/>
          </w:tcPr>
          <w:p>
            <w:pPr>
              <w:ind w:left="100"/>
              <w:spacing w:after="0"/>
              <w:rPr>
                <w:sz w:val="20"/>
                <w:szCs w:val="20"/>
                <w:color w:val="auto"/>
              </w:rPr>
            </w:pPr>
            <w:r>
              <w:rPr>
                <w:rFonts w:ascii="Courier New" w:cs="Courier New" w:eastAsia="Courier New" w:hAnsi="Courier New"/>
                <w:sz w:val="13"/>
                <w:szCs w:val="13"/>
                <w:color w:val="auto"/>
              </w:rPr>
              <w:t>CB1RD13635</w:t>
            </w:r>
          </w:p>
        </w:tc>
        <w:tc>
          <w:tcPr>
            <w:tcW w:w="480" w:type="dxa"/>
            <w:vAlign w:val="bottom"/>
            <w:gridSpan w:val="2"/>
          </w:tcPr>
          <w:p>
            <w:pPr>
              <w:jc w:val="right"/>
              <w:ind w:right="100"/>
              <w:spacing w:after="0"/>
              <w:rPr>
                <w:sz w:val="20"/>
                <w:szCs w:val="20"/>
                <w:color w:val="auto"/>
              </w:rPr>
            </w:pPr>
            <w:r>
              <w:rPr>
                <w:rFonts w:ascii="Courier New" w:cs="Courier New" w:eastAsia="Courier New" w:hAnsi="Courier New"/>
                <w:sz w:val="13"/>
                <w:szCs w:val="13"/>
                <w:color w:val="auto"/>
              </w:rPr>
              <w:t>2</w:t>
            </w:r>
          </w:p>
        </w:tc>
        <w:tc>
          <w:tcPr>
            <w:tcW w:w="160" w:type="dxa"/>
            <w:vAlign w:val="bottom"/>
          </w:tcPr>
          <w:p>
            <w:pPr>
              <w:spacing w:after="0"/>
              <w:rPr>
                <w:sz w:val="20"/>
                <w:szCs w:val="20"/>
                <w:color w:val="auto"/>
              </w:rPr>
            </w:pPr>
          </w:p>
        </w:tc>
        <w:tc>
          <w:tcPr>
            <w:tcW w:w="1860" w:type="dxa"/>
            <w:vAlign w:val="bottom"/>
            <w:gridSpan w:val="3"/>
          </w:tcPr>
          <w:p>
            <w:pPr>
              <w:ind w:left="180"/>
              <w:spacing w:after="0"/>
              <w:rPr>
                <w:sz w:val="20"/>
                <w:szCs w:val="20"/>
                <w:color w:val="auto"/>
              </w:rPr>
            </w:pPr>
            <w:r>
              <w:rPr>
                <w:rFonts w:ascii="Courier New" w:cs="Courier New" w:eastAsia="Courier New" w:hAnsi="Courier New"/>
                <w:sz w:val="13"/>
                <w:szCs w:val="13"/>
                <w:color w:val="auto"/>
              </w:rPr>
              <w:t>S.0074658.5.40</w:t>
            </w:r>
          </w:p>
        </w:tc>
        <w:tc>
          <w:tcPr>
            <w:tcW w:w="46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Courier New" w:cs="Courier New" w:eastAsia="Courier New" w:hAnsi="Courier New"/>
                <w:sz w:val="13"/>
                <w:szCs w:val="13"/>
                <w:color w:val="auto"/>
                <w:w w:val="89"/>
              </w:rPr>
              <w:t>AA</w:t>
            </w:r>
          </w:p>
        </w:tc>
        <w:tc>
          <w:tcPr>
            <w:tcW w:w="3240" w:type="dxa"/>
            <w:vAlign w:val="bottom"/>
          </w:tcPr>
          <w:p>
            <w:pPr>
              <w:spacing w:after="0"/>
              <w:rPr>
                <w:sz w:val="20"/>
                <w:szCs w:val="20"/>
                <w:color w:val="auto"/>
              </w:rPr>
            </w:pPr>
          </w:p>
        </w:tc>
        <w:tc>
          <w:tcPr>
            <w:tcW w:w="420" w:type="dxa"/>
            <w:vAlign w:val="bottom"/>
          </w:tcPr>
          <w:p>
            <w:pPr>
              <w:jc w:val="right"/>
              <w:ind w:right="77"/>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 *]</w:t>
            </w:r>
          </w:p>
        </w:tc>
        <w:tc>
          <w:tcPr>
            <w:tcW w:w="0" w:type="dxa"/>
            <w:vAlign w:val="bottom"/>
          </w:tcPr>
          <w:p>
            <w:pPr>
              <w:spacing w:after="0"/>
              <w:rPr>
                <w:sz w:val="1"/>
                <w:szCs w:val="1"/>
                <w:color w:val="auto"/>
              </w:rPr>
            </w:pPr>
          </w:p>
        </w:tc>
      </w:tr>
      <w:tr>
        <w:trPr>
          <w:trHeight w:val="445"/>
        </w:trPr>
        <w:tc>
          <w:tcPr>
            <w:tcW w:w="8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0001AB</w:t>
            </w:r>
          </w:p>
        </w:tc>
        <w:tc>
          <w:tcPr>
            <w:tcW w:w="1040" w:type="dxa"/>
            <w:vAlign w:val="bottom"/>
            <w:gridSpan w:val="3"/>
          </w:tcPr>
          <w:p>
            <w:pPr>
              <w:ind w:left="100"/>
              <w:spacing w:after="0"/>
              <w:rPr>
                <w:sz w:val="20"/>
                <w:szCs w:val="20"/>
                <w:color w:val="auto"/>
              </w:rPr>
            </w:pPr>
            <w:r>
              <w:rPr>
                <w:rFonts w:ascii="Courier New" w:cs="Courier New" w:eastAsia="Courier New" w:hAnsi="Courier New"/>
                <w:sz w:val="13"/>
                <w:szCs w:val="13"/>
                <w:color w:val="auto"/>
              </w:rPr>
              <w:t>CB1RD14381</w:t>
            </w:r>
          </w:p>
        </w:tc>
        <w:tc>
          <w:tcPr>
            <w:tcW w:w="480" w:type="dxa"/>
            <w:vAlign w:val="bottom"/>
            <w:gridSpan w:val="2"/>
          </w:tcPr>
          <w:p>
            <w:pPr>
              <w:jc w:val="right"/>
              <w:ind w:right="100"/>
              <w:spacing w:after="0"/>
              <w:rPr>
                <w:sz w:val="20"/>
                <w:szCs w:val="20"/>
                <w:color w:val="auto"/>
              </w:rPr>
            </w:pPr>
            <w:r>
              <w:rPr>
                <w:rFonts w:ascii="Courier New" w:cs="Courier New" w:eastAsia="Courier New" w:hAnsi="Courier New"/>
                <w:sz w:val="13"/>
                <w:szCs w:val="13"/>
                <w:color w:val="auto"/>
              </w:rPr>
              <w:t>2</w:t>
            </w:r>
          </w:p>
        </w:tc>
        <w:tc>
          <w:tcPr>
            <w:tcW w:w="160" w:type="dxa"/>
            <w:vAlign w:val="bottom"/>
          </w:tcPr>
          <w:p>
            <w:pPr>
              <w:spacing w:after="0"/>
              <w:rPr>
                <w:sz w:val="24"/>
                <w:szCs w:val="24"/>
                <w:color w:val="auto"/>
              </w:rPr>
            </w:pPr>
          </w:p>
        </w:tc>
        <w:tc>
          <w:tcPr>
            <w:tcW w:w="1860" w:type="dxa"/>
            <w:vAlign w:val="bottom"/>
            <w:gridSpan w:val="3"/>
          </w:tcPr>
          <w:p>
            <w:pPr>
              <w:ind w:left="180"/>
              <w:spacing w:after="0"/>
              <w:rPr>
                <w:sz w:val="20"/>
                <w:szCs w:val="20"/>
                <w:color w:val="auto"/>
              </w:rPr>
            </w:pPr>
            <w:r>
              <w:rPr>
                <w:rFonts w:ascii="Courier New" w:cs="Courier New" w:eastAsia="Courier New" w:hAnsi="Courier New"/>
                <w:sz w:val="13"/>
                <w:szCs w:val="13"/>
                <w:color w:val="auto"/>
              </w:rPr>
              <w:t>S.0074658.5.40.1</w:t>
            </w:r>
          </w:p>
        </w:tc>
        <w:tc>
          <w:tcPr>
            <w:tcW w:w="460" w:type="dxa"/>
            <w:vAlign w:val="bottom"/>
          </w:tcPr>
          <w:p>
            <w:pPr>
              <w:spacing w:after="0"/>
              <w:rPr>
                <w:sz w:val="24"/>
                <w:szCs w:val="24"/>
                <w:color w:val="auto"/>
              </w:rPr>
            </w:pPr>
          </w:p>
        </w:tc>
        <w:tc>
          <w:tcPr>
            <w:tcW w:w="3540" w:type="dxa"/>
            <w:vAlign w:val="bottom"/>
            <w:gridSpan w:val="2"/>
          </w:tcPr>
          <w:p>
            <w:pPr>
              <w:jc w:val="center"/>
              <w:ind w:right="3177"/>
              <w:spacing w:after="0"/>
              <w:rPr>
                <w:sz w:val="20"/>
                <w:szCs w:val="20"/>
                <w:color w:val="auto"/>
              </w:rPr>
            </w:pPr>
            <w:r>
              <w:rPr>
                <w:rFonts w:ascii="Courier New" w:cs="Courier New" w:eastAsia="Courier New" w:hAnsi="Courier New"/>
                <w:sz w:val="13"/>
                <w:szCs w:val="13"/>
                <w:color w:val="auto"/>
                <w:w w:val="89"/>
              </w:rPr>
              <w:t>AB</w:t>
            </w:r>
          </w:p>
        </w:tc>
        <w:tc>
          <w:tcPr>
            <w:tcW w:w="420" w:type="dxa"/>
            <w:vAlign w:val="bottom"/>
          </w:tcPr>
          <w:p>
            <w:pPr>
              <w:jc w:val="right"/>
              <w:ind w:right="77"/>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 * *]</w:t>
            </w:r>
          </w:p>
        </w:tc>
        <w:tc>
          <w:tcPr>
            <w:tcW w:w="0" w:type="dxa"/>
            <w:vAlign w:val="bottom"/>
          </w:tcPr>
          <w:p>
            <w:pPr>
              <w:spacing w:after="0"/>
              <w:rPr>
                <w:sz w:val="1"/>
                <w:szCs w:val="1"/>
                <w:color w:val="auto"/>
              </w:rPr>
            </w:pPr>
          </w:p>
        </w:tc>
      </w:tr>
      <w:tr>
        <w:trPr>
          <w:trHeight w:val="446"/>
        </w:trPr>
        <w:tc>
          <w:tcPr>
            <w:tcW w:w="8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0001AC</w:t>
            </w:r>
          </w:p>
        </w:tc>
        <w:tc>
          <w:tcPr>
            <w:tcW w:w="1040" w:type="dxa"/>
            <w:vAlign w:val="bottom"/>
            <w:gridSpan w:val="3"/>
          </w:tcPr>
          <w:p>
            <w:pPr>
              <w:ind w:left="100"/>
              <w:spacing w:after="0"/>
              <w:rPr>
                <w:sz w:val="20"/>
                <w:szCs w:val="20"/>
                <w:color w:val="auto"/>
              </w:rPr>
            </w:pPr>
            <w:r>
              <w:rPr>
                <w:rFonts w:ascii="Courier New" w:cs="Courier New" w:eastAsia="Courier New" w:hAnsi="Courier New"/>
                <w:sz w:val="13"/>
                <w:szCs w:val="13"/>
                <w:color w:val="auto"/>
              </w:rPr>
              <w:t>CB1RD41544</w:t>
            </w:r>
          </w:p>
        </w:tc>
        <w:tc>
          <w:tcPr>
            <w:tcW w:w="480" w:type="dxa"/>
            <w:vAlign w:val="bottom"/>
            <w:gridSpan w:val="2"/>
          </w:tcPr>
          <w:p>
            <w:pPr>
              <w:jc w:val="right"/>
              <w:ind w:right="100"/>
              <w:spacing w:after="0"/>
              <w:rPr>
                <w:sz w:val="20"/>
                <w:szCs w:val="20"/>
                <w:color w:val="auto"/>
              </w:rPr>
            </w:pPr>
            <w:r>
              <w:rPr>
                <w:rFonts w:ascii="Courier New" w:cs="Courier New" w:eastAsia="Courier New" w:hAnsi="Courier New"/>
                <w:sz w:val="13"/>
                <w:szCs w:val="13"/>
                <w:color w:val="auto"/>
              </w:rPr>
              <w:t>2</w:t>
            </w:r>
          </w:p>
        </w:tc>
        <w:tc>
          <w:tcPr>
            <w:tcW w:w="160" w:type="dxa"/>
            <w:vAlign w:val="bottom"/>
          </w:tcPr>
          <w:p>
            <w:pPr>
              <w:spacing w:after="0"/>
              <w:rPr>
                <w:sz w:val="24"/>
                <w:szCs w:val="24"/>
                <w:color w:val="auto"/>
              </w:rPr>
            </w:pPr>
          </w:p>
        </w:tc>
        <w:tc>
          <w:tcPr>
            <w:tcW w:w="1860" w:type="dxa"/>
            <w:vAlign w:val="bottom"/>
            <w:gridSpan w:val="3"/>
          </w:tcPr>
          <w:p>
            <w:pPr>
              <w:ind w:left="180"/>
              <w:spacing w:after="0"/>
              <w:rPr>
                <w:sz w:val="20"/>
                <w:szCs w:val="20"/>
                <w:color w:val="auto"/>
              </w:rPr>
            </w:pPr>
            <w:r>
              <w:rPr>
                <w:rFonts w:ascii="Courier New" w:cs="Courier New" w:eastAsia="Courier New" w:hAnsi="Courier New"/>
                <w:sz w:val="13"/>
                <w:szCs w:val="13"/>
                <w:color w:val="auto"/>
              </w:rPr>
              <w:t>S.0074658.5.40.2</w:t>
            </w:r>
          </w:p>
        </w:tc>
        <w:tc>
          <w:tcPr>
            <w:tcW w:w="460" w:type="dxa"/>
            <w:vAlign w:val="bottom"/>
          </w:tcPr>
          <w:p>
            <w:pPr>
              <w:spacing w:after="0"/>
              <w:rPr>
                <w:sz w:val="24"/>
                <w:szCs w:val="24"/>
                <w:color w:val="auto"/>
              </w:rPr>
            </w:pPr>
          </w:p>
        </w:tc>
        <w:tc>
          <w:tcPr>
            <w:tcW w:w="3540" w:type="dxa"/>
            <w:vAlign w:val="bottom"/>
            <w:gridSpan w:val="2"/>
          </w:tcPr>
          <w:p>
            <w:pPr>
              <w:jc w:val="center"/>
              <w:ind w:right="3177"/>
              <w:spacing w:after="0"/>
              <w:rPr>
                <w:sz w:val="20"/>
                <w:szCs w:val="20"/>
                <w:color w:val="auto"/>
              </w:rPr>
            </w:pPr>
            <w:r>
              <w:rPr>
                <w:rFonts w:ascii="Courier New" w:cs="Courier New" w:eastAsia="Courier New" w:hAnsi="Courier New"/>
                <w:sz w:val="13"/>
                <w:szCs w:val="13"/>
                <w:color w:val="auto"/>
                <w:w w:val="89"/>
              </w:rPr>
              <w:t>AC</w:t>
            </w:r>
          </w:p>
        </w:tc>
        <w:tc>
          <w:tcPr>
            <w:tcW w:w="420" w:type="dxa"/>
            <w:vAlign w:val="bottom"/>
          </w:tcPr>
          <w:p>
            <w:pPr>
              <w:jc w:val="right"/>
              <w:ind w:right="77"/>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 * *]</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40" w:type="dxa"/>
            <w:vAlign w:val="bottom"/>
          </w:tcPr>
          <w:p>
            <w:pPr>
              <w:ind w:left="2660"/>
              <w:spacing w:after="0"/>
              <w:rPr>
                <w:sz w:val="20"/>
                <w:szCs w:val="20"/>
                <w:color w:val="auto"/>
              </w:rPr>
            </w:pPr>
            <w:r>
              <w:rPr>
                <w:rFonts w:ascii="Courier New" w:cs="Courier New" w:eastAsia="Courier New" w:hAnsi="Courier New"/>
                <w:sz w:val="13"/>
                <w:szCs w:val="13"/>
                <w:color w:val="auto"/>
              </w:rPr>
              <w:t>TOTAL</w:t>
            </w:r>
          </w:p>
        </w:tc>
        <w:tc>
          <w:tcPr>
            <w:tcW w:w="420" w:type="dxa"/>
            <w:vAlign w:val="bottom"/>
          </w:tcPr>
          <w:p>
            <w:pPr>
              <w:jc w:val="right"/>
              <w:ind w:right="77"/>
              <w:spacing w:after="0"/>
              <w:rPr>
                <w:sz w:val="20"/>
                <w:szCs w:val="20"/>
                <w:color w:val="auto"/>
              </w:rPr>
            </w:pPr>
            <w:r>
              <w:rPr>
                <w:rFonts w:ascii="Courier New" w:cs="Courier New" w:eastAsia="Courier New" w:hAnsi="Courier New"/>
                <w:sz w:val="13"/>
                <w:szCs w:val="13"/>
                <w:color w:val="auto"/>
              </w:rPr>
              <w:t>$</w:t>
            </w:r>
          </w:p>
        </w:tc>
        <w:tc>
          <w:tcPr>
            <w:tcW w:w="13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2,625,000,000.00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80" w:type="dxa"/>
        <w:tblCellMar>
          <w:top w:w="0" w:type="dxa"/>
          <w:left w:w="0" w:type="dxa"/>
          <w:bottom w:w="0" w:type="dxa"/>
          <w:right w:w="0" w:type="dxa"/>
        </w:tblCellMar>
      </w:tblPr>
      <w:tr>
        <w:trPr>
          <w:trHeight w:val="147"/>
        </w:trPr>
        <w:tc>
          <w:tcPr>
            <w:tcW w:w="300" w:type="dxa"/>
            <w:vAlign w:val="bottom"/>
          </w:tcPr>
          <w:p>
            <w:pPr>
              <w:spacing w:after="0"/>
              <w:rPr>
                <w:sz w:val="20"/>
                <w:szCs w:val="20"/>
                <w:color w:val="auto"/>
              </w:rPr>
            </w:pPr>
            <w:r>
              <w:rPr>
                <w:rFonts w:ascii="Courier New" w:cs="Courier New" w:eastAsia="Courier New" w:hAnsi="Courier New"/>
                <w:sz w:val="13"/>
                <w:szCs w:val="13"/>
                <w:color w:val="auto"/>
                <w:w w:val="89"/>
              </w:rPr>
              <w:t>ACRN</w:t>
            </w:r>
          </w:p>
        </w:tc>
        <w:tc>
          <w:tcPr>
            <w:tcW w:w="420" w:type="dxa"/>
            <w:vAlign w:val="bottom"/>
          </w:tcPr>
          <w:p>
            <w:pPr>
              <w:spacing w:after="0"/>
              <w:rPr>
                <w:sz w:val="12"/>
                <w:szCs w:val="12"/>
                <w:color w:val="auto"/>
              </w:rPr>
            </w:pPr>
          </w:p>
        </w:tc>
        <w:tc>
          <w:tcPr>
            <w:tcW w:w="3120" w:type="dxa"/>
            <w:vAlign w:val="bottom"/>
            <w:gridSpan w:val="4"/>
          </w:tcPr>
          <w:p>
            <w:pPr>
              <w:spacing w:after="0"/>
              <w:rPr>
                <w:sz w:val="20"/>
                <w:szCs w:val="20"/>
                <w:color w:val="auto"/>
              </w:rPr>
            </w:pPr>
            <w:r>
              <w:rPr>
                <w:rFonts w:ascii="Courier New" w:cs="Courier New" w:eastAsia="Courier New" w:hAnsi="Courier New"/>
                <w:sz w:val="13"/>
                <w:szCs w:val="13"/>
                <w:color w:val="auto"/>
              </w:rPr>
              <w:t>ACCOUNTING CLASSIFICATION</w:t>
            </w:r>
          </w:p>
        </w:tc>
        <w:tc>
          <w:tcPr>
            <w:tcW w:w="5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OBLIGATED AMOUNT</w:t>
            </w:r>
          </w:p>
        </w:tc>
      </w:tr>
      <w:tr>
        <w:trPr>
          <w:trHeight w:val="20"/>
        </w:trPr>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05"/>
        </w:trPr>
        <w:tc>
          <w:tcPr>
            <w:tcW w:w="300" w:type="dxa"/>
            <w:vAlign w:val="bottom"/>
          </w:tcPr>
          <w:p>
            <w:pPr>
              <w:spacing w:after="0"/>
              <w:rPr>
                <w:sz w:val="20"/>
                <w:szCs w:val="20"/>
                <w:color w:val="auto"/>
              </w:rPr>
            </w:pPr>
            <w:r>
              <w:rPr>
                <w:rFonts w:ascii="Courier New" w:cs="Courier New" w:eastAsia="Courier New" w:hAnsi="Courier New"/>
                <w:sz w:val="13"/>
                <w:szCs w:val="13"/>
                <w:color w:val="auto"/>
              </w:rPr>
              <w:t>AA</w:t>
            </w:r>
          </w:p>
        </w:tc>
        <w:tc>
          <w:tcPr>
            <w:tcW w:w="42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Courier New" w:cs="Courier New" w:eastAsia="Courier New" w:hAnsi="Courier New"/>
                <w:sz w:val="13"/>
                <w:szCs w:val="13"/>
                <w:color w:val="auto"/>
              </w:rPr>
              <w:t>021</w:t>
            </w:r>
          </w:p>
        </w:tc>
        <w:tc>
          <w:tcPr>
            <w:tcW w:w="1080" w:type="dxa"/>
            <w:vAlign w:val="bottom"/>
          </w:tcPr>
          <w:p>
            <w:pPr>
              <w:jc w:val="right"/>
              <w:ind w:right="77"/>
              <w:spacing w:after="0"/>
              <w:rPr>
                <w:sz w:val="20"/>
                <w:szCs w:val="20"/>
                <w:color w:val="auto"/>
              </w:rPr>
            </w:pPr>
            <w:r>
              <w:rPr>
                <w:rFonts w:ascii="Courier New" w:cs="Courier New" w:eastAsia="Courier New" w:hAnsi="Courier New"/>
                <w:sz w:val="13"/>
                <w:szCs w:val="13"/>
                <w:color w:val="auto"/>
                <w:w w:val="98"/>
              </w:rPr>
              <w:t>202120222040</w:t>
            </w:r>
          </w:p>
        </w:tc>
        <w:tc>
          <w:tcPr>
            <w:tcW w:w="1780" w:type="dxa"/>
            <w:vAlign w:val="bottom"/>
            <w:gridSpan w:val="2"/>
          </w:tcPr>
          <w:p>
            <w:pPr>
              <w:ind w:left="140"/>
              <w:spacing w:after="0"/>
              <w:rPr>
                <w:sz w:val="20"/>
                <w:szCs w:val="20"/>
                <w:color w:val="auto"/>
              </w:rPr>
            </w:pPr>
            <w:r>
              <w:rPr>
                <w:rFonts w:ascii="Courier New" w:cs="Courier New" w:eastAsia="Courier New" w:hAnsi="Courier New"/>
                <w:sz w:val="13"/>
                <w:szCs w:val="13"/>
                <w:color w:val="auto"/>
              </w:rPr>
              <w:t>A5XAH 654807849FL8D</w:t>
            </w:r>
          </w:p>
        </w:tc>
        <w:tc>
          <w:tcPr>
            <w:tcW w:w="560" w:type="dxa"/>
            <w:vAlign w:val="bottom"/>
          </w:tcPr>
          <w:p>
            <w:pPr>
              <w:ind w:left="220"/>
              <w:spacing w:after="0"/>
              <w:rPr>
                <w:sz w:val="20"/>
                <w:szCs w:val="20"/>
                <w:color w:val="auto"/>
              </w:rPr>
            </w:pPr>
            <w:r>
              <w:rPr>
                <w:rFonts w:ascii="Courier New" w:cs="Courier New" w:eastAsia="Courier New" w:hAnsi="Courier New"/>
                <w:sz w:val="13"/>
                <w:szCs w:val="13"/>
                <w:color w:val="auto"/>
              </w:rPr>
              <w:t>255Y</w:t>
            </w:r>
          </w:p>
        </w:tc>
        <w:tc>
          <w:tcPr>
            <w:tcW w:w="1880" w:type="dxa"/>
            <w:vAlign w:val="bottom"/>
          </w:tcPr>
          <w:p>
            <w:pPr>
              <w:ind w:left="40"/>
              <w:spacing w:after="0"/>
              <w:rPr>
                <w:sz w:val="20"/>
                <w:szCs w:val="20"/>
                <w:color w:val="auto"/>
              </w:rPr>
            </w:pPr>
            <w:r>
              <w:rPr>
                <w:rFonts w:ascii="Courier New" w:cs="Courier New" w:eastAsia="Courier New" w:hAnsi="Courier New"/>
                <w:sz w:val="13"/>
                <w:szCs w:val="13"/>
                <w:color w:val="auto"/>
              </w:rPr>
              <w:t>L071413635</w:t>
            </w:r>
          </w:p>
        </w:tc>
        <w:tc>
          <w:tcPr>
            <w:tcW w:w="1540" w:type="dxa"/>
            <w:vAlign w:val="bottom"/>
          </w:tcPr>
          <w:p>
            <w:pPr>
              <w:jc w:val="right"/>
              <w:spacing w:after="0"/>
              <w:rPr>
                <w:sz w:val="20"/>
                <w:szCs w:val="20"/>
                <w:color w:val="auto"/>
              </w:rPr>
            </w:pPr>
            <w:r>
              <w:rPr>
                <w:rFonts w:ascii="Courier New" w:cs="Courier New" w:eastAsia="Courier New" w:hAnsi="Courier New"/>
                <w:sz w:val="13"/>
                <w:szCs w:val="13"/>
                <w:color w:val="auto"/>
              </w:rPr>
              <w:t>021001</w:t>
            </w:r>
          </w:p>
        </w:tc>
        <w:tc>
          <w:tcPr>
            <w:tcW w:w="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Courier New" w:cs="Courier New" w:eastAsia="Courier New" w:hAnsi="Courier New"/>
                <w:sz w:val="13"/>
                <w:szCs w:val="13"/>
                <w:color w:val="auto"/>
              </w:rPr>
              <w:t>[* * *]</w:t>
            </w:r>
          </w:p>
        </w:tc>
      </w:tr>
      <w:tr>
        <w:trPr>
          <w:trHeight w:val="148"/>
        </w:trPr>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40" w:type="dxa"/>
            <w:vAlign w:val="bottom"/>
            <w:gridSpan w:val="2"/>
          </w:tcPr>
          <w:p>
            <w:pPr>
              <w:ind w:left="220"/>
              <w:spacing w:after="0"/>
              <w:rPr>
                <w:sz w:val="20"/>
                <w:szCs w:val="20"/>
                <w:color w:val="auto"/>
              </w:rPr>
            </w:pPr>
            <w:r>
              <w:rPr>
                <w:rFonts w:ascii="Courier New" w:cs="Courier New" w:eastAsia="Courier New" w:hAnsi="Courier New"/>
                <w:sz w:val="13"/>
                <w:szCs w:val="13"/>
                <w:color w:val="auto"/>
              </w:rPr>
              <w:t>S.0074658.5.40</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03"/>
        </w:trPr>
        <w:tc>
          <w:tcPr>
            <w:tcW w:w="720" w:type="dxa"/>
            <w:vAlign w:val="bottom"/>
            <w:gridSpan w:val="2"/>
          </w:tcPr>
          <w:p>
            <w:pPr>
              <w:spacing w:after="0"/>
              <w:rPr>
                <w:sz w:val="20"/>
                <w:szCs w:val="20"/>
                <w:color w:val="auto"/>
              </w:rPr>
            </w:pPr>
            <w:r>
              <w:rPr>
                <w:rFonts w:ascii="Courier New" w:cs="Courier New" w:eastAsia="Courier New" w:hAnsi="Courier New"/>
                <w:sz w:val="13"/>
                <w:szCs w:val="13"/>
                <w:color w:val="auto"/>
              </w:rPr>
              <w:t>AB</w:t>
            </w:r>
          </w:p>
        </w:tc>
        <w:tc>
          <w:tcPr>
            <w:tcW w:w="260" w:type="dxa"/>
            <w:vAlign w:val="bottom"/>
          </w:tcPr>
          <w:p>
            <w:pPr>
              <w:spacing w:after="0"/>
              <w:rPr>
                <w:sz w:val="20"/>
                <w:szCs w:val="20"/>
                <w:color w:val="auto"/>
              </w:rPr>
            </w:pPr>
            <w:r>
              <w:rPr>
                <w:rFonts w:ascii="Courier New" w:cs="Courier New" w:eastAsia="Courier New" w:hAnsi="Courier New"/>
                <w:sz w:val="13"/>
                <w:szCs w:val="13"/>
                <w:color w:val="auto"/>
              </w:rPr>
              <w:t>021</w:t>
            </w:r>
          </w:p>
        </w:tc>
        <w:tc>
          <w:tcPr>
            <w:tcW w:w="1080" w:type="dxa"/>
            <w:vAlign w:val="bottom"/>
          </w:tcPr>
          <w:p>
            <w:pPr>
              <w:jc w:val="right"/>
              <w:ind w:right="77"/>
              <w:spacing w:after="0"/>
              <w:rPr>
                <w:sz w:val="20"/>
                <w:szCs w:val="20"/>
                <w:color w:val="auto"/>
              </w:rPr>
            </w:pPr>
            <w:r>
              <w:rPr>
                <w:rFonts w:ascii="Courier New" w:cs="Courier New" w:eastAsia="Courier New" w:hAnsi="Courier New"/>
                <w:sz w:val="13"/>
                <w:szCs w:val="13"/>
                <w:color w:val="auto"/>
                <w:w w:val="98"/>
              </w:rPr>
              <w:t>202120222040</w:t>
            </w:r>
          </w:p>
        </w:tc>
        <w:tc>
          <w:tcPr>
            <w:tcW w:w="1780" w:type="dxa"/>
            <w:vAlign w:val="bottom"/>
            <w:gridSpan w:val="2"/>
          </w:tcPr>
          <w:p>
            <w:pPr>
              <w:ind w:left="140"/>
              <w:spacing w:after="0"/>
              <w:rPr>
                <w:sz w:val="20"/>
                <w:szCs w:val="20"/>
                <w:color w:val="auto"/>
              </w:rPr>
            </w:pPr>
            <w:r>
              <w:rPr>
                <w:rFonts w:ascii="Courier New" w:cs="Courier New" w:eastAsia="Courier New" w:hAnsi="Courier New"/>
                <w:sz w:val="13"/>
                <w:szCs w:val="13"/>
                <w:color w:val="auto"/>
              </w:rPr>
              <w:t>A5XAH 654807849FL8D</w:t>
            </w:r>
          </w:p>
        </w:tc>
        <w:tc>
          <w:tcPr>
            <w:tcW w:w="560" w:type="dxa"/>
            <w:vAlign w:val="bottom"/>
          </w:tcPr>
          <w:p>
            <w:pPr>
              <w:ind w:left="220"/>
              <w:spacing w:after="0"/>
              <w:rPr>
                <w:sz w:val="20"/>
                <w:szCs w:val="20"/>
                <w:color w:val="auto"/>
              </w:rPr>
            </w:pPr>
            <w:r>
              <w:rPr>
                <w:rFonts w:ascii="Courier New" w:cs="Courier New" w:eastAsia="Courier New" w:hAnsi="Courier New"/>
                <w:sz w:val="13"/>
                <w:szCs w:val="13"/>
                <w:color w:val="auto"/>
              </w:rPr>
              <w:t>255Y</w:t>
            </w:r>
          </w:p>
        </w:tc>
        <w:tc>
          <w:tcPr>
            <w:tcW w:w="1880" w:type="dxa"/>
            <w:vAlign w:val="bottom"/>
          </w:tcPr>
          <w:p>
            <w:pPr>
              <w:ind w:left="40"/>
              <w:spacing w:after="0"/>
              <w:rPr>
                <w:sz w:val="20"/>
                <w:szCs w:val="20"/>
                <w:color w:val="auto"/>
              </w:rPr>
            </w:pPr>
            <w:r>
              <w:rPr>
                <w:rFonts w:ascii="Courier New" w:cs="Courier New" w:eastAsia="Courier New" w:hAnsi="Courier New"/>
                <w:sz w:val="13"/>
                <w:szCs w:val="13"/>
                <w:color w:val="auto"/>
              </w:rPr>
              <w:t>L071414381</w:t>
            </w:r>
          </w:p>
        </w:tc>
        <w:tc>
          <w:tcPr>
            <w:tcW w:w="1540" w:type="dxa"/>
            <w:vAlign w:val="bottom"/>
          </w:tcPr>
          <w:p>
            <w:pPr>
              <w:jc w:val="right"/>
              <w:spacing w:after="0"/>
              <w:rPr>
                <w:sz w:val="20"/>
                <w:szCs w:val="20"/>
                <w:color w:val="auto"/>
              </w:rPr>
            </w:pPr>
            <w:r>
              <w:rPr>
                <w:rFonts w:ascii="Courier New" w:cs="Courier New" w:eastAsia="Courier New" w:hAnsi="Courier New"/>
                <w:sz w:val="13"/>
                <w:szCs w:val="13"/>
                <w:color w:val="auto"/>
              </w:rPr>
              <w:t>021001</w:t>
            </w:r>
          </w:p>
        </w:tc>
        <w:tc>
          <w:tcPr>
            <w:tcW w:w="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Courier New" w:cs="Courier New" w:eastAsia="Courier New" w:hAnsi="Courier New"/>
                <w:sz w:val="13"/>
                <w:szCs w:val="13"/>
                <w:color w:val="auto"/>
              </w:rPr>
              <w:t>[* * *]</w:t>
            </w:r>
          </w:p>
        </w:tc>
      </w:tr>
      <w:tr>
        <w:trPr>
          <w:trHeight w:val="148"/>
        </w:trPr>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40" w:type="dxa"/>
            <w:vAlign w:val="bottom"/>
            <w:gridSpan w:val="2"/>
          </w:tcPr>
          <w:p>
            <w:pPr>
              <w:ind w:left="220"/>
              <w:spacing w:after="0"/>
              <w:rPr>
                <w:sz w:val="20"/>
                <w:szCs w:val="20"/>
                <w:color w:val="auto"/>
              </w:rPr>
            </w:pPr>
            <w:r>
              <w:rPr>
                <w:rFonts w:ascii="Courier New" w:cs="Courier New" w:eastAsia="Courier New" w:hAnsi="Courier New"/>
                <w:sz w:val="13"/>
                <w:szCs w:val="13"/>
                <w:color w:val="auto"/>
              </w:rPr>
              <w:t>S.0074658.5.40.1</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0"/>
        </w:trPr>
        <w:tc>
          <w:tcPr>
            <w:tcW w:w="720" w:type="dxa"/>
            <w:vAlign w:val="bottom"/>
            <w:gridSpan w:val="2"/>
          </w:tcPr>
          <w:p>
            <w:pPr>
              <w:spacing w:after="0"/>
              <w:rPr>
                <w:sz w:val="20"/>
                <w:szCs w:val="20"/>
                <w:color w:val="auto"/>
              </w:rPr>
            </w:pPr>
            <w:r>
              <w:rPr>
                <w:rFonts w:ascii="Courier New" w:cs="Courier New" w:eastAsia="Courier New" w:hAnsi="Courier New"/>
                <w:sz w:val="13"/>
                <w:szCs w:val="13"/>
                <w:color w:val="auto"/>
              </w:rPr>
              <w:t>AC</w:t>
            </w:r>
          </w:p>
        </w:tc>
        <w:tc>
          <w:tcPr>
            <w:tcW w:w="260" w:type="dxa"/>
            <w:vAlign w:val="bottom"/>
          </w:tcPr>
          <w:p>
            <w:pPr>
              <w:spacing w:after="0"/>
              <w:rPr>
                <w:sz w:val="20"/>
                <w:szCs w:val="20"/>
                <w:color w:val="auto"/>
              </w:rPr>
            </w:pPr>
            <w:r>
              <w:rPr>
                <w:rFonts w:ascii="Courier New" w:cs="Courier New" w:eastAsia="Courier New" w:hAnsi="Courier New"/>
                <w:sz w:val="13"/>
                <w:szCs w:val="13"/>
                <w:color w:val="auto"/>
              </w:rPr>
              <w:t>021</w:t>
            </w:r>
          </w:p>
        </w:tc>
        <w:tc>
          <w:tcPr>
            <w:tcW w:w="1080" w:type="dxa"/>
            <w:vAlign w:val="bottom"/>
          </w:tcPr>
          <w:p>
            <w:pPr>
              <w:jc w:val="right"/>
              <w:ind w:right="77"/>
              <w:spacing w:after="0"/>
              <w:rPr>
                <w:sz w:val="20"/>
                <w:szCs w:val="20"/>
                <w:color w:val="auto"/>
              </w:rPr>
            </w:pPr>
            <w:r>
              <w:rPr>
                <w:rFonts w:ascii="Courier New" w:cs="Courier New" w:eastAsia="Courier New" w:hAnsi="Courier New"/>
                <w:sz w:val="13"/>
                <w:szCs w:val="13"/>
                <w:color w:val="auto"/>
                <w:w w:val="98"/>
              </w:rPr>
              <w:t>202120222040</w:t>
            </w:r>
          </w:p>
        </w:tc>
        <w:tc>
          <w:tcPr>
            <w:tcW w:w="1780" w:type="dxa"/>
            <w:vAlign w:val="bottom"/>
            <w:gridSpan w:val="2"/>
          </w:tcPr>
          <w:p>
            <w:pPr>
              <w:ind w:left="140"/>
              <w:spacing w:after="0"/>
              <w:rPr>
                <w:sz w:val="20"/>
                <w:szCs w:val="20"/>
                <w:color w:val="auto"/>
              </w:rPr>
            </w:pPr>
            <w:r>
              <w:rPr>
                <w:rFonts w:ascii="Courier New" w:cs="Courier New" w:eastAsia="Courier New" w:hAnsi="Courier New"/>
                <w:sz w:val="13"/>
                <w:szCs w:val="13"/>
                <w:color w:val="auto"/>
              </w:rPr>
              <w:t>A5XAH 654807849FL8D</w:t>
            </w:r>
          </w:p>
        </w:tc>
        <w:tc>
          <w:tcPr>
            <w:tcW w:w="560" w:type="dxa"/>
            <w:vAlign w:val="bottom"/>
          </w:tcPr>
          <w:p>
            <w:pPr>
              <w:ind w:left="220"/>
              <w:spacing w:after="0"/>
              <w:rPr>
                <w:sz w:val="20"/>
                <w:szCs w:val="20"/>
                <w:color w:val="auto"/>
              </w:rPr>
            </w:pPr>
            <w:r>
              <w:rPr>
                <w:rFonts w:ascii="Courier New" w:cs="Courier New" w:eastAsia="Courier New" w:hAnsi="Courier New"/>
                <w:sz w:val="13"/>
                <w:szCs w:val="13"/>
                <w:color w:val="auto"/>
              </w:rPr>
              <w:t>255Y</w:t>
            </w:r>
          </w:p>
        </w:tc>
        <w:tc>
          <w:tcPr>
            <w:tcW w:w="1880" w:type="dxa"/>
            <w:vAlign w:val="bottom"/>
          </w:tcPr>
          <w:p>
            <w:pPr>
              <w:ind w:left="40"/>
              <w:spacing w:after="0"/>
              <w:rPr>
                <w:sz w:val="20"/>
                <w:szCs w:val="20"/>
                <w:color w:val="auto"/>
              </w:rPr>
            </w:pPr>
            <w:r>
              <w:rPr>
                <w:rFonts w:ascii="Courier New" w:cs="Courier New" w:eastAsia="Courier New" w:hAnsi="Courier New"/>
                <w:sz w:val="13"/>
                <w:szCs w:val="13"/>
                <w:color w:val="auto"/>
              </w:rPr>
              <w:t>L071414544</w:t>
            </w:r>
          </w:p>
        </w:tc>
        <w:tc>
          <w:tcPr>
            <w:tcW w:w="1540" w:type="dxa"/>
            <w:vAlign w:val="bottom"/>
          </w:tcPr>
          <w:p>
            <w:pPr>
              <w:jc w:val="right"/>
              <w:spacing w:after="0"/>
              <w:rPr>
                <w:sz w:val="20"/>
                <w:szCs w:val="20"/>
                <w:color w:val="auto"/>
              </w:rPr>
            </w:pPr>
            <w:r>
              <w:rPr>
                <w:rFonts w:ascii="Courier New" w:cs="Courier New" w:eastAsia="Courier New" w:hAnsi="Courier New"/>
                <w:sz w:val="13"/>
                <w:szCs w:val="13"/>
                <w:color w:val="auto"/>
              </w:rPr>
              <w:t>021001</w:t>
            </w:r>
          </w:p>
        </w:tc>
        <w:tc>
          <w:tcPr>
            <w:tcW w:w="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Courier New" w:cs="Courier New" w:eastAsia="Courier New" w:hAnsi="Courier New"/>
                <w:sz w:val="13"/>
                <w:szCs w:val="13"/>
                <w:color w:val="auto"/>
              </w:rPr>
              <w:t>[* * *]</w:t>
            </w:r>
          </w:p>
        </w:tc>
      </w:tr>
      <w:tr>
        <w:trPr>
          <w:trHeight w:val="141"/>
        </w:trPr>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40" w:type="dxa"/>
            <w:vAlign w:val="bottom"/>
            <w:gridSpan w:val="2"/>
          </w:tcPr>
          <w:p>
            <w:pPr>
              <w:ind w:left="220"/>
              <w:spacing w:after="0" w:line="141" w:lineRule="exact"/>
              <w:rPr>
                <w:sz w:val="20"/>
                <w:szCs w:val="20"/>
                <w:color w:val="auto"/>
              </w:rPr>
            </w:pPr>
            <w:r>
              <w:rPr>
                <w:rFonts w:ascii="Courier New" w:cs="Courier New" w:eastAsia="Courier New" w:hAnsi="Courier New"/>
                <w:sz w:val="13"/>
                <w:szCs w:val="13"/>
                <w:color w:val="auto"/>
              </w:rPr>
              <w:t>S.0074658.5.40.2</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03"/>
        </w:trPr>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40" w:type="dxa"/>
            <w:vAlign w:val="bottom"/>
          </w:tcPr>
          <w:p>
            <w:pPr>
              <w:jc w:val="right"/>
              <w:ind w:right="97"/>
              <w:spacing w:after="0"/>
              <w:rPr>
                <w:sz w:val="20"/>
                <w:szCs w:val="20"/>
                <w:color w:val="auto"/>
              </w:rPr>
            </w:pPr>
            <w:r>
              <w:rPr>
                <w:rFonts w:ascii="Courier New" w:cs="Courier New" w:eastAsia="Courier New" w:hAnsi="Courier New"/>
                <w:sz w:val="13"/>
                <w:szCs w:val="13"/>
                <w:color w:val="auto"/>
              </w:rPr>
              <w:t>TOTAL</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420" w:type="dxa"/>
            <w:vAlign w:val="bottom"/>
            <w:gridSpan w:val="2"/>
          </w:tcPr>
          <w:p>
            <w:pPr>
              <w:jc w:val="right"/>
              <w:ind w:right="180"/>
              <w:spacing w:after="0"/>
              <w:rPr>
                <w:sz w:val="20"/>
                <w:szCs w:val="20"/>
                <w:color w:val="auto"/>
              </w:rPr>
            </w:pPr>
            <w:r>
              <w:rPr>
                <w:rFonts w:ascii="Courier New" w:cs="Courier New" w:eastAsia="Courier New" w:hAnsi="Courier New"/>
                <w:sz w:val="13"/>
                <w:szCs w:val="13"/>
                <w:color w:val="auto"/>
                <w:w w:val="97"/>
              </w:rPr>
              <w:t>2,625,000,000.00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47"/>
        </w:trPr>
        <w:tc>
          <w:tcPr>
            <w:tcW w:w="760" w:type="dxa"/>
            <w:vAlign w:val="bottom"/>
            <w:gridSpan w:val="2"/>
          </w:tcPr>
          <w:p>
            <w:pPr>
              <w:spacing w:after="0"/>
              <w:rPr>
                <w:sz w:val="20"/>
                <w:szCs w:val="20"/>
                <w:color w:val="auto"/>
              </w:rPr>
            </w:pPr>
            <w:r>
              <w:rPr>
                <w:rFonts w:ascii="Courier New" w:cs="Courier New" w:eastAsia="Courier New" w:hAnsi="Courier New"/>
                <w:sz w:val="13"/>
                <w:szCs w:val="13"/>
                <w:color w:val="auto"/>
              </w:rPr>
              <w:t>LINE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6"/>
            <w:vMerge w:val="restart"/>
          </w:tcPr>
          <w:p>
            <w:pPr>
              <w:spacing w:after="0"/>
              <w:rPr>
                <w:sz w:val="20"/>
                <w:szCs w:val="20"/>
                <w:color w:val="auto"/>
              </w:rPr>
            </w:pPr>
            <w:r>
              <w:rPr>
                <w:rFonts w:ascii="Courier New" w:cs="Courier New" w:eastAsia="Courier New" w:hAnsi="Courier New"/>
                <w:sz w:val="13"/>
                <w:szCs w:val="13"/>
                <w:color w:val="auto"/>
              </w:rPr>
              <w:t>EDI/SFIS ACCOUNTING CLASSIFICATION</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300" w:type="dxa"/>
            <w:vAlign w:val="bottom"/>
          </w:tcPr>
          <w:p>
            <w:pPr>
              <w:spacing w:after="0" w:line="93" w:lineRule="exact"/>
              <w:rPr>
                <w:sz w:val="20"/>
                <w:szCs w:val="20"/>
                <w:color w:val="auto"/>
              </w:rPr>
            </w:pPr>
            <w:r>
              <w:rPr>
                <w:rFonts w:ascii="Courier New" w:cs="Courier New" w:eastAsia="Courier New" w:hAnsi="Courier New"/>
                <w:sz w:val="10"/>
                <w:szCs w:val="10"/>
                <w:color w:val="auto"/>
              </w:rPr>
              <w:t>ITEM</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gridSpan w:val="2"/>
          </w:tcPr>
          <w:p>
            <w:pPr>
              <w:jc w:val="right"/>
              <w:ind w:right="180"/>
              <w:spacing w:after="0" w:line="93" w:lineRule="exact"/>
              <w:rPr>
                <w:sz w:val="20"/>
                <w:szCs w:val="20"/>
                <w:color w:val="auto"/>
              </w:rPr>
            </w:pPr>
            <w:r>
              <w:rPr>
                <w:rFonts w:ascii="Courier New" w:cs="Courier New" w:eastAsia="Courier New" w:hAnsi="Courier New"/>
                <w:sz w:val="10"/>
                <w:szCs w:val="10"/>
                <w:color w:val="auto"/>
              </w:rPr>
              <w:t>ACRN</w:t>
            </w:r>
          </w:p>
        </w:tc>
        <w:tc>
          <w:tcPr>
            <w:tcW w:w="280" w:type="dxa"/>
            <w:vAlign w:val="bottom"/>
          </w:tcPr>
          <w:p>
            <w:pPr>
              <w:spacing w:after="0"/>
              <w:rPr>
                <w:sz w:val="9"/>
                <w:szCs w:val="9"/>
                <w:color w:val="auto"/>
              </w:rPr>
            </w:pPr>
          </w:p>
        </w:tc>
        <w:tc>
          <w:tcPr>
            <w:tcW w:w="3300" w:type="dxa"/>
            <w:vAlign w:val="bottom"/>
            <w:gridSpan w:val="6"/>
            <w:vMerge w:val="continue"/>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gridSpan w:val="2"/>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60" w:type="dxa"/>
            <w:vAlign w:val="bottom"/>
            <w:gridSpan w:val="2"/>
          </w:tcPr>
          <w:p>
            <w:pPr>
              <w:spacing w:after="0"/>
              <w:rPr>
                <w:sz w:val="20"/>
                <w:szCs w:val="20"/>
                <w:color w:val="auto"/>
              </w:rPr>
            </w:pPr>
            <w:r>
              <w:rPr>
                <w:rFonts w:ascii="Courier New" w:cs="Courier New" w:eastAsia="Courier New" w:hAnsi="Courier New"/>
                <w:sz w:val="13"/>
                <w:szCs w:val="13"/>
                <w:color w:val="auto"/>
              </w:rPr>
              <w:t>0001AA</w:t>
            </w:r>
          </w:p>
        </w:tc>
        <w:tc>
          <w:tcPr>
            <w:tcW w:w="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Courier New" w:cs="Courier New" w:eastAsia="Courier New" w:hAnsi="Courier New"/>
                <w:sz w:val="13"/>
                <w:szCs w:val="13"/>
                <w:color w:val="auto"/>
              </w:rPr>
              <w:t>AA</w:t>
            </w:r>
          </w:p>
        </w:tc>
        <w:tc>
          <w:tcPr>
            <w:tcW w:w="4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021</w:t>
            </w:r>
          </w:p>
        </w:tc>
        <w:tc>
          <w:tcPr>
            <w:tcW w:w="1260" w:type="dxa"/>
            <w:vAlign w:val="bottom"/>
            <w:gridSpan w:val="2"/>
          </w:tcPr>
          <w:p>
            <w:pPr>
              <w:jc w:val="right"/>
              <w:ind w:right="257"/>
              <w:spacing w:after="0"/>
              <w:rPr>
                <w:sz w:val="20"/>
                <w:szCs w:val="20"/>
                <w:color w:val="auto"/>
              </w:rPr>
            </w:pPr>
            <w:r>
              <w:rPr>
                <w:rFonts w:ascii="Courier New" w:cs="Courier New" w:eastAsia="Courier New" w:hAnsi="Courier New"/>
                <w:sz w:val="13"/>
                <w:szCs w:val="13"/>
                <w:color w:val="auto"/>
                <w:w w:val="98"/>
              </w:rPr>
              <w:t>202120222040</w:t>
            </w:r>
          </w:p>
        </w:tc>
        <w:tc>
          <w:tcPr>
            <w:tcW w:w="1900" w:type="dxa"/>
            <w:vAlign w:val="bottom"/>
            <w:gridSpan w:val="3"/>
          </w:tcPr>
          <w:p>
            <w:pPr>
              <w:ind w:left="300"/>
              <w:spacing w:after="0"/>
              <w:rPr>
                <w:sz w:val="20"/>
                <w:szCs w:val="20"/>
                <w:color w:val="auto"/>
              </w:rPr>
            </w:pPr>
            <w:r>
              <w:rPr>
                <w:rFonts w:ascii="Courier New" w:cs="Courier New" w:eastAsia="Courier New" w:hAnsi="Courier New"/>
                <w:sz w:val="13"/>
                <w:szCs w:val="13"/>
                <w:color w:val="auto"/>
              </w:rPr>
              <w:t>A5XAH 654807849FL8D</w:t>
            </w:r>
          </w:p>
        </w:tc>
        <w:tc>
          <w:tcPr>
            <w:tcW w:w="520" w:type="dxa"/>
            <w:vAlign w:val="bottom"/>
          </w:tcPr>
          <w:p>
            <w:pPr>
              <w:ind w:left="180"/>
              <w:spacing w:after="0"/>
              <w:rPr>
                <w:sz w:val="20"/>
                <w:szCs w:val="20"/>
                <w:color w:val="auto"/>
              </w:rPr>
            </w:pPr>
            <w:r>
              <w:rPr>
                <w:rFonts w:ascii="Courier New" w:cs="Courier New" w:eastAsia="Courier New" w:hAnsi="Courier New"/>
                <w:sz w:val="13"/>
                <w:szCs w:val="13"/>
                <w:color w:val="auto"/>
              </w:rPr>
              <w:t>255Y</w:t>
            </w:r>
          </w:p>
        </w:tc>
        <w:tc>
          <w:tcPr>
            <w:tcW w:w="820" w:type="dxa"/>
            <w:vAlign w:val="bottom"/>
          </w:tcPr>
          <w:p>
            <w:pPr>
              <w:ind w:left="20"/>
              <w:spacing w:after="0"/>
              <w:rPr>
                <w:sz w:val="20"/>
                <w:szCs w:val="20"/>
                <w:color w:val="auto"/>
              </w:rPr>
            </w:pPr>
            <w:r>
              <w:rPr>
                <w:rFonts w:ascii="Courier New" w:cs="Courier New" w:eastAsia="Courier New" w:hAnsi="Courier New"/>
                <w:sz w:val="13"/>
                <w:szCs w:val="13"/>
                <w:color w:val="auto"/>
                <w:w w:val="99"/>
              </w:rPr>
              <w:t>L071413635</w:t>
            </w:r>
          </w:p>
        </w:tc>
        <w:tc>
          <w:tcPr>
            <w:tcW w:w="230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S.0074658.5.40</w:t>
            </w:r>
          </w:p>
        </w:tc>
        <w:tc>
          <w:tcPr>
            <w:tcW w:w="1520" w:type="dxa"/>
            <w:vAlign w:val="bottom"/>
          </w:tcPr>
          <w:p>
            <w:pPr>
              <w:jc w:val="right"/>
              <w:spacing w:after="0"/>
              <w:rPr>
                <w:sz w:val="20"/>
                <w:szCs w:val="20"/>
                <w:color w:val="auto"/>
              </w:rPr>
            </w:pPr>
            <w:r>
              <w:rPr>
                <w:rFonts w:ascii="Courier New" w:cs="Courier New" w:eastAsia="Courier New" w:hAnsi="Courier New"/>
                <w:sz w:val="13"/>
                <w:szCs w:val="13"/>
                <w:color w:val="auto"/>
              </w:rPr>
              <w:t>021001</w:t>
            </w:r>
          </w:p>
        </w:tc>
        <w:tc>
          <w:tcPr>
            <w:tcW w:w="0" w:type="dxa"/>
            <w:vAlign w:val="bottom"/>
          </w:tcPr>
          <w:p>
            <w:pPr>
              <w:spacing w:after="0"/>
              <w:rPr>
                <w:sz w:val="1"/>
                <w:szCs w:val="1"/>
                <w:color w:val="auto"/>
              </w:rPr>
            </w:pPr>
          </w:p>
        </w:tc>
      </w:tr>
      <w:tr>
        <w:trPr>
          <w:trHeight w:val="203"/>
        </w:trPr>
        <w:tc>
          <w:tcPr>
            <w:tcW w:w="760" w:type="dxa"/>
            <w:vAlign w:val="bottom"/>
            <w:gridSpan w:val="2"/>
          </w:tcPr>
          <w:p>
            <w:pPr>
              <w:spacing w:after="0"/>
              <w:rPr>
                <w:sz w:val="20"/>
                <w:szCs w:val="20"/>
                <w:color w:val="auto"/>
              </w:rPr>
            </w:pPr>
            <w:r>
              <w:rPr>
                <w:rFonts w:ascii="Courier New" w:cs="Courier New" w:eastAsia="Courier New" w:hAnsi="Courier New"/>
                <w:sz w:val="13"/>
                <w:szCs w:val="13"/>
                <w:color w:val="auto"/>
              </w:rPr>
              <w:t>0001AB</w:t>
            </w:r>
          </w:p>
        </w:tc>
        <w:tc>
          <w:tcPr>
            <w:tcW w:w="2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Courier New" w:cs="Courier New" w:eastAsia="Courier New" w:hAnsi="Courier New"/>
                <w:sz w:val="13"/>
                <w:szCs w:val="13"/>
                <w:color w:val="auto"/>
              </w:rPr>
              <w:t>AB</w:t>
            </w:r>
          </w:p>
        </w:tc>
        <w:tc>
          <w:tcPr>
            <w:tcW w:w="4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021</w:t>
            </w:r>
          </w:p>
        </w:tc>
        <w:tc>
          <w:tcPr>
            <w:tcW w:w="1260" w:type="dxa"/>
            <w:vAlign w:val="bottom"/>
            <w:gridSpan w:val="2"/>
          </w:tcPr>
          <w:p>
            <w:pPr>
              <w:jc w:val="right"/>
              <w:ind w:right="257"/>
              <w:spacing w:after="0"/>
              <w:rPr>
                <w:sz w:val="20"/>
                <w:szCs w:val="20"/>
                <w:color w:val="auto"/>
              </w:rPr>
            </w:pPr>
            <w:r>
              <w:rPr>
                <w:rFonts w:ascii="Courier New" w:cs="Courier New" w:eastAsia="Courier New" w:hAnsi="Courier New"/>
                <w:sz w:val="13"/>
                <w:szCs w:val="13"/>
                <w:color w:val="auto"/>
                <w:w w:val="98"/>
              </w:rPr>
              <w:t>202120222040</w:t>
            </w:r>
          </w:p>
        </w:tc>
        <w:tc>
          <w:tcPr>
            <w:tcW w:w="1900" w:type="dxa"/>
            <w:vAlign w:val="bottom"/>
            <w:gridSpan w:val="3"/>
          </w:tcPr>
          <w:p>
            <w:pPr>
              <w:ind w:left="300"/>
              <w:spacing w:after="0"/>
              <w:rPr>
                <w:sz w:val="20"/>
                <w:szCs w:val="20"/>
                <w:color w:val="auto"/>
              </w:rPr>
            </w:pPr>
            <w:r>
              <w:rPr>
                <w:rFonts w:ascii="Courier New" w:cs="Courier New" w:eastAsia="Courier New" w:hAnsi="Courier New"/>
                <w:sz w:val="13"/>
                <w:szCs w:val="13"/>
                <w:color w:val="auto"/>
              </w:rPr>
              <w:t>A5XAH 654807849FL8D</w:t>
            </w:r>
          </w:p>
        </w:tc>
        <w:tc>
          <w:tcPr>
            <w:tcW w:w="520" w:type="dxa"/>
            <w:vAlign w:val="bottom"/>
          </w:tcPr>
          <w:p>
            <w:pPr>
              <w:ind w:left="180"/>
              <w:spacing w:after="0"/>
              <w:rPr>
                <w:sz w:val="20"/>
                <w:szCs w:val="20"/>
                <w:color w:val="auto"/>
              </w:rPr>
            </w:pPr>
            <w:r>
              <w:rPr>
                <w:rFonts w:ascii="Courier New" w:cs="Courier New" w:eastAsia="Courier New" w:hAnsi="Courier New"/>
                <w:sz w:val="13"/>
                <w:szCs w:val="13"/>
                <w:color w:val="auto"/>
              </w:rPr>
              <w:t>255Y</w:t>
            </w:r>
          </w:p>
        </w:tc>
        <w:tc>
          <w:tcPr>
            <w:tcW w:w="820" w:type="dxa"/>
            <w:vAlign w:val="bottom"/>
          </w:tcPr>
          <w:p>
            <w:pPr>
              <w:ind w:left="20"/>
              <w:spacing w:after="0"/>
              <w:rPr>
                <w:sz w:val="20"/>
                <w:szCs w:val="20"/>
                <w:color w:val="auto"/>
              </w:rPr>
            </w:pPr>
            <w:r>
              <w:rPr>
                <w:rFonts w:ascii="Courier New" w:cs="Courier New" w:eastAsia="Courier New" w:hAnsi="Courier New"/>
                <w:sz w:val="13"/>
                <w:szCs w:val="13"/>
                <w:color w:val="auto"/>
                <w:w w:val="99"/>
              </w:rPr>
              <w:t>L071414381</w:t>
            </w:r>
          </w:p>
        </w:tc>
        <w:tc>
          <w:tcPr>
            <w:tcW w:w="230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S.0074658.5.40.1</w:t>
            </w:r>
          </w:p>
        </w:tc>
        <w:tc>
          <w:tcPr>
            <w:tcW w:w="1520" w:type="dxa"/>
            <w:vAlign w:val="bottom"/>
          </w:tcPr>
          <w:p>
            <w:pPr>
              <w:jc w:val="right"/>
              <w:spacing w:after="0"/>
              <w:rPr>
                <w:sz w:val="20"/>
                <w:szCs w:val="20"/>
                <w:color w:val="auto"/>
              </w:rPr>
            </w:pPr>
            <w:r>
              <w:rPr>
                <w:rFonts w:ascii="Courier New" w:cs="Courier New" w:eastAsia="Courier New" w:hAnsi="Courier New"/>
                <w:sz w:val="13"/>
                <w:szCs w:val="13"/>
                <w:color w:val="auto"/>
              </w:rPr>
              <w:t>021001</w:t>
            </w:r>
          </w:p>
        </w:tc>
        <w:tc>
          <w:tcPr>
            <w:tcW w:w="0" w:type="dxa"/>
            <w:vAlign w:val="bottom"/>
          </w:tcPr>
          <w:p>
            <w:pPr>
              <w:spacing w:after="0"/>
              <w:rPr>
                <w:sz w:val="1"/>
                <w:szCs w:val="1"/>
                <w:color w:val="auto"/>
              </w:rPr>
            </w:pPr>
          </w:p>
        </w:tc>
      </w:tr>
      <w:tr>
        <w:trPr>
          <w:trHeight w:val="203"/>
        </w:trPr>
        <w:tc>
          <w:tcPr>
            <w:tcW w:w="760" w:type="dxa"/>
            <w:vAlign w:val="bottom"/>
            <w:gridSpan w:val="2"/>
          </w:tcPr>
          <w:p>
            <w:pPr>
              <w:spacing w:after="0"/>
              <w:rPr>
                <w:sz w:val="20"/>
                <w:szCs w:val="20"/>
                <w:color w:val="auto"/>
              </w:rPr>
            </w:pPr>
            <w:r>
              <w:rPr>
                <w:rFonts w:ascii="Courier New" w:cs="Courier New" w:eastAsia="Courier New" w:hAnsi="Courier New"/>
                <w:sz w:val="13"/>
                <w:szCs w:val="13"/>
                <w:color w:val="auto"/>
              </w:rPr>
              <w:t>0001AC</w:t>
            </w:r>
          </w:p>
        </w:tc>
        <w:tc>
          <w:tcPr>
            <w:tcW w:w="2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Courier New" w:cs="Courier New" w:eastAsia="Courier New" w:hAnsi="Courier New"/>
                <w:sz w:val="13"/>
                <w:szCs w:val="13"/>
                <w:color w:val="auto"/>
              </w:rPr>
              <w:t>AC</w:t>
            </w:r>
          </w:p>
        </w:tc>
        <w:tc>
          <w:tcPr>
            <w:tcW w:w="4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021</w:t>
            </w:r>
          </w:p>
        </w:tc>
        <w:tc>
          <w:tcPr>
            <w:tcW w:w="1260" w:type="dxa"/>
            <w:vAlign w:val="bottom"/>
            <w:gridSpan w:val="2"/>
          </w:tcPr>
          <w:p>
            <w:pPr>
              <w:jc w:val="right"/>
              <w:ind w:right="257"/>
              <w:spacing w:after="0"/>
              <w:rPr>
                <w:sz w:val="20"/>
                <w:szCs w:val="20"/>
                <w:color w:val="auto"/>
              </w:rPr>
            </w:pPr>
            <w:r>
              <w:rPr>
                <w:rFonts w:ascii="Courier New" w:cs="Courier New" w:eastAsia="Courier New" w:hAnsi="Courier New"/>
                <w:sz w:val="13"/>
                <w:szCs w:val="13"/>
                <w:color w:val="auto"/>
                <w:w w:val="98"/>
              </w:rPr>
              <w:t>202120222040</w:t>
            </w:r>
          </w:p>
        </w:tc>
        <w:tc>
          <w:tcPr>
            <w:tcW w:w="1900" w:type="dxa"/>
            <w:vAlign w:val="bottom"/>
            <w:gridSpan w:val="3"/>
          </w:tcPr>
          <w:p>
            <w:pPr>
              <w:ind w:left="300"/>
              <w:spacing w:after="0"/>
              <w:rPr>
                <w:sz w:val="20"/>
                <w:szCs w:val="20"/>
                <w:color w:val="auto"/>
              </w:rPr>
            </w:pPr>
            <w:r>
              <w:rPr>
                <w:rFonts w:ascii="Courier New" w:cs="Courier New" w:eastAsia="Courier New" w:hAnsi="Courier New"/>
                <w:sz w:val="13"/>
                <w:szCs w:val="13"/>
                <w:color w:val="auto"/>
              </w:rPr>
              <w:t>A5XAH 654807849FL8D</w:t>
            </w:r>
          </w:p>
        </w:tc>
        <w:tc>
          <w:tcPr>
            <w:tcW w:w="520" w:type="dxa"/>
            <w:vAlign w:val="bottom"/>
          </w:tcPr>
          <w:p>
            <w:pPr>
              <w:ind w:left="180"/>
              <w:spacing w:after="0"/>
              <w:rPr>
                <w:sz w:val="20"/>
                <w:szCs w:val="20"/>
                <w:color w:val="auto"/>
              </w:rPr>
            </w:pPr>
            <w:r>
              <w:rPr>
                <w:rFonts w:ascii="Courier New" w:cs="Courier New" w:eastAsia="Courier New" w:hAnsi="Courier New"/>
                <w:sz w:val="13"/>
                <w:szCs w:val="13"/>
                <w:color w:val="auto"/>
              </w:rPr>
              <w:t>255Y</w:t>
            </w:r>
          </w:p>
        </w:tc>
        <w:tc>
          <w:tcPr>
            <w:tcW w:w="820" w:type="dxa"/>
            <w:vAlign w:val="bottom"/>
          </w:tcPr>
          <w:p>
            <w:pPr>
              <w:ind w:left="20"/>
              <w:spacing w:after="0"/>
              <w:rPr>
                <w:sz w:val="20"/>
                <w:szCs w:val="20"/>
                <w:color w:val="auto"/>
              </w:rPr>
            </w:pPr>
            <w:r>
              <w:rPr>
                <w:rFonts w:ascii="Courier New" w:cs="Courier New" w:eastAsia="Courier New" w:hAnsi="Courier New"/>
                <w:sz w:val="13"/>
                <w:szCs w:val="13"/>
                <w:color w:val="auto"/>
                <w:w w:val="99"/>
              </w:rPr>
              <w:t>L071414544</w:t>
            </w:r>
          </w:p>
        </w:tc>
        <w:tc>
          <w:tcPr>
            <w:tcW w:w="230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S.0074658.5.40.2</w:t>
            </w:r>
          </w:p>
        </w:tc>
        <w:tc>
          <w:tcPr>
            <w:tcW w:w="1520" w:type="dxa"/>
            <w:vAlign w:val="bottom"/>
          </w:tcPr>
          <w:p>
            <w:pPr>
              <w:jc w:val="right"/>
              <w:spacing w:after="0"/>
              <w:rPr>
                <w:sz w:val="20"/>
                <w:szCs w:val="20"/>
                <w:color w:val="auto"/>
              </w:rPr>
            </w:pPr>
            <w:r>
              <w:rPr>
                <w:rFonts w:ascii="Courier New" w:cs="Courier New" w:eastAsia="Courier New" w:hAnsi="Courier New"/>
                <w:sz w:val="13"/>
                <w:szCs w:val="13"/>
                <w:color w:val="auto"/>
              </w:rPr>
              <w:t>021001</w:t>
            </w:r>
          </w:p>
        </w:tc>
        <w:tc>
          <w:tcPr>
            <w:tcW w:w="0" w:type="dxa"/>
            <w:vAlign w:val="bottom"/>
          </w:tcPr>
          <w:p>
            <w:pPr>
              <w:spacing w:after="0"/>
              <w:rPr>
                <w:sz w:val="1"/>
                <w:szCs w:val="1"/>
                <w:color w:val="auto"/>
              </w:rPr>
            </w:pPr>
          </w:p>
        </w:tc>
      </w:tr>
      <w:tr>
        <w:trPr>
          <w:trHeight w:val="585"/>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Borders>
              <w:bottom w:val="single" w:sz="8" w:color="auto"/>
            </w:tcBorders>
            <w:gridSpan w:val="3"/>
          </w:tcPr>
          <w:p>
            <w:pPr>
              <w:spacing w:after="0"/>
              <w:rPr>
                <w:sz w:val="20"/>
                <w:szCs w:val="20"/>
                <w:color w:val="auto"/>
              </w:rPr>
            </w:pPr>
            <w:r>
              <w:rPr>
                <w:rFonts w:ascii="Courier New" w:cs="Courier New" w:eastAsia="Courier New" w:hAnsi="Courier New"/>
                <w:sz w:val="13"/>
                <w:szCs w:val="13"/>
                <w:color w:val="auto"/>
              </w:rPr>
              <w:t>Regulatory Cite</w:t>
            </w:r>
          </w:p>
        </w:tc>
        <w:tc>
          <w:tcPr>
            <w:tcW w:w="820" w:type="dxa"/>
            <w:vAlign w:val="bottom"/>
            <w:tcBorders>
              <w:bottom w:val="single" w:sz="8" w:color="auto"/>
            </w:tcBorders>
          </w:tcPr>
          <w:p>
            <w:pPr>
              <w:ind w:left="100"/>
              <w:spacing w:after="0"/>
              <w:rPr>
                <w:sz w:val="20"/>
                <w:szCs w:val="20"/>
                <w:color w:val="auto"/>
              </w:rPr>
            </w:pPr>
            <w:r>
              <w:rPr>
                <w:rFonts w:ascii="Courier New" w:cs="Courier New" w:eastAsia="Courier New" w:hAnsi="Courier New"/>
                <w:sz w:val="13"/>
                <w:szCs w:val="13"/>
                <w:color w:val="auto"/>
              </w:rPr>
              <w:t>Title</w:t>
            </w:r>
          </w:p>
        </w:tc>
        <w:tc>
          <w:tcPr>
            <w:tcW w:w="960" w:type="dxa"/>
            <w:vAlign w:val="bottom"/>
            <w:tcBorders>
              <w:bottom w:val="single" w:sz="8" w:color="auto"/>
            </w:tcBorders>
          </w:tcPr>
          <w:p>
            <w:pPr>
              <w:ind w:left="340"/>
              <w:spacing w:after="0"/>
              <w:rPr>
                <w:sz w:val="20"/>
                <w:szCs w:val="20"/>
                <w:color w:val="auto"/>
              </w:rPr>
            </w:pPr>
            <w:r>
              <w:rPr>
                <w:rFonts w:ascii="Courier New" w:cs="Courier New" w:eastAsia="Courier New" w:hAnsi="Courier New"/>
                <w:sz w:val="13"/>
                <w:szCs w:val="13"/>
                <w:color w:val="auto"/>
              </w:rPr>
              <w:t>Date</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60" w:type="dxa"/>
            <w:vAlign w:val="bottom"/>
            <w:gridSpan w:val="2"/>
          </w:tcPr>
          <w:p>
            <w:pPr>
              <w:ind w:left="660"/>
              <w:spacing w:after="0"/>
              <w:rPr>
                <w:sz w:val="20"/>
                <w:szCs w:val="20"/>
                <w:color w:val="auto"/>
              </w:rPr>
            </w:pPr>
            <w:r>
              <w:rPr>
                <w:rFonts w:ascii="Courier New" w:cs="Courier New" w:eastAsia="Courier New" w:hAnsi="Courier New"/>
                <w:sz w:val="13"/>
                <w:szCs w:val="13"/>
                <w:color w:val="auto"/>
              </w:rPr>
              <w:t>1</w:t>
            </w:r>
          </w:p>
        </w:tc>
        <w:tc>
          <w:tcPr>
            <w:tcW w:w="1320" w:type="dxa"/>
            <w:vAlign w:val="bottom"/>
            <w:gridSpan w:val="6"/>
          </w:tcPr>
          <w:p>
            <w:pPr>
              <w:jc w:val="right"/>
              <w:ind w:right="77"/>
              <w:spacing w:after="0"/>
              <w:rPr>
                <w:sz w:val="20"/>
                <w:szCs w:val="20"/>
                <w:color w:val="auto"/>
              </w:rPr>
            </w:pPr>
            <w:r>
              <w:rPr>
                <w:rFonts w:ascii="Courier New" w:cs="Courier New" w:eastAsia="Courier New" w:hAnsi="Courier New"/>
                <w:sz w:val="13"/>
                <w:szCs w:val="13"/>
                <w:color w:val="auto"/>
              </w:rPr>
              <w:t>252.232-7006</w:t>
            </w:r>
          </w:p>
        </w:tc>
        <w:tc>
          <w:tcPr>
            <w:tcW w:w="3280" w:type="dxa"/>
            <w:vAlign w:val="bottom"/>
            <w:gridSpan w:val="5"/>
          </w:tcPr>
          <w:p>
            <w:pPr>
              <w:ind w:left="160"/>
              <w:spacing w:after="0"/>
              <w:rPr>
                <w:sz w:val="20"/>
                <w:szCs w:val="20"/>
                <w:color w:val="auto"/>
              </w:rPr>
            </w:pPr>
            <w:r>
              <w:rPr>
                <w:rFonts w:ascii="Courier New" w:cs="Courier New" w:eastAsia="Courier New" w:hAnsi="Courier New"/>
                <w:sz w:val="13"/>
                <w:szCs w:val="13"/>
                <w:color w:val="auto"/>
              </w:rPr>
              <w:t>WIDE AREA WORKFLOW PAYMENT INSTRUCTIONS</w:t>
            </w:r>
          </w:p>
        </w:tc>
        <w:tc>
          <w:tcPr>
            <w:tcW w:w="820" w:type="dxa"/>
            <w:vAlign w:val="bottom"/>
          </w:tcPr>
          <w:p>
            <w:pPr>
              <w:ind w:left="120"/>
              <w:spacing w:after="0"/>
              <w:rPr>
                <w:sz w:val="20"/>
                <w:szCs w:val="20"/>
                <w:color w:val="auto"/>
              </w:rPr>
            </w:pPr>
            <w:r>
              <w:rPr>
                <w:rFonts w:ascii="Courier New" w:cs="Courier New" w:eastAsia="Courier New" w:hAnsi="Courier New"/>
                <w:sz w:val="13"/>
                <w:szCs w:val="13"/>
                <w:color w:val="auto"/>
              </w:rPr>
              <w:t>DEC/2018</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(a) Definitions. As used in this clause--</w:t>
      </w:r>
    </w:p>
    <w:p>
      <w:pPr>
        <w:spacing w:after="0" w:line="264" w:lineRule="exact"/>
        <w:rPr>
          <w:sz w:val="20"/>
          <w:szCs w:val="20"/>
          <w:color w:val="auto"/>
        </w:rPr>
      </w:pPr>
    </w:p>
    <w:p>
      <w:pPr>
        <w:ind w:left="280" w:right="1400"/>
        <w:spacing w:after="0" w:line="275" w:lineRule="auto"/>
        <w:rPr>
          <w:sz w:val="20"/>
          <w:szCs w:val="20"/>
          <w:color w:val="auto"/>
        </w:rPr>
      </w:pPr>
      <w:r>
        <w:rPr>
          <w:rFonts w:ascii="Courier New" w:cs="Courier New" w:eastAsia="Courier New" w:hAnsi="Courier New"/>
          <w:sz w:val="13"/>
          <w:szCs w:val="13"/>
          <w:color w:val="auto"/>
        </w:rPr>
        <w:t>"Department of Defense Activity Address Code (DoDAAC)" is a six position code that uniquely identifies a unit, activity, or organization.</w:t>
      </w:r>
    </w:p>
    <w:p>
      <w:pPr>
        <w:spacing w:after="0" w:line="237"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"Document type" means the type of payment request or receiving report available for creation in Wide Area WorkFlow (WAWF).</w:t>
      </w:r>
    </w:p>
    <w:p>
      <w:pPr>
        <w:spacing w:after="0" w:line="278" w:lineRule="exact"/>
        <w:rPr>
          <w:sz w:val="20"/>
          <w:szCs w:val="20"/>
          <w:color w:val="auto"/>
        </w:rPr>
      </w:pPr>
    </w:p>
    <w:p>
      <w:pPr>
        <w:ind w:left="280" w:right="580"/>
        <w:spacing w:after="0" w:line="275" w:lineRule="auto"/>
        <w:rPr>
          <w:sz w:val="20"/>
          <w:szCs w:val="20"/>
          <w:color w:val="auto"/>
        </w:rPr>
      </w:pPr>
      <w:r>
        <w:rPr>
          <w:rFonts w:ascii="Courier New" w:cs="Courier New" w:eastAsia="Courier New" w:hAnsi="Courier New"/>
          <w:sz w:val="13"/>
          <w:szCs w:val="13"/>
          <w:color w:val="auto"/>
        </w:rPr>
        <w:t>"Local Processing Office (LPO)" is the office responsible for payment certification when payment certification is done external to the entitlement system.</w:t>
      </w:r>
    </w:p>
    <w:p>
      <w:pPr>
        <w:spacing w:after="0" w:line="257" w:lineRule="exact"/>
        <w:rPr>
          <w:sz w:val="20"/>
          <w:szCs w:val="20"/>
          <w:color w:val="auto"/>
        </w:rPr>
      </w:pPr>
    </w:p>
    <w:p>
      <w:pPr>
        <w:ind w:left="280" w:right="200"/>
        <w:spacing w:after="0" w:line="275" w:lineRule="auto"/>
        <w:rPr>
          <w:sz w:val="20"/>
          <w:szCs w:val="20"/>
          <w:color w:val="auto"/>
        </w:rPr>
      </w:pPr>
      <w:r>
        <w:rPr>
          <w:rFonts w:ascii="Courier New" w:cs="Courier New" w:eastAsia="Courier New" w:hAnsi="Courier New"/>
          <w:sz w:val="13"/>
          <w:szCs w:val="13"/>
          <w:color w:val="auto"/>
        </w:rPr>
        <w:t>"Payment request" and "receiving report" are defined in the clause at 252.232-7003, Electronic Submission of Payment Requests and Receiving Reports.</w:t>
      </w:r>
    </w:p>
    <w:p>
      <w:pPr>
        <w:spacing w:after="0" w:line="270" w:lineRule="exact"/>
        <w:rPr>
          <w:sz w:val="20"/>
          <w:szCs w:val="20"/>
          <w:color w:val="auto"/>
        </w:rPr>
      </w:pPr>
    </w:p>
    <w:p>
      <w:pPr>
        <w:jc w:val="both"/>
        <w:ind w:left="280" w:hanging="2"/>
        <w:spacing w:after="0" w:line="280" w:lineRule="auto"/>
        <w:tabs>
          <w:tab w:leader="none" w:pos="655" w:val="left"/>
        </w:tabs>
        <w:numPr>
          <w:ilvl w:val="1"/>
          <w:numId w:val="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Electronic invoicing. The WAWF system provides the method to electronically process vendor payment requests and receiving reports, as authorized by Defense Federal Acquisition Regulation Supplement (DFARS) 252.232-7003, Electronic Submission of Payment Requests and Receiving Reports.</w:t>
      </w:r>
    </w:p>
    <w:p>
      <w:pPr>
        <w:spacing w:after="0" w:line="234" w:lineRule="exact"/>
        <w:rPr>
          <w:rFonts w:ascii="Courier New" w:cs="Courier New" w:eastAsia="Courier New" w:hAnsi="Courier New"/>
          <w:sz w:val="13"/>
          <w:szCs w:val="13"/>
          <w:color w:val="auto"/>
        </w:rPr>
      </w:pPr>
    </w:p>
    <w:p>
      <w:pPr>
        <w:ind w:left="580" w:hanging="303"/>
        <w:spacing w:after="0"/>
        <w:tabs>
          <w:tab w:leader="none" w:pos="580" w:val="left"/>
        </w:tabs>
        <w:numPr>
          <w:ilvl w:val="1"/>
          <w:numId w:val="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WAWF access. To access WAWF, the Contractor shall--</w:t>
      </w:r>
    </w:p>
    <w:p>
      <w:pPr>
        <w:spacing w:after="0" w:line="244" w:lineRule="exact"/>
        <w:rPr>
          <w:rFonts w:ascii="Courier New" w:cs="Courier New" w:eastAsia="Courier New" w:hAnsi="Courier New"/>
          <w:sz w:val="13"/>
          <w:szCs w:val="13"/>
          <w:color w:val="auto"/>
        </w:rPr>
      </w:pPr>
    </w:p>
    <w:p>
      <w:pPr>
        <w:ind w:left="560" w:hanging="309"/>
        <w:spacing w:after="0"/>
        <w:tabs>
          <w:tab w:leader="none" w:pos="560" w:val="left"/>
        </w:tabs>
        <w:numPr>
          <w:ilvl w:val="0"/>
          <w:numId w:val="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Have a designated electronic business point of contact in the System for Award Management at https://www.sam.gov ; and</w:t>
      </w:r>
    </w:p>
    <w:p>
      <w:pPr>
        <w:sectPr>
          <w:pgSz w:w="11900" w:h="16838" w:orient="portrait"/>
          <w:cols w:equalWidth="0" w:num="1">
            <w:col w:w="10980"/>
          </w:cols>
          <w:pgMar w:left="320" w:top="227" w:right="599" w:bottom="1440" w:gutter="0" w:footer="0" w:header="0"/>
        </w:sectPr>
      </w:pPr>
    </w:p>
    <w:p>
      <w:pPr>
        <w:spacing w:after="0" w:line="278" w:lineRule="exact"/>
        <w:rPr>
          <w:sz w:val="20"/>
          <w:szCs w:val="20"/>
          <w:color w:val="auto"/>
        </w:rPr>
      </w:pPr>
    </w:p>
    <w:p>
      <w:pPr>
        <w:ind w:left="260"/>
        <w:spacing w:after="0"/>
        <w:rPr>
          <w:sz w:val="20"/>
          <w:szCs w:val="20"/>
          <w:color w:val="auto"/>
        </w:rPr>
      </w:pPr>
      <w:r>
        <w:rPr>
          <w:rFonts w:ascii="Courier New" w:cs="Courier New" w:eastAsia="Courier New" w:hAnsi="Courier New"/>
          <w:sz w:val="12"/>
          <w:szCs w:val="12"/>
          <w:color w:val="auto"/>
        </w:rPr>
        <w:t>(2) Be registered to use WAWF at https://wawf.eb.mil/ following the step-by-step procedures for self-registration available at this Web site.</w:t>
      </w:r>
    </w:p>
    <w:p>
      <w:pPr>
        <w:sectPr>
          <w:pgSz w:w="11900" w:h="16838" w:orient="portrait"/>
          <w:cols w:equalWidth="0" w:num="1">
            <w:col w:w="10980"/>
          </w:cols>
          <w:pgMar w:left="320" w:top="227" w:right="599" w:bottom="1440" w:gutter="0" w:footer="0" w:header="0"/>
          <w:type w:val="continuous"/>
        </w:sectPr>
      </w:pPr>
    </w:p>
    <w:bookmarkStart w:id="107" w:name="page108"/>
    <w:bookmarkEnd w:id="107"/>
    <w:p>
      <w:pPr>
        <w:ind w:left="382" w:hanging="382"/>
        <w:spacing w:after="0"/>
        <w:tabs>
          <w:tab w:leader="none" w:pos="382" w:val="left"/>
        </w:tabs>
        <w:numPr>
          <w:ilvl w:val="0"/>
          <w:numId w:val="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WAWF training. The Contractor should follow the training instructions of the WAWF Web-Based Training Course and use the Practice</w:t>
      </w:r>
    </w:p>
    <w:p>
      <w:pPr>
        <w:spacing w:after="0" w:line="34" w:lineRule="exact"/>
        <w:rPr>
          <w:rFonts w:ascii="Courier New" w:cs="Courier New" w:eastAsia="Courier New" w:hAnsi="Courier New"/>
          <w:sz w:val="13"/>
          <w:szCs w:val="13"/>
          <w:color w:val="auto"/>
        </w:rPr>
      </w:pPr>
    </w:p>
    <w:p>
      <w:pPr>
        <w:ind w:left="2"/>
        <w:spacing w:after="0" w:line="275"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Training Site before submitting payment requests through WAWF. Both can be accessed by selecting the "Web Based Training" link on the WAWF home page at https://wawf.eb.mil/ .</w:t>
      </w:r>
    </w:p>
    <w:p>
      <w:pPr>
        <w:sectPr>
          <w:pgSz w:w="11900" w:h="16838" w:orient="portrait"/>
          <w:cols w:equalWidth="0" w:num="1">
            <w:col w:w="10422"/>
          </w:cols>
          <w:pgMar w:left="598" w:top="852" w:right="879" w:bottom="1440" w:gutter="0" w:footer="0" w:header="0"/>
        </w:sectPr>
      </w:pPr>
    </w:p>
    <w:bookmarkStart w:id="108" w:name="page109"/>
    <w:bookmarkEnd w:id="108"/>
    <w:tbl>
      <w:tblPr>
        <w:tblLayout w:type="fixed"/>
        <w:tblInd w:w="180" w:type="dxa"/>
        <w:tblCellMar>
          <w:top w:w="0" w:type="dxa"/>
          <w:left w:w="0" w:type="dxa"/>
          <w:bottom w:w="0" w:type="dxa"/>
          <w:right w:w="0" w:type="dxa"/>
        </w:tblCellMar>
      </w:tblPr>
      <w:tr>
        <w:trPr>
          <w:trHeight w:val="246"/>
        </w:trPr>
        <w:tc>
          <w:tcPr>
            <w:tcW w:w="316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CONTINUATION SHEET</w:t>
            </w:r>
          </w:p>
        </w:tc>
        <w:tc>
          <w:tcPr>
            <w:tcW w:w="5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76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20</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160" w:type="dxa"/>
            <w:vAlign w:val="bottom"/>
            <w:tcBorders>
              <w:right w:val="single" w:sz="8" w:color="auto"/>
            </w:tcBorders>
          </w:tcPr>
          <w:p>
            <w:pPr>
              <w:spacing w:after="0"/>
              <w:rPr>
                <w:sz w:val="9"/>
                <w:szCs w:val="9"/>
                <w:color w:val="auto"/>
              </w:rPr>
            </w:pPr>
          </w:p>
        </w:tc>
        <w:tc>
          <w:tcPr>
            <w:tcW w:w="54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760" w:type="dxa"/>
            <w:vAlign w:val="bottom"/>
          </w:tcPr>
          <w:p>
            <w:pPr>
              <w:spacing w:after="0"/>
              <w:rPr>
                <w:sz w:val="9"/>
                <w:szCs w:val="9"/>
                <w:color w:val="auto"/>
              </w:rPr>
            </w:pPr>
          </w:p>
        </w:tc>
      </w:tr>
      <w:tr>
        <w:trPr>
          <w:trHeight w:val="188"/>
        </w:trPr>
        <w:tc>
          <w:tcPr>
            <w:tcW w:w="3160" w:type="dxa"/>
            <w:vAlign w:val="bottom"/>
            <w:tcBorders>
              <w:bottom w:val="single" w:sz="8" w:color="auto"/>
              <w:right w:val="single" w:sz="8" w:color="auto"/>
            </w:tcBorders>
          </w:tcPr>
          <w:p>
            <w:pPr>
              <w:spacing w:after="0"/>
              <w:rPr>
                <w:sz w:val="16"/>
                <w:szCs w:val="16"/>
                <w:color w:val="auto"/>
              </w:rPr>
            </w:pPr>
          </w:p>
        </w:tc>
        <w:tc>
          <w:tcPr>
            <w:tcW w:w="5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76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31115</wp:posOffset>
            </wp:positionV>
            <wp:extent cx="65919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134" w:lineRule="exact"/>
        <w:rPr>
          <w:sz w:val="20"/>
          <w:szCs w:val="20"/>
          <w:color w:val="auto"/>
        </w:rPr>
      </w:pPr>
    </w:p>
    <w:p>
      <w:pPr>
        <w:ind w:left="480" w:hanging="309"/>
        <w:spacing w:after="0"/>
        <w:tabs>
          <w:tab w:leader="none" w:pos="480" w:val="left"/>
        </w:tabs>
        <w:numPr>
          <w:ilvl w:val="0"/>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WAWF methods of document submission. Document submissions may be via Web entry, Electronic Data Interchange, or File Transfer Protocol.</w:t>
      </w:r>
    </w:p>
    <w:p>
      <w:pPr>
        <w:spacing w:after="0" w:line="264" w:lineRule="exact"/>
        <w:rPr>
          <w:rFonts w:ascii="Courier New" w:cs="Courier New" w:eastAsia="Courier New" w:hAnsi="Courier New"/>
          <w:sz w:val="13"/>
          <w:szCs w:val="13"/>
          <w:color w:val="auto"/>
        </w:rPr>
      </w:pPr>
    </w:p>
    <w:p>
      <w:pPr>
        <w:ind w:left="180" w:hanging="9"/>
        <w:spacing w:after="0" w:line="275" w:lineRule="auto"/>
        <w:tabs>
          <w:tab w:leader="none" w:pos="482" w:val="left"/>
        </w:tabs>
        <w:numPr>
          <w:ilvl w:val="0"/>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WAWF payment instructions. The Contractor shall use the following information when submitting payment requests and receiving reports in WAWF for this contract or task or delivery order:</w:t>
      </w:r>
    </w:p>
    <w:p>
      <w:pPr>
        <w:spacing w:after="0" w:line="250" w:lineRule="exact"/>
        <w:rPr>
          <w:rFonts w:ascii="Courier New" w:cs="Courier New" w:eastAsia="Courier New" w:hAnsi="Courier New"/>
          <w:sz w:val="13"/>
          <w:szCs w:val="13"/>
          <w:color w:val="auto"/>
        </w:rPr>
      </w:pPr>
    </w:p>
    <w:p>
      <w:pPr>
        <w:ind w:left="560" w:hanging="308"/>
        <w:spacing w:after="0"/>
        <w:tabs>
          <w:tab w:leader="none" w:pos="560" w:val="left"/>
        </w:tabs>
        <w:numPr>
          <w:ilvl w:val="1"/>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Document type. The Contractor shall submit payment requests using the following document type(s):</w:t>
      </w:r>
    </w:p>
    <w:p>
      <w:pPr>
        <w:spacing w:after="0" w:line="244" w:lineRule="exact"/>
        <w:rPr>
          <w:rFonts w:ascii="Courier New" w:cs="Courier New" w:eastAsia="Courier New" w:hAnsi="Courier New"/>
          <w:sz w:val="13"/>
          <w:szCs w:val="13"/>
          <w:color w:val="auto"/>
        </w:rPr>
      </w:pPr>
    </w:p>
    <w:p>
      <w:pPr>
        <w:ind w:left="640" w:hanging="307"/>
        <w:spacing w:after="0"/>
        <w:tabs>
          <w:tab w:leader="none" w:pos="640" w:val="left"/>
        </w:tabs>
        <w:numPr>
          <w:ilvl w:val="2"/>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cost-type line items, including labor-hour or time-and-materials, submit a cost voucher.</w:t>
      </w:r>
    </w:p>
    <w:p>
      <w:pPr>
        <w:spacing w:after="0" w:line="244" w:lineRule="exact"/>
        <w:rPr>
          <w:rFonts w:ascii="Courier New" w:cs="Courier New" w:eastAsia="Courier New" w:hAnsi="Courier New"/>
          <w:sz w:val="13"/>
          <w:szCs w:val="13"/>
          <w:color w:val="auto"/>
        </w:rPr>
      </w:pPr>
    </w:p>
    <w:p>
      <w:pPr>
        <w:ind w:left="720" w:hanging="387"/>
        <w:spacing w:after="0"/>
        <w:tabs>
          <w:tab w:leader="none" w:pos="720" w:val="left"/>
        </w:tabs>
        <w:numPr>
          <w:ilvl w:val="2"/>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fixed price line items--</w:t>
      </w:r>
    </w:p>
    <w:p>
      <w:pPr>
        <w:spacing w:after="0" w:line="244" w:lineRule="exact"/>
        <w:rPr>
          <w:rFonts w:ascii="Courier New" w:cs="Courier New" w:eastAsia="Courier New" w:hAnsi="Courier New"/>
          <w:sz w:val="13"/>
          <w:szCs w:val="13"/>
          <w:color w:val="auto"/>
        </w:rPr>
      </w:pPr>
    </w:p>
    <w:p>
      <w:pPr>
        <w:ind w:left="800" w:hanging="305"/>
        <w:spacing w:after="0"/>
        <w:tabs>
          <w:tab w:leader="none" w:pos="800" w:val="left"/>
        </w:tabs>
        <w:numPr>
          <w:ilvl w:val="3"/>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That require shipment of a deliverable, submit the invoice and receiving report specified by the Contracting Officer.</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Invoice (Contractor Only)</w:t>
      </w:r>
    </w:p>
    <w:p>
      <w:pPr>
        <w:spacing w:after="0" w:line="278" w:lineRule="exact"/>
        <w:rPr>
          <w:sz w:val="20"/>
          <w:szCs w:val="20"/>
          <w:color w:val="auto"/>
        </w:rPr>
      </w:pPr>
    </w:p>
    <w:p>
      <w:pPr>
        <w:ind w:right="440" w:firstLine="495"/>
        <w:spacing w:after="0" w:line="275" w:lineRule="auto"/>
        <w:tabs>
          <w:tab w:leader="none" w:pos="788" w:val="left"/>
        </w:tabs>
        <w:numPr>
          <w:ilvl w:val="0"/>
          <w:numId w:val="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services that do not require shipment of a deliverable, submit either the Invoice 2-in-1, which meets the requirements for the invoice and receiving report, or the applicable invoice and receiving report, as specified by the Contracting Officer.</w:t>
      </w:r>
    </w:p>
    <w:p>
      <w:pPr>
        <w:spacing w:after="0" w:line="237" w:lineRule="exact"/>
        <w:rPr>
          <w:sz w:val="20"/>
          <w:szCs w:val="20"/>
          <w:color w:val="auto"/>
        </w:rPr>
      </w:pPr>
    </w:p>
    <w:p>
      <w:pPr>
        <w:ind w:left="200"/>
        <w:spacing w:after="0"/>
        <w:rPr>
          <w:sz w:val="20"/>
          <w:szCs w:val="20"/>
          <w:color w:val="auto"/>
        </w:rPr>
      </w:pPr>
      <w:r>
        <w:rPr>
          <w:rFonts w:ascii="Courier New" w:cs="Courier New" w:eastAsia="Courier New" w:hAnsi="Courier New"/>
          <w:sz w:val="13"/>
          <w:szCs w:val="13"/>
          <w:color w:val="auto"/>
        </w:rPr>
        <w:t>Invoice as 2-in-1</w:t>
      </w:r>
    </w:p>
    <w:p>
      <w:pPr>
        <w:spacing w:after="0" w:line="244" w:lineRule="exact"/>
        <w:rPr>
          <w:sz w:val="20"/>
          <w:szCs w:val="20"/>
          <w:color w:val="auto"/>
        </w:rPr>
      </w:pPr>
    </w:p>
    <w:p>
      <w:pPr>
        <w:ind w:left="780" w:hanging="447"/>
        <w:spacing w:after="0"/>
        <w:tabs>
          <w:tab w:leader="none" w:pos="780" w:val="left"/>
        </w:tabs>
        <w:numPr>
          <w:ilvl w:val="1"/>
          <w:numId w:val="94"/>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customary progress payments based on costs incurred, submit a progress payment request.</w:t>
      </w:r>
    </w:p>
    <w:p>
      <w:pPr>
        <w:spacing w:after="0" w:line="257" w:lineRule="exact"/>
        <w:rPr>
          <w:rFonts w:ascii="Courier New" w:cs="Courier New" w:eastAsia="Courier New" w:hAnsi="Courier New"/>
          <w:sz w:val="13"/>
          <w:szCs w:val="13"/>
          <w:color w:val="auto"/>
        </w:rPr>
      </w:pPr>
    </w:p>
    <w:p>
      <w:pPr>
        <w:ind w:left="720" w:hanging="387"/>
        <w:spacing w:after="0"/>
        <w:tabs>
          <w:tab w:leader="none" w:pos="720" w:val="left"/>
        </w:tabs>
        <w:numPr>
          <w:ilvl w:val="1"/>
          <w:numId w:val="94"/>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performance based payments, submit a performance based payment request.</w:t>
      </w:r>
    </w:p>
    <w:p>
      <w:pPr>
        <w:spacing w:after="0" w:line="244" w:lineRule="exact"/>
        <w:rPr>
          <w:rFonts w:ascii="Courier New" w:cs="Courier New" w:eastAsia="Courier New" w:hAnsi="Courier New"/>
          <w:sz w:val="13"/>
          <w:szCs w:val="13"/>
          <w:color w:val="auto"/>
        </w:rPr>
      </w:pPr>
    </w:p>
    <w:p>
      <w:pPr>
        <w:ind w:left="640" w:hanging="307"/>
        <w:spacing w:after="0"/>
        <w:tabs>
          <w:tab w:leader="none" w:pos="640" w:val="left"/>
        </w:tabs>
        <w:numPr>
          <w:ilvl w:val="1"/>
          <w:numId w:val="94"/>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commercial item financing, submit a commercial item financing request.</w:t>
      </w:r>
    </w:p>
    <w:p>
      <w:pPr>
        <w:spacing w:after="0" w:line="244" w:lineRule="exact"/>
        <w:rPr>
          <w:rFonts w:ascii="Courier New" w:cs="Courier New" w:eastAsia="Courier New" w:hAnsi="Courier New"/>
          <w:sz w:val="13"/>
          <w:szCs w:val="13"/>
          <w:color w:val="auto"/>
        </w:rPr>
      </w:pPr>
    </w:p>
    <w:p>
      <w:pPr>
        <w:ind w:left="560" w:hanging="308"/>
        <w:spacing w:after="0"/>
        <w:tabs>
          <w:tab w:leader="none" w:pos="56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Fast Pay requests are only permitted when Federal Acquisition Regulation (FAR) 52.213-1 is included in the contract.</w:t>
      </w:r>
    </w:p>
    <w:p>
      <w:pPr>
        <w:spacing w:after="0" w:line="244"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[Note: The Contractor may use a WAWF "combo" document type to create some Combinations of invoice and receiving report in one step.]</w:t>
      </w:r>
    </w:p>
    <w:p>
      <w:pPr>
        <w:spacing w:after="0" w:line="278" w:lineRule="exact"/>
        <w:rPr>
          <w:sz w:val="20"/>
          <w:szCs w:val="20"/>
          <w:color w:val="auto"/>
        </w:rPr>
      </w:pPr>
    </w:p>
    <w:p>
      <w:pPr>
        <w:ind w:left="260" w:right="540" w:hanging="8"/>
        <w:spacing w:after="0" w:line="275" w:lineRule="auto"/>
        <w:tabs>
          <w:tab w:leader="none" w:pos="562"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Document routing. The Contractor shall use the information in the Routing Data Table below only to fill in applicable fields in WAWF when creating payment requests and receiving reports in the system.</w:t>
      </w:r>
    </w:p>
    <w:p>
      <w:pPr>
        <w:spacing w:after="0" w:line="291"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Routing Data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20320</wp:posOffset>
            </wp:positionV>
            <wp:extent cx="22028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49" w:lineRule="exact"/>
        <w:rPr>
          <w:sz w:val="20"/>
          <w:szCs w:val="20"/>
          <w:color w:val="auto"/>
        </w:rPr>
      </w:pPr>
    </w:p>
    <w:tbl>
      <w:tblPr>
        <w:tblLayout w:type="fixed"/>
        <w:tblInd w:w="260" w:type="dxa"/>
        <w:tblCellMar>
          <w:top w:w="0" w:type="dxa"/>
          <w:left w:w="0" w:type="dxa"/>
          <w:bottom w:w="0" w:type="dxa"/>
          <w:right w:w="0" w:type="dxa"/>
        </w:tblCellMar>
      </w:tblPr>
      <w:tr>
        <w:trPr>
          <w:trHeight w:val="147"/>
        </w:trPr>
        <w:tc>
          <w:tcPr>
            <w:tcW w:w="1580" w:type="dxa"/>
            <w:vAlign w:val="bottom"/>
          </w:tcPr>
          <w:p>
            <w:pPr>
              <w:spacing w:after="0"/>
              <w:rPr>
                <w:sz w:val="12"/>
                <w:szCs w:val="12"/>
                <w:color w:val="auto"/>
              </w:rPr>
            </w:pP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Data to be entered in</w:t>
            </w:r>
          </w:p>
        </w:tc>
      </w:tr>
      <w:tr>
        <w:trPr>
          <w:trHeight w:val="149"/>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Field Name in WAWF</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WAWF</w:t>
            </w:r>
          </w:p>
        </w:tc>
      </w:tr>
      <w:tr>
        <w:trPr>
          <w:trHeight w:val="32"/>
        </w:trPr>
        <w:tc>
          <w:tcPr>
            <w:tcW w:w="15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64"/>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Pay Official DoDAAC</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HQ0490</w:t>
            </w:r>
          </w:p>
        </w:tc>
      </w:tr>
      <w:tr>
        <w:trPr>
          <w:trHeight w:val="203"/>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Issue By DoDAAC</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W15QKN</w:t>
            </w:r>
          </w:p>
        </w:tc>
      </w:tr>
      <w:tr>
        <w:trPr>
          <w:trHeight w:val="203"/>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Admin DoDAAC</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W15QKN</w:t>
            </w:r>
          </w:p>
        </w:tc>
      </w:tr>
      <w:tr>
        <w:trPr>
          <w:trHeight w:val="203"/>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Inspect By DoDAAC</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TBD</w:t>
            </w:r>
          </w:p>
        </w:tc>
      </w:tr>
      <w:tr>
        <w:trPr>
          <w:trHeight w:val="203"/>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Ship To Code</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TBD</w:t>
            </w:r>
          </w:p>
        </w:tc>
      </w:tr>
      <w:tr>
        <w:trPr>
          <w:trHeight w:val="203"/>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Ship From Code</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TBD</w:t>
            </w:r>
          </w:p>
        </w:tc>
      </w:tr>
      <w:tr>
        <w:trPr>
          <w:trHeight w:val="203"/>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Mark For Code</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TBD</w:t>
            </w:r>
          </w:p>
        </w:tc>
      </w:tr>
      <w:tr>
        <w:trPr>
          <w:trHeight w:val="203"/>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Service Approver</w:t>
            </w:r>
          </w:p>
        </w:tc>
        <w:tc>
          <w:tcPr>
            <w:tcW w:w="1880" w:type="dxa"/>
            <w:vAlign w:val="bottom"/>
          </w:tcPr>
          <w:p>
            <w:pPr>
              <w:spacing w:after="0"/>
              <w:rPr>
                <w:sz w:val="17"/>
                <w:szCs w:val="17"/>
                <w:color w:val="auto"/>
              </w:rPr>
            </w:pPr>
          </w:p>
        </w:tc>
      </w:tr>
      <w:tr>
        <w:trPr>
          <w:trHeight w:val="148"/>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(DoDAAC)</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N/A</w:t>
            </w:r>
          </w:p>
        </w:tc>
      </w:tr>
      <w:tr>
        <w:trPr>
          <w:trHeight w:val="203"/>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Service Acceptor</w:t>
            </w:r>
          </w:p>
        </w:tc>
        <w:tc>
          <w:tcPr>
            <w:tcW w:w="1880" w:type="dxa"/>
            <w:vAlign w:val="bottom"/>
          </w:tcPr>
          <w:p>
            <w:pPr>
              <w:spacing w:after="0"/>
              <w:rPr>
                <w:sz w:val="17"/>
                <w:szCs w:val="17"/>
                <w:color w:val="auto"/>
              </w:rPr>
            </w:pPr>
          </w:p>
        </w:tc>
      </w:tr>
      <w:tr>
        <w:trPr>
          <w:trHeight w:val="148"/>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(DoDAAC)</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N/A</w:t>
            </w:r>
          </w:p>
        </w:tc>
      </w:tr>
      <w:tr>
        <w:trPr>
          <w:trHeight w:val="203"/>
        </w:trPr>
        <w:tc>
          <w:tcPr>
            <w:tcW w:w="3460" w:type="dxa"/>
            <w:vAlign w:val="bottom"/>
            <w:gridSpan w:val="2"/>
          </w:tcPr>
          <w:p>
            <w:pPr>
              <w:ind w:left="20"/>
              <w:spacing w:after="0"/>
              <w:rPr>
                <w:sz w:val="20"/>
                <w:szCs w:val="20"/>
                <w:color w:val="auto"/>
              </w:rPr>
            </w:pPr>
            <w:r>
              <w:rPr>
                <w:rFonts w:ascii="Courier New" w:cs="Courier New" w:eastAsia="Courier New" w:hAnsi="Courier New"/>
                <w:sz w:val="13"/>
                <w:szCs w:val="13"/>
                <w:color w:val="auto"/>
              </w:rPr>
              <w:t>Accept at Other DoDAAC N/A</w:t>
            </w:r>
          </w:p>
        </w:tc>
      </w:tr>
      <w:tr>
        <w:trPr>
          <w:trHeight w:val="203"/>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LPO DoDAAC</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N/A</w:t>
            </w:r>
          </w:p>
        </w:tc>
      </w:tr>
      <w:tr>
        <w:trPr>
          <w:trHeight w:val="203"/>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DCAA Auditor DoDAAC</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N/A</w:t>
            </w:r>
          </w:p>
        </w:tc>
      </w:tr>
      <w:tr>
        <w:trPr>
          <w:trHeight w:val="243"/>
        </w:trPr>
        <w:tc>
          <w:tcPr>
            <w:tcW w:w="1580" w:type="dxa"/>
            <w:vAlign w:val="bottom"/>
          </w:tcPr>
          <w:p>
            <w:pPr>
              <w:ind w:left="20"/>
              <w:spacing w:after="0"/>
              <w:rPr>
                <w:sz w:val="20"/>
                <w:szCs w:val="20"/>
                <w:color w:val="auto"/>
              </w:rPr>
            </w:pPr>
            <w:r>
              <w:rPr>
                <w:rFonts w:ascii="Courier New" w:cs="Courier New" w:eastAsia="Courier New" w:hAnsi="Courier New"/>
                <w:sz w:val="13"/>
                <w:szCs w:val="13"/>
                <w:color w:val="auto"/>
              </w:rPr>
              <w:t>Other DoDAAC(s)</w:t>
            </w:r>
          </w:p>
        </w:tc>
        <w:tc>
          <w:tcPr>
            <w:tcW w:w="1880" w:type="dxa"/>
            <w:vAlign w:val="bottom"/>
          </w:tcPr>
          <w:p>
            <w:pPr>
              <w:ind w:left="140"/>
              <w:spacing w:after="0"/>
              <w:rPr>
                <w:sz w:val="20"/>
                <w:szCs w:val="20"/>
                <w:color w:val="auto"/>
              </w:rPr>
            </w:pPr>
            <w:r>
              <w:rPr>
                <w:rFonts w:ascii="Courier New" w:cs="Courier New" w:eastAsia="Courier New" w:hAnsi="Courier New"/>
                <w:sz w:val="13"/>
                <w:szCs w:val="13"/>
                <w:color w:val="auto"/>
              </w:rPr>
              <w:t>N/A</w:t>
            </w:r>
          </w:p>
        </w:tc>
      </w:tr>
    </w:tbl>
    <w:p>
      <w:pPr>
        <w:spacing w:after="0" w:line="200" w:lineRule="exact"/>
        <w:rPr>
          <w:sz w:val="20"/>
          <w:szCs w:val="20"/>
          <w:color w:val="auto"/>
        </w:rPr>
      </w:pPr>
    </w:p>
    <w:p>
      <w:pPr>
        <w:spacing w:after="0" w:line="267" w:lineRule="exact"/>
        <w:rPr>
          <w:sz w:val="20"/>
          <w:szCs w:val="20"/>
          <w:color w:val="auto"/>
        </w:rPr>
      </w:pPr>
    </w:p>
    <w:p>
      <w:pPr>
        <w:ind w:left="260" w:right="460" w:hanging="8"/>
        <w:spacing w:after="0" w:line="280" w:lineRule="auto"/>
        <w:tabs>
          <w:tab w:leader="none" w:pos="562" w:val="left"/>
        </w:tabs>
        <w:numPr>
          <w:ilvl w:val="0"/>
          <w:numId w:val="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request. The Contractor shall ensure a payment request includes documentation appropriate to the type of payment request in accordance with the payment clause, contract financing clause, or Federal Acquisition Regulation 52.216-7, Allowable Cost and Payment, as applicable.</w:t>
      </w:r>
    </w:p>
    <w:p>
      <w:pPr>
        <w:spacing w:after="0" w:line="247" w:lineRule="exact"/>
        <w:rPr>
          <w:rFonts w:ascii="Courier New" w:cs="Courier New" w:eastAsia="Courier New" w:hAnsi="Courier New"/>
          <w:sz w:val="13"/>
          <w:szCs w:val="13"/>
          <w:color w:val="auto"/>
        </w:rPr>
      </w:pPr>
    </w:p>
    <w:p>
      <w:pPr>
        <w:ind w:left="560" w:hanging="308"/>
        <w:spacing w:after="0"/>
        <w:tabs>
          <w:tab w:leader="none" w:pos="560" w:val="left"/>
        </w:tabs>
        <w:numPr>
          <w:ilvl w:val="0"/>
          <w:numId w:val="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Receiving report. The Contractor shall ensure a receiving report meets the requirements of DFARS Appendix F.</w:t>
      </w:r>
    </w:p>
    <w:p>
      <w:pPr>
        <w:spacing w:after="0" w:line="244"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(g). WAWF point of contact.</w:t>
      </w:r>
    </w:p>
    <w:p>
      <w:pPr>
        <w:spacing w:after="0" w:line="258" w:lineRule="exact"/>
        <w:rPr>
          <w:sz w:val="20"/>
          <w:szCs w:val="20"/>
          <w:color w:val="auto"/>
        </w:rPr>
      </w:pPr>
    </w:p>
    <w:p>
      <w:pPr>
        <w:ind w:left="560" w:hanging="308"/>
        <w:spacing w:after="0"/>
        <w:tabs>
          <w:tab w:leader="none" w:pos="560" w:val="left"/>
        </w:tabs>
        <w:numPr>
          <w:ilvl w:val="0"/>
          <w:numId w:val="9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Contractor may obtain clarification regarding invoicing in WAWF from the following contracting activity's WAWF point of contact.</w:t>
      </w:r>
    </w:p>
    <w:p>
      <w:pPr>
        <w:spacing w:after="0" w:line="109" w:lineRule="exact"/>
        <w:rPr>
          <w:rFonts w:ascii="Courier New" w:cs="Courier New" w:eastAsia="Courier New" w:hAnsi="Courier New"/>
          <w:sz w:val="13"/>
          <w:szCs w:val="13"/>
          <w:color w:val="auto"/>
        </w:rPr>
      </w:pPr>
    </w:p>
    <w:p>
      <w:pPr>
        <w:ind w:left="560" w:hanging="308"/>
        <w:spacing w:after="0"/>
        <w:tabs>
          <w:tab w:leader="none" w:pos="560" w:val="left"/>
        </w:tabs>
        <w:numPr>
          <w:ilvl w:val="0"/>
          <w:numId w:val="98"/>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Contact the WAWF helpdesk at 866-618-5988, if assistance is needed.</w:t>
      </w:r>
    </w:p>
    <w:p>
      <w:pPr>
        <w:spacing w:after="0" w:line="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3"/>
          <w:szCs w:val="13"/>
          <w:color w:val="auto"/>
        </w:rPr>
        <w:t>(End of clause)</w:t>
      </w:r>
    </w:p>
    <w:p>
      <w:pPr>
        <w:sectPr>
          <w:pgSz w:w="11900" w:h="16838" w:orient="portrait"/>
          <w:cols w:equalWidth="0" w:num="1">
            <w:col w:w="11060"/>
          </w:cols>
          <w:pgMar w:left="400" w:top="929" w:right="439" w:bottom="1440" w:gutter="0" w:footer="0" w:header="0"/>
        </w:sectPr>
      </w:pPr>
    </w:p>
    <w:bookmarkStart w:id="109" w:name="page110"/>
    <w:bookmarkEnd w:id="109"/>
    <w:tbl>
      <w:tblPr>
        <w:tblLayout w:type="fixed"/>
        <w:tblInd w:w="20" w:type="dxa"/>
        <w:tblCellMar>
          <w:top w:w="0" w:type="dxa"/>
          <w:left w:w="0" w:type="dxa"/>
          <w:bottom w:w="0" w:type="dxa"/>
          <w:right w:w="0" w:type="dxa"/>
        </w:tblCellMar>
      </w:tblPr>
      <w:tr>
        <w:trPr>
          <w:trHeight w:val="246"/>
        </w:trPr>
        <w:tc>
          <w:tcPr>
            <w:tcW w:w="316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CONTINUATION SHEET</w:t>
            </w:r>
          </w:p>
        </w:tc>
        <w:tc>
          <w:tcPr>
            <w:tcW w:w="5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76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21</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160" w:type="dxa"/>
            <w:vAlign w:val="bottom"/>
            <w:tcBorders>
              <w:right w:val="single" w:sz="8" w:color="auto"/>
            </w:tcBorders>
          </w:tcPr>
          <w:p>
            <w:pPr>
              <w:spacing w:after="0"/>
              <w:rPr>
                <w:sz w:val="9"/>
                <w:szCs w:val="9"/>
                <w:color w:val="auto"/>
              </w:rPr>
            </w:pPr>
          </w:p>
        </w:tc>
        <w:tc>
          <w:tcPr>
            <w:tcW w:w="544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760" w:type="dxa"/>
            <w:vAlign w:val="bottom"/>
          </w:tcPr>
          <w:p>
            <w:pPr>
              <w:spacing w:after="0"/>
              <w:rPr>
                <w:sz w:val="9"/>
                <w:szCs w:val="9"/>
                <w:color w:val="auto"/>
              </w:rPr>
            </w:pPr>
          </w:p>
        </w:tc>
      </w:tr>
      <w:tr>
        <w:trPr>
          <w:trHeight w:val="188"/>
        </w:trPr>
        <w:tc>
          <w:tcPr>
            <w:tcW w:w="3160" w:type="dxa"/>
            <w:vAlign w:val="bottom"/>
            <w:tcBorders>
              <w:bottom w:val="single" w:sz="8" w:color="auto"/>
              <w:right w:val="single" w:sz="8" w:color="auto"/>
            </w:tcBorders>
          </w:tcPr>
          <w:p>
            <w:pPr>
              <w:spacing w:after="0"/>
              <w:rPr>
                <w:sz w:val="16"/>
                <w:szCs w:val="16"/>
                <w:color w:val="auto"/>
              </w:rPr>
            </w:pPr>
          </w:p>
        </w:tc>
        <w:tc>
          <w:tcPr>
            <w:tcW w:w="5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76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SPECIAL CONTRACT REQUIREMENTS</w:t>
      </w:r>
    </w:p>
    <w:p>
      <w:pPr>
        <w:spacing w:after="0" w:line="264" w:lineRule="exact"/>
        <w:rPr>
          <w:sz w:val="20"/>
          <w:szCs w:val="20"/>
          <w:color w:val="auto"/>
        </w:rPr>
      </w:pPr>
    </w:p>
    <w:p>
      <w:pPr>
        <w:ind w:left="20" w:right="740"/>
        <w:spacing w:after="0" w:line="275" w:lineRule="auto"/>
        <w:rPr>
          <w:sz w:val="20"/>
          <w:szCs w:val="20"/>
          <w:color w:val="auto"/>
        </w:rPr>
      </w:pPr>
      <w:r>
        <w:rPr>
          <w:rFonts w:ascii="Courier New" w:cs="Courier New" w:eastAsia="Courier New" w:hAnsi="Courier New"/>
          <w:sz w:val="13"/>
          <w:szCs w:val="13"/>
          <w:color w:val="auto"/>
        </w:rPr>
        <w:t>As this is a commercial contract, any special requirements contained in this section and throughout the contract, are incorporated by addendum.</w:t>
      </w:r>
    </w:p>
    <w:p>
      <w:pPr>
        <w:spacing w:after="0" w:line="243" w:lineRule="exact"/>
        <w:rPr>
          <w:sz w:val="20"/>
          <w:szCs w:val="20"/>
          <w:color w:val="auto"/>
        </w:rPr>
      </w:pPr>
    </w:p>
    <w:p>
      <w:pPr>
        <w:ind w:right="9120" w:firstLine="17"/>
        <w:spacing w:after="0" w:line="715" w:lineRule="auto"/>
        <w:tabs>
          <w:tab w:leader="none" w:pos="245" w:val="left"/>
        </w:tabs>
        <w:numPr>
          <w:ilvl w:val="1"/>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OWS REQUIRED CLAUSE I. Key Personnel</w:t>
      </w:r>
    </w:p>
    <w:p>
      <w:pPr>
        <w:spacing w:after="0" w:line="284" w:lineRule="auto"/>
        <w:rPr>
          <w:sz w:val="20"/>
          <w:szCs w:val="20"/>
          <w:color w:val="auto"/>
        </w:rPr>
      </w:pPr>
      <w:r>
        <w:rPr>
          <w:rFonts w:ascii="Courier New" w:cs="Courier New" w:eastAsia="Courier New" w:hAnsi="Courier New"/>
          <w:sz w:val="13"/>
          <w:szCs w:val="13"/>
          <w:color w:val="auto"/>
        </w:rPr>
        <w:t>Any key personnel specified in this contract are considered to be essential to work performance. At least [* * *] prior to the Contractor voluntarily diverting any of the specified individuals to other programs or contracts, the Contractor shall notify the CO and shall submit a justification for the diversion or replacement and a request to replace the individual. The request must identify the proposed replacement and provide an explanation of how the replacement's skills, experience, and credentials meet or exceed the requirements of the contract (including, when applicable, Human Subjects Testing requirements). If the employee of the Contractor is terminated for cause or separates from the Contractor voluntarily with less than [* * *], the Contractor shall provide the maximum notice practicable under the circumstances. The Contractor shall not divert, replace, or announce any such change to key personnel without the written consent of the CO. The contract will be modified to add or delete key personnel as necessary to reflect the agreement of the parties. The following individuals are determined to be key personnel:</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Reference Regeneron's Technical Proposal dated 29 December 2020, Section 2.3.1.1, Program Management, for a listing of key personnel</w:t>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II. Substitution of Key Personnel</w:t>
      </w:r>
    </w:p>
    <w:p>
      <w:pPr>
        <w:spacing w:after="0" w:line="264" w:lineRule="exact"/>
        <w:rPr>
          <w:sz w:val="20"/>
          <w:szCs w:val="20"/>
          <w:color w:val="auto"/>
        </w:rPr>
      </w:pPr>
    </w:p>
    <w:p>
      <w:pPr>
        <w:ind w:right="380"/>
        <w:spacing w:after="0" w:line="275" w:lineRule="auto"/>
        <w:rPr>
          <w:sz w:val="20"/>
          <w:szCs w:val="20"/>
          <w:color w:val="auto"/>
        </w:rPr>
      </w:pPr>
      <w:r>
        <w:rPr>
          <w:rFonts w:ascii="Courier New" w:cs="Courier New" w:eastAsia="Courier New" w:hAnsi="Courier New"/>
          <w:sz w:val="13"/>
          <w:szCs w:val="13"/>
          <w:color w:val="auto"/>
        </w:rPr>
        <w:t>The Contractor agrees to assign to the contract those persons whose resumes/CVs were submitted with the proposal who are necessary to fill the requirements of the contract. No substitutions shall be made, except in accordance with this clause.</w:t>
      </w:r>
    </w:p>
    <w:p>
      <w:pPr>
        <w:spacing w:after="0" w:line="257" w:lineRule="exact"/>
        <w:rPr>
          <w:sz w:val="20"/>
          <w:szCs w:val="20"/>
          <w:color w:val="auto"/>
        </w:rPr>
      </w:pPr>
    </w:p>
    <w:p>
      <w:pPr>
        <w:ind w:right="460"/>
        <w:spacing w:after="0" w:line="312" w:lineRule="auto"/>
        <w:rPr>
          <w:sz w:val="20"/>
          <w:szCs w:val="20"/>
          <w:color w:val="auto"/>
        </w:rPr>
      </w:pPr>
      <w:r>
        <w:rPr>
          <w:rFonts w:ascii="Courier New" w:cs="Courier New" w:eastAsia="Courier New" w:hAnsi="Courier New"/>
          <w:sz w:val="12"/>
          <w:szCs w:val="12"/>
          <w:color w:val="auto"/>
        </w:rPr>
        <w:t>All requests for substitution must provide a detailed explanation of the circumstance necessitating the proposed substitution, a complete resume for the proposed substitute and any other information requested by the CO to approve or disapprove the proposed substitution. All proposed substitutes must have qualifications that are equal to or higher than the qualifications of the person to be replaced. The CO or authorized representative (TPOC) will evaluate such requests and promptly notify the Contractor of his approval or disapproval thereof.</w:t>
      </w:r>
    </w:p>
    <w:p>
      <w:pPr>
        <w:spacing w:after="0" w:line="232" w:lineRule="exact"/>
        <w:rPr>
          <w:sz w:val="20"/>
          <w:szCs w:val="20"/>
          <w:color w:val="auto"/>
        </w:rPr>
      </w:pPr>
    </w:p>
    <w:p>
      <w:pPr>
        <w:ind w:left="20"/>
        <w:spacing w:after="0"/>
        <w:rPr>
          <w:sz w:val="20"/>
          <w:szCs w:val="20"/>
          <w:color w:val="auto"/>
        </w:rPr>
      </w:pPr>
      <w:r>
        <w:rPr>
          <w:rFonts w:ascii="Courier New" w:cs="Courier New" w:eastAsia="Courier New" w:hAnsi="Courier New"/>
          <w:sz w:val="13"/>
          <w:szCs w:val="13"/>
          <w:color w:val="auto"/>
        </w:rPr>
        <w:t>The Contractor further agrees to include the substance of this clause in any subcontract, which may be awarded under this contract.</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III. Disclosure of Information</w:t>
      </w:r>
    </w:p>
    <w:p>
      <w:pPr>
        <w:spacing w:after="0" w:line="264" w:lineRule="exact"/>
        <w:rPr>
          <w:sz w:val="20"/>
          <w:szCs w:val="20"/>
          <w:color w:val="auto"/>
        </w:rPr>
      </w:pPr>
    </w:p>
    <w:p>
      <w:pPr>
        <w:ind w:right="220"/>
        <w:spacing w:after="0" w:line="311" w:lineRule="auto"/>
        <w:rPr>
          <w:sz w:val="20"/>
          <w:szCs w:val="20"/>
          <w:color w:val="auto"/>
        </w:rPr>
      </w:pPr>
      <w:r>
        <w:rPr>
          <w:rFonts w:ascii="Courier New" w:cs="Courier New" w:eastAsia="Courier New" w:hAnsi="Courier New"/>
          <w:sz w:val="12"/>
          <w:szCs w:val="12"/>
          <w:color w:val="auto"/>
        </w:rPr>
        <w:t>Performance under this contract may require the Contractor to access non-public data and information proprietary to a Government agency, another Government Contractor or of such nature that its dissemination or use other than as specified in the work statement would be adverse to the interests of the Government or others. Neither the Contractor, nor Contractor personnel, shall divulge nor release data nor information obtained under performance of this contract, except authorized by Government personnel or upon written approval of the CO in accordance with OWS or other Government policies and/or guidance. The Contractor shall not use, disclose, or reproduce proprietary data that bears a restrictive legend, other than as specified in this contract, or any information at all regarding this agency.</w:t>
      </w:r>
    </w:p>
    <w:p>
      <w:pPr>
        <w:spacing w:after="0" w:line="253" w:lineRule="exact"/>
        <w:rPr>
          <w:sz w:val="20"/>
          <w:szCs w:val="20"/>
          <w:color w:val="auto"/>
        </w:rPr>
      </w:pPr>
    </w:p>
    <w:p>
      <w:pPr>
        <w:ind w:right="80"/>
        <w:spacing w:after="0" w:line="283" w:lineRule="auto"/>
        <w:rPr>
          <w:sz w:val="20"/>
          <w:szCs w:val="20"/>
          <w:color w:val="auto"/>
        </w:rPr>
      </w:pPr>
      <w:r>
        <w:rPr>
          <w:rFonts w:ascii="Courier New" w:cs="Courier New" w:eastAsia="Courier New" w:hAnsi="Courier New"/>
          <w:sz w:val="13"/>
          <w:szCs w:val="13"/>
          <w:color w:val="auto"/>
        </w:rPr>
        <w:t>The Contractor shall comply with all Government requirements for protection of non-public information. Unauthorized disclosure of nonpublic information is prohibited by the Governments rules. Unauthorized disclosure may result in termination of the contract, replacement of a Contractor employee, or other appropriate redress. Neither the Contractor nor the Contractors employees shall disclose or cause to be disseminated, any information concerning the operations of the activity, which could result in, or increase the likelihood of, the possibility of a breach of the activitys security or interrupt the continuity of its operations.</w:t>
      </w:r>
    </w:p>
    <w:p>
      <w:pPr>
        <w:spacing w:after="0" w:line="252" w:lineRule="exact"/>
        <w:rPr>
          <w:sz w:val="20"/>
          <w:szCs w:val="20"/>
          <w:color w:val="auto"/>
        </w:rPr>
      </w:pPr>
    </w:p>
    <w:p>
      <w:pPr>
        <w:ind w:right="80"/>
        <w:spacing w:after="0" w:line="283" w:lineRule="auto"/>
        <w:rPr>
          <w:sz w:val="20"/>
          <w:szCs w:val="20"/>
          <w:color w:val="auto"/>
        </w:rPr>
      </w:pPr>
      <w:r>
        <w:rPr>
          <w:rFonts w:ascii="Courier New" w:cs="Courier New" w:eastAsia="Courier New" w:hAnsi="Courier New"/>
          <w:sz w:val="13"/>
          <w:szCs w:val="13"/>
          <w:color w:val="auto"/>
        </w:rPr>
        <w:t>No information related to data obtained from the Government under this contract shall be released or publicized without the prior written consent of the TPOC, whose approval shall not be unreasonably withheld, conditioned, or delayed, provided that no such consent is required to comply with any law, rule, regulation, court ruling or similar order; for submission to any Government entity for submission to any securities exchange on which the Contractors (or its parent corporations) securities may be listed for trading; or to third parties relating to securing, seeking, establishing or maintaining regulatory or other legal approvals or compliance, financing and capital raising activities, or mergers, acquisitions, or other business transactions.</w:t>
      </w: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IV. Publications and Publicity</w:t>
      </w:r>
    </w:p>
    <w:p>
      <w:pPr>
        <w:spacing w:after="0" w:line="264" w:lineRule="exact"/>
        <w:rPr>
          <w:sz w:val="20"/>
          <w:szCs w:val="20"/>
          <w:color w:val="auto"/>
        </w:rPr>
      </w:pPr>
    </w:p>
    <w:p>
      <w:pPr>
        <w:ind w:right="1060"/>
        <w:spacing w:after="0" w:line="275" w:lineRule="auto"/>
        <w:rPr>
          <w:sz w:val="20"/>
          <w:szCs w:val="20"/>
          <w:color w:val="auto"/>
        </w:rPr>
      </w:pPr>
      <w:r>
        <w:rPr>
          <w:rFonts w:ascii="Courier New" w:cs="Courier New" w:eastAsia="Courier New" w:hAnsi="Courier New"/>
          <w:sz w:val="13"/>
          <w:szCs w:val="13"/>
          <w:color w:val="auto"/>
        </w:rPr>
        <w:t>The Contractor shall not release any reports, manuscripts, press releases, or abstracts about the work being performed under this contract without written notice in advance to the Government.</w:t>
      </w:r>
    </w:p>
    <w:p>
      <w:pPr>
        <w:spacing w:after="0" w:line="270" w:lineRule="exact"/>
        <w:rPr>
          <w:sz w:val="20"/>
          <w:szCs w:val="20"/>
          <w:color w:val="auto"/>
        </w:rPr>
      </w:pPr>
    </w:p>
    <w:p>
      <w:pPr>
        <w:jc w:val="both"/>
        <w:ind w:left="20" w:hanging="2"/>
        <w:spacing w:after="0" w:line="280" w:lineRule="auto"/>
        <w:tabs>
          <w:tab w:leader="none" w:pos="395" w:val="left"/>
        </w:tabs>
        <w:numPr>
          <w:ilvl w:val="0"/>
          <w:numId w:val="1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Unless otherwise specified in this contract, the Contractor may publish the results of its work under this contract. The Contractor shall promptly send a copy of each submission to the TPOC for security review prior to submission. The Contractor shall also inform the TPOC when the abstract article or other publication is published, and furnish a copy of it as finally published.</w:t>
      </w:r>
    </w:p>
    <w:p>
      <w:pPr>
        <w:sectPr>
          <w:pgSz w:w="11900" w:h="16838" w:orient="portrait"/>
          <w:cols w:equalWidth="0" w:num="1">
            <w:col w:w="10800"/>
          </w:cols>
          <w:pgMar w:left="580" w:top="929" w:right="519" w:bottom="1440" w:gutter="0" w:footer="0" w:header="0"/>
        </w:sectPr>
      </w:pPr>
    </w:p>
    <w:bookmarkStart w:id="110" w:name="page111"/>
    <w:bookmarkEnd w:id="110"/>
    <w:p>
      <w:pPr>
        <w:jc w:val="both"/>
        <w:spacing w:after="0" w:line="280" w:lineRule="auto"/>
        <w:tabs>
          <w:tab w:leader="none" w:pos="395" w:val="left"/>
        </w:tabs>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tbl>
      <w:tblPr>
        <w:tblLayout w:type="fixed"/>
        <w:tblInd w:w="11" w:type="dxa"/>
        <w:tblCellMar>
          <w:top w:w="0" w:type="dxa"/>
          <w:left w:w="0" w:type="dxa"/>
          <w:bottom w:w="0" w:type="dxa"/>
          <w:right w:w="0" w:type="dxa"/>
        </w:tblCellMar>
      </w:tblPr>
      <w:tr>
        <w:trPr>
          <w:trHeight w:val="246"/>
        </w:trPr>
        <w:tc>
          <w:tcPr>
            <w:tcW w:w="30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20"/>
                <w:szCs w:val="20"/>
                <w:b w:val="1"/>
                <w:bCs w:val="1"/>
                <w:color w:val="auto"/>
              </w:rPr>
              <w:t>CONTINUATION SHEET</w:t>
            </w:r>
          </w:p>
        </w:tc>
        <w:tc>
          <w:tcPr>
            <w:tcW w:w="5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70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22</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040" w:type="dxa"/>
            <w:vAlign w:val="bottom"/>
            <w:tcBorders>
              <w:right w:val="single" w:sz="8" w:color="auto"/>
            </w:tcBorders>
          </w:tcPr>
          <w:p>
            <w:pPr>
              <w:spacing w:after="0"/>
              <w:rPr>
                <w:sz w:val="9"/>
                <w:szCs w:val="9"/>
                <w:color w:val="auto"/>
              </w:rPr>
            </w:pPr>
          </w:p>
        </w:tc>
        <w:tc>
          <w:tcPr>
            <w:tcW w:w="52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700" w:type="dxa"/>
            <w:vAlign w:val="bottom"/>
          </w:tcPr>
          <w:p>
            <w:pPr>
              <w:spacing w:after="0"/>
              <w:rPr>
                <w:sz w:val="9"/>
                <w:szCs w:val="9"/>
                <w:color w:val="auto"/>
              </w:rPr>
            </w:pPr>
          </w:p>
        </w:tc>
      </w:tr>
      <w:tr>
        <w:trPr>
          <w:trHeight w:val="188"/>
        </w:trPr>
        <w:tc>
          <w:tcPr>
            <w:tcW w:w="3040" w:type="dxa"/>
            <w:vAlign w:val="bottom"/>
            <w:tcBorders>
              <w:bottom w:val="single" w:sz="8" w:color="auto"/>
              <w:right w:val="single" w:sz="8" w:color="auto"/>
            </w:tcBorders>
          </w:tcPr>
          <w:p>
            <w:pPr>
              <w:spacing w:after="0"/>
              <w:rPr>
                <w:sz w:val="16"/>
                <w:szCs w:val="16"/>
                <w:color w:val="auto"/>
              </w:rPr>
            </w:pPr>
          </w:p>
        </w:tc>
        <w:tc>
          <w:tcPr>
            <w:tcW w:w="5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70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11"/>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63519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370" w:lineRule="exact"/>
        <w:rPr>
          <w:sz w:val="20"/>
          <w:szCs w:val="20"/>
          <w:color w:val="auto"/>
        </w:rPr>
      </w:pPr>
    </w:p>
    <w:p>
      <w:pPr>
        <w:ind w:left="11" w:right="860" w:hanging="11"/>
        <w:spacing w:after="0" w:line="235" w:lineRule="auto"/>
        <w:tabs>
          <w:tab w:leader="none" w:pos="311"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Unless authorized in writing by the CO, the Contractor shall not display Government logos, including Operating Division or Staff Division logos on any publications.</w:t>
      </w:r>
    </w:p>
    <w:p>
      <w:pPr>
        <w:spacing w:after="0" w:line="278" w:lineRule="exact"/>
        <w:rPr>
          <w:rFonts w:ascii="Courier New" w:cs="Courier New" w:eastAsia="Courier New" w:hAnsi="Courier New"/>
          <w:sz w:val="13"/>
          <w:szCs w:val="13"/>
          <w:color w:val="auto"/>
        </w:rPr>
      </w:pPr>
    </w:p>
    <w:p>
      <w:pPr>
        <w:ind w:left="11" w:right="100" w:hanging="11"/>
        <w:spacing w:after="0" w:line="275" w:lineRule="auto"/>
        <w:tabs>
          <w:tab w:leader="none" w:pos="311"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Contractor shall not reference the products(s) or services(s) awarded under this contract in commercial advertising, as defined in FAR 31.205-1, in any manner which states or implies Government approval or endorsement of the product(s) or service(s) provided.</w:t>
      </w:r>
    </w:p>
    <w:p>
      <w:pPr>
        <w:spacing w:after="0" w:line="250" w:lineRule="exact"/>
        <w:rPr>
          <w:rFonts w:ascii="Courier New" w:cs="Courier New" w:eastAsia="Courier New" w:hAnsi="Courier New"/>
          <w:sz w:val="13"/>
          <w:szCs w:val="13"/>
          <w:color w:val="auto"/>
        </w:rPr>
      </w:pPr>
    </w:p>
    <w:p>
      <w:pPr>
        <w:ind w:left="311" w:hanging="309"/>
        <w:spacing w:after="0"/>
        <w:tabs>
          <w:tab w:leader="none" w:pos="311"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contractor shall include this clause, including this section (d) in all subcontracts where the subcontractor may propose</w:t>
      </w:r>
    </w:p>
    <w:p>
      <w:pPr>
        <w:spacing w:after="0" w:line="35" w:lineRule="exact"/>
        <w:rPr>
          <w:sz w:val="20"/>
          <w:szCs w:val="20"/>
          <w:color w:val="auto"/>
        </w:rPr>
      </w:pPr>
    </w:p>
    <w:p>
      <w:pPr>
        <w:ind w:left="11" w:right="1080"/>
        <w:spacing w:after="0" w:line="275" w:lineRule="auto"/>
        <w:rPr>
          <w:sz w:val="20"/>
          <w:szCs w:val="20"/>
          <w:color w:val="auto"/>
        </w:rPr>
      </w:pPr>
      <w:r>
        <w:rPr>
          <w:rFonts w:ascii="Courier New" w:cs="Courier New" w:eastAsia="Courier New" w:hAnsi="Courier New"/>
          <w:sz w:val="13"/>
          <w:szCs w:val="13"/>
          <w:color w:val="auto"/>
        </w:rPr>
        <w:t>publishing the results of its work under the subcontract. The Contractor shall acknowledge the support of the Government whenever publicizing the work under this contract in any media by including an acknowledgement substantially as follows:</w:t>
      </w:r>
    </w:p>
    <w:p>
      <w:pPr>
        <w:spacing w:after="0" w:line="270" w:lineRule="exact"/>
        <w:rPr>
          <w:sz w:val="20"/>
          <w:szCs w:val="20"/>
          <w:color w:val="auto"/>
        </w:rPr>
      </w:pPr>
    </w:p>
    <w:p>
      <w:pPr>
        <w:ind w:left="31" w:right="980"/>
        <w:spacing w:after="0" w:line="318" w:lineRule="auto"/>
        <w:rPr>
          <w:sz w:val="20"/>
          <w:szCs w:val="20"/>
          <w:color w:val="auto"/>
        </w:rPr>
      </w:pPr>
      <w:r>
        <w:rPr>
          <w:rFonts w:ascii="Courier New" w:cs="Courier New" w:eastAsia="Courier New" w:hAnsi="Courier New"/>
          <w:sz w:val="12"/>
          <w:szCs w:val="12"/>
          <w:color w:val="auto"/>
        </w:rPr>
        <w:t>"This project has been funded in whole or in part by the U.S. Government under Contract No. W15QKN-21-C-0014. The US Government is authorized to reproduce and distribute reprints for Governmental purposes notwithstanding any copyright notation thereon."</w:t>
      </w:r>
    </w:p>
    <w:p>
      <w:pPr>
        <w:spacing w:after="0" w:line="214" w:lineRule="exact"/>
        <w:rPr>
          <w:sz w:val="20"/>
          <w:szCs w:val="20"/>
          <w:color w:val="auto"/>
        </w:rPr>
      </w:pPr>
    </w:p>
    <w:p>
      <w:pPr>
        <w:ind w:left="11"/>
        <w:spacing w:after="0"/>
        <w:rPr>
          <w:sz w:val="20"/>
          <w:szCs w:val="20"/>
          <w:color w:val="auto"/>
        </w:rPr>
      </w:pPr>
      <w:r>
        <w:rPr>
          <w:rFonts w:ascii="Courier New" w:cs="Courier New" w:eastAsia="Courier New" w:hAnsi="Courier New"/>
          <w:sz w:val="13"/>
          <w:szCs w:val="13"/>
          <w:color w:val="auto"/>
        </w:rPr>
        <w:t>V. Confidentiality of Information</w:t>
      </w:r>
    </w:p>
    <w:p>
      <w:pPr>
        <w:spacing w:after="0" w:line="278" w:lineRule="exact"/>
        <w:rPr>
          <w:sz w:val="20"/>
          <w:szCs w:val="20"/>
          <w:color w:val="auto"/>
        </w:rPr>
      </w:pPr>
    </w:p>
    <w:p>
      <w:pPr>
        <w:ind w:left="11" w:right="380" w:hanging="9"/>
        <w:spacing w:after="0" w:line="275" w:lineRule="auto"/>
        <w:tabs>
          <w:tab w:leader="none" w:pos="405"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Confidential information, as used in this article, means information or data of a personal nature about an individual, or proprietary information or data submitted by or pertaining to an institution or organization.</w:t>
      </w:r>
    </w:p>
    <w:p>
      <w:pPr>
        <w:spacing w:after="0" w:line="250" w:lineRule="exact"/>
        <w:rPr>
          <w:rFonts w:ascii="Courier New" w:cs="Courier New" w:eastAsia="Courier New" w:hAnsi="Courier New"/>
          <w:sz w:val="13"/>
          <w:szCs w:val="13"/>
          <w:color w:val="auto"/>
        </w:rPr>
      </w:pPr>
    </w:p>
    <w:p>
      <w:pPr>
        <w:ind w:left="231" w:hanging="229"/>
        <w:spacing w:after="0"/>
        <w:tabs>
          <w:tab w:leader="none" w:pos="231"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 and the Contractor may, by mutual consent, identify elsewhere in this contract specific information and/or categories of</w:t>
      </w:r>
    </w:p>
    <w:p>
      <w:pPr>
        <w:spacing w:after="0" w:line="34" w:lineRule="exact"/>
        <w:rPr>
          <w:rFonts w:ascii="Courier New" w:cs="Courier New" w:eastAsia="Courier New" w:hAnsi="Courier New"/>
          <w:sz w:val="13"/>
          <w:szCs w:val="13"/>
          <w:color w:val="auto"/>
        </w:rPr>
      </w:pPr>
    </w:p>
    <w:p>
      <w:pPr>
        <w:ind w:left="11" w:right="240"/>
        <w:spacing w:after="0" w:line="280"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information which the Government will furnish to the Contractor or that the Contractor is expected to generate which is confidential. Similarly, the CO and the Contractor may, by mutual consent, identify such confidential information from time to time during the performance of the contract. Failure to agree will be settled pursuant to the "Disputes" clause.</w:t>
      </w:r>
    </w:p>
    <w:p>
      <w:pPr>
        <w:spacing w:after="0" w:line="267" w:lineRule="exact"/>
        <w:rPr>
          <w:rFonts w:ascii="Courier New" w:cs="Courier New" w:eastAsia="Courier New" w:hAnsi="Courier New"/>
          <w:sz w:val="13"/>
          <w:szCs w:val="13"/>
          <w:color w:val="auto"/>
        </w:rPr>
      </w:pPr>
    </w:p>
    <w:p>
      <w:pPr>
        <w:ind w:left="11" w:right="20" w:hanging="9"/>
        <w:spacing w:after="0" w:line="280" w:lineRule="auto"/>
        <w:tabs>
          <w:tab w:leader="none" w:pos="238"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it is established elsewhere in this contract that information to be utilized under this contract, or a portion thereof, is subject to the Privacy Act, the Contractor will follow the rules and procedures of disclosure set forth in the Privacy Act of 1974, 5 U.S.C. 552a, and implementing regulations and policies, with respect to systems of records determined to be subject to the Privacy Act.</w:t>
      </w:r>
    </w:p>
    <w:p>
      <w:pPr>
        <w:spacing w:after="0" w:line="254" w:lineRule="exact"/>
        <w:rPr>
          <w:rFonts w:ascii="Courier New" w:cs="Courier New" w:eastAsia="Courier New" w:hAnsi="Courier New"/>
          <w:sz w:val="13"/>
          <w:szCs w:val="13"/>
          <w:color w:val="auto"/>
        </w:rPr>
      </w:pPr>
    </w:p>
    <w:p>
      <w:pPr>
        <w:ind w:left="11" w:right="480" w:hanging="9"/>
        <w:spacing w:after="0" w:line="275" w:lineRule="auto"/>
        <w:tabs>
          <w:tab w:leader="none" w:pos="238"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Confidential information, as defined in paragraph (a) of this article, shall not be disclosed without the prior written consent of the individual, institution, or organization.</w:t>
      </w:r>
    </w:p>
    <w:p>
      <w:pPr>
        <w:spacing w:after="0" w:line="270" w:lineRule="exact"/>
        <w:rPr>
          <w:rFonts w:ascii="Courier New" w:cs="Courier New" w:eastAsia="Courier New" w:hAnsi="Courier New"/>
          <w:sz w:val="13"/>
          <w:szCs w:val="13"/>
          <w:color w:val="auto"/>
        </w:rPr>
      </w:pPr>
    </w:p>
    <w:p>
      <w:pPr>
        <w:ind w:left="11" w:right="240" w:hanging="9"/>
        <w:spacing w:after="0" w:line="280" w:lineRule="auto"/>
        <w:tabs>
          <w:tab w:leader="none" w:pos="238"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Whenever the Contractor is uncertain with regard to the proper handling of material under the contract, or if the material in question is subject to the Privacy Act or is confidential information subject to the provisions of this article, the Contractor shall obtain a written determination from the CO prior to any release, disclosure, dissemination, or publication.</w:t>
      </w:r>
    </w:p>
    <w:p>
      <w:pPr>
        <w:spacing w:after="0" w:line="234" w:lineRule="exact"/>
        <w:rPr>
          <w:rFonts w:ascii="Courier New" w:cs="Courier New" w:eastAsia="Courier New" w:hAnsi="Courier New"/>
          <w:sz w:val="13"/>
          <w:szCs w:val="13"/>
          <w:color w:val="auto"/>
        </w:rPr>
      </w:pPr>
    </w:p>
    <w:p>
      <w:pPr>
        <w:ind w:left="231" w:hanging="229"/>
        <w:spacing w:after="0"/>
        <w:tabs>
          <w:tab w:leader="none" w:pos="231"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Contracting Officer Determinations will reflect the result of internal coordination with appropriate program and legal officials.</w:t>
      </w:r>
    </w:p>
    <w:p>
      <w:pPr>
        <w:spacing w:after="0" w:line="264" w:lineRule="exact"/>
        <w:rPr>
          <w:rFonts w:ascii="Courier New" w:cs="Courier New" w:eastAsia="Courier New" w:hAnsi="Courier New"/>
          <w:sz w:val="13"/>
          <w:szCs w:val="13"/>
          <w:color w:val="auto"/>
        </w:rPr>
      </w:pPr>
    </w:p>
    <w:p>
      <w:pPr>
        <w:ind w:left="11" w:right="240" w:hanging="9"/>
        <w:spacing w:after="0" w:line="275" w:lineRule="auto"/>
        <w:tabs>
          <w:tab w:leader="none" w:pos="238"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provisions of paragraph (d) of this article shall not apply to conflicting or overlapping provisions in other Federal, State or local laws.</w:t>
      </w:r>
    </w:p>
    <w:p>
      <w:pPr>
        <w:spacing w:after="0" w:line="250" w:lineRule="exact"/>
        <w:rPr>
          <w:sz w:val="20"/>
          <w:szCs w:val="20"/>
          <w:color w:val="auto"/>
        </w:rPr>
      </w:pPr>
    </w:p>
    <w:p>
      <w:pPr>
        <w:ind w:left="31"/>
        <w:spacing w:after="0"/>
        <w:rPr>
          <w:sz w:val="20"/>
          <w:szCs w:val="20"/>
          <w:color w:val="auto"/>
        </w:rPr>
      </w:pPr>
      <w:r>
        <w:rPr>
          <w:rFonts w:ascii="Courier New" w:cs="Courier New" w:eastAsia="Courier New" w:hAnsi="Courier New"/>
          <w:sz w:val="13"/>
          <w:szCs w:val="13"/>
          <w:color w:val="auto"/>
        </w:rPr>
        <w:t>All above requirements MUST be passed to all sub-contractors.</w:t>
      </w:r>
    </w:p>
    <w:p>
      <w:pPr>
        <w:spacing w:after="0" w:line="244" w:lineRule="exact"/>
        <w:rPr>
          <w:sz w:val="20"/>
          <w:szCs w:val="20"/>
          <w:color w:val="auto"/>
        </w:rPr>
      </w:pPr>
    </w:p>
    <w:p>
      <w:pPr>
        <w:ind w:left="11"/>
        <w:spacing w:after="0"/>
        <w:rPr>
          <w:sz w:val="20"/>
          <w:szCs w:val="20"/>
          <w:color w:val="auto"/>
        </w:rPr>
      </w:pPr>
      <w:r>
        <w:rPr>
          <w:rFonts w:ascii="Courier New" w:cs="Courier New" w:eastAsia="Courier New" w:hAnsi="Courier New"/>
          <w:sz w:val="13"/>
          <w:szCs w:val="13"/>
          <w:color w:val="auto"/>
        </w:rPr>
        <w:t>VI. Organizational Conflicts of Interest</w:t>
      </w:r>
    </w:p>
    <w:p>
      <w:pPr>
        <w:spacing w:after="0" w:line="264" w:lineRule="exact"/>
        <w:rPr>
          <w:sz w:val="20"/>
          <w:szCs w:val="20"/>
          <w:color w:val="auto"/>
        </w:rPr>
      </w:pPr>
    </w:p>
    <w:p>
      <w:pPr>
        <w:ind w:left="31" w:right="80"/>
        <w:spacing w:after="0" w:line="312" w:lineRule="auto"/>
        <w:rPr>
          <w:sz w:val="20"/>
          <w:szCs w:val="20"/>
          <w:color w:val="auto"/>
        </w:rPr>
      </w:pPr>
      <w:r>
        <w:rPr>
          <w:rFonts w:ascii="Courier New" w:cs="Courier New" w:eastAsia="Courier New" w:hAnsi="Courier New"/>
          <w:sz w:val="12"/>
          <w:szCs w:val="12"/>
          <w:color w:val="auto"/>
        </w:rPr>
        <w:t>Performance under this contract may create an actual or potential organizational conflict of interest such as are contemplated by FAR Part 9.505-General Rules. The Contractor shall not engage in any other contractual or other activities which could create an Organizational Conflict of Interest (OCI). This provision shall apply to the prime Contractor and all sub-contractors. This provision shall have effect throughout the period of performance of this contract, any extensions thereto by change order or supplemental agreement, and for two (2) years thereafter. The Government may pursue such remedies as may be permitted by law or this contract, upon determination that an OCI has occurred.</w:t>
      </w:r>
    </w:p>
    <w:p>
      <w:pPr>
        <w:spacing w:after="0" w:line="250" w:lineRule="exact"/>
        <w:rPr>
          <w:sz w:val="20"/>
          <w:szCs w:val="20"/>
          <w:color w:val="auto"/>
        </w:rPr>
      </w:pPr>
    </w:p>
    <w:p>
      <w:pPr>
        <w:ind w:left="31" w:right="140"/>
        <w:spacing w:after="0" w:line="282" w:lineRule="auto"/>
        <w:rPr>
          <w:sz w:val="20"/>
          <w:szCs w:val="20"/>
          <w:color w:val="auto"/>
        </w:rPr>
      </w:pPr>
      <w:r>
        <w:rPr>
          <w:rFonts w:ascii="Courier New" w:cs="Courier New" w:eastAsia="Courier New" w:hAnsi="Courier New"/>
          <w:sz w:val="13"/>
          <w:szCs w:val="13"/>
          <w:color w:val="auto"/>
        </w:rPr>
        <w:t>The work performed under this contract may create a significant potential for certain conflicts of interest, as set forth in FAR Parts 9.505-1, 9.505-2, 9.505-3, and 9.505-4. It is the intention of the parties hereto to prevent both the potential for bias in connection with the Contractors performance of this contract, as well as the creation of any unfair competitive advantage as a result of knowledge gained through access to any non-public data or third party proprietary information.</w:t>
      </w:r>
    </w:p>
    <w:p>
      <w:pPr>
        <w:spacing w:after="0" w:line="266" w:lineRule="exact"/>
        <w:rPr>
          <w:sz w:val="20"/>
          <w:szCs w:val="20"/>
          <w:color w:val="auto"/>
        </w:rPr>
      </w:pPr>
    </w:p>
    <w:p>
      <w:pPr>
        <w:ind w:left="31"/>
        <w:spacing w:after="0" w:line="283" w:lineRule="auto"/>
        <w:rPr>
          <w:sz w:val="20"/>
          <w:szCs w:val="20"/>
          <w:color w:val="auto"/>
        </w:rPr>
      </w:pPr>
      <w:r>
        <w:rPr>
          <w:rFonts w:ascii="Courier New" w:cs="Courier New" w:eastAsia="Courier New" w:hAnsi="Courier New"/>
          <w:sz w:val="13"/>
          <w:szCs w:val="13"/>
          <w:color w:val="auto"/>
        </w:rPr>
        <w:t>The Contractor shall notify the CO immediately whenever it becomes aware that such access or participation may result in any actual or potential OCI. Furthermore, the Contractor shall promptly submit a plan to the CO to either avoid or mitigate any such OCI. The CO will have sole discretion in accepting the Contractors mitigation plan. In the event the CO unilaterally determines that any such OCI cannot be satisfactorily avoided or mitigated, other remedies may be taken to prohibit the Contractor from participating in contract requirements related to OCI.</w:t>
      </w:r>
    </w:p>
    <w:p>
      <w:pPr>
        <w:spacing w:after="0" w:line="239" w:lineRule="exact"/>
        <w:rPr>
          <w:sz w:val="20"/>
          <w:szCs w:val="20"/>
          <w:color w:val="auto"/>
        </w:rPr>
      </w:pPr>
    </w:p>
    <w:p>
      <w:pPr>
        <w:ind w:left="11" w:right="20"/>
        <w:spacing w:after="0" w:line="237" w:lineRule="auto"/>
        <w:rPr>
          <w:sz w:val="20"/>
          <w:szCs w:val="20"/>
          <w:color w:val="auto"/>
        </w:rPr>
      </w:pPr>
      <w:r>
        <w:rPr>
          <w:rFonts w:ascii="Courier New" w:cs="Courier New" w:eastAsia="Courier New" w:hAnsi="Courier New"/>
          <w:sz w:val="13"/>
          <w:szCs w:val="13"/>
          <w:color w:val="auto"/>
        </w:rPr>
        <w:t>Whenever performance of this contract provides access to another Contractors proprietary information, the Contractor shall enter into a written agreement with the other entities involved, as appropriate, in order to protect such proprietary information from unauthorized use or disclosure for as long as it remains proprietary; and refrain from using such proprietary information other than as agreed to,</w:t>
      </w:r>
    </w:p>
    <w:p>
      <w:pPr>
        <w:sectPr>
          <w:pgSz w:w="11900" w:h="16838" w:orient="portrait"/>
          <w:cols w:equalWidth="0" w:num="1">
            <w:col w:w="10831"/>
          </w:cols>
          <w:pgMar w:left="569" w:top="943" w:right="49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46"/>
        </w:trPr>
        <w:tc>
          <w:tcPr>
            <w:tcW w:w="31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CONTINUATION SHEET</w:t>
            </w:r>
          </w:p>
        </w:tc>
        <w:tc>
          <w:tcPr>
            <w:tcW w:w="5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74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23</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180" w:type="dxa"/>
            <w:vAlign w:val="bottom"/>
            <w:tcBorders>
              <w:right w:val="single" w:sz="8" w:color="auto"/>
            </w:tcBorders>
          </w:tcPr>
          <w:p>
            <w:pPr>
              <w:spacing w:after="0"/>
              <w:rPr>
                <w:sz w:val="9"/>
                <w:szCs w:val="9"/>
                <w:color w:val="auto"/>
              </w:rPr>
            </w:pPr>
          </w:p>
        </w:tc>
        <w:tc>
          <w:tcPr>
            <w:tcW w:w="54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740" w:type="dxa"/>
            <w:vAlign w:val="bottom"/>
          </w:tcPr>
          <w:p>
            <w:pPr>
              <w:spacing w:after="0"/>
              <w:rPr>
                <w:sz w:val="9"/>
                <w:szCs w:val="9"/>
                <w:color w:val="auto"/>
              </w:rPr>
            </w:pPr>
          </w:p>
        </w:tc>
      </w:tr>
      <w:tr>
        <w:trPr>
          <w:trHeight w:val="188"/>
        </w:trPr>
        <w:tc>
          <w:tcPr>
            <w:tcW w:w="3180" w:type="dxa"/>
            <w:vAlign w:val="bottom"/>
            <w:tcBorders>
              <w:bottom w:val="single" w:sz="8" w:color="auto"/>
              <w:right w:val="single" w:sz="8" w:color="auto"/>
            </w:tcBorders>
          </w:tcPr>
          <w:p>
            <w:pPr>
              <w:spacing w:after="0"/>
              <w:rPr>
                <w:sz w:val="16"/>
                <w:szCs w:val="16"/>
                <w:color w:val="auto"/>
              </w:rPr>
            </w:pPr>
          </w:p>
        </w:tc>
        <w:tc>
          <w:tcPr>
            <w:tcW w:w="5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74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5919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pacing w:after="0" w:line="383" w:lineRule="exact"/>
        <w:rPr>
          <w:sz w:val="20"/>
          <w:szCs w:val="20"/>
          <w:color w:val="auto"/>
        </w:rPr>
      </w:pPr>
    </w:p>
    <w:p>
      <w:pPr>
        <w:ind w:right="100"/>
        <w:spacing w:after="0" w:line="270" w:lineRule="auto"/>
        <w:rPr>
          <w:sz w:val="20"/>
          <w:szCs w:val="20"/>
          <w:color w:val="auto"/>
        </w:rPr>
      </w:pPr>
      <w:r>
        <w:rPr>
          <w:rFonts w:ascii="Courier New" w:cs="Courier New" w:eastAsia="Courier New" w:hAnsi="Courier New"/>
          <w:sz w:val="12"/>
          <w:szCs w:val="12"/>
          <w:color w:val="auto"/>
        </w:rPr>
        <w:t>for example to provide assistance during technical evaluation of other Contractors offers or products under this contract. An executed copy of all proprietary information agreements by individual personnel or on a corporate basis shall be furnished to the CO within [* * *] of execution.</w:t>
      </w: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Courier New" w:cs="Courier New" w:eastAsia="Courier New" w:hAnsi="Courier New"/>
          <w:sz w:val="13"/>
          <w:szCs w:val="13"/>
          <w:color w:val="auto"/>
        </w:rPr>
        <w:t>2. HEALTH RESOURCE PRIORITY AND ALLOCATIONS SYSTEM (HRPAS)</w:t>
      </w:r>
    </w:p>
    <w:p>
      <w:pPr>
        <w:spacing w:after="0" w:line="264" w:lineRule="exact"/>
        <w:rPr>
          <w:sz w:val="20"/>
          <w:szCs w:val="20"/>
          <w:color w:val="auto"/>
        </w:rPr>
      </w:pPr>
    </w:p>
    <w:p>
      <w:pPr>
        <w:ind w:left="280" w:right="740"/>
        <w:spacing w:after="0" w:line="275" w:lineRule="auto"/>
        <w:rPr>
          <w:sz w:val="20"/>
          <w:szCs w:val="20"/>
          <w:color w:val="auto"/>
        </w:rPr>
      </w:pPr>
      <w:r>
        <w:rPr>
          <w:rFonts w:ascii="Courier New" w:cs="Courier New" w:eastAsia="Courier New" w:hAnsi="Courier New"/>
          <w:sz w:val="13"/>
          <w:szCs w:val="13"/>
          <w:color w:val="auto"/>
        </w:rPr>
        <w:t>In order to ensure the success of Regenerons efforts, a priority rating is incorporated into the contract for the procurement of raw materials, consumables, repair parts, and major end item assemblies by Regeneron under Title I of the HRPAS.</w:t>
      </w:r>
    </w:p>
    <w:p>
      <w:pPr>
        <w:spacing w:after="0" w:line="250"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Priority Rating: Defense Production Act (DPA) Title I DO-HR</w:t>
      </w:r>
    </w:p>
    <w:p>
      <w:pPr>
        <w:spacing w:after="0" w:line="244"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Each rated order executed by Regeneron must include the following:</w:t>
      </w:r>
    </w:p>
    <w:p>
      <w:pPr>
        <w:spacing w:after="0" w:line="244" w:lineRule="exact"/>
        <w:rPr>
          <w:sz w:val="20"/>
          <w:szCs w:val="20"/>
          <w:color w:val="auto"/>
        </w:rPr>
      </w:pPr>
    </w:p>
    <w:p>
      <w:pPr>
        <w:ind w:left="580" w:hanging="303"/>
        <w:spacing w:after="0"/>
        <w:tabs>
          <w:tab w:leader="none" w:pos="580" w:val="left"/>
        </w:tabs>
        <w:numPr>
          <w:ilvl w:val="0"/>
          <w:numId w:val="1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priority rating: DPA Title I DO-HR;</w:t>
      </w:r>
    </w:p>
    <w:p>
      <w:pPr>
        <w:spacing w:after="0" w:line="244" w:lineRule="exact"/>
        <w:rPr>
          <w:rFonts w:ascii="Courier New" w:cs="Courier New" w:eastAsia="Courier New" w:hAnsi="Courier New"/>
          <w:sz w:val="13"/>
          <w:szCs w:val="13"/>
          <w:color w:val="auto"/>
        </w:rPr>
      </w:pPr>
    </w:p>
    <w:p>
      <w:pPr>
        <w:ind w:left="580" w:hanging="303"/>
        <w:spacing w:after="0"/>
        <w:tabs>
          <w:tab w:leader="none" w:pos="580" w:val="left"/>
        </w:tabs>
        <w:numPr>
          <w:ilvl w:val="0"/>
          <w:numId w:val="1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required delivery date or dates. The words immediately or as soon as possible do not constitute a delivery date;</w:t>
      </w:r>
    </w:p>
    <w:p>
      <w:pPr>
        <w:spacing w:after="0" w:line="264" w:lineRule="exact"/>
        <w:rPr>
          <w:rFonts w:ascii="Courier New" w:cs="Courier New" w:eastAsia="Courier New" w:hAnsi="Courier New"/>
          <w:sz w:val="13"/>
          <w:szCs w:val="13"/>
          <w:color w:val="auto"/>
        </w:rPr>
      </w:pPr>
    </w:p>
    <w:p>
      <w:pPr>
        <w:ind w:left="280" w:right="1060" w:hanging="2"/>
        <w:spacing w:after="0" w:line="275" w:lineRule="auto"/>
        <w:tabs>
          <w:tab w:leader="none" w:pos="655" w:val="left"/>
        </w:tabs>
        <w:numPr>
          <w:ilvl w:val="0"/>
          <w:numId w:val="1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written signature on a manually placed order, or the digital signature or name on an electronically placed order, of an individual authorized to sign rated orders for the person placing the order; and</w:t>
      </w:r>
    </w:p>
    <w:p>
      <w:pPr>
        <w:spacing w:after="0" w:line="250" w:lineRule="exact"/>
        <w:rPr>
          <w:rFonts w:ascii="Courier New" w:cs="Courier New" w:eastAsia="Courier New" w:hAnsi="Courier New"/>
          <w:sz w:val="13"/>
          <w:szCs w:val="13"/>
          <w:color w:val="auto"/>
        </w:rPr>
      </w:pPr>
    </w:p>
    <w:p>
      <w:pPr>
        <w:ind w:left="580" w:hanging="303"/>
        <w:spacing w:after="0"/>
        <w:tabs>
          <w:tab w:leader="none" w:pos="580" w:val="left"/>
        </w:tabs>
        <w:numPr>
          <w:ilvl w:val="0"/>
          <w:numId w:val="1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statement that reads in substance:</w:t>
      </w:r>
    </w:p>
    <w:p>
      <w:pPr>
        <w:spacing w:after="0" w:line="264" w:lineRule="exact"/>
        <w:rPr>
          <w:sz w:val="20"/>
          <w:szCs w:val="20"/>
          <w:color w:val="auto"/>
        </w:rPr>
      </w:pPr>
    </w:p>
    <w:p>
      <w:pPr>
        <w:ind w:left="280" w:right="460" w:hanging="2"/>
        <w:spacing w:after="0" w:line="275" w:lineRule="auto"/>
        <w:tabs>
          <w:tab w:leader="none" w:pos="647" w:val="left"/>
        </w:tabs>
        <w:numPr>
          <w:ilvl w:val="0"/>
          <w:numId w:val="1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This is a rated order certified for national defense use, and you are required to follow all the provisions of the Health Resources Priorities and Allocations System regulation at 45 CFR part 101.</w:t>
      </w:r>
    </w:p>
    <w:p>
      <w:pPr>
        <w:spacing w:after="0" w:line="270" w:lineRule="exact"/>
        <w:rPr>
          <w:rFonts w:ascii="Courier New" w:cs="Courier New" w:eastAsia="Courier New" w:hAnsi="Courier New"/>
          <w:sz w:val="13"/>
          <w:szCs w:val="13"/>
          <w:color w:val="auto"/>
        </w:rPr>
      </w:pPr>
    </w:p>
    <w:p>
      <w:pPr>
        <w:ind w:left="280" w:right="80" w:hanging="2"/>
        <w:spacing w:after="0" w:line="275" w:lineRule="auto"/>
        <w:tabs>
          <w:tab w:leader="none" w:pos="647" w:val="left"/>
        </w:tabs>
        <w:numPr>
          <w:ilvl w:val="0"/>
          <w:numId w:val="1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rated order is placed in support of emergency preparedness requirements and expedited action is necessary and appropriate to meet these requirements, the following sentences should be added following the statement set forth in paragraph (d)(1) of this section:</w:t>
      </w:r>
    </w:p>
    <w:p>
      <w:pPr>
        <w:spacing w:after="0" w:line="257" w:lineRule="exact"/>
        <w:rPr>
          <w:sz w:val="20"/>
          <w:szCs w:val="20"/>
          <w:color w:val="auto"/>
        </w:rPr>
      </w:pPr>
    </w:p>
    <w:p>
      <w:pPr>
        <w:ind w:left="280" w:right="300" w:hanging="2"/>
        <w:spacing w:after="0" w:line="275" w:lineRule="auto"/>
        <w:tabs>
          <w:tab w:leader="none" w:pos="647" w:val="left"/>
        </w:tabs>
        <w:numPr>
          <w:ilvl w:val="1"/>
          <w:numId w:val="1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This rated order is placed for the purpose of emergency preparedness. It must be accepted or rejected within [* * *] after receipt of the order if:</w:t>
      </w:r>
    </w:p>
    <w:p>
      <w:pPr>
        <w:spacing w:after="0" w:line="250"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10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order is issued in response to a hazard that has occurred; or</w:t>
      </w:r>
    </w:p>
    <w:p>
      <w:pPr>
        <w:spacing w:after="0" w:line="244" w:lineRule="exact"/>
        <w:rPr>
          <w:rFonts w:ascii="Courier New" w:cs="Courier New" w:eastAsia="Courier New" w:hAnsi="Courier New"/>
          <w:sz w:val="13"/>
          <w:szCs w:val="13"/>
          <w:color w:val="auto"/>
        </w:rPr>
      </w:pPr>
    </w:p>
    <w:p>
      <w:pPr>
        <w:ind w:left="500" w:hanging="223"/>
        <w:spacing w:after="0"/>
        <w:tabs>
          <w:tab w:leader="none" w:pos="500" w:val="left"/>
        </w:tabs>
        <w:numPr>
          <w:ilvl w:val="0"/>
          <w:numId w:val="10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order is issued to prepare for an imminent hazard, as specified in HRPAS Section 101.33(e).</w:t>
      </w:r>
    </w:p>
    <w:p>
      <w:pPr>
        <w:spacing w:after="0" w:line="200" w:lineRule="exact"/>
        <w:rPr>
          <w:sz w:val="20"/>
          <w:szCs w:val="20"/>
          <w:color w:val="auto"/>
        </w:rPr>
      </w:pPr>
    </w:p>
    <w:p>
      <w:pPr>
        <w:spacing w:after="0" w:line="233" w:lineRule="exact"/>
        <w:rPr>
          <w:sz w:val="20"/>
          <w:szCs w:val="20"/>
          <w:color w:val="auto"/>
        </w:rPr>
      </w:pPr>
    </w:p>
    <w:p>
      <w:pPr>
        <w:ind w:left="500" w:hanging="223"/>
        <w:spacing w:after="0"/>
        <w:tabs>
          <w:tab w:leader="none" w:pos="500" w:val="left"/>
        </w:tabs>
        <w:numPr>
          <w:ilvl w:val="0"/>
          <w:numId w:val="107"/>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ENSURING SUFFICIENT SUPPLY OF THE PRODUCT</w:t>
      </w:r>
    </w:p>
    <w:p>
      <w:pPr>
        <w:spacing w:after="0" w:line="264" w:lineRule="exact"/>
        <w:rPr>
          <w:rFonts w:ascii="Courier New" w:cs="Courier New" w:eastAsia="Courier New" w:hAnsi="Courier New"/>
          <w:sz w:val="13"/>
          <w:szCs w:val="13"/>
          <w:color w:val="auto"/>
        </w:rPr>
      </w:pPr>
    </w:p>
    <w:p>
      <w:pPr>
        <w:ind w:left="280" w:hanging="2"/>
        <w:spacing w:after="0" w:line="282" w:lineRule="auto"/>
        <w:tabs>
          <w:tab w:leader="none" w:pos="647" w:val="left"/>
        </w:tabs>
        <w:numPr>
          <w:ilvl w:val="0"/>
          <w:numId w:val="10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recognition of the Governments need to provide sufficient quantities of a COVID-19 therapeutic to protect the United States population, the Government shall have the remedy described in this section to ensure sufficient supply of the product to meet the needs of the public health or national security. This remedy is not available to the Government unless and until both of the following conditions ((a) and (b)) are met:</w:t>
      </w:r>
    </w:p>
    <w:p>
      <w:pPr>
        <w:spacing w:after="0" w:line="246"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(a) Regeneron gives written notice, required to be submitted to the Government no later than [* * *], of:</w:t>
      </w:r>
    </w:p>
    <w:p>
      <w:pPr>
        <w:spacing w:after="0" w:line="264" w:lineRule="exact"/>
        <w:rPr>
          <w:sz w:val="20"/>
          <w:szCs w:val="20"/>
          <w:color w:val="auto"/>
        </w:rPr>
      </w:pPr>
    </w:p>
    <w:p>
      <w:pPr>
        <w:ind w:left="280" w:right="80" w:hanging="2"/>
        <w:spacing w:after="0" w:line="280" w:lineRule="auto"/>
        <w:tabs>
          <w:tab w:leader="none" w:pos="647" w:val="left"/>
        </w:tabs>
        <w:numPr>
          <w:ilvl w:val="0"/>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formal management decision to terminate manufacturing of this product therapeutic prior to delivery of the minimum required doses to the U.S. Government under this contract, as well as all additional orders accepted by the Contractor, other than as a result of clinical failure, or serious technical or safety reasons</w:t>
      </w:r>
    </w:p>
    <w:p>
      <w:pPr>
        <w:spacing w:after="0" w:line="234"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or;</w:t>
      </w:r>
    </w:p>
    <w:p>
      <w:pPr>
        <w:spacing w:after="0" w:line="278" w:lineRule="exact"/>
        <w:rPr>
          <w:sz w:val="20"/>
          <w:szCs w:val="20"/>
          <w:color w:val="auto"/>
        </w:rPr>
      </w:pPr>
    </w:p>
    <w:p>
      <w:pPr>
        <w:ind w:left="280" w:hanging="2"/>
        <w:spacing w:after="0" w:line="280" w:lineRule="auto"/>
        <w:tabs>
          <w:tab w:leader="none" w:pos="655" w:val="left"/>
        </w:tabs>
        <w:numPr>
          <w:ilvl w:val="0"/>
          <w:numId w:val="1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formal management decision to discontinue sale of this product therapeutic to the Government prior to delivery of the minimum required doses to the U.S. Government under this contract, as well as all additional orders accepted by the Contractor, other than as a result of clinical failure, or serious technical or safety reasons; or any filing that anticipates Federal bankruptcy protection; and</w:t>
      </w:r>
    </w:p>
    <w:p>
      <w:pPr>
        <w:spacing w:after="0" w:line="200" w:lineRule="exact"/>
        <w:rPr>
          <w:sz w:val="20"/>
          <w:szCs w:val="20"/>
          <w:color w:val="auto"/>
        </w:rPr>
      </w:pPr>
    </w:p>
    <w:p>
      <w:pPr>
        <w:spacing w:after="0" w:line="297" w:lineRule="exact"/>
        <w:rPr>
          <w:sz w:val="20"/>
          <w:szCs w:val="20"/>
          <w:color w:val="auto"/>
        </w:rPr>
      </w:pPr>
    </w:p>
    <w:p>
      <w:pPr>
        <w:ind w:left="280" w:right="380" w:hanging="2"/>
        <w:spacing w:after="0" w:line="275" w:lineRule="auto"/>
        <w:tabs>
          <w:tab w:leader="none" w:pos="655" w:val="left"/>
        </w:tabs>
        <w:numPr>
          <w:ilvl w:val="0"/>
          <w:numId w:val="1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Regeneron has submitted an Emergency Use Authorization application under Section 564 of the Food, Drug, and Cosmetic (FD&amp;C) Act or a biologics license application under the provisions of Section 351(a) of the Public Health Service Act (PHSA).</w:t>
      </w:r>
    </w:p>
    <w:p>
      <w:pPr>
        <w:spacing w:after="0" w:line="270" w:lineRule="exact"/>
        <w:rPr>
          <w:sz w:val="20"/>
          <w:szCs w:val="20"/>
          <w:color w:val="auto"/>
        </w:rPr>
      </w:pPr>
    </w:p>
    <w:p>
      <w:pPr>
        <w:ind w:left="280" w:right="840" w:hanging="2"/>
        <w:spacing w:after="0" w:line="280" w:lineRule="auto"/>
        <w:tabs>
          <w:tab w:leader="none" w:pos="647" w:val="left"/>
        </w:tabs>
        <w:numPr>
          <w:ilvl w:val="0"/>
          <w:numId w:val="1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both conditions listed in section 1 occur, Regeneron, upon the request of the Government, shall provide the following items necessary for the Government to pursue manufacturing of this therapeutic product with a third party for exclusive sale to the U.S. Government:</w:t>
      </w:r>
    </w:p>
    <w:p>
      <w:pPr>
        <w:sectPr>
          <w:pgSz w:w="11900" w:h="16838" w:orient="portrait"/>
          <w:cols w:equalWidth="0" w:num="1">
            <w:col w:w="11000"/>
          </w:cols>
          <w:pgMar w:left="320" w:top="1172" w:right="57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2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20"/>
                <w:szCs w:val="20"/>
                <w:b w:val="1"/>
                <w:bCs w:val="1"/>
                <w:color w:val="auto"/>
              </w:rPr>
              <w:t>CONTINUATION SHEET</w:t>
            </w:r>
          </w:p>
        </w:tc>
        <w:tc>
          <w:tcPr>
            <w:tcW w:w="5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78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24</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20" w:type="dxa"/>
            <w:vAlign w:val="bottom"/>
            <w:tcBorders>
              <w:right w:val="single" w:sz="8" w:color="auto"/>
            </w:tcBorders>
          </w:tcPr>
          <w:p>
            <w:pPr>
              <w:spacing w:after="0"/>
              <w:rPr>
                <w:sz w:val="9"/>
                <w:szCs w:val="9"/>
                <w:color w:val="auto"/>
              </w:rPr>
            </w:pPr>
          </w:p>
        </w:tc>
        <w:tc>
          <w:tcPr>
            <w:tcW w:w="552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780" w:type="dxa"/>
            <w:vAlign w:val="bottom"/>
          </w:tcPr>
          <w:p>
            <w:pPr>
              <w:spacing w:after="0"/>
              <w:rPr>
                <w:sz w:val="9"/>
                <w:szCs w:val="9"/>
                <w:color w:val="auto"/>
              </w:rPr>
            </w:pPr>
          </w:p>
        </w:tc>
      </w:tr>
      <w:tr>
        <w:trPr>
          <w:trHeight w:val="188"/>
        </w:trPr>
        <w:tc>
          <w:tcPr>
            <w:tcW w:w="3220" w:type="dxa"/>
            <w:vAlign w:val="bottom"/>
            <w:tcBorders>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78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6776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40" w:lineRule="exact"/>
        <w:rPr>
          <w:sz w:val="20"/>
          <w:szCs w:val="20"/>
          <w:color w:val="auto"/>
        </w:rPr>
      </w:pPr>
    </w:p>
    <w:p>
      <w:pPr>
        <w:ind w:left="280" w:hanging="4"/>
        <w:spacing w:after="0" w:line="239" w:lineRule="auto"/>
        <w:tabs>
          <w:tab w:leader="none" w:pos="653" w:val="left"/>
        </w:tabs>
        <w:numPr>
          <w:ilvl w:val="1"/>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writing, evidencing a non-exclusive, non-transferable, irrevocable (except for cause), royalty-free paid- up license to practice or have practiced for on behalf of the U.S. Government, any Regeneron Background Patent, Copyright, other Regeneron Intellectual Property, Regeneron Know-How, and Regeneron Technical Data rights necessary to manufacture doses of the SARS-CoV2 medical countermeasure neutralizing monoclonal antibodies, designated as casirivimab and imdevimab; necessary FDA regulatory filings or authorizations owned or controlled by Regeneron related to this therapeutic product, and any confirmatory instrument pertaining thereto; and</w:t>
      </w:r>
    </w:p>
    <w:p>
      <w:pPr>
        <w:spacing w:after="0" w:line="245" w:lineRule="exact"/>
        <w:rPr>
          <w:rFonts w:ascii="Courier New" w:cs="Courier New" w:eastAsia="Courier New" w:hAnsi="Courier New"/>
          <w:sz w:val="13"/>
          <w:szCs w:val="13"/>
          <w:color w:val="auto"/>
        </w:rPr>
      </w:pPr>
    </w:p>
    <w:p>
      <w:pPr>
        <w:ind w:left="660" w:hanging="409"/>
        <w:spacing w:after="0"/>
        <w:tabs>
          <w:tab w:leader="none" w:pos="660" w:val="left"/>
        </w:tabs>
        <w:numPr>
          <w:ilvl w:val="0"/>
          <w:numId w:val="1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outstanding Deliverables contemplated or materials purchased under this contract.</w:t>
      </w:r>
    </w:p>
    <w:p>
      <w:pPr>
        <w:spacing w:after="0" w:line="264" w:lineRule="exact"/>
        <w:rPr>
          <w:sz w:val="20"/>
          <w:szCs w:val="20"/>
          <w:color w:val="auto"/>
        </w:rPr>
      </w:pPr>
    </w:p>
    <w:p>
      <w:pPr>
        <w:ind w:left="260" w:right="20" w:hanging="9"/>
        <w:spacing w:after="0" w:line="280" w:lineRule="auto"/>
        <w:tabs>
          <w:tab w:leader="none" w:pos="487" w:val="left"/>
        </w:tabs>
        <w:numPr>
          <w:ilvl w:val="0"/>
          <w:numId w:val="1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This remedy will remain available until the end of the contract, and the license rights and items may only be used by the Government and its contractors to the extent needed to manufacture the number of doses that are not received under this contract, including with respect to any additional orders that are accepted by the Contractor.</w:t>
      </w: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320" w:lineRule="exact"/>
        <w:rPr>
          <w:rFonts w:ascii="Courier New" w:cs="Courier New" w:eastAsia="Courier New" w:hAnsi="Courier New"/>
          <w:sz w:val="13"/>
          <w:szCs w:val="13"/>
          <w:color w:val="auto"/>
        </w:rPr>
      </w:pPr>
    </w:p>
    <w:p>
      <w:pPr>
        <w:ind w:left="4800" w:hanging="310"/>
        <w:spacing w:after="0"/>
        <w:tabs>
          <w:tab w:leader="none" w:pos="4800" w:val="left"/>
        </w:tabs>
        <w:numPr>
          <w:ilvl w:val="1"/>
          <w:numId w:val="1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END OF NARRATIVE H0001 ***</w:t>
      </w:r>
    </w:p>
    <w:p>
      <w:pPr>
        <w:sectPr>
          <w:pgSz w:w="11900" w:h="16838" w:orient="portrait"/>
          <w:cols w:equalWidth="0" w:num="1">
            <w:col w:w="11080"/>
          </w:cols>
          <w:pgMar w:left="320" w:top="1440" w:right="49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46"/>
        </w:trPr>
        <w:tc>
          <w:tcPr>
            <w:tcW w:w="32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20"/>
                <w:szCs w:val="20"/>
                <w:b w:val="1"/>
                <w:bCs w:val="1"/>
                <w:color w:val="auto"/>
              </w:rPr>
              <w:t>CONTINUATION SHEET</w:t>
            </w:r>
          </w:p>
        </w:tc>
        <w:tc>
          <w:tcPr>
            <w:tcW w:w="5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80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25</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60" w:type="dxa"/>
            <w:vAlign w:val="bottom"/>
            <w:tcBorders>
              <w:right w:val="single" w:sz="8" w:color="auto"/>
            </w:tcBorders>
          </w:tcPr>
          <w:p>
            <w:pPr>
              <w:spacing w:after="0"/>
              <w:rPr>
                <w:sz w:val="9"/>
                <w:szCs w:val="9"/>
                <w:color w:val="auto"/>
              </w:rPr>
            </w:pPr>
          </w:p>
        </w:tc>
        <w:tc>
          <w:tcPr>
            <w:tcW w:w="55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800" w:type="dxa"/>
            <w:vAlign w:val="bottom"/>
          </w:tcPr>
          <w:p>
            <w:pPr>
              <w:spacing w:after="0"/>
              <w:rPr>
                <w:sz w:val="9"/>
                <w:szCs w:val="9"/>
                <w:color w:val="auto"/>
              </w:rPr>
            </w:pPr>
          </w:p>
        </w:tc>
      </w:tr>
      <w:tr>
        <w:trPr>
          <w:trHeight w:val="188"/>
        </w:trPr>
        <w:tc>
          <w:tcPr>
            <w:tcW w:w="3260" w:type="dxa"/>
            <w:vAlign w:val="bottom"/>
            <w:tcBorders>
              <w:bottom w:val="single" w:sz="8" w:color="auto"/>
              <w:right w:val="single" w:sz="8" w:color="auto"/>
            </w:tcBorders>
          </w:tcPr>
          <w:p>
            <w:pPr>
              <w:spacing w:after="0"/>
              <w:rPr>
                <w:sz w:val="16"/>
                <w:szCs w:val="16"/>
                <w:color w:val="auto"/>
              </w:rPr>
            </w:pPr>
          </w:p>
        </w:tc>
        <w:tc>
          <w:tcPr>
            <w:tcW w:w="5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80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7379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ectPr>
          <w:pgSz w:w="11900" w:h="16838" w:orient="portrait"/>
          <w:cols w:equalWidth="0" w:num="1">
            <w:col w:w="10920"/>
          </w:cols>
          <w:pgMar w:left="320" w:top="1105" w:right="659" w:bottom="9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CONTRACT CLAUSES</w:t>
      </w:r>
    </w:p>
    <w:p>
      <w:pPr>
        <w:spacing w:after="0" w:line="163" w:lineRule="exact"/>
        <w:rPr>
          <w:sz w:val="20"/>
          <w:szCs w:val="20"/>
          <w:color w:val="auto"/>
        </w:rPr>
      </w:pPr>
    </w:p>
    <w:p>
      <w:pPr>
        <w:ind w:left="1620"/>
        <w:spacing w:after="0"/>
        <w:tabs>
          <w:tab w:leader="none" w:pos="5580" w:val="left"/>
        </w:tabs>
        <w:rPr>
          <w:sz w:val="20"/>
          <w:szCs w:val="20"/>
          <w:color w:val="auto"/>
        </w:rPr>
      </w:pPr>
      <w:r>
        <w:rPr>
          <w:rFonts w:ascii="Courier New" w:cs="Courier New" w:eastAsia="Courier New" w:hAnsi="Courier New"/>
          <w:sz w:val="13"/>
          <w:szCs w:val="13"/>
          <w:color w:val="auto"/>
        </w:rPr>
        <w:t>Regulatory Cite</w:t>
      </w:r>
      <w:r>
        <w:rPr>
          <w:sz w:val="20"/>
          <w:szCs w:val="20"/>
          <w:color w:val="auto"/>
        </w:rPr>
        <w:tab/>
      </w:r>
      <w:r>
        <w:rPr>
          <w:rFonts w:ascii="Courier New" w:cs="Courier New" w:eastAsia="Courier New" w:hAnsi="Courier New"/>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20320</wp:posOffset>
            </wp:positionV>
            <wp:extent cx="45002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49" w:lineRule="exact"/>
        <w:rPr>
          <w:sz w:val="20"/>
          <w:szCs w:val="20"/>
          <w:color w:val="auto"/>
        </w:rPr>
      </w:pPr>
    </w:p>
    <w:p>
      <w:pPr>
        <w:ind w:left="1560" w:hanging="820"/>
        <w:spacing w:after="0"/>
        <w:tabs>
          <w:tab w:leader="none" w:pos="1560" w:val="left"/>
        </w:tabs>
        <w:numPr>
          <w:ilvl w:val="0"/>
          <w:numId w:val="1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52.204-13</w:t>
      </w:r>
      <w:r>
        <w:rPr>
          <w:rFonts w:ascii="Courier New" w:cs="Courier New" w:eastAsia="Courier New" w:hAnsi="Courier New"/>
          <w:sz w:val="12"/>
          <w:szCs w:val="12"/>
          <w:color w:val="auto"/>
        </w:rPr>
        <w:t>SYSTEM FOR AWARD MANAGEMENT MAINTENANCE</w:t>
      </w:r>
    </w:p>
    <w:p>
      <w:pPr>
        <w:ind w:left="1560" w:hanging="820"/>
        <w:spacing w:after="0"/>
        <w:tabs>
          <w:tab w:leader="none" w:pos="1560" w:val="left"/>
        </w:tabs>
        <w:numPr>
          <w:ilvl w:val="0"/>
          <w:numId w:val="117"/>
        </w:numPr>
        <w:rPr>
          <w:rFonts w:ascii="Courier New" w:cs="Courier New" w:eastAsia="Courier New" w:hAnsi="Courier New"/>
          <w:sz w:val="25"/>
          <w:szCs w:val="25"/>
          <w:color w:val="auto"/>
          <w:vertAlign w:val="subscript"/>
        </w:rPr>
      </w:pPr>
      <w:r>
        <w:rPr>
          <w:rFonts w:ascii="Courier New" w:cs="Courier New" w:eastAsia="Courier New" w:hAnsi="Courier New"/>
          <w:sz w:val="13"/>
          <w:szCs w:val="13"/>
          <w:color w:val="auto"/>
        </w:rPr>
        <w:t>52.204-18</w:t>
      </w:r>
      <w:r>
        <w:rPr>
          <w:rFonts w:ascii="Courier New" w:cs="Courier New" w:eastAsia="Courier New" w:hAnsi="Courier New"/>
          <w:sz w:val="12"/>
          <w:szCs w:val="12"/>
          <w:color w:val="auto"/>
        </w:rPr>
        <w:t>COMMERCIAL AND GOVERNMENT ENTITY CODE MAINTENANCE</w:t>
      </w:r>
    </w:p>
    <w:p>
      <w:pPr>
        <w:spacing w:after="0" w:line="69" w:lineRule="exact"/>
        <w:rPr>
          <w:sz w:val="20"/>
          <w:szCs w:val="20"/>
          <w:color w:val="auto"/>
        </w:rPr>
      </w:pPr>
    </w:p>
    <w:tbl>
      <w:tblPr>
        <w:tblLayout w:type="fixed"/>
        <w:tblInd w:w="740" w:type="dxa"/>
        <w:tblCellMar>
          <w:top w:w="0" w:type="dxa"/>
          <w:left w:w="0" w:type="dxa"/>
          <w:bottom w:w="0" w:type="dxa"/>
          <w:right w:w="0" w:type="dxa"/>
        </w:tblCellMar>
      </w:tblPr>
      <w:tr>
        <w:trPr>
          <w:trHeight w:val="174"/>
        </w:trPr>
        <w:tc>
          <w:tcPr>
            <w:tcW w:w="460" w:type="dxa"/>
            <w:vAlign w:val="bottom"/>
          </w:tcPr>
          <w:p>
            <w:pPr>
              <w:jc w:val="right"/>
              <w:ind w:right="317"/>
              <w:spacing w:after="0"/>
              <w:rPr>
                <w:sz w:val="20"/>
                <w:szCs w:val="20"/>
                <w:color w:val="auto"/>
              </w:rPr>
            </w:pPr>
            <w:r>
              <w:rPr>
                <w:rFonts w:ascii="Courier New" w:cs="Courier New" w:eastAsia="Courier New" w:hAnsi="Courier New"/>
                <w:sz w:val="13"/>
                <w:szCs w:val="13"/>
                <w:color w:val="auto"/>
                <w:w w:val="76"/>
              </w:rPr>
              <w:t>3</w:t>
            </w:r>
          </w:p>
        </w:tc>
        <w:tc>
          <w:tcPr>
            <w:tcW w:w="1440" w:type="dxa"/>
            <w:vAlign w:val="bottom"/>
          </w:tcPr>
          <w:p>
            <w:pPr>
              <w:ind w:left="360"/>
              <w:spacing w:after="0"/>
              <w:rPr>
                <w:sz w:val="20"/>
                <w:szCs w:val="20"/>
                <w:color w:val="auto"/>
              </w:rPr>
            </w:pPr>
            <w:r>
              <w:rPr>
                <w:rFonts w:ascii="Courier New" w:cs="Courier New" w:eastAsia="Courier New" w:hAnsi="Courier New"/>
                <w:sz w:val="13"/>
                <w:szCs w:val="13"/>
                <w:color w:val="auto"/>
              </w:rPr>
              <w:t>52.212-4</w:t>
            </w:r>
          </w:p>
        </w:tc>
        <w:tc>
          <w:tcPr>
            <w:tcW w:w="3960" w:type="dxa"/>
            <w:vAlign w:val="bottom"/>
          </w:tcPr>
          <w:p>
            <w:pPr>
              <w:ind w:left="400"/>
              <w:spacing w:after="0"/>
              <w:rPr>
                <w:sz w:val="20"/>
                <w:szCs w:val="20"/>
                <w:color w:val="auto"/>
              </w:rPr>
            </w:pPr>
            <w:r>
              <w:rPr>
                <w:rFonts w:ascii="Courier New" w:cs="Courier New" w:eastAsia="Courier New" w:hAnsi="Courier New"/>
                <w:sz w:val="13"/>
                <w:szCs w:val="13"/>
                <w:color w:val="auto"/>
                <w:w w:val="96"/>
              </w:rPr>
              <w:t>CONTRACT TERMS AND CONDITIONS--COMMERCIAL ITEMS</w:t>
            </w:r>
          </w:p>
        </w:tc>
      </w:tr>
      <w:tr>
        <w:trPr>
          <w:trHeight w:val="216"/>
        </w:trPr>
        <w:tc>
          <w:tcPr>
            <w:tcW w:w="460" w:type="dxa"/>
            <w:vAlign w:val="bottom"/>
          </w:tcPr>
          <w:p>
            <w:pPr>
              <w:jc w:val="right"/>
              <w:ind w:right="317"/>
              <w:spacing w:after="0"/>
              <w:rPr>
                <w:sz w:val="20"/>
                <w:szCs w:val="20"/>
                <w:color w:val="auto"/>
              </w:rPr>
            </w:pPr>
            <w:r>
              <w:rPr>
                <w:rFonts w:ascii="Courier New" w:cs="Courier New" w:eastAsia="Courier New" w:hAnsi="Courier New"/>
                <w:sz w:val="13"/>
                <w:szCs w:val="13"/>
                <w:color w:val="auto"/>
                <w:w w:val="76"/>
              </w:rPr>
              <w:t>4</w:t>
            </w:r>
          </w:p>
        </w:tc>
        <w:tc>
          <w:tcPr>
            <w:tcW w:w="1440" w:type="dxa"/>
            <w:vAlign w:val="bottom"/>
          </w:tcPr>
          <w:p>
            <w:pPr>
              <w:ind w:left="360"/>
              <w:spacing w:after="0"/>
              <w:rPr>
                <w:sz w:val="20"/>
                <w:szCs w:val="20"/>
                <w:color w:val="auto"/>
              </w:rPr>
            </w:pPr>
            <w:r>
              <w:rPr>
                <w:rFonts w:ascii="Courier New" w:cs="Courier New" w:eastAsia="Courier New" w:hAnsi="Courier New"/>
                <w:sz w:val="13"/>
                <w:szCs w:val="13"/>
                <w:color w:val="auto"/>
              </w:rPr>
              <w:t>52.219-16</w:t>
            </w:r>
          </w:p>
        </w:tc>
        <w:tc>
          <w:tcPr>
            <w:tcW w:w="3960" w:type="dxa"/>
            <w:vAlign w:val="bottom"/>
          </w:tcPr>
          <w:p>
            <w:pPr>
              <w:ind w:left="400"/>
              <w:spacing w:after="0"/>
              <w:rPr>
                <w:sz w:val="20"/>
                <w:szCs w:val="20"/>
                <w:color w:val="auto"/>
              </w:rPr>
            </w:pPr>
            <w:r>
              <w:rPr>
                <w:rFonts w:ascii="Courier New" w:cs="Courier New" w:eastAsia="Courier New" w:hAnsi="Courier New"/>
                <w:sz w:val="13"/>
                <w:szCs w:val="13"/>
                <w:color w:val="auto"/>
              </w:rPr>
              <w:t>LIQUIDATED DAMAGES--SUBCONTRACTING PLAN</w:t>
            </w:r>
          </w:p>
        </w:tc>
      </w:tr>
    </w:tbl>
    <w:p>
      <w:pPr>
        <w:ind w:left="1560" w:hanging="820"/>
        <w:spacing w:after="0"/>
        <w:tabs>
          <w:tab w:leader="none" w:pos="1560" w:val="left"/>
        </w:tabs>
        <w:numPr>
          <w:ilvl w:val="0"/>
          <w:numId w:val="118"/>
        </w:numPr>
        <w:rPr>
          <w:rFonts w:ascii="Courier New" w:cs="Courier New" w:eastAsia="Courier New" w:hAnsi="Courier New"/>
          <w:sz w:val="22"/>
          <w:szCs w:val="22"/>
          <w:color w:val="auto"/>
          <w:vertAlign w:val="subscript"/>
        </w:rPr>
      </w:pPr>
      <w:r>
        <w:rPr>
          <w:rFonts w:ascii="Courier New" w:cs="Courier New" w:eastAsia="Courier New" w:hAnsi="Courier New"/>
          <w:sz w:val="11"/>
          <w:szCs w:val="11"/>
          <w:color w:val="auto"/>
        </w:rPr>
        <w:t>52.232-40</w:t>
      </w:r>
      <w:r>
        <w:rPr>
          <w:rFonts w:ascii="Courier New" w:cs="Courier New" w:eastAsia="Courier New" w:hAnsi="Courier New"/>
          <w:sz w:val="12"/>
          <w:szCs w:val="12"/>
          <w:color w:val="auto"/>
        </w:rPr>
        <w:t>PROVIDING ACCELERATED PAYMENTS TO SMALL BUSINESS SUBCONTRACTORS</w:t>
      </w:r>
    </w:p>
    <w:p>
      <w:pPr>
        <w:ind w:left="1560" w:hanging="820"/>
        <w:spacing w:after="0"/>
        <w:tabs>
          <w:tab w:leader="none" w:pos="1560" w:val="left"/>
        </w:tabs>
        <w:numPr>
          <w:ilvl w:val="0"/>
          <w:numId w:val="119"/>
        </w:numPr>
        <w:rPr>
          <w:rFonts w:ascii="Courier New" w:cs="Courier New" w:eastAsia="Courier New" w:hAnsi="Courier New"/>
          <w:sz w:val="25"/>
          <w:szCs w:val="25"/>
          <w:color w:val="auto"/>
          <w:vertAlign w:val="subscript"/>
        </w:rPr>
      </w:pPr>
      <w:r>
        <w:rPr>
          <w:rFonts w:ascii="Courier New" w:cs="Courier New" w:eastAsia="Courier New" w:hAnsi="Courier New"/>
          <w:sz w:val="13"/>
          <w:szCs w:val="13"/>
          <w:color w:val="auto"/>
        </w:rPr>
        <w:t>252.203-7000</w:t>
      </w:r>
      <w:r>
        <w:rPr>
          <w:rFonts w:ascii="Courier New" w:cs="Courier New" w:eastAsia="Courier New" w:hAnsi="Courier New"/>
          <w:sz w:val="12"/>
          <w:szCs w:val="12"/>
          <w:color w:val="auto"/>
        </w:rPr>
        <w:t>REQUIREMENTS RELATING TO COMPENSATION OF FORMER DOD OFFICIALS</w:t>
      </w:r>
    </w:p>
    <w:p>
      <w:pPr>
        <w:ind w:left="1560" w:hanging="820"/>
        <w:spacing w:after="0"/>
        <w:tabs>
          <w:tab w:leader="none" w:pos="1560" w:val="left"/>
        </w:tabs>
        <w:numPr>
          <w:ilvl w:val="0"/>
          <w:numId w:val="120"/>
        </w:numPr>
        <w:rPr>
          <w:rFonts w:ascii="Courier New" w:cs="Courier New" w:eastAsia="Courier New" w:hAnsi="Courier New"/>
          <w:sz w:val="25"/>
          <w:szCs w:val="25"/>
          <w:color w:val="auto"/>
          <w:vertAlign w:val="subscript"/>
        </w:rPr>
      </w:pPr>
      <w:r>
        <w:rPr>
          <w:rFonts w:ascii="Courier New" w:cs="Courier New" w:eastAsia="Courier New" w:hAnsi="Courier New"/>
          <w:sz w:val="13"/>
          <w:szCs w:val="13"/>
          <w:color w:val="auto"/>
        </w:rPr>
        <w:t>252.203-7002</w:t>
      </w:r>
      <w:r>
        <w:rPr>
          <w:rFonts w:ascii="Courier New" w:cs="Courier New" w:eastAsia="Courier New" w:hAnsi="Courier New"/>
          <w:sz w:val="12"/>
          <w:szCs w:val="12"/>
          <w:color w:val="auto"/>
        </w:rPr>
        <w:t>REQUIREMENT TO INFORM EMPLOYEES OF WHISTLEBLOWER RIGHTS</w:t>
      </w:r>
    </w:p>
    <w:p>
      <w:pPr>
        <w:ind w:left="1560" w:hanging="820"/>
        <w:spacing w:after="0"/>
        <w:tabs>
          <w:tab w:leader="none" w:pos="1560" w:val="left"/>
        </w:tabs>
        <w:numPr>
          <w:ilvl w:val="0"/>
          <w:numId w:val="121"/>
        </w:numPr>
        <w:rPr>
          <w:rFonts w:ascii="Courier New" w:cs="Courier New" w:eastAsia="Courier New" w:hAnsi="Courier New"/>
          <w:sz w:val="25"/>
          <w:szCs w:val="25"/>
          <w:color w:val="auto"/>
          <w:vertAlign w:val="subscript"/>
        </w:rPr>
      </w:pPr>
      <w:r>
        <w:rPr>
          <w:rFonts w:ascii="Courier New" w:cs="Courier New" w:eastAsia="Courier New" w:hAnsi="Courier New"/>
          <w:sz w:val="13"/>
          <w:szCs w:val="13"/>
          <w:color w:val="auto"/>
        </w:rPr>
        <w:t>252.203-7003</w:t>
      </w:r>
      <w:r>
        <w:rPr>
          <w:rFonts w:ascii="Courier New" w:cs="Courier New" w:eastAsia="Courier New" w:hAnsi="Courier New"/>
          <w:sz w:val="12"/>
          <w:szCs w:val="12"/>
          <w:color w:val="auto"/>
        </w:rPr>
        <w:t>AGENCY OFFICE OF THE INSPECTOR GENERAL</w:t>
      </w:r>
    </w:p>
    <w:p>
      <w:pPr>
        <w:ind w:left="1560" w:hanging="820"/>
        <w:spacing w:after="0"/>
        <w:tabs>
          <w:tab w:leader="none" w:pos="1560" w:val="left"/>
        </w:tabs>
        <w:numPr>
          <w:ilvl w:val="0"/>
          <w:numId w:val="122"/>
        </w:numPr>
        <w:rPr>
          <w:rFonts w:ascii="Courier New" w:cs="Courier New" w:eastAsia="Courier New" w:hAnsi="Courier New"/>
          <w:sz w:val="25"/>
          <w:szCs w:val="25"/>
          <w:color w:val="auto"/>
          <w:vertAlign w:val="subscript"/>
        </w:rPr>
      </w:pPr>
      <w:r>
        <w:rPr>
          <w:rFonts w:ascii="Courier New" w:cs="Courier New" w:eastAsia="Courier New" w:hAnsi="Courier New"/>
          <w:sz w:val="13"/>
          <w:szCs w:val="13"/>
          <w:color w:val="auto"/>
        </w:rPr>
        <w:t>252.204-7003</w:t>
      </w:r>
      <w:r>
        <w:rPr>
          <w:rFonts w:ascii="Courier New" w:cs="Courier New" w:eastAsia="Courier New" w:hAnsi="Courier New"/>
          <w:sz w:val="12"/>
          <w:szCs w:val="12"/>
          <w:color w:val="auto"/>
        </w:rPr>
        <w:t>CONTROL OF GOVERNMENT PERSONNEL WORK PRODUCT</w:t>
      </w:r>
    </w:p>
    <w:p>
      <w:pPr>
        <w:ind w:left="1560" w:hanging="858"/>
        <w:spacing w:after="0"/>
        <w:tabs>
          <w:tab w:leader="none" w:pos="1560" w:val="left"/>
        </w:tabs>
        <w:numPr>
          <w:ilvl w:val="0"/>
          <w:numId w:val="123"/>
        </w:numPr>
        <w:rPr>
          <w:rFonts w:ascii="Courier New" w:cs="Courier New" w:eastAsia="Courier New" w:hAnsi="Courier New"/>
          <w:sz w:val="25"/>
          <w:szCs w:val="25"/>
          <w:color w:val="auto"/>
          <w:vertAlign w:val="subscript"/>
        </w:rPr>
      </w:pPr>
      <w:r>
        <w:rPr>
          <w:rFonts w:ascii="Courier New" w:cs="Courier New" w:eastAsia="Courier New" w:hAnsi="Courier New"/>
          <w:sz w:val="13"/>
          <w:szCs w:val="13"/>
          <w:color w:val="auto"/>
        </w:rPr>
        <w:t>252.204-7012</w:t>
      </w:r>
      <w:r>
        <w:rPr>
          <w:rFonts w:ascii="Courier New" w:cs="Courier New" w:eastAsia="Courier New" w:hAnsi="Courier New"/>
          <w:sz w:val="12"/>
          <w:szCs w:val="12"/>
          <w:color w:val="auto"/>
        </w:rPr>
        <w:t>SAFEGUARDING COVERED DEFENSE INFORMATION AND CYBER INCIDENT REPORTING</w:t>
      </w:r>
    </w:p>
    <w:p>
      <w:pPr>
        <w:spacing w:after="0" w:line="27" w:lineRule="exact"/>
        <w:rPr>
          <w:rFonts w:ascii="Courier New" w:cs="Courier New" w:eastAsia="Courier New" w:hAnsi="Courier New"/>
          <w:sz w:val="25"/>
          <w:szCs w:val="25"/>
          <w:color w:val="auto"/>
          <w:vertAlign w:val="subscript"/>
        </w:rPr>
      </w:pPr>
    </w:p>
    <w:p>
      <w:pPr>
        <w:ind w:left="1560" w:hanging="858"/>
        <w:spacing w:after="0"/>
        <w:tabs>
          <w:tab w:leader="none" w:pos="1560" w:val="left"/>
        </w:tabs>
        <w:numPr>
          <w:ilvl w:val="0"/>
          <w:numId w:val="123"/>
        </w:numPr>
        <w:rPr>
          <w:rFonts w:ascii="Courier New" w:cs="Courier New" w:eastAsia="Courier New" w:hAnsi="Courier New"/>
          <w:sz w:val="22"/>
          <w:szCs w:val="22"/>
          <w:color w:val="auto"/>
          <w:vertAlign w:val="subscript"/>
        </w:rPr>
      </w:pPr>
      <w:r>
        <w:rPr>
          <w:rFonts w:ascii="Courier New" w:cs="Courier New" w:eastAsia="Courier New" w:hAnsi="Courier New"/>
          <w:sz w:val="11"/>
          <w:szCs w:val="11"/>
          <w:color w:val="auto"/>
        </w:rPr>
        <w:t>252.204-7015</w:t>
      </w:r>
      <w:r>
        <w:rPr>
          <w:rFonts w:ascii="Courier New" w:cs="Courier New" w:eastAsia="Courier New" w:hAnsi="Courier New"/>
          <w:sz w:val="12"/>
          <w:szCs w:val="12"/>
          <w:color w:val="auto"/>
        </w:rPr>
        <w:t>NOTICE OF AUTHORIZED DISCLOSURE OF INFORMATION FOR LITIGATION SUPPORT</w:t>
      </w:r>
    </w:p>
    <w:p>
      <w:pPr>
        <w:spacing w:after="0" w:line="27" w:lineRule="exact"/>
        <w:rPr>
          <w:rFonts w:ascii="Courier New" w:cs="Courier New" w:eastAsia="Courier New" w:hAnsi="Courier New"/>
          <w:sz w:val="22"/>
          <w:szCs w:val="22"/>
          <w:color w:val="auto"/>
          <w:vertAlign w:val="subscript"/>
        </w:rPr>
      </w:pPr>
    </w:p>
    <w:p>
      <w:pPr>
        <w:ind w:left="1560" w:hanging="858"/>
        <w:spacing w:after="0"/>
        <w:tabs>
          <w:tab w:leader="none" w:pos="1560" w:val="left"/>
        </w:tabs>
        <w:numPr>
          <w:ilvl w:val="0"/>
          <w:numId w:val="123"/>
        </w:numPr>
        <w:rPr>
          <w:rFonts w:ascii="Courier New" w:cs="Courier New" w:eastAsia="Courier New" w:hAnsi="Courier New"/>
          <w:sz w:val="22"/>
          <w:szCs w:val="22"/>
          <w:color w:val="auto"/>
          <w:vertAlign w:val="subscript"/>
        </w:rPr>
      </w:pPr>
      <w:r>
        <w:rPr>
          <w:rFonts w:ascii="Courier New" w:cs="Courier New" w:eastAsia="Courier New" w:hAnsi="Courier New"/>
          <w:sz w:val="11"/>
          <w:szCs w:val="11"/>
          <w:color w:val="auto"/>
        </w:rPr>
        <w:t>252.204-7020</w:t>
      </w:r>
      <w:r>
        <w:rPr>
          <w:rFonts w:ascii="Courier New" w:cs="Courier New" w:eastAsia="Courier New" w:hAnsi="Courier New"/>
          <w:sz w:val="12"/>
          <w:szCs w:val="12"/>
          <w:color w:val="auto"/>
        </w:rPr>
        <w:t>NIST SP 800-171 DOD ASSESSMENT REQUIREMENTS</w:t>
      </w:r>
    </w:p>
    <w:p>
      <w:pPr>
        <w:spacing w:after="0" w:line="27" w:lineRule="exact"/>
        <w:rPr>
          <w:rFonts w:ascii="Courier New" w:cs="Courier New" w:eastAsia="Courier New" w:hAnsi="Courier New"/>
          <w:sz w:val="22"/>
          <w:szCs w:val="22"/>
          <w:color w:val="auto"/>
          <w:vertAlign w:val="subscript"/>
        </w:rPr>
      </w:pPr>
    </w:p>
    <w:p>
      <w:pPr>
        <w:ind w:left="1560" w:hanging="858"/>
        <w:spacing w:after="0"/>
        <w:tabs>
          <w:tab w:leader="none" w:pos="1560" w:val="left"/>
        </w:tabs>
        <w:numPr>
          <w:ilvl w:val="0"/>
          <w:numId w:val="123"/>
        </w:numPr>
        <w:rPr>
          <w:rFonts w:ascii="Courier New" w:cs="Courier New" w:eastAsia="Courier New" w:hAnsi="Courier New"/>
          <w:sz w:val="22"/>
          <w:szCs w:val="22"/>
          <w:color w:val="auto"/>
          <w:vertAlign w:val="subscript"/>
        </w:rPr>
      </w:pPr>
      <w:r>
        <w:rPr>
          <w:rFonts w:ascii="Courier New" w:cs="Courier New" w:eastAsia="Courier New" w:hAnsi="Courier New"/>
          <w:sz w:val="11"/>
          <w:szCs w:val="11"/>
          <w:color w:val="auto"/>
        </w:rPr>
        <w:t>252.205-7000</w:t>
      </w:r>
      <w:r>
        <w:rPr>
          <w:rFonts w:ascii="Courier New" w:cs="Courier New" w:eastAsia="Courier New" w:hAnsi="Courier New"/>
          <w:sz w:val="12"/>
          <w:szCs w:val="12"/>
          <w:color w:val="auto"/>
        </w:rPr>
        <w:t>PROVISION OF INFORMATION TO COOPERATIVE AGREEMENT HOLDERS</w:t>
      </w:r>
    </w:p>
    <w:p>
      <w:pPr>
        <w:spacing w:after="0" w:line="75" w:lineRule="exact"/>
        <w:rPr>
          <w:rFonts w:ascii="Courier New" w:cs="Courier New" w:eastAsia="Courier New" w:hAnsi="Courier New"/>
          <w:sz w:val="22"/>
          <w:szCs w:val="22"/>
          <w:color w:val="auto"/>
          <w:vertAlign w:val="subscript"/>
        </w:rPr>
      </w:pPr>
    </w:p>
    <w:p>
      <w:pPr>
        <w:ind w:left="2960" w:hanging="2258"/>
        <w:spacing w:after="0" w:line="235" w:lineRule="auto"/>
        <w:tabs>
          <w:tab w:leader="none" w:pos="1556" w:val="left"/>
        </w:tabs>
        <w:numPr>
          <w:ilvl w:val="0"/>
          <w:numId w:val="123"/>
        </w:numPr>
        <w:rPr>
          <w:rFonts w:ascii="Courier New" w:cs="Courier New" w:eastAsia="Courier New" w:hAnsi="Courier New"/>
          <w:sz w:val="25"/>
          <w:szCs w:val="25"/>
          <w:color w:val="auto"/>
          <w:vertAlign w:val="subscript"/>
        </w:rPr>
      </w:pPr>
      <w:r>
        <w:rPr>
          <w:rFonts w:ascii="Courier New" w:cs="Courier New" w:eastAsia="Courier New" w:hAnsi="Courier New"/>
          <w:sz w:val="13"/>
          <w:szCs w:val="13"/>
          <w:color w:val="auto"/>
        </w:rPr>
        <w:t>252.209-7004SUBCONTRACTING WITH FIRMS THAT ARE OWNED OR CONTROLLED BY THE GOVERNMENT OF A TERRORIST 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20320</wp:posOffset>
            </wp:positionV>
            <wp:extent cx="6940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OCT/2018</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AUG/2020</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OCT/2018</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JAN/1999</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DEC/2013</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SEP/2011</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SEP/2013</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AUG/2019</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APR/1992</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DEC/2019</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MAY/2016</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NOV/2020</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DEC/1991</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MAY/2019</w:t>
      </w:r>
    </w:p>
    <w:p>
      <w:pPr>
        <w:spacing w:after="0" w:line="181" w:lineRule="exact"/>
        <w:rPr>
          <w:sz w:val="20"/>
          <w:szCs w:val="20"/>
          <w:color w:val="auto"/>
        </w:rPr>
      </w:pPr>
    </w:p>
    <w:p>
      <w:pPr>
        <w:sectPr>
          <w:pgSz w:w="11900" w:h="16838" w:orient="portrait"/>
          <w:cols w:equalWidth="0" w:num="2">
            <w:col w:w="8420" w:space="580"/>
            <w:col w:w="1920"/>
          </w:cols>
          <w:pgMar w:left="320" w:top="1105" w:right="659" w:bottom="984" w:gutter="0" w:footer="0" w:header="0"/>
          <w:type w:val="continuous"/>
        </w:sectPr>
      </w:pPr>
    </w:p>
    <w:tbl>
      <w:tblPr>
        <w:tblLayout w:type="fixed"/>
        <w:tblInd w:w="700" w:type="dxa"/>
        <w:tblCellMar>
          <w:top w:w="0" w:type="dxa"/>
          <w:left w:w="0" w:type="dxa"/>
          <w:bottom w:w="0" w:type="dxa"/>
          <w:right w:w="0" w:type="dxa"/>
        </w:tblCellMar>
      </w:tblPr>
      <w:tr>
        <w:trPr>
          <w:trHeight w:val="147"/>
        </w:trPr>
        <w:tc>
          <w:tcPr>
            <w:tcW w:w="500" w:type="dxa"/>
            <w:vAlign w:val="bottom"/>
          </w:tcPr>
          <w:p>
            <w:pPr>
              <w:jc w:val="right"/>
              <w:ind w:right="277"/>
              <w:spacing w:after="0"/>
              <w:rPr>
                <w:sz w:val="20"/>
                <w:szCs w:val="20"/>
                <w:color w:val="auto"/>
              </w:rPr>
            </w:pPr>
            <w:r>
              <w:rPr>
                <w:rFonts w:ascii="Courier New" w:cs="Courier New" w:eastAsia="Courier New" w:hAnsi="Courier New"/>
                <w:sz w:val="13"/>
                <w:szCs w:val="13"/>
                <w:color w:val="auto"/>
                <w:w w:val="89"/>
              </w:rPr>
              <w:t>15</w:t>
            </w:r>
          </w:p>
        </w:tc>
        <w:tc>
          <w:tcPr>
            <w:tcW w:w="1520" w:type="dxa"/>
            <w:vAlign w:val="bottom"/>
          </w:tcPr>
          <w:p>
            <w:pPr>
              <w:jc w:val="right"/>
              <w:ind w:right="177"/>
              <w:spacing w:after="0"/>
              <w:rPr>
                <w:sz w:val="20"/>
                <w:szCs w:val="20"/>
                <w:color w:val="auto"/>
              </w:rPr>
            </w:pPr>
            <w:r>
              <w:rPr>
                <w:rFonts w:ascii="Courier New" w:cs="Courier New" w:eastAsia="Courier New" w:hAnsi="Courier New"/>
                <w:sz w:val="13"/>
                <w:szCs w:val="13"/>
                <w:color w:val="auto"/>
              </w:rPr>
              <w:t>252.219-7003</w:t>
            </w:r>
          </w:p>
        </w:tc>
        <w:tc>
          <w:tcPr>
            <w:tcW w:w="4560" w:type="dxa"/>
            <w:vAlign w:val="bottom"/>
            <w:vMerge w:val="restart"/>
          </w:tcPr>
          <w:p>
            <w:pPr>
              <w:ind w:left="240"/>
              <w:spacing w:after="0"/>
              <w:rPr>
                <w:sz w:val="20"/>
                <w:szCs w:val="20"/>
                <w:color w:val="auto"/>
              </w:rPr>
            </w:pPr>
            <w:r>
              <w:rPr>
                <w:rFonts w:ascii="Courier New" w:cs="Courier New" w:eastAsia="Courier New" w:hAnsi="Courier New"/>
                <w:sz w:val="13"/>
                <w:szCs w:val="13"/>
                <w:color w:val="auto"/>
                <w:w w:val="96"/>
              </w:rPr>
              <w:t>SMALL BUSINESS SUBCONTRACTING PLAN (DOD CONTRACTS)--BASIC</w:t>
            </w: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4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ind w:left="1560" w:hanging="858"/>
        <w:spacing w:after="0"/>
        <w:tabs>
          <w:tab w:leader="none" w:pos="1560" w:val="left"/>
        </w:tabs>
        <w:numPr>
          <w:ilvl w:val="0"/>
          <w:numId w:val="124"/>
        </w:numPr>
        <w:rPr>
          <w:rFonts w:ascii="Courier New" w:cs="Courier New" w:eastAsia="Courier New" w:hAnsi="Courier New"/>
          <w:sz w:val="23"/>
          <w:szCs w:val="23"/>
          <w:color w:val="auto"/>
          <w:vertAlign w:val="subscript"/>
        </w:rPr>
      </w:pPr>
      <w:r>
        <w:rPr>
          <w:rFonts w:ascii="Courier New" w:cs="Courier New" w:eastAsia="Courier New" w:hAnsi="Courier New"/>
          <w:sz w:val="12"/>
          <w:szCs w:val="12"/>
          <w:color w:val="auto"/>
        </w:rPr>
        <w:t>252.225-7012PREFERENCE FOR CERTAIN DOMESTIC COMMODITIES</w:t>
      </w:r>
    </w:p>
    <w:p>
      <w:pPr>
        <w:spacing w:after="0" w:line="27" w:lineRule="exact"/>
        <w:rPr>
          <w:rFonts w:ascii="Courier New" w:cs="Courier New" w:eastAsia="Courier New" w:hAnsi="Courier New"/>
          <w:sz w:val="23"/>
          <w:szCs w:val="23"/>
          <w:color w:val="auto"/>
          <w:vertAlign w:val="subscript"/>
        </w:rPr>
      </w:pPr>
    </w:p>
    <w:p>
      <w:pPr>
        <w:ind w:left="1560" w:hanging="858"/>
        <w:spacing w:after="0"/>
        <w:tabs>
          <w:tab w:leader="none" w:pos="1560" w:val="left"/>
        </w:tabs>
        <w:numPr>
          <w:ilvl w:val="0"/>
          <w:numId w:val="124"/>
        </w:numPr>
        <w:rPr>
          <w:rFonts w:ascii="Courier New" w:cs="Courier New" w:eastAsia="Courier New" w:hAnsi="Courier New"/>
          <w:sz w:val="22"/>
          <w:szCs w:val="22"/>
          <w:color w:val="auto"/>
          <w:vertAlign w:val="subscript"/>
        </w:rPr>
      </w:pPr>
      <w:r>
        <w:rPr>
          <w:rFonts w:ascii="Courier New" w:cs="Courier New" w:eastAsia="Courier New" w:hAnsi="Courier New"/>
          <w:sz w:val="11"/>
          <w:szCs w:val="11"/>
          <w:color w:val="auto"/>
        </w:rPr>
        <w:t>252.227-7015</w:t>
      </w:r>
      <w:r>
        <w:rPr>
          <w:rFonts w:ascii="Courier New" w:cs="Courier New" w:eastAsia="Courier New" w:hAnsi="Courier New"/>
          <w:sz w:val="12"/>
          <w:szCs w:val="12"/>
          <w:color w:val="auto"/>
        </w:rPr>
        <w:t>TECHNICAL DATA--COMMERCIAL ITEMS</w:t>
      </w:r>
    </w:p>
    <w:p>
      <w:pPr>
        <w:spacing w:after="0" w:line="27" w:lineRule="exact"/>
        <w:rPr>
          <w:rFonts w:ascii="Courier New" w:cs="Courier New" w:eastAsia="Courier New" w:hAnsi="Courier New"/>
          <w:sz w:val="22"/>
          <w:szCs w:val="22"/>
          <w:color w:val="auto"/>
          <w:vertAlign w:val="subscript"/>
        </w:rPr>
      </w:pPr>
    </w:p>
    <w:p>
      <w:pPr>
        <w:ind w:left="1560" w:hanging="858"/>
        <w:spacing w:after="0"/>
        <w:tabs>
          <w:tab w:leader="none" w:pos="1560" w:val="left"/>
        </w:tabs>
        <w:numPr>
          <w:ilvl w:val="0"/>
          <w:numId w:val="124"/>
        </w:numPr>
        <w:rPr>
          <w:rFonts w:ascii="Courier New" w:cs="Courier New" w:eastAsia="Courier New" w:hAnsi="Courier New"/>
          <w:sz w:val="22"/>
          <w:szCs w:val="22"/>
          <w:color w:val="auto"/>
          <w:vertAlign w:val="subscript"/>
        </w:rPr>
      </w:pPr>
      <w:r>
        <w:rPr>
          <w:rFonts w:ascii="Courier New" w:cs="Courier New" w:eastAsia="Courier New" w:hAnsi="Courier New"/>
          <w:sz w:val="11"/>
          <w:szCs w:val="11"/>
          <w:color w:val="auto"/>
        </w:rPr>
        <w:t>252.232-7003</w:t>
      </w:r>
      <w:r>
        <w:rPr>
          <w:rFonts w:ascii="Courier New" w:cs="Courier New" w:eastAsia="Courier New" w:hAnsi="Courier New"/>
          <w:sz w:val="12"/>
          <w:szCs w:val="12"/>
          <w:color w:val="auto"/>
        </w:rPr>
        <w:t>ELECTRONIC SUBMISSION OF PAYMENT REQUESTS AND RECEIVING REPORTS</w:t>
      </w:r>
    </w:p>
    <w:p>
      <w:pPr>
        <w:spacing w:after="0" w:line="27" w:lineRule="exact"/>
        <w:rPr>
          <w:rFonts w:ascii="Courier New" w:cs="Courier New" w:eastAsia="Courier New" w:hAnsi="Courier New"/>
          <w:sz w:val="22"/>
          <w:szCs w:val="22"/>
          <w:color w:val="auto"/>
          <w:vertAlign w:val="subscript"/>
        </w:rPr>
      </w:pPr>
    </w:p>
    <w:p>
      <w:pPr>
        <w:ind w:left="1560" w:hanging="858"/>
        <w:spacing w:after="0"/>
        <w:tabs>
          <w:tab w:leader="none" w:pos="1560" w:val="left"/>
        </w:tabs>
        <w:numPr>
          <w:ilvl w:val="0"/>
          <w:numId w:val="124"/>
        </w:numPr>
        <w:rPr>
          <w:rFonts w:ascii="Courier New" w:cs="Courier New" w:eastAsia="Courier New" w:hAnsi="Courier New"/>
          <w:sz w:val="22"/>
          <w:szCs w:val="22"/>
          <w:color w:val="auto"/>
          <w:vertAlign w:val="subscript"/>
        </w:rPr>
      </w:pPr>
      <w:r>
        <w:rPr>
          <w:rFonts w:ascii="Courier New" w:cs="Courier New" w:eastAsia="Courier New" w:hAnsi="Courier New"/>
          <w:sz w:val="11"/>
          <w:szCs w:val="11"/>
          <w:color w:val="auto"/>
        </w:rPr>
        <w:t>252.232-7010</w:t>
      </w:r>
      <w:r>
        <w:rPr>
          <w:rFonts w:ascii="Courier New" w:cs="Courier New" w:eastAsia="Courier New" w:hAnsi="Courier New"/>
          <w:sz w:val="12"/>
          <w:szCs w:val="12"/>
          <w:color w:val="auto"/>
        </w:rPr>
        <w:t>LEVIES ON CONTRACT PAYMENTS</w:t>
      </w:r>
    </w:p>
    <w:p>
      <w:pPr>
        <w:spacing w:after="0" w:line="75" w:lineRule="exact"/>
        <w:rPr>
          <w:rFonts w:ascii="Courier New" w:cs="Courier New" w:eastAsia="Courier New" w:hAnsi="Courier New"/>
          <w:sz w:val="22"/>
          <w:szCs w:val="22"/>
          <w:color w:val="auto"/>
          <w:vertAlign w:val="subscript"/>
        </w:rPr>
      </w:pPr>
    </w:p>
    <w:p>
      <w:pPr>
        <w:ind w:left="3040" w:hanging="2338"/>
        <w:spacing w:after="0" w:line="235" w:lineRule="auto"/>
        <w:tabs>
          <w:tab w:leader="none" w:pos="1561" w:val="left"/>
        </w:tabs>
        <w:numPr>
          <w:ilvl w:val="0"/>
          <w:numId w:val="124"/>
        </w:numPr>
        <w:rPr>
          <w:rFonts w:ascii="Courier New" w:cs="Courier New" w:eastAsia="Courier New" w:hAnsi="Courier New"/>
          <w:sz w:val="25"/>
          <w:szCs w:val="25"/>
          <w:color w:val="auto"/>
          <w:vertAlign w:val="subscript"/>
        </w:rPr>
      </w:pPr>
      <w:r>
        <w:rPr>
          <w:rFonts w:ascii="Courier New" w:cs="Courier New" w:eastAsia="Courier New" w:hAnsi="Courier New"/>
          <w:sz w:val="13"/>
          <w:szCs w:val="13"/>
          <w:color w:val="auto"/>
        </w:rPr>
        <w:t>252.232-7017ACCELERATING PAYMENTS TO SMALL BUSINESS SUBCONTRACTORS--PROHIBITION ON FEES AND 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DEC/2019</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DEC/2017</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FEB/2014</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DEC/2018</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DEC/2006</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APR/2020</w:t>
      </w:r>
    </w:p>
    <w:p>
      <w:pPr>
        <w:spacing w:after="0" w:line="181" w:lineRule="exact"/>
        <w:rPr>
          <w:sz w:val="20"/>
          <w:szCs w:val="20"/>
          <w:color w:val="auto"/>
        </w:rPr>
      </w:pPr>
    </w:p>
    <w:p>
      <w:pPr>
        <w:sectPr>
          <w:pgSz w:w="11900" w:h="16838" w:orient="portrait"/>
          <w:cols w:equalWidth="0" w:num="2">
            <w:col w:w="8340" w:space="660"/>
            <w:col w:w="1920"/>
          </w:cols>
          <w:pgMar w:left="320" w:top="1105" w:right="659" w:bottom="984" w:gutter="0" w:footer="0" w:header="0"/>
          <w:type w:val="continuous"/>
        </w:sectPr>
      </w:pPr>
    </w:p>
    <w:tbl>
      <w:tblPr>
        <w:tblLayout w:type="fixed"/>
        <w:tblInd w:w="700" w:type="dxa"/>
        <w:tblCellMar>
          <w:top w:w="0" w:type="dxa"/>
          <w:left w:w="0" w:type="dxa"/>
          <w:bottom w:w="0" w:type="dxa"/>
          <w:right w:w="0" w:type="dxa"/>
        </w:tblCellMar>
      </w:tblPr>
      <w:tr>
        <w:trPr>
          <w:trHeight w:val="147"/>
        </w:trPr>
        <w:tc>
          <w:tcPr>
            <w:tcW w:w="500" w:type="dxa"/>
            <w:vAlign w:val="bottom"/>
          </w:tcPr>
          <w:p>
            <w:pPr>
              <w:jc w:val="right"/>
              <w:ind w:right="277"/>
              <w:spacing w:after="0"/>
              <w:rPr>
                <w:sz w:val="20"/>
                <w:szCs w:val="20"/>
                <w:color w:val="auto"/>
              </w:rPr>
            </w:pPr>
            <w:r>
              <w:rPr>
                <w:rFonts w:ascii="Courier New" w:cs="Courier New" w:eastAsia="Courier New" w:hAnsi="Courier New"/>
                <w:sz w:val="13"/>
                <w:szCs w:val="13"/>
                <w:color w:val="auto"/>
                <w:w w:val="89"/>
              </w:rPr>
              <w:t>21</w:t>
            </w:r>
          </w:p>
        </w:tc>
        <w:tc>
          <w:tcPr>
            <w:tcW w:w="1520" w:type="dxa"/>
            <w:vAlign w:val="bottom"/>
          </w:tcPr>
          <w:p>
            <w:pPr>
              <w:ind w:left="360"/>
              <w:spacing w:after="0"/>
              <w:rPr>
                <w:sz w:val="20"/>
                <w:szCs w:val="20"/>
                <w:color w:val="auto"/>
              </w:rPr>
            </w:pPr>
            <w:r>
              <w:rPr>
                <w:rFonts w:ascii="Courier New" w:cs="Courier New" w:eastAsia="Courier New" w:hAnsi="Courier New"/>
                <w:sz w:val="13"/>
                <w:szCs w:val="13"/>
                <w:color w:val="auto"/>
              </w:rPr>
              <w:t>252.243-7002</w:t>
            </w:r>
          </w:p>
        </w:tc>
        <w:tc>
          <w:tcPr>
            <w:tcW w:w="5680" w:type="dxa"/>
            <w:vAlign w:val="bottom"/>
            <w:vMerge w:val="restart"/>
          </w:tcPr>
          <w:p>
            <w:pPr>
              <w:ind w:left="240"/>
              <w:spacing w:after="0"/>
              <w:rPr>
                <w:sz w:val="20"/>
                <w:szCs w:val="20"/>
                <w:color w:val="auto"/>
              </w:rPr>
            </w:pPr>
            <w:r>
              <w:rPr>
                <w:rFonts w:ascii="Courier New" w:cs="Courier New" w:eastAsia="Courier New" w:hAnsi="Courier New"/>
                <w:sz w:val="13"/>
                <w:szCs w:val="13"/>
                <w:color w:val="auto"/>
              </w:rPr>
              <w:t>REQUESTS FOR EQUITABLE ADJUSTMENT</w:t>
            </w:r>
          </w:p>
        </w:tc>
        <w:tc>
          <w:tcPr>
            <w:tcW w:w="1200" w:type="dxa"/>
            <w:vAlign w:val="bottom"/>
          </w:tcPr>
          <w:p>
            <w:pPr>
              <w:ind w:left="600"/>
              <w:spacing w:after="0"/>
              <w:rPr>
                <w:sz w:val="20"/>
                <w:szCs w:val="20"/>
                <w:color w:val="auto"/>
              </w:rPr>
            </w:pPr>
            <w:r>
              <w:rPr>
                <w:rFonts w:ascii="Courier New" w:cs="Courier New" w:eastAsia="Courier New" w:hAnsi="Courier New"/>
                <w:sz w:val="13"/>
                <w:szCs w:val="13"/>
                <w:color w:val="auto"/>
                <w:w w:val="92"/>
              </w:rPr>
              <w:t>DEC/2012</w:t>
            </w:r>
          </w:p>
        </w:tc>
        <w:tc>
          <w:tcPr>
            <w:tcW w:w="0" w:type="dxa"/>
            <w:vAlign w:val="bottom"/>
          </w:tcPr>
          <w:p>
            <w:pPr>
              <w:spacing w:after="0"/>
              <w:rPr>
                <w:sz w:val="1"/>
                <w:szCs w:val="1"/>
                <w:color w:val="auto"/>
              </w:rPr>
            </w:pPr>
          </w:p>
        </w:tc>
      </w:tr>
      <w:tr>
        <w:trPr>
          <w:trHeight w:val="40"/>
        </w:trPr>
        <w:tc>
          <w:tcPr>
            <w:tcW w:w="5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68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0" w:type="dxa"/>
            <w:vAlign w:val="bottom"/>
          </w:tcPr>
          <w:p>
            <w:pPr>
              <w:jc w:val="right"/>
              <w:ind w:right="277"/>
              <w:spacing w:after="0"/>
              <w:rPr>
                <w:sz w:val="20"/>
                <w:szCs w:val="20"/>
                <w:color w:val="auto"/>
              </w:rPr>
            </w:pPr>
            <w:r>
              <w:rPr>
                <w:rFonts w:ascii="Courier New" w:cs="Courier New" w:eastAsia="Courier New" w:hAnsi="Courier New"/>
                <w:sz w:val="13"/>
                <w:szCs w:val="13"/>
                <w:color w:val="auto"/>
                <w:w w:val="89"/>
              </w:rPr>
              <w:t>22</w:t>
            </w:r>
          </w:p>
        </w:tc>
        <w:tc>
          <w:tcPr>
            <w:tcW w:w="1520" w:type="dxa"/>
            <w:vAlign w:val="bottom"/>
          </w:tcPr>
          <w:p>
            <w:pPr>
              <w:ind w:left="360"/>
              <w:spacing w:after="0"/>
              <w:rPr>
                <w:sz w:val="20"/>
                <w:szCs w:val="20"/>
                <w:color w:val="auto"/>
              </w:rPr>
            </w:pPr>
            <w:r>
              <w:rPr>
                <w:rFonts w:ascii="Courier New" w:cs="Courier New" w:eastAsia="Courier New" w:hAnsi="Courier New"/>
                <w:sz w:val="13"/>
                <w:szCs w:val="13"/>
                <w:color w:val="auto"/>
              </w:rPr>
              <w:t>252.244-7000</w:t>
            </w:r>
          </w:p>
        </w:tc>
        <w:tc>
          <w:tcPr>
            <w:tcW w:w="5680" w:type="dxa"/>
            <w:vAlign w:val="bottom"/>
          </w:tcPr>
          <w:p>
            <w:pPr>
              <w:ind w:left="320"/>
              <w:spacing w:after="0"/>
              <w:rPr>
                <w:sz w:val="20"/>
                <w:szCs w:val="20"/>
                <w:color w:val="auto"/>
              </w:rPr>
            </w:pPr>
            <w:r>
              <w:rPr>
                <w:rFonts w:ascii="Courier New" w:cs="Courier New" w:eastAsia="Courier New" w:hAnsi="Courier New"/>
                <w:sz w:val="13"/>
                <w:szCs w:val="13"/>
                <w:color w:val="auto"/>
              </w:rPr>
              <w:t>SUBCONTRACTS FOR COMMERCIAL ITEMS</w:t>
            </w:r>
          </w:p>
        </w:tc>
        <w:tc>
          <w:tcPr>
            <w:tcW w:w="1200" w:type="dxa"/>
            <w:vAlign w:val="bottom"/>
          </w:tcPr>
          <w:p>
            <w:pPr>
              <w:ind w:left="600"/>
              <w:spacing w:after="0"/>
              <w:rPr>
                <w:sz w:val="20"/>
                <w:szCs w:val="20"/>
                <w:color w:val="auto"/>
              </w:rPr>
            </w:pPr>
            <w:r>
              <w:rPr>
                <w:rFonts w:ascii="Courier New" w:cs="Courier New" w:eastAsia="Courier New" w:hAnsi="Courier New"/>
                <w:sz w:val="13"/>
                <w:szCs w:val="13"/>
                <w:color w:val="auto"/>
                <w:w w:val="92"/>
              </w:rPr>
              <w:t>OCT/2020</w:t>
            </w:r>
          </w:p>
        </w:tc>
        <w:tc>
          <w:tcPr>
            <w:tcW w:w="0" w:type="dxa"/>
            <w:vAlign w:val="bottom"/>
          </w:tcPr>
          <w:p>
            <w:pPr>
              <w:spacing w:after="0"/>
              <w:rPr>
                <w:sz w:val="1"/>
                <w:szCs w:val="1"/>
                <w:color w:val="auto"/>
              </w:rPr>
            </w:pPr>
          </w:p>
        </w:tc>
      </w:tr>
      <w:tr>
        <w:trPr>
          <w:trHeight w:val="216"/>
        </w:trPr>
        <w:tc>
          <w:tcPr>
            <w:tcW w:w="500" w:type="dxa"/>
            <w:vAlign w:val="bottom"/>
          </w:tcPr>
          <w:p>
            <w:pPr>
              <w:jc w:val="right"/>
              <w:ind w:right="277"/>
              <w:spacing w:after="0"/>
              <w:rPr>
                <w:sz w:val="20"/>
                <w:szCs w:val="20"/>
                <w:color w:val="auto"/>
              </w:rPr>
            </w:pPr>
            <w:r>
              <w:rPr>
                <w:rFonts w:ascii="Courier New" w:cs="Courier New" w:eastAsia="Courier New" w:hAnsi="Courier New"/>
                <w:sz w:val="13"/>
                <w:szCs w:val="13"/>
                <w:color w:val="auto"/>
                <w:w w:val="89"/>
              </w:rPr>
              <w:t>23</w:t>
            </w:r>
          </w:p>
        </w:tc>
        <w:tc>
          <w:tcPr>
            <w:tcW w:w="1520" w:type="dxa"/>
            <w:vAlign w:val="bottom"/>
          </w:tcPr>
          <w:p>
            <w:pPr>
              <w:ind w:left="360"/>
              <w:spacing w:after="0"/>
              <w:rPr>
                <w:sz w:val="20"/>
                <w:szCs w:val="20"/>
                <w:color w:val="auto"/>
              </w:rPr>
            </w:pPr>
            <w:r>
              <w:rPr>
                <w:rFonts w:ascii="Courier New" w:cs="Courier New" w:eastAsia="Courier New" w:hAnsi="Courier New"/>
                <w:sz w:val="13"/>
                <w:szCs w:val="13"/>
                <w:color w:val="auto"/>
              </w:rPr>
              <w:t>252.247-7023</w:t>
            </w:r>
          </w:p>
        </w:tc>
        <w:tc>
          <w:tcPr>
            <w:tcW w:w="5680" w:type="dxa"/>
            <w:vAlign w:val="bottom"/>
          </w:tcPr>
          <w:p>
            <w:pPr>
              <w:ind w:left="320"/>
              <w:spacing w:after="0"/>
              <w:rPr>
                <w:sz w:val="20"/>
                <w:szCs w:val="20"/>
                <w:color w:val="auto"/>
              </w:rPr>
            </w:pPr>
            <w:r>
              <w:rPr>
                <w:rFonts w:ascii="Courier New" w:cs="Courier New" w:eastAsia="Courier New" w:hAnsi="Courier New"/>
                <w:sz w:val="13"/>
                <w:szCs w:val="13"/>
                <w:color w:val="auto"/>
              </w:rPr>
              <w:t>TRANSPORTATION OF SUPPLIES BY SEA--BASIC</w:t>
            </w:r>
          </w:p>
        </w:tc>
        <w:tc>
          <w:tcPr>
            <w:tcW w:w="1200" w:type="dxa"/>
            <w:vAlign w:val="bottom"/>
          </w:tcPr>
          <w:p>
            <w:pPr>
              <w:ind w:left="600"/>
              <w:spacing w:after="0"/>
              <w:rPr>
                <w:sz w:val="20"/>
                <w:szCs w:val="20"/>
                <w:color w:val="auto"/>
              </w:rPr>
            </w:pPr>
            <w:r>
              <w:rPr>
                <w:rFonts w:ascii="Courier New" w:cs="Courier New" w:eastAsia="Courier New" w:hAnsi="Courier New"/>
                <w:sz w:val="13"/>
                <w:szCs w:val="13"/>
                <w:color w:val="auto"/>
                <w:w w:val="92"/>
              </w:rPr>
              <w:t>FEB/2019</w:t>
            </w:r>
          </w:p>
        </w:tc>
        <w:tc>
          <w:tcPr>
            <w:tcW w:w="0" w:type="dxa"/>
            <w:vAlign w:val="bottom"/>
          </w:tcPr>
          <w:p>
            <w:pPr>
              <w:spacing w:after="0"/>
              <w:rPr>
                <w:sz w:val="1"/>
                <w:szCs w:val="1"/>
                <w:color w:val="auto"/>
              </w:rPr>
            </w:pPr>
          </w:p>
        </w:tc>
      </w:tr>
      <w:tr>
        <w:trPr>
          <w:trHeight w:val="189"/>
        </w:trPr>
        <w:tc>
          <w:tcPr>
            <w:tcW w:w="500" w:type="dxa"/>
            <w:vAlign w:val="bottom"/>
            <w:vMerge w:val="restart"/>
          </w:tcPr>
          <w:p>
            <w:pPr>
              <w:jc w:val="right"/>
              <w:ind w:right="277"/>
              <w:spacing w:after="0"/>
              <w:rPr>
                <w:sz w:val="20"/>
                <w:szCs w:val="20"/>
                <w:color w:val="auto"/>
              </w:rPr>
            </w:pPr>
            <w:r>
              <w:rPr>
                <w:rFonts w:ascii="Courier New" w:cs="Courier New" w:eastAsia="Courier New" w:hAnsi="Courier New"/>
                <w:sz w:val="13"/>
                <w:szCs w:val="13"/>
                <w:color w:val="auto"/>
                <w:w w:val="89"/>
              </w:rPr>
              <w:t>24</w:t>
            </w:r>
          </w:p>
        </w:tc>
        <w:tc>
          <w:tcPr>
            <w:tcW w:w="1520" w:type="dxa"/>
            <w:vAlign w:val="bottom"/>
          </w:tcPr>
          <w:p>
            <w:pPr>
              <w:ind w:left="360"/>
              <w:spacing w:after="0"/>
              <w:rPr>
                <w:sz w:val="20"/>
                <w:szCs w:val="20"/>
                <w:color w:val="auto"/>
              </w:rPr>
            </w:pPr>
            <w:r>
              <w:rPr>
                <w:rFonts w:ascii="Courier New" w:cs="Courier New" w:eastAsia="Courier New" w:hAnsi="Courier New"/>
                <w:sz w:val="13"/>
                <w:szCs w:val="13"/>
                <w:color w:val="auto"/>
              </w:rPr>
              <w:t>52.212-5</w:t>
            </w:r>
          </w:p>
        </w:tc>
        <w:tc>
          <w:tcPr>
            <w:tcW w:w="5680" w:type="dxa"/>
            <w:vAlign w:val="bottom"/>
            <w:vMerge w:val="restart"/>
          </w:tcPr>
          <w:p>
            <w:pPr>
              <w:ind w:left="320"/>
              <w:spacing w:after="0"/>
              <w:rPr>
                <w:sz w:val="20"/>
                <w:szCs w:val="20"/>
                <w:color w:val="auto"/>
              </w:rPr>
            </w:pPr>
            <w:r>
              <w:rPr>
                <w:rFonts w:ascii="Courier New" w:cs="Courier New" w:eastAsia="Courier New" w:hAnsi="Courier New"/>
                <w:sz w:val="13"/>
                <w:szCs w:val="13"/>
                <w:color w:val="auto"/>
              </w:rPr>
              <w:t>CONTRACT TERMS AND CONDITIONS REQUIRED TO IMPLEMENT STATUTES OR</w:t>
            </w:r>
          </w:p>
        </w:tc>
        <w:tc>
          <w:tcPr>
            <w:tcW w:w="1200" w:type="dxa"/>
            <w:vAlign w:val="bottom"/>
            <w:vMerge w:val="restart"/>
          </w:tcPr>
          <w:p>
            <w:pPr>
              <w:ind w:left="600"/>
              <w:spacing w:after="0"/>
              <w:rPr>
                <w:sz w:val="20"/>
                <w:szCs w:val="20"/>
                <w:color w:val="auto"/>
              </w:rPr>
            </w:pPr>
            <w:r>
              <w:rPr>
                <w:rFonts w:ascii="Courier New" w:cs="Courier New" w:eastAsia="Courier New" w:hAnsi="Courier New"/>
                <w:sz w:val="13"/>
                <w:szCs w:val="13"/>
                <w:color w:val="auto"/>
                <w:w w:val="92"/>
              </w:rPr>
              <w:t>NOV/2020</w:t>
            </w:r>
          </w:p>
        </w:tc>
        <w:tc>
          <w:tcPr>
            <w:tcW w:w="0" w:type="dxa"/>
            <w:vAlign w:val="bottom"/>
          </w:tcPr>
          <w:p>
            <w:pPr>
              <w:spacing w:after="0"/>
              <w:rPr>
                <w:sz w:val="1"/>
                <w:szCs w:val="1"/>
                <w:color w:val="auto"/>
              </w:rPr>
            </w:pPr>
          </w:p>
        </w:tc>
      </w:tr>
      <w:tr>
        <w:trPr>
          <w:trHeight w:val="108"/>
        </w:trPr>
        <w:tc>
          <w:tcPr>
            <w:tcW w:w="5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5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3040"/>
        <w:spacing w:after="0"/>
        <w:rPr>
          <w:sz w:val="20"/>
          <w:szCs w:val="20"/>
          <w:color w:val="auto"/>
        </w:rPr>
      </w:pPr>
      <w:r>
        <w:rPr>
          <w:rFonts w:ascii="Courier New" w:cs="Courier New" w:eastAsia="Courier New" w:hAnsi="Courier New"/>
          <w:sz w:val="13"/>
          <w:szCs w:val="13"/>
          <w:color w:val="auto"/>
        </w:rPr>
        <w:t>EXECUTIVE ORDERS--COMMERCIAL ITEMS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80" w:right="60" w:hanging="2"/>
        <w:spacing w:after="0" w:line="275" w:lineRule="auto"/>
        <w:tabs>
          <w:tab w:leader="none" w:pos="655" w:val="left"/>
        </w:tabs>
        <w:numPr>
          <w:ilvl w:val="0"/>
          <w:numId w:val="1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Contractor shall comply with the following Federal Acquisition Regulation (FAR) clauses, which are incorporated in this contract by reference, to implement provisions of law or Executive orders applicable to acquisitions of commercial items:</w:t>
      </w:r>
    </w:p>
    <w:p>
      <w:pPr>
        <w:spacing w:after="0" w:line="256" w:lineRule="exact"/>
        <w:rPr>
          <w:rFonts w:ascii="Courier New" w:cs="Courier New" w:eastAsia="Courier New" w:hAnsi="Courier New"/>
          <w:sz w:val="13"/>
          <w:szCs w:val="13"/>
          <w:color w:val="auto"/>
        </w:rPr>
      </w:pPr>
    </w:p>
    <w:p>
      <w:pPr>
        <w:ind w:left="420" w:hanging="7"/>
        <w:spacing w:after="0" w:line="280" w:lineRule="auto"/>
        <w:tabs>
          <w:tab w:leader="none" w:pos="722" w:val="left"/>
        </w:tabs>
        <w:numPr>
          <w:ilvl w:val="1"/>
          <w:numId w:val="1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52.203-19,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261" w:lineRule="exact"/>
        <w:rPr>
          <w:rFonts w:ascii="Courier New" w:cs="Courier New" w:eastAsia="Courier New" w:hAnsi="Courier New"/>
          <w:sz w:val="13"/>
          <w:szCs w:val="13"/>
          <w:color w:val="auto"/>
        </w:rPr>
      </w:pPr>
    </w:p>
    <w:p>
      <w:pPr>
        <w:ind w:left="720" w:hanging="307"/>
        <w:spacing w:after="0"/>
        <w:tabs>
          <w:tab w:leader="none" w:pos="720" w:val="left"/>
        </w:tabs>
        <w:numPr>
          <w:ilvl w:val="1"/>
          <w:numId w:val="1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52.204-23, Prohibition on Contracting for Hardware, Software, and Services Developed or Provided by Kaspersky Lab and Other</w:t>
      </w:r>
    </w:p>
    <w:p>
      <w:pPr>
        <w:spacing w:after="0" w:line="28"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Covered Entities (Jul 2018) (Section 1634 of Pub. L. 115-91).</w:t>
      </w:r>
    </w:p>
    <w:p>
      <w:pPr>
        <w:spacing w:after="0" w:line="278" w:lineRule="exact"/>
        <w:rPr>
          <w:sz w:val="20"/>
          <w:szCs w:val="20"/>
          <w:color w:val="auto"/>
        </w:rPr>
      </w:pPr>
    </w:p>
    <w:p>
      <w:pPr>
        <w:ind w:left="420" w:right="760" w:hanging="7"/>
        <w:spacing w:after="0" w:line="275" w:lineRule="auto"/>
        <w:tabs>
          <w:tab w:leader="none" w:pos="722" w:val="left"/>
        </w:tabs>
        <w:numPr>
          <w:ilvl w:val="1"/>
          <w:numId w:val="1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52.204-25, Prohibition on Contracting for Certain Telecommunications and Video Surveillance Services or Equipment. (AUG 2020) (Section 889(a)(1)(A) of Pub. L. 115-232).</w:t>
      </w:r>
    </w:p>
    <w:p>
      <w:pPr>
        <w:spacing w:after="0" w:line="358" w:lineRule="exact"/>
        <w:rPr>
          <w:rFonts w:ascii="Courier New" w:cs="Courier New" w:eastAsia="Courier New" w:hAnsi="Courier New"/>
          <w:sz w:val="13"/>
          <w:szCs w:val="13"/>
          <w:color w:val="auto"/>
        </w:rPr>
      </w:pPr>
    </w:p>
    <w:p>
      <w:pPr>
        <w:ind w:left="720" w:hanging="307"/>
        <w:spacing w:after="0"/>
        <w:tabs>
          <w:tab w:leader="none" w:pos="720" w:val="left"/>
        </w:tabs>
        <w:numPr>
          <w:ilvl w:val="1"/>
          <w:numId w:val="1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52.209-10, Prohibition on Contracting with Inverted Domestic Corporations (Nov 2015)</w:t>
      </w:r>
    </w:p>
    <w:p>
      <w:pPr>
        <w:spacing w:after="0" w:line="109" w:lineRule="exact"/>
        <w:rPr>
          <w:rFonts w:ascii="Courier New" w:cs="Courier New" w:eastAsia="Courier New" w:hAnsi="Courier New"/>
          <w:sz w:val="13"/>
          <w:szCs w:val="13"/>
          <w:color w:val="auto"/>
        </w:rPr>
      </w:pPr>
    </w:p>
    <w:p>
      <w:pPr>
        <w:ind w:left="720" w:hanging="309"/>
        <w:spacing w:after="0"/>
        <w:tabs>
          <w:tab w:leader="none" w:pos="720" w:val="left"/>
        </w:tabs>
        <w:numPr>
          <w:ilvl w:val="1"/>
          <w:numId w:val="1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52.233-3, Protest After Award (AUG 1996) (31 U.S.C. 3553).</w:t>
      </w:r>
    </w:p>
    <w:p>
      <w:pPr>
        <w:spacing w:after="0" w:line="244" w:lineRule="exact"/>
        <w:rPr>
          <w:rFonts w:ascii="Courier New" w:cs="Courier New" w:eastAsia="Courier New" w:hAnsi="Courier New"/>
          <w:sz w:val="13"/>
          <w:szCs w:val="13"/>
          <w:color w:val="auto"/>
        </w:rPr>
      </w:pPr>
    </w:p>
    <w:p>
      <w:pPr>
        <w:ind w:left="720" w:hanging="307"/>
        <w:spacing w:after="0"/>
        <w:tabs>
          <w:tab w:leader="none" w:pos="720" w:val="left"/>
        </w:tabs>
        <w:numPr>
          <w:ilvl w:val="1"/>
          <w:numId w:val="1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52.233-4, Applicable Law for Breach of Contract Claim (OCT 2004) (Public Laws 108-77 and 108-78 (19 U.S.C. 3805 note)).</w:t>
      </w:r>
    </w:p>
    <w:p>
      <w:pPr>
        <w:spacing w:after="0" w:line="264" w:lineRule="exact"/>
        <w:rPr>
          <w:rFonts w:ascii="Courier New" w:cs="Courier New" w:eastAsia="Courier New" w:hAnsi="Courier New"/>
          <w:sz w:val="13"/>
          <w:szCs w:val="13"/>
          <w:color w:val="auto"/>
        </w:rPr>
      </w:pPr>
    </w:p>
    <w:p>
      <w:pPr>
        <w:ind w:left="280" w:right="60" w:hanging="2"/>
        <w:spacing w:after="0" w:line="318" w:lineRule="auto"/>
        <w:tabs>
          <w:tab w:leader="none" w:pos="655"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Contractor shall comply with the FAR clauses in this paragraph (b) that the contracting officer has indicated as being incorporated in this contract by reference to implement provisions of law or Executive orders applicable to acquisitions of commercial items:</w:t>
      </w:r>
    </w:p>
    <w:p>
      <w:pPr>
        <w:spacing w:after="0" w:line="328" w:lineRule="exact"/>
        <w:rPr>
          <w:rFonts w:ascii="Courier New" w:cs="Courier New" w:eastAsia="Courier New" w:hAnsi="Courier New"/>
          <w:sz w:val="12"/>
          <w:szCs w:val="12"/>
          <w:color w:val="auto"/>
        </w:rPr>
      </w:pPr>
    </w:p>
    <w:p>
      <w:pPr>
        <w:ind w:left="280" w:right="280" w:firstLine="603"/>
        <w:spacing w:after="0" w:line="275" w:lineRule="auto"/>
        <w:tabs>
          <w:tab w:leader="none" w:pos="1187" w:val="left"/>
        </w:tabs>
        <w:numPr>
          <w:ilvl w:val="2"/>
          <w:numId w:val="1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52.203-6, Restrictions on Subcontractor Sales to the Government (Jun 2020), with Alternate I (Oct 1995)(41 U.S.C. 4704 and 10 U.S.C. 2402).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-138430</wp:posOffset>
            </wp:positionV>
            <wp:extent cx="1917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230" w:lineRule="exact"/>
        <w:rPr>
          <w:sz w:val="20"/>
          <w:szCs w:val="20"/>
          <w:color w:val="auto"/>
        </w:rPr>
      </w:pPr>
    </w:p>
    <w:p>
      <w:pPr>
        <w:ind w:left="580"/>
        <w:spacing w:after="0"/>
        <w:rPr>
          <w:sz w:val="20"/>
          <w:szCs w:val="20"/>
          <w:color w:val="auto"/>
        </w:rPr>
      </w:pPr>
      <w:r>
        <w:rPr>
          <w:rFonts w:ascii="Courier New" w:cs="Courier New" w:eastAsia="Courier New" w:hAnsi="Courier New"/>
          <w:sz w:val="13"/>
          <w:szCs w:val="13"/>
          <w:color w:val="auto"/>
        </w:rPr>
        <w:t>_</w:t>
      </w:r>
      <w:r>
        <w:rPr>
          <w:rFonts w:ascii="Courier New" w:cs="Courier New" w:eastAsia="Courier New" w:hAnsi="Courier New"/>
          <w:sz w:val="13"/>
          <w:szCs w:val="13"/>
          <w:u w:val="single" w:color="auto"/>
          <w:color w:val="auto"/>
        </w:rPr>
        <w:t>X _</w:t>
      </w:r>
      <w:r>
        <w:rPr>
          <w:rFonts w:ascii="Courier New" w:cs="Courier New" w:eastAsia="Courier New" w:hAnsi="Courier New"/>
          <w:sz w:val="13"/>
          <w:szCs w:val="13"/>
          <w:color w:val="auto"/>
        </w:rPr>
        <w:t>(2) 52.203-13, Contractor Code of Business Ethics and Conduct (Jun 2020) (41 U.S.C. 3509).</w:t>
      </w:r>
    </w:p>
    <w:p>
      <w:pPr>
        <w:spacing w:after="0" w:line="359" w:lineRule="exact"/>
        <w:rPr>
          <w:sz w:val="20"/>
          <w:szCs w:val="20"/>
          <w:color w:val="auto"/>
        </w:rPr>
      </w:pPr>
    </w:p>
    <w:p>
      <w:pPr>
        <w:ind w:left="280" w:right="220" w:firstLine="603"/>
        <w:spacing w:after="0" w:line="275" w:lineRule="auto"/>
        <w:tabs>
          <w:tab w:leader="none" w:pos="1187" w:val="left"/>
        </w:tabs>
        <w:numPr>
          <w:ilvl w:val="1"/>
          <w:numId w:val="1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52.203-15, Whistleblower Protections under the American Recovery and Reinvestment Act of 2009 (Jun 2010) (Section 1553 of Pub. L. 111-5). (Applies to contracts funded by the American Recovery and Reinvestment Act of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-138430</wp:posOffset>
            </wp:positionV>
            <wp:extent cx="1917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ectPr>
          <w:pgSz w:w="11900" w:h="16838" w:orient="portrait"/>
          <w:cols w:equalWidth="0" w:num="1">
            <w:col w:w="10920"/>
          </w:cols>
          <w:pgMar w:left="320" w:top="1105" w:right="659" w:bottom="984" w:gutter="0" w:footer="0" w:header="0"/>
          <w:type w:val="continuous"/>
        </w:sectPr>
      </w:pPr>
    </w:p>
    <w:bookmarkStart w:id="115" w:name="page116"/>
    <w:bookmarkEnd w:id="115"/>
    <w:p>
      <w:pPr>
        <w:ind w:left="580"/>
        <w:spacing w:after="0"/>
        <w:rPr>
          <w:sz w:val="20"/>
          <w:szCs w:val="20"/>
          <w:color w:val="auto"/>
        </w:rPr>
      </w:pPr>
      <w:r>
        <w:rPr>
          <w:rFonts w:ascii="Courier New" w:cs="Courier New" w:eastAsia="Courier New" w:hAnsi="Courier New"/>
          <w:sz w:val="12"/>
          <w:szCs w:val="12"/>
          <w:color w:val="auto"/>
        </w:rPr>
        <w:t>_</w:t>
      </w:r>
      <w:r>
        <w:rPr>
          <w:rFonts w:ascii="Courier New" w:cs="Courier New" w:eastAsia="Courier New" w:hAnsi="Courier New"/>
          <w:sz w:val="12"/>
          <w:szCs w:val="12"/>
          <w:u w:val="single" w:color="auto"/>
          <w:color w:val="auto"/>
        </w:rPr>
        <w:t>X _</w:t>
      </w:r>
      <w:r>
        <w:rPr>
          <w:rFonts w:ascii="Courier New" w:cs="Courier New" w:eastAsia="Courier New" w:hAnsi="Courier New"/>
          <w:sz w:val="12"/>
          <w:szCs w:val="12"/>
          <w:color w:val="auto"/>
        </w:rPr>
        <w:t>(4) 52.204-10, Reporting Executive Compensation and First-Tier Subcontract Awards (Jun 2020) (Pub. L. 109-282) (31 U.S.C. 6101 note).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20"/>
                <w:szCs w:val="20"/>
                <w:b w:val="1"/>
                <w:bCs w:val="1"/>
                <w:color w:val="auto"/>
              </w:rPr>
              <w:t>CONTINUATION SHEET</w:t>
            </w:r>
          </w:p>
        </w:tc>
        <w:tc>
          <w:tcPr>
            <w:tcW w:w="5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80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26</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60" w:type="dxa"/>
            <w:vAlign w:val="bottom"/>
            <w:tcBorders>
              <w:right w:val="single" w:sz="8" w:color="auto"/>
            </w:tcBorders>
          </w:tcPr>
          <w:p>
            <w:pPr>
              <w:spacing w:after="0"/>
              <w:rPr>
                <w:sz w:val="9"/>
                <w:szCs w:val="9"/>
                <w:color w:val="auto"/>
              </w:rPr>
            </w:pPr>
          </w:p>
        </w:tc>
        <w:tc>
          <w:tcPr>
            <w:tcW w:w="55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800" w:type="dxa"/>
            <w:vAlign w:val="bottom"/>
          </w:tcPr>
          <w:p>
            <w:pPr>
              <w:spacing w:after="0"/>
              <w:rPr>
                <w:sz w:val="9"/>
                <w:szCs w:val="9"/>
                <w:color w:val="auto"/>
              </w:rPr>
            </w:pPr>
          </w:p>
        </w:tc>
      </w:tr>
      <w:tr>
        <w:trPr>
          <w:trHeight w:val="188"/>
        </w:trPr>
        <w:tc>
          <w:tcPr>
            <w:tcW w:w="3260" w:type="dxa"/>
            <w:vAlign w:val="bottom"/>
            <w:tcBorders>
              <w:bottom w:val="single" w:sz="8" w:color="auto"/>
              <w:right w:val="single" w:sz="8" w:color="auto"/>
            </w:tcBorders>
          </w:tcPr>
          <w:p>
            <w:pPr>
              <w:spacing w:after="0"/>
              <w:rPr>
                <w:sz w:val="16"/>
                <w:szCs w:val="16"/>
                <w:color w:val="auto"/>
              </w:rPr>
            </w:pPr>
          </w:p>
        </w:tc>
        <w:tc>
          <w:tcPr>
            <w:tcW w:w="5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80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35" w:lineRule="exact"/>
        <w:rPr>
          <w:sz w:val="20"/>
          <w:szCs w:val="20"/>
          <w:color w:val="auto"/>
        </w:rPr>
      </w:pPr>
    </w:p>
    <w:p>
      <w:pPr>
        <w:ind w:left="1180" w:hanging="297"/>
        <w:spacing w:after="0"/>
        <w:tabs>
          <w:tab w:leader="none" w:pos="1180" w:val="left"/>
        </w:tabs>
        <w:numPr>
          <w:ilvl w:val="0"/>
          <w:numId w:val="1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[Reserved].</w:t>
      </w:r>
    </w:p>
    <w:p>
      <w:pPr>
        <w:spacing w:after="0" w:line="338" w:lineRule="exact"/>
        <w:rPr>
          <w:rFonts w:ascii="Courier New" w:cs="Courier New" w:eastAsia="Courier New" w:hAnsi="Courier New"/>
          <w:sz w:val="13"/>
          <w:szCs w:val="13"/>
          <w:color w:val="auto"/>
        </w:rPr>
      </w:pPr>
    </w:p>
    <w:p>
      <w:pPr>
        <w:ind w:left="1180" w:hanging="297"/>
        <w:spacing w:after="0"/>
        <w:tabs>
          <w:tab w:leader="none" w:pos="1180" w:val="left"/>
        </w:tabs>
        <w:numPr>
          <w:ilvl w:val="0"/>
          <w:numId w:val="1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52.204-14, Service Contract Reporting Requirements (Oct 2016) (Pub. L. 111-117, section 743 of Div. C).</w:t>
      </w:r>
    </w:p>
    <w:p>
      <w:pPr>
        <w:spacing w:after="0" w:line="358" w:lineRule="exact"/>
        <w:rPr>
          <w:rFonts w:ascii="Courier New" w:cs="Courier New" w:eastAsia="Courier New" w:hAnsi="Courier New"/>
          <w:sz w:val="13"/>
          <w:szCs w:val="13"/>
          <w:color w:val="auto"/>
        </w:rPr>
      </w:pPr>
    </w:p>
    <w:p>
      <w:pPr>
        <w:ind w:left="1180" w:hanging="297"/>
        <w:spacing w:after="0"/>
        <w:tabs>
          <w:tab w:leader="none" w:pos="1180"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52.204-15, Service Contract Reporting Requirements for Indefinite-Delivery Contracts (Oct 2016) (Pub. L. 111-117, section 743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-636270</wp:posOffset>
            </wp:positionV>
            <wp:extent cx="1917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-327660</wp:posOffset>
            </wp:positionV>
            <wp:extent cx="1917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-10795</wp:posOffset>
            </wp:positionV>
            <wp:extent cx="1917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Div. C).</w:t>
      </w:r>
    </w:p>
    <w:p>
      <w:pPr>
        <w:spacing w:after="0" w:line="372" w:lineRule="exact"/>
        <w:rPr>
          <w:sz w:val="20"/>
          <w:szCs w:val="20"/>
          <w:color w:val="auto"/>
        </w:rPr>
      </w:pPr>
    </w:p>
    <w:p>
      <w:pPr>
        <w:ind w:left="280" w:right="740" w:firstLine="603"/>
        <w:spacing w:after="0" w:line="275" w:lineRule="auto"/>
        <w:tabs>
          <w:tab w:leader="none" w:pos="1187" w:val="left"/>
        </w:tabs>
        <w:numPr>
          <w:ilvl w:val="0"/>
          <w:numId w:val="1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52.209-6, Protecting the Government's Interest When Subcontracting with Contractors Debarred, Suspended, or Proposed for Debarment (Jun 2020) (31 U.S.C. 6101 note).</w:t>
      </w:r>
    </w:p>
    <w:p>
      <w:pPr>
        <w:spacing w:after="0" w:line="331" w:lineRule="exact"/>
        <w:rPr>
          <w:rFonts w:ascii="Courier New" w:cs="Courier New" w:eastAsia="Courier New" w:hAnsi="Courier New"/>
          <w:sz w:val="13"/>
          <w:szCs w:val="13"/>
          <w:color w:val="auto"/>
        </w:rPr>
      </w:pPr>
    </w:p>
    <w:p>
      <w:pPr>
        <w:ind w:left="1180" w:hanging="297"/>
        <w:spacing w:after="0"/>
        <w:tabs>
          <w:tab w:leader="none" w:pos="1180" w:val="left"/>
        </w:tabs>
        <w:numPr>
          <w:ilvl w:val="0"/>
          <w:numId w:val="1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52.209-9, Updates of Publicly Available Information Regarding Responsibility Matters (Oct 2018) (41 U.S.C. 2313).</w:t>
      </w:r>
    </w:p>
    <w:p>
      <w:pPr>
        <w:spacing w:after="0" w:line="338" w:lineRule="exact"/>
        <w:rPr>
          <w:rFonts w:ascii="Courier New" w:cs="Courier New" w:eastAsia="Courier New" w:hAnsi="Courier New"/>
          <w:sz w:val="13"/>
          <w:szCs w:val="13"/>
          <w:color w:val="auto"/>
        </w:rPr>
      </w:pPr>
    </w:p>
    <w:p>
      <w:pPr>
        <w:ind w:left="1260" w:hanging="377"/>
        <w:spacing w:after="0"/>
        <w:tabs>
          <w:tab w:leader="none" w:pos="1260" w:val="left"/>
        </w:tabs>
        <w:numPr>
          <w:ilvl w:val="0"/>
          <w:numId w:val="1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-750570</wp:posOffset>
            </wp:positionV>
            <wp:extent cx="1917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-321945</wp:posOffset>
            </wp:positionV>
            <wp:extent cx="1917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-13335</wp:posOffset>
            </wp:positionV>
            <wp:extent cx="1917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9" w:lineRule="exact"/>
        <w:rPr>
          <w:sz w:val="20"/>
          <w:szCs w:val="20"/>
          <w:color w:val="auto"/>
        </w:rPr>
      </w:pPr>
    </w:p>
    <w:p>
      <w:pPr>
        <w:ind w:left="880"/>
        <w:spacing w:after="0"/>
        <w:rPr>
          <w:sz w:val="20"/>
          <w:szCs w:val="20"/>
          <w:color w:val="auto"/>
        </w:rPr>
      </w:pPr>
      <w:r>
        <w:rPr>
          <w:rFonts w:ascii="Courier New" w:cs="Courier New" w:eastAsia="Courier New" w:hAnsi="Courier New"/>
          <w:sz w:val="13"/>
          <w:szCs w:val="13"/>
          <w:color w:val="auto"/>
        </w:rPr>
        <w:t>(11)(i) 52.219-3, Notice of HUBZone Set-Aside or Sole-Source Award (MAR 2020) (15 U.S.C. 657a).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-13970</wp:posOffset>
            </wp:positionV>
            <wp:extent cx="1917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9" w:lineRule="exact"/>
        <w:rPr>
          <w:sz w:val="20"/>
          <w:szCs w:val="20"/>
          <w:color w:val="auto"/>
        </w:rPr>
      </w:pPr>
    </w:p>
    <w:p>
      <w:pPr>
        <w:ind w:left="880"/>
        <w:spacing w:after="0"/>
        <w:rPr>
          <w:sz w:val="20"/>
          <w:szCs w:val="20"/>
          <w:color w:val="auto"/>
        </w:rPr>
      </w:pPr>
      <w:r>
        <w:rPr>
          <w:rFonts w:ascii="Courier New" w:cs="Courier New" w:eastAsia="Courier New" w:hAnsi="Courier New"/>
          <w:sz w:val="13"/>
          <w:szCs w:val="13"/>
          <w:color w:val="auto"/>
        </w:rPr>
        <w:t>(ii) Alternate I (MAR 2020) of 52.219-3.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-13970</wp:posOffset>
            </wp:positionV>
            <wp:extent cx="1917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39" w:lineRule="exact"/>
        <w:rPr>
          <w:sz w:val="20"/>
          <w:szCs w:val="20"/>
          <w:color w:val="auto"/>
        </w:rPr>
      </w:pPr>
    </w:p>
    <w:p>
      <w:pPr>
        <w:ind w:left="280" w:firstLine="605"/>
        <w:spacing w:after="0" w:line="275" w:lineRule="auto"/>
        <w:rPr>
          <w:sz w:val="20"/>
          <w:szCs w:val="20"/>
          <w:color w:val="auto"/>
        </w:rPr>
      </w:pPr>
      <w:r>
        <w:rPr>
          <w:rFonts w:ascii="Courier New" w:cs="Courier New" w:eastAsia="Courier New" w:hAnsi="Courier New"/>
          <w:sz w:val="13"/>
          <w:szCs w:val="13"/>
          <w:color w:val="auto"/>
        </w:rPr>
        <w:t>(12)(i) 52.219-4, Notice of Price Evaluation Preference for HUBZone Small Business Concerns (MAR 2020) (if the offeror elects to waive the preference, it shall so indicate in its offer) (15 U.S.C. 657a).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-138430</wp:posOffset>
            </wp:positionV>
            <wp:extent cx="1917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325" w:lineRule="exact"/>
        <w:rPr>
          <w:sz w:val="20"/>
          <w:szCs w:val="20"/>
          <w:color w:val="auto"/>
        </w:rPr>
      </w:pPr>
    </w:p>
    <w:p>
      <w:pPr>
        <w:ind w:left="1260" w:hanging="377"/>
        <w:spacing w:after="0"/>
        <w:tabs>
          <w:tab w:leader="none" w:pos="1260" w:val="left"/>
        </w:tabs>
        <w:numPr>
          <w:ilvl w:val="0"/>
          <w:numId w:val="1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 (MAR 2020) of 52.219-4.</w:t>
      </w:r>
    </w:p>
    <w:p>
      <w:pPr>
        <w:spacing w:after="0" w:line="338" w:lineRule="exact"/>
        <w:rPr>
          <w:rFonts w:ascii="Courier New" w:cs="Courier New" w:eastAsia="Courier New" w:hAnsi="Courier New"/>
          <w:sz w:val="13"/>
          <w:szCs w:val="13"/>
          <w:color w:val="auto"/>
        </w:rPr>
      </w:pPr>
    </w:p>
    <w:p>
      <w:pPr>
        <w:ind w:left="8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(13) [Reserved]</w:t>
      </w:r>
    </w:p>
    <w:p>
      <w:pPr>
        <w:spacing w:after="0" w:line="338" w:lineRule="exact"/>
        <w:rPr>
          <w:rFonts w:ascii="Courier New" w:cs="Courier New" w:eastAsia="Courier New" w:hAnsi="Courier New"/>
          <w:sz w:val="13"/>
          <w:szCs w:val="13"/>
          <w:color w:val="auto"/>
        </w:rPr>
      </w:pPr>
    </w:p>
    <w:p>
      <w:pPr>
        <w:ind w:left="8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(14)(i) 52.219-6, Notice of Total Small Business Set-Aside (Nov 2020) (15 U.S.C. 644).</w:t>
      </w:r>
    </w:p>
    <w:p>
      <w:pPr>
        <w:spacing w:after="0" w:line="338" w:lineRule="exact"/>
        <w:rPr>
          <w:rFonts w:ascii="Courier New" w:cs="Courier New" w:eastAsia="Courier New" w:hAnsi="Courier New"/>
          <w:sz w:val="13"/>
          <w:szCs w:val="13"/>
          <w:color w:val="auto"/>
        </w:rPr>
      </w:pPr>
    </w:p>
    <w:p>
      <w:pPr>
        <w:ind w:left="1260" w:hanging="377"/>
        <w:spacing w:after="0"/>
        <w:tabs>
          <w:tab w:leader="none" w:pos="1260" w:val="left"/>
        </w:tabs>
        <w:numPr>
          <w:ilvl w:val="0"/>
          <w:numId w:val="1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 (MAR 2020) of 52.219-6.</w:t>
      </w:r>
    </w:p>
    <w:p>
      <w:pPr>
        <w:spacing w:after="0" w:line="338" w:lineRule="exact"/>
        <w:rPr>
          <w:rFonts w:ascii="Courier New" w:cs="Courier New" w:eastAsia="Courier New" w:hAnsi="Courier New"/>
          <w:sz w:val="13"/>
          <w:szCs w:val="13"/>
          <w:color w:val="auto"/>
        </w:rPr>
      </w:pPr>
    </w:p>
    <w:p>
      <w:pPr>
        <w:ind w:left="1340" w:hanging="457"/>
        <w:spacing w:after="0"/>
        <w:tabs>
          <w:tab w:leader="none" w:pos="1340" w:val="left"/>
        </w:tabs>
        <w:numPr>
          <w:ilvl w:val="0"/>
          <w:numId w:val="1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II (Nov 2011) of 52.219-6.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-1247775</wp:posOffset>
            </wp:positionV>
            <wp:extent cx="1917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-939165</wp:posOffset>
            </wp:positionV>
            <wp:extent cx="1917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-630555</wp:posOffset>
            </wp:positionV>
            <wp:extent cx="1917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-321945</wp:posOffset>
            </wp:positionV>
            <wp:extent cx="1917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-13970</wp:posOffset>
            </wp:positionV>
            <wp:extent cx="1917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294640</wp:posOffset>
            </wp:positionV>
            <wp:extent cx="1917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hanging="377"/>
        <w:spacing w:after="0"/>
        <w:tabs>
          <w:tab w:leader="none" w:pos="1260" w:val="left"/>
        </w:tabs>
        <w:numPr>
          <w:ilvl w:val="0"/>
          <w:numId w:val="1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 (MAR 2020) of 52.219-7.</w:t>
      </w:r>
    </w:p>
    <w:p>
      <w:pPr>
        <w:spacing w:after="0" w:line="338" w:lineRule="exact"/>
        <w:rPr>
          <w:rFonts w:ascii="Courier New" w:cs="Courier New" w:eastAsia="Courier New" w:hAnsi="Courier New"/>
          <w:sz w:val="13"/>
          <w:szCs w:val="13"/>
          <w:color w:val="auto"/>
        </w:rPr>
      </w:pPr>
    </w:p>
    <w:p>
      <w:pPr>
        <w:ind w:left="1340" w:hanging="457"/>
        <w:spacing w:after="0"/>
        <w:tabs>
          <w:tab w:leader="none" w:pos="1340" w:val="left"/>
        </w:tabs>
        <w:numPr>
          <w:ilvl w:val="0"/>
          <w:numId w:val="1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II (Mar 2004) of 52.219-7.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-321945</wp:posOffset>
            </wp:positionV>
            <wp:extent cx="1917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-13970</wp:posOffset>
            </wp:positionV>
            <wp:extent cx="1917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325" w:lineRule="exact"/>
        <w:rPr>
          <w:sz w:val="20"/>
          <w:szCs w:val="20"/>
          <w:color w:val="auto"/>
        </w:rPr>
      </w:pPr>
    </w:p>
    <w:p>
      <w:pPr>
        <w:ind w:left="580" w:right="2940" w:firstLine="303"/>
        <w:spacing w:after="0" w:line="700" w:lineRule="auto"/>
        <w:tabs>
          <w:tab w:leader="none" w:pos="1260"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52.219-8, Utilization of Small Business Concerns (Oct 2018) (15 U.S.C. 637(d)(2) and (3)). _</w:t>
      </w:r>
      <w:r>
        <w:rPr>
          <w:rFonts w:ascii="Courier New" w:cs="Courier New" w:eastAsia="Courier New" w:hAnsi="Courier New"/>
          <w:sz w:val="12"/>
          <w:szCs w:val="12"/>
          <w:u w:val="single" w:color="auto"/>
          <w:color w:val="auto"/>
        </w:rPr>
        <w:t>X _</w:t>
      </w:r>
      <w:r>
        <w:rPr>
          <w:rFonts w:ascii="Courier New" w:cs="Courier New" w:eastAsia="Courier New" w:hAnsi="Courier New"/>
          <w:sz w:val="12"/>
          <w:szCs w:val="12"/>
          <w:color w:val="auto"/>
        </w:rPr>
        <w:t>(17)(i) 52.219-9, Small Business Subcontracting Plan (Jun 2020) (15 U.S.C. 637(d)(4)).</w:t>
      </w:r>
    </w:p>
    <w:p>
      <w:pPr>
        <w:spacing w:after="0" w:line="84" w:lineRule="exact"/>
        <w:rPr>
          <w:rFonts w:ascii="Courier New" w:cs="Courier New" w:eastAsia="Courier New" w:hAnsi="Courier New"/>
          <w:sz w:val="12"/>
          <w:szCs w:val="12"/>
          <w:color w:val="auto"/>
        </w:rPr>
      </w:pPr>
    </w:p>
    <w:p>
      <w:pPr>
        <w:ind w:left="880" w:right="6940"/>
        <w:spacing w:after="0" w:line="85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(ii) Alternate I (Nov 2016) of 52.219-9. (iii) Alternate II (Nov 2016) of 52.219-9. (iv) Alternate III (Jun 2020) of 52.219-9.</w:t>
      </w:r>
    </w:p>
    <w:p>
      <w:pPr>
        <w:ind w:left="880"/>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(v) Alternate IV (Jun 2020) of 52.219-9.</w:t>
      </w:r>
    </w:p>
    <w:p>
      <w:pPr>
        <w:spacing w:after="0" w:line="338" w:lineRule="exact"/>
        <w:rPr>
          <w:rFonts w:ascii="Courier New" w:cs="Courier New" w:eastAsia="Courier New" w:hAnsi="Courier New"/>
          <w:sz w:val="12"/>
          <w:szCs w:val="12"/>
          <w:color w:val="auto"/>
        </w:rPr>
      </w:pPr>
    </w:p>
    <w:p>
      <w:pPr>
        <w:ind w:left="880"/>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(18)(i) 52.219-13, Notice of Set-Aside of Orders (MAR 2020) (15 U.S.C. 644(r)).</w:t>
      </w:r>
    </w:p>
    <w:p>
      <w:pPr>
        <w:spacing w:after="0" w:line="338" w:lineRule="exact"/>
        <w:rPr>
          <w:rFonts w:ascii="Courier New" w:cs="Courier New" w:eastAsia="Courier New" w:hAnsi="Courier New"/>
          <w:sz w:val="12"/>
          <w:szCs w:val="12"/>
          <w:color w:val="auto"/>
        </w:rPr>
      </w:pPr>
    </w:p>
    <w:p>
      <w:pPr>
        <w:ind w:left="880"/>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(ii) Alternate I (Mar 2020) of 52.219-13.</w:t>
      </w:r>
    </w:p>
    <w:p>
      <w:pPr>
        <w:spacing w:after="0" w:line="338" w:lineRule="exact"/>
        <w:rPr>
          <w:rFonts w:ascii="Courier New" w:cs="Courier New" w:eastAsia="Courier New" w:hAnsi="Courier New"/>
          <w:sz w:val="12"/>
          <w:szCs w:val="12"/>
          <w:color w:val="auto"/>
        </w:rPr>
      </w:pPr>
    </w:p>
    <w:p>
      <w:pPr>
        <w:ind w:left="1260" w:hanging="377"/>
        <w:spacing w:after="0"/>
        <w:tabs>
          <w:tab w:leader="none" w:pos="1260" w:val="left"/>
        </w:tabs>
        <w:numPr>
          <w:ilvl w:val="0"/>
          <w:numId w:val="1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52.219-14, Limitations on Subcontracting (MAR 2020)(15 U.S.C. 637(a)(14)).</w:t>
      </w:r>
    </w:p>
    <w:p>
      <w:pPr>
        <w:spacing w:after="0" w:line="338" w:lineRule="exact"/>
        <w:rPr>
          <w:rFonts w:ascii="Courier New" w:cs="Courier New" w:eastAsia="Courier New" w:hAnsi="Courier New"/>
          <w:sz w:val="13"/>
          <w:szCs w:val="13"/>
          <w:color w:val="auto"/>
        </w:rPr>
      </w:pPr>
    </w:p>
    <w:p>
      <w:pPr>
        <w:ind w:left="1260" w:hanging="377"/>
        <w:spacing w:after="0"/>
        <w:tabs>
          <w:tab w:leader="none" w:pos="1260" w:val="left"/>
        </w:tabs>
        <w:numPr>
          <w:ilvl w:val="0"/>
          <w:numId w:val="1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52.219-16, Liquidated Damages--Subcontracting Plan (JAN 1999) (15 U.S.C. 637(d)(4)(F)(i)).</w:t>
      </w:r>
    </w:p>
    <w:p>
      <w:pPr>
        <w:spacing w:after="0" w:line="338" w:lineRule="exact"/>
        <w:rPr>
          <w:rFonts w:ascii="Courier New" w:cs="Courier New" w:eastAsia="Courier New" w:hAnsi="Courier New"/>
          <w:sz w:val="13"/>
          <w:szCs w:val="13"/>
          <w:color w:val="auto"/>
        </w:rPr>
      </w:pPr>
    </w:p>
    <w:p>
      <w:pPr>
        <w:ind w:left="1260" w:hanging="377"/>
        <w:spacing w:after="0"/>
        <w:tabs>
          <w:tab w:leader="none" w:pos="1260" w:val="left"/>
        </w:tabs>
        <w:numPr>
          <w:ilvl w:val="0"/>
          <w:numId w:val="1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52.219-27, Notice of Total Service-Disabled Veteran-Owned Small Business Set-Aside (MAR 2020)(15 U.S.C. 657 f)</w:t>
      </w:r>
    </w:p>
    <w:p>
      <w:pPr>
        <w:spacing w:after="0" w:line="338" w:lineRule="exact"/>
        <w:rPr>
          <w:rFonts w:ascii="Courier New" w:cs="Courier New" w:eastAsia="Courier New" w:hAnsi="Courier New"/>
          <w:sz w:val="13"/>
          <w:szCs w:val="13"/>
          <w:color w:val="auto"/>
        </w:rPr>
      </w:pPr>
    </w:p>
    <w:p>
      <w:pPr>
        <w:ind w:left="1260" w:hanging="377"/>
        <w:spacing w:after="0"/>
        <w:tabs>
          <w:tab w:leader="none" w:pos="1260" w:val="left"/>
        </w:tabs>
        <w:numPr>
          <w:ilvl w:val="0"/>
          <w:numId w:val="1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52.219-28, Post Award Small Business Program Rerepresentation (Nov 2020)(15 U.S.C. 632(a)(2)).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-3348355</wp:posOffset>
            </wp:positionV>
            <wp:extent cx="1917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-2790825</wp:posOffset>
            </wp:positionV>
            <wp:extent cx="1917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-2482215</wp:posOffset>
            </wp:positionV>
            <wp:extent cx="1917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-2173605</wp:posOffset>
            </wp:positionV>
            <wp:extent cx="1917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-1864995</wp:posOffset>
            </wp:positionV>
            <wp:extent cx="1917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-1556385</wp:posOffset>
            </wp:positionV>
            <wp:extent cx="1917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-1247775</wp:posOffset>
            </wp:positionV>
            <wp:extent cx="1917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-939165</wp:posOffset>
            </wp:positionV>
            <wp:extent cx="1917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-630555</wp:posOffset>
            </wp:positionV>
            <wp:extent cx="1917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-321945</wp:posOffset>
            </wp:positionV>
            <wp:extent cx="1917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-13970</wp:posOffset>
            </wp:positionV>
            <wp:extent cx="1917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ectPr>
          <w:pgSz w:w="11900" w:h="16838" w:orient="portrait"/>
          <w:cols w:equalWidth="0" w:num="1">
            <w:col w:w="11000"/>
          </w:cols>
          <w:pgMar w:left="320" w:top="858" w:right="579" w:bottom="0" w:gutter="0" w:footer="0" w:header="0"/>
        </w:sectPr>
      </w:pPr>
    </w:p>
    <w:bookmarkStart w:id="116" w:name="page117"/>
    <w:bookmarkEnd w:id="116"/>
    <w:p>
      <w:pPr>
        <w:spacing w:after="0"/>
        <w:rPr>
          <w:sz w:val="20"/>
          <w:szCs w:val="20"/>
          <w:color w:val="auto"/>
        </w:rPr>
      </w:pPr>
      <w:r>
        <w:rPr>
          <w:rFonts w:ascii="Courier New" w:cs="Courier New" w:eastAsia="Courier New" w:hAnsi="Courier New"/>
          <w:sz w:val="13"/>
          <w:szCs w:val="13"/>
          <w:color w:val="auto"/>
        </w:rPr>
        <w:t>(ii) Alternate I (MAY 2020) of 52.219-28.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-13335</wp:posOffset>
            </wp:positionV>
            <wp:extent cx="1917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(23) 52.219-29 Notice of Total Set-Aside for Economically Disadvantaged Women-Owned Small Business (EDWOSB) Concerns (MAR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-10795</wp:posOffset>
            </wp:positionV>
            <wp:extent cx="1917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ectPr>
          <w:pgSz w:w="11900" w:h="16838" w:orient="portrait"/>
          <w:cols w:equalWidth="0" w:num="1">
            <w:col w:w="9600"/>
          </w:cols>
          <w:pgMar w:left="1200" w:top="136" w:right="1099"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3"/>
          <w:szCs w:val="13"/>
          <w:color w:val="auto"/>
        </w:rPr>
        <w:t>(15 U.S.C. 637(m)).</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20"/>
                <w:szCs w:val="20"/>
                <w:b w:val="1"/>
                <w:bCs w:val="1"/>
                <w:color w:val="auto"/>
              </w:rPr>
              <w:t>CONTINUATION SHEET</w:t>
            </w:r>
          </w:p>
        </w:tc>
        <w:tc>
          <w:tcPr>
            <w:tcW w:w="5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70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27</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04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700" w:type="dxa"/>
            <w:vAlign w:val="bottom"/>
          </w:tcPr>
          <w:p>
            <w:pPr>
              <w:spacing w:after="0"/>
              <w:rPr>
                <w:sz w:val="9"/>
                <w:szCs w:val="9"/>
                <w:color w:val="auto"/>
              </w:rPr>
            </w:pPr>
          </w:p>
        </w:tc>
      </w:tr>
      <w:tr>
        <w:trPr>
          <w:trHeight w:val="188"/>
        </w:trPr>
        <w:tc>
          <w:tcPr>
            <w:tcW w:w="3040" w:type="dxa"/>
            <w:vAlign w:val="bottom"/>
            <w:tcBorders>
              <w:bottom w:val="single" w:sz="8" w:color="auto"/>
              <w:right w:val="single" w:sz="8" w:color="auto"/>
            </w:tcBorders>
          </w:tcPr>
          <w:p>
            <w:pPr>
              <w:spacing w:after="0"/>
              <w:rPr>
                <w:sz w:val="16"/>
                <w:szCs w:val="16"/>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70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63347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pacing w:after="0" w:line="383" w:lineRule="exact"/>
        <w:rPr>
          <w:sz w:val="20"/>
          <w:szCs w:val="20"/>
          <w:color w:val="auto"/>
        </w:rPr>
      </w:pPr>
    </w:p>
    <w:p>
      <w:pPr>
        <w:ind w:left="300" w:right="160" w:firstLine="297"/>
        <w:spacing w:after="0" w:line="235" w:lineRule="auto"/>
        <w:tabs>
          <w:tab w:leader="none" w:pos="980"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52.219-30 Notice of Total Set-Aside for Women-Owned Small Business (WOSB) Concerns Eligible Under the WOSB Program (MAR 2020) (15 U.S.C. 637(m)).</w:t>
      </w:r>
    </w:p>
    <w:p>
      <w:pPr>
        <w:spacing w:after="0" w:line="339" w:lineRule="exact"/>
        <w:rPr>
          <w:rFonts w:ascii="Courier New" w:cs="Courier New" w:eastAsia="Courier New" w:hAnsi="Courier New"/>
          <w:sz w:val="13"/>
          <w:szCs w:val="13"/>
          <w:color w:val="auto"/>
        </w:rPr>
      </w:pPr>
    </w:p>
    <w:p>
      <w:pPr>
        <w:ind w:left="980" w:hanging="377"/>
        <w:spacing w:after="0"/>
        <w:tabs>
          <w:tab w:leader="none" w:pos="980"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52.219-32, Orders Issued Directly Under Small Business Reserves (MAR 2020) (15 U.S.C. 644(r)).</w:t>
      </w:r>
    </w:p>
    <w:p>
      <w:pPr>
        <w:spacing w:after="0" w:line="338" w:lineRule="exact"/>
        <w:rPr>
          <w:rFonts w:ascii="Courier New" w:cs="Courier New" w:eastAsia="Courier New" w:hAnsi="Courier New"/>
          <w:sz w:val="13"/>
          <w:szCs w:val="13"/>
          <w:color w:val="auto"/>
        </w:rPr>
      </w:pPr>
    </w:p>
    <w:p>
      <w:pPr>
        <w:ind w:left="980" w:hanging="377"/>
        <w:spacing w:after="0"/>
        <w:tabs>
          <w:tab w:leader="none" w:pos="980"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52.219-33, Nonmanufacturer Rule (MAR 2020) (15 U.S.C. 637(a)(17)).</w:t>
      </w:r>
    </w:p>
    <w:p>
      <w:pPr>
        <w:spacing w:after="0" w:line="338" w:lineRule="exact"/>
        <w:rPr>
          <w:rFonts w:ascii="Courier New" w:cs="Courier New" w:eastAsia="Courier New" w:hAnsi="Courier New"/>
          <w:sz w:val="13"/>
          <w:szCs w:val="13"/>
          <w:color w:val="auto"/>
        </w:rPr>
      </w:pPr>
    </w:p>
    <w:p>
      <w:pPr>
        <w:ind w:left="980" w:hanging="377"/>
        <w:spacing w:after="0"/>
        <w:tabs>
          <w:tab w:leader="none" w:pos="980"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52.222-3, Convict Labor (June 2003)(E.O. 11755).</w:t>
      </w:r>
    </w:p>
    <w:p>
      <w:pPr>
        <w:spacing w:after="0" w:line="338" w:lineRule="exact"/>
        <w:rPr>
          <w:rFonts w:ascii="Courier New" w:cs="Courier New" w:eastAsia="Courier New" w:hAnsi="Courier New"/>
          <w:sz w:val="13"/>
          <w:szCs w:val="13"/>
          <w:color w:val="auto"/>
        </w:rPr>
      </w:pPr>
    </w:p>
    <w:p>
      <w:pPr>
        <w:ind w:left="980" w:hanging="377"/>
        <w:spacing w:after="0"/>
        <w:tabs>
          <w:tab w:leader="none" w:pos="980"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52.222-19, Child LaborCooperation with Authorities and Remedies (Jan 2020) (E.O. 13126).</w:t>
      </w:r>
    </w:p>
    <w:p>
      <w:pPr>
        <w:spacing w:after="0" w:line="338" w:lineRule="exact"/>
        <w:rPr>
          <w:rFonts w:ascii="Courier New" w:cs="Courier New" w:eastAsia="Courier New" w:hAnsi="Courier New"/>
          <w:sz w:val="13"/>
          <w:szCs w:val="13"/>
          <w:color w:val="auto"/>
        </w:rPr>
      </w:pPr>
    </w:p>
    <w:p>
      <w:pPr>
        <w:ind w:left="980" w:hanging="377"/>
        <w:spacing w:after="0"/>
        <w:tabs>
          <w:tab w:leader="none" w:pos="980"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52.222-21, Prohibition of Segregated Facilities (Apr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-1651000</wp:posOffset>
            </wp:positionV>
            <wp:extent cx="1917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-1247775</wp:posOffset>
            </wp:positionV>
            <wp:extent cx="1917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-939165</wp:posOffset>
            </wp:positionV>
            <wp:extent cx="1917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-630555</wp:posOffset>
            </wp:positionV>
            <wp:extent cx="1917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-321945</wp:posOffset>
            </wp:positionV>
            <wp:extent cx="1917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224" w:lineRule="exact"/>
        <w:rPr>
          <w:sz w:val="20"/>
          <w:szCs w:val="20"/>
          <w:color w:val="auto"/>
        </w:rPr>
      </w:pPr>
    </w:p>
    <w:p>
      <w:pPr>
        <w:ind w:left="300"/>
        <w:spacing w:after="0"/>
        <w:rPr>
          <w:sz w:val="20"/>
          <w:szCs w:val="20"/>
          <w:color w:val="auto"/>
        </w:rPr>
      </w:pPr>
      <w:r>
        <w:rPr>
          <w:rFonts w:ascii="Courier New" w:cs="Courier New" w:eastAsia="Courier New" w:hAnsi="Courier New"/>
          <w:sz w:val="13"/>
          <w:szCs w:val="13"/>
          <w:color w:val="auto"/>
        </w:rPr>
        <w:t>_</w:t>
      </w:r>
      <w:r>
        <w:rPr>
          <w:rFonts w:ascii="Courier New" w:cs="Courier New" w:eastAsia="Courier New" w:hAnsi="Courier New"/>
          <w:sz w:val="13"/>
          <w:szCs w:val="13"/>
          <w:u w:val="single" w:color="auto"/>
          <w:color w:val="auto"/>
        </w:rPr>
        <w:t>X</w:t>
      </w:r>
      <w:r>
        <w:rPr>
          <w:rFonts w:ascii="Courier New" w:cs="Courier New" w:eastAsia="Courier New" w:hAnsi="Courier New"/>
          <w:sz w:val="13"/>
          <w:szCs w:val="13"/>
          <w:color w:val="auto"/>
        </w:rPr>
        <w:t xml:space="preserve"> _(30)(i) 52.222-26, Equal Opportunity (Sep 2016)(E.O. 11246).</w:t>
      </w:r>
    </w:p>
    <w:p>
      <w:pPr>
        <w:spacing w:after="0" w:line="33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(ii) Alternate I (Feb 1999) of 52.222-26.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(31)(i) 52.222-35, Equal Opportunity for Veterans (Jun 2020)(38 U.S.C. 4212).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31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(ii) Alternate I (July 2014) of 52.222-35.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-13335</wp:posOffset>
            </wp:positionV>
            <wp:extent cx="1917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(32)(i) 52.222-36, Equal Opportunity for Workers with Disabilities (Jun 2020)(29 U.S.C. 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(ii) Alternate I (July 2014) of 52.222-36.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339" w:lineRule="exact"/>
        <w:rPr>
          <w:sz w:val="20"/>
          <w:szCs w:val="20"/>
          <w:color w:val="auto"/>
        </w:rPr>
      </w:pPr>
    </w:p>
    <w:p>
      <w:pPr>
        <w:ind w:firstLine="603"/>
        <w:spacing w:after="0" w:line="275" w:lineRule="auto"/>
        <w:tabs>
          <w:tab w:leader="none" w:pos="982" w:val="left"/>
        </w:tabs>
        <w:numPr>
          <w:ilvl w:val="0"/>
          <w:numId w:val="1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52.222-37, Employment Reports on Special Disabled Veterans, Veterans of the Vietnam Era, and Other Eligible Veterans (Jun 2020) (38 U.S.C. 4212).</w:t>
      </w:r>
    </w:p>
    <w:p>
      <w:pPr>
        <w:spacing w:after="0" w:line="331" w:lineRule="exact"/>
        <w:rPr>
          <w:rFonts w:ascii="Courier New" w:cs="Courier New" w:eastAsia="Courier New" w:hAnsi="Courier New"/>
          <w:sz w:val="13"/>
          <w:szCs w:val="13"/>
          <w:color w:val="auto"/>
        </w:rPr>
      </w:pPr>
    </w:p>
    <w:p>
      <w:pPr>
        <w:ind w:left="980" w:hanging="377"/>
        <w:spacing w:after="0"/>
        <w:tabs>
          <w:tab w:leader="none" w:pos="980" w:val="left"/>
        </w:tabs>
        <w:numPr>
          <w:ilvl w:val="0"/>
          <w:numId w:val="1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52.222-40, Notification of Employee Rights Under the National Labor Relations Act (Dec 2010) (E.O. 13496).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-442595</wp:posOffset>
            </wp:positionV>
            <wp:extent cx="1917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32"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(35)(i) 52.222-50, Combating Trafficking in Persons (Oct 2020) (22 U.S.C. chapter 78 and E.O. 13627).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-13335</wp:posOffset>
            </wp:positionV>
            <wp:extent cx="1917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(ii) Alternate I (Mar 2015) of 52.222-50 (22 U.S.C. chapter 78 and E.O. 13627).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25" w:lineRule="exact"/>
        <w:rPr>
          <w:sz w:val="20"/>
          <w:szCs w:val="20"/>
          <w:color w:val="auto"/>
        </w:rPr>
      </w:pPr>
    </w:p>
    <w:p>
      <w:pPr>
        <w:ind w:right="460" w:firstLine="603"/>
        <w:spacing w:after="0" w:line="275" w:lineRule="auto"/>
        <w:tabs>
          <w:tab w:leader="none" w:pos="982" w:val="left"/>
        </w:tabs>
        <w:numPr>
          <w:ilvl w:val="0"/>
          <w:numId w:val="1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52.222-54, Employment Eligibility Verification (Oct 2015). (Executive Order 12989). (Not applicable to the acquisition of commercially available off-the-shelf items or certain other types of commercial items as prescribed in 22.1803.)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-138430</wp:posOffset>
            </wp:positionV>
            <wp:extent cx="1917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331" w:lineRule="exact"/>
        <w:rPr>
          <w:sz w:val="20"/>
          <w:szCs w:val="20"/>
          <w:color w:val="auto"/>
        </w:rPr>
      </w:pPr>
    </w:p>
    <w:p>
      <w:pPr>
        <w:ind w:right="1140" w:firstLine="605"/>
        <w:spacing w:after="0" w:line="297" w:lineRule="auto"/>
        <w:rPr>
          <w:sz w:val="20"/>
          <w:szCs w:val="20"/>
          <w:color w:val="auto"/>
        </w:rPr>
      </w:pPr>
      <w:r>
        <w:rPr>
          <w:rFonts w:ascii="Courier New" w:cs="Courier New" w:eastAsia="Courier New" w:hAnsi="Courier New"/>
          <w:sz w:val="13"/>
          <w:szCs w:val="13"/>
          <w:color w:val="auto"/>
        </w:rPr>
        <w:t>(37)(i) 52.223-9, Estimate of Percentage of Recovered Material Content for EPA-Designated Items (May 2008) (42 U.S.C. 6962(c)(3)(A)(ii)). (Not applicable to the acquisition of commercially available off-the-shelf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-155575</wp:posOffset>
            </wp:positionV>
            <wp:extent cx="1917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04" w:lineRule="exact"/>
        <w:rPr>
          <w:sz w:val="20"/>
          <w:szCs w:val="20"/>
          <w:color w:val="auto"/>
        </w:rPr>
      </w:pPr>
    </w:p>
    <w:p>
      <w:pPr>
        <w:ind w:firstLine="603"/>
        <w:spacing w:after="0" w:line="275" w:lineRule="auto"/>
        <w:tabs>
          <w:tab w:leader="none" w:pos="982" w:val="left"/>
        </w:tabs>
        <w:numPr>
          <w:ilvl w:val="0"/>
          <w:numId w:val="1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 (May 2008) of 52.223-9 (42 U.S.C. 6962(i)(2)(C)). (Not applicable to the acquisition of commercially available off-the-shelf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-138430</wp:posOffset>
            </wp:positionV>
            <wp:extent cx="1917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1" w:lineRule="exact"/>
        <w:rPr>
          <w:sz w:val="20"/>
          <w:szCs w:val="20"/>
          <w:color w:val="auto"/>
        </w:rPr>
      </w:pPr>
    </w:p>
    <w:p>
      <w:pPr>
        <w:ind w:left="980" w:hanging="377"/>
        <w:spacing w:after="0"/>
        <w:tabs>
          <w:tab w:leader="none" w:pos="980" w:val="left"/>
        </w:tabs>
        <w:numPr>
          <w:ilvl w:val="0"/>
          <w:numId w:val="1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52.223-11, Ozone-Depleting Substances and High Global Warming Potential Hydrofluorocarbons (June, 2016) (E.O. 13693).</w:t>
      </w:r>
    </w:p>
    <w:p>
      <w:pPr>
        <w:spacing w:after="0" w:line="338" w:lineRule="exact"/>
        <w:rPr>
          <w:rFonts w:ascii="Courier New" w:cs="Courier New" w:eastAsia="Courier New" w:hAnsi="Courier New"/>
          <w:sz w:val="13"/>
          <w:szCs w:val="13"/>
          <w:color w:val="auto"/>
        </w:rPr>
      </w:pPr>
    </w:p>
    <w:p>
      <w:pPr>
        <w:ind w:left="980" w:hanging="377"/>
        <w:spacing w:after="0"/>
        <w:tabs>
          <w:tab w:leader="none" w:pos="980" w:val="left"/>
        </w:tabs>
        <w:numPr>
          <w:ilvl w:val="0"/>
          <w:numId w:val="1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52.223-12, Maintenance, Service, Repair, or Disposal of Refrigeration Equipment and Air Conditioners (June, 2016) (E.O.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-322580</wp:posOffset>
            </wp:positionV>
            <wp:extent cx="1917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13693).</w:t>
      </w:r>
    </w:p>
    <w:p>
      <w:pPr>
        <w:spacing w:after="0" w:line="33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(40)(i) 52.223-13, Acquisition of EPEAT[supreg]-Registered Imaging Equipment (Jun 2014) (E.O.s 13423 and 13514).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(ii) Alternate I (Oct 2015) of 52.223-13.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(41)(i) 52.223-14, Acquisition of EPEAT[supreg]-Registered Televisions (Jun 2014) (E.O.s 13423 and 13514).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(ii) Alternate I (Jun 2014) of 52.223-14.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31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(42) 52.223-15, Energy Efficiency in Energy-Consuming Products (May 2020) (42 U.S.C. 8259b).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-13335</wp:posOffset>
            </wp:positionV>
            <wp:extent cx="1917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9"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(43)(i) 52.223-16, Acquisition of EPEAT[supreg]-Registered Personal Computer Products (Oct 2015) (E.O.s 13423 and 13514).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-13970</wp:posOffset>
            </wp:positionV>
            <wp:extent cx="1917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ectPr>
          <w:pgSz w:w="11900" w:h="16838" w:orient="portrait"/>
          <w:cols w:equalWidth="0" w:num="1">
            <w:col w:w="10580"/>
          </w:cols>
          <w:pgMar w:left="600" w:top="919" w:right="719" w:bottom="0" w:gutter="0" w:footer="0" w:header="0"/>
        </w:sectPr>
      </w:pPr>
    </w:p>
    <w:bookmarkStart w:id="118" w:name="page119"/>
    <w:bookmarkEnd w:id="118"/>
    <w:p>
      <w:pPr>
        <w:spacing w:after="0"/>
        <w:rPr>
          <w:sz w:val="20"/>
          <w:szCs w:val="20"/>
          <w:color w:val="auto"/>
        </w:rPr>
      </w:pPr>
      <w:r>
        <w:rPr>
          <w:rFonts w:ascii="Courier New" w:cs="Courier New" w:eastAsia="Courier New" w:hAnsi="Courier New"/>
          <w:sz w:val="13"/>
          <w:szCs w:val="13"/>
          <w:color w:val="auto"/>
        </w:rPr>
        <w:t>(ii) Alternate I (Jun 2014) of 52.223-16.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-13335</wp:posOffset>
            </wp:positionV>
            <wp:extent cx="1917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(44) 52.223-18, Encouraging Contractor Policies to Ban Text Messaging While Driving (Jun 2020) (E.O. 13513).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-10795</wp:posOffset>
            </wp:positionV>
            <wp:extent cx="1917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ectPr>
          <w:pgSz w:w="11900" w:h="16838" w:orient="portrait"/>
          <w:cols w:equalWidth="0" w:num="1">
            <w:col w:w="9259"/>
          </w:cols>
          <w:pgMar w:left="1200" w:top="136" w:right="1440" w:bottom="1440" w:gutter="0" w:footer="0" w:header="0"/>
        </w:sectPr>
      </w:pPr>
    </w:p>
    <w:bookmarkStart w:id="119" w:name="page120"/>
    <w:bookmarkEnd w:id="119"/>
    <w:tbl>
      <w:tblPr>
        <w:tblLayout w:type="fixed"/>
        <w:tblInd w:w="9" w:type="dxa"/>
        <w:tblCellMar>
          <w:top w:w="0" w:type="dxa"/>
          <w:left w:w="0" w:type="dxa"/>
          <w:bottom w:w="0" w:type="dxa"/>
          <w:right w:w="0" w:type="dxa"/>
        </w:tblCellMar>
      </w:tblPr>
      <w:tr>
        <w:trPr>
          <w:trHeight w:val="246"/>
        </w:trPr>
        <w:tc>
          <w:tcPr>
            <w:tcW w:w="316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CONTINUATION SHEET</w:t>
            </w:r>
          </w:p>
        </w:tc>
        <w:tc>
          <w:tcPr>
            <w:tcW w:w="5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76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28</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160" w:type="dxa"/>
            <w:vAlign w:val="bottom"/>
            <w:tcBorders>
              <w:right w:val="single" w:sz="8" w:color="auto"/>
            </w:tcBorders>
          </w:tcPr>
          <w:p>
            <w:pPr>
              <w:spacing w:after="0"/>
              <w:rPr>
                <w:sz w:val="9"/>
                <w:szCs w:val="9"/>
                <w:color w:val="auto"/>
              </w:rPr>
            </w:pPr>
          </w:p>
        </w:tc>
        <w:tc>
          <w:tcPr>
            <w:tcW w:w="54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760" w:type="dxa"/>
            <w:vAlign w:val="bottom"/>
          </w:tcPr>
          <w:p>
            <w:pPr>
              <w:spacing w:after="0"/>
              <w:rPr>
                <w:sz w:val="9"/>
                <w:szCs w:val="9"/>
                <w:color w:val="auto"/>
              </w:rPr>
            </w:pPr>
          </w:p>
        </w:tc>
      </w:tr>
      <w:tr>
        <w:trPr>
          <w:trHeight w:val="188"/>
        </w:trPr>
        <w:tc>
          <w:tcPr>
            <w:tcW w:w="3160" w:type="dxa"/>
            <w:vAlign w:val="bottom"/>
            <w:tcBorders>
              <w:bottom w:val="single" w:sz="8" w:color="auto"/>
              <w:right w:val="single" w:sz="8" w:color="auto"/>
            </w:tcBorders>
          </w:tcPr>
          <w:p>
            <w:pPr>
              <w:spacing w:after="0"/>
              <w:rPr>
                <w:sz w:val="16"/>
                <w:szCs w:val="16"/>
                <w:color w:val="auto"/>
              </w:rPr>
            </w:pPr>
          </w:p>
        </w:tc>
        <w:tc>
          <w:tcPr>
            <w:tcW w:w="5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76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65919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77" w:lineRule="exact"/>
        <w:rPr>
          <w:sz w:val="20"/>
          <w:szCs w:val="20"/>
          <w:color w:val="auto"/>
        </w:rPr>
      </w:pPr>
    </w:p>
    <w:p>
      <w:pPr>
        <w:ind w:left="1009" w:hanging="383"/>
        <w:spacing w:after="0"/>
        <w:tabs>
          <w:tab w:leader="none" w:pos="1009" w:val="left"/>
        </w:tabs>
        <w:numPr>
          <w:ilvl w:val="0"/>
          <w:numId w:val="1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52.223-20, Aerosols (June, 2016) (E.O. 13693).</w:t>
      </w:r>
    </w:p>
    <w:p>
      <w:pPr>
        <w:spacing w:after="0" w:line="271" w:lineRule="exact"/>
        <w:rPr>
          <w:rFonts w:ascii="Courier New" w:cs="Courier New" w:eastAsia="Courier New" w:hAnsi="Courier New"/>
          <w:sz w:val="13"/>
          <w:szCs w:val="13"/>
          <w:color w:val="auto"/>
        </w:rPr>
      </w:pPr>
    </w:p>
    <w:p>
      <w:pPr>
        <w:ind w:left="1009" w:hanging="377"/>
        <w:spacing w:after="0"/>
        <w:tabs>
          <w:tab w:leader="none" w:pos="1009" w:val="left"/>
        </w:tabs>
        <w:numPr>
          <w:ilvl w:val="0"/>
          <w:numId w:val="1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52.223-21, Foams (June, 2016) (E.O. 13693).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-279400</wp:posOffset>
            </wp:positionV>
            <wp:extent cx="1917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-13970</wp:posOffset>
            </wp:positionV>
            <wp:extent cx="1917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265" w:lineRule="exact"/>
        <w:rPr>
          <w:sz w:val="20"/>
          <w:szCs w:val="20"/>
          <w:color w:val="auto"/>
        </w:rPr>
      </w:pPr>
    </w:p>
    <w:p>
      <w:pPr>
        <w:ind w:left="629"/>
        <w:spacing w:after="0"/>
        <w:rPr>
          <w:sz w:val="20"/>
          <w:szCs w:val="20"/>
          <w:color w:val="auto"/>
        </w:rPr>
      </w:pPr>
      <w:r>
        <w:rPr>
          <w:rFonts w:ascii="Courier New" w:cs="Courier New" w:eastAsia="Courier New" w:hAnsi="Courier New"/>
          <w:sz w:val="13"/>
          <w:szCs w:val="13"/>
          <w:color w:val="auto"/>
        </w:rPr>
        <w:t>(47)(i) 52.224-3, Privacy Training (JAN 2017) (5 U.S.C. 552a).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-13335</wp:posOffset>
            </wp:positionV>
            <wp:extent cx="1917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265" w:lineRule="exact"/>
        <w:rPr>
          <w:sz w:val="20"/>
          <w:szCs w:val="20"/>
          <w:color w:val="auto"/>
        </w:rPr>
      </w:pPr>
    </w:p>
    <w:p>
      <w:pPr>
        <w:ind w:left="629"/>
        <w:spacing w:after="0"/>
        <w:rPr>
          <w:sz w:val="20"/>
          <w:szCs w:val="20"/>
          <w:color w:val="auto"/>
        </w:rPr>
      </w:pPr>
      <w:r>
        <w:rPr>
          <w:rFonts w:ascii="Courier New" w:cs="Courier New" w:eastAsia="Courier New" w:hAnsi="Courier New"/>
          <w:sz w:val="13"/>
          <w:szCs w:val="13"/>
          <w:color w:val="auto"/>
        </w:rPr>
        <w:t>(ii) Alternate I (JAN 2017) of 52.224-3.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-13970</wp:posOffset>
            </wp:positionV>
            <wp:extent cx="1917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265" w:lineRule="exact"/>
        <w:rPr>
          <w:sz w:val="20"/>
          <w:szCs w:val="20"/>
          <w:color w:val="auto"/>
        </w:rPr>
      </w:pPr>
    </w:p>
    <w:p>
      <w:pPr>
        <w:ind w:left="629"/>
        <w:spacing w:after="0"/>
        <w:rPr>
          <w:sz w:val="20"/>
          <w:szCs w:val="20"/>
          <w:color w:val="auto"/>
        </w:rPr>
      </w:pPr>
      <w:r>
        <w:rPr>
          <w:rFonts w:ascii="Courier New" w:cs="Courier New" w:eastAsia="Courier New" w:hAnsi="Courier New"/>
          <w:sz w:val="13"/>
          <w:szCs w:val="13"/>
          <w:color w:val="auto"/>
        </w:rPr>
        <w:t>(48) 52.225-1, Buy American--Supplies (MAY 2014) (41 U.S.C. chapter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-13970</wp:posOffset>
            </wp:positionV>
            <wp:extent cx="1917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231" w:lineRule="exact"/>
        <w:rPr>
          <w:sz w:val="20"/>
          <w:szCs w:val="20"/>
          <w:color w:val="auto"/>
        </w:rPr>
      </w:pPr>
    </w:p>
    <w:p>
      <w:pPr>
        <w:ind w:left="629"/>
        <w:spacing w:after="0"/>
        <w:rPr>
          <w:sz w:val="20"/>
          <w:szCs w:val="20"/>
          <w:color w:val="auto"/>
        </w:rPr>
      </w:pPr>
      <w:r>
        <w:rPr>
          <w:rFonts w:ascii="Courier New" w:cs="Courier New" w:eastAsia="Courier New" w:hAnsi="Courier New"/>
          <w:sz w:val="12"/>
          <w:szCs w:val="12"/>
          <w:color w:val="auto"/>
        </w:rPr>
        <w:t>(49)(i) 52.225-3, Buy American--Free Trade Agreements--Israeli Trade Act (MAY 2014) (41 U.S.C. chapter 83, 19 U.S.C. 3301 note, 19 U.S.C.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1917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ind w:left="329"/>
        <w:spacing w:after="0"/>
        <w:rPr>
          <w:sz w:val="20"/>
          <w:szCs w:val="20"/>
          <w:color w:val="auto"/>
        </w:rPr>
      </w:pPr>
      <w:r>
        <w:rPr>
          <w:rFonts w:ascii="Courier New" w:cs="Courier New" w:eastAsia="Courier New" w:hAnsi="Courier New"/>
          <w:sz w:val="12"/>
          <w:szCs w:val="12"/>
          <w:color w:val="auto"/>
        </w:rPr>
        <w:t>2112 note, 19 U.S.C. 3805 note, 19 U.S.C. 4001 note, Pub. L. 103-182, 108-77, 108-78, 108-286, 108-302, 109-53, 109-169, 109-283, 110-138,</w:t>
      </w:r>
    </w:p>
    <w:p>
      <w:pPr>
        <w:spacing w:after="0" w:line="6" w:lineRule="exact"/>
        <w:rPr>
          <w:sz w:val="20"/>
          <w:szCs w:val="20"/>
          <w:color w:val="auto"/>
        </w:rPr>
      </w:pPr>
    </w:p>
    <w:p>
      <w:pPr>
        <w:ind w:left="329"/>
        <w:spacing w:after="0"/>
        <w:rPr>
          <w:sz w:val="20"/>
          <w:szCs w:val="20"/>
          <w:color w:val="auto"/>
        </w:rPr>
      </w:pPr>
      <w:r>
        <w:rPr>
          <w:rFonts w:ascii="Courier New" w:cs="Courier New" w:eastAsia="Courier New" w:hAnsi="Courier New"/>
          <w:sz w:val="13"/>
          <w:szCs w:val="13"/>
          <w:color w:val="auto"/>
        </w:rPr>
        <w:t>112-41, 112-42, and 112-43.</w:t>
      </w:r>
    </w:p>
    <w:p>
      <w:pPr>
        <w:spacing w:after="0" w:line="82" w:lineRule="exact"/>
        <w:rPr>
          <w:sz w:val="20"/>
          <w:szCs w:val="20"/>
          <w:color w:val="auto"/>
        </w:rPr>
      </w:pPr>
    </w:p>
    <w:p>
      <w:pPr>
        <w:ind w:left="1009" w:hanging="377"/>
        <w:spacing w:after="0"/>
        <w:tabs>
          <w:tab w:leader="none" w:pos="1009" w:val="left"/>
        </w:tabs>
        <w:numPr>
          <w:ilvl w:val="0"/>
          <w:numId w:val="1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 (MAY 2014) of 52.225-3.</w:t>
      </w:r>
    </w:p>
    <w:p>
      <w:pPr>
        <w:spacing w:after="0" w:line="338" w:lineRule="exact"/>
        <w:rPr>
          <w:rFonts w:ascii="Courier New" w:cs="Courier New" w:eastAsia="Courier New" w:hAnsi="Courier New"/>
          <w:sz w:val="13"/>
          <w:szCs w:val="13"/>
          <w:color w:val="auto"/>
        </w:rPr>
      </w:pPr>
    </w:p>
    <w:p>
      <w:pPr>
        <w:ind w:left="1089" w:hanging="457"/>
        <w:spacing w:after="0"/>
        <w:tabs>
          <w:tab w:leader="none" w:pos="1089" w:val="left"/>
        </w:tabs>
        <w:numPr>
          <w:ilvl w:val="0"/>
          <w:numId w:val="1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II (MAY 2014) of 52.225-3.</w:t>
      </w:r>
    </w:p>
    <w:p>
      <w:pPr>
        <w:spacing w:after="0" w:line="338" w:lineRule="exact"/>
        <w:rPr>
          <w:rFonts w:ascii="Courier New" w:cs="Courier New" w:eastAsia="Courier New" w:hAnsi="Courier New"/>
          <w:sz w:val="13"/>
          <w:szCs w:val="13"/>
          <w:color w:val="auto"/>
        </w:rPr>
      </w:pPr>
    </w:p>
    <w:p>
      <w:pPr>
        <w:ind w:left="1009" w:hanging="377"/>
        <w:spacing w:after="0"/>
        <w:tabs>
          <w:tab w:leader="none" w:pos="1009" w:val="left"/>
        </w:tabs>
        <w:numPr>
          <w:ilvl w:val="0"/>
          <w:numId w:val="1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III (MAY 2014) of 52.225-3.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-630555</wp:posOffset>
            </wp:positionV>
            <wp:extent cx="1917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-321945</wp:posOffset>
            </wp:positionV>
            <wp:extent cx="1917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-13970</wp:posOffset>
            </wp:positionV>
            <wp:extent cx="1917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19" w:lineRule="exact"/>
        <w:rPr>
          <w:sz w:val="20"/>
          <w:szCs w:val="20"/>
          <w:color w:val="auto"/>
        </w:rPr>
      </w:pPr>
    </w:p>
    <w:p>
      <w:pPr>
        <w:ind w:left="1009" w:hanging="377"/>
        <w:spacing w:after="0"/>
        <w:tabs>
          <w:tab w:leader="none" w:pos="1009" w:val="left"/>
        </w:tabs>
        <w:numPr>
          <w:ilvl w:val="0"/>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52.225-5, Trade Agreements (Oct 2019) (19 U.S.C. 2501, et seq., 19 U.S.C. 3301 note).</w:t>
      </w:r>
    </w:p>
    <w:p>
      <w:pPr>
        <w:spacing w:after="0" w:line="358" w:lineRule="exact"/>
        <w:rPr>
          <w:rFonts w:ascii="Courier New" w:cs="Courier New" w:eastAsia="Courier New" w:hAnsi="Courier New"/>
          <w:sz w:val="13"/>
          <w:szCs w:val="13"/>
          <w:color w:val="auto"/>
        </w:rPr>
      </w:pPr>
    </w:p>
    <w:p>
      <w:pPr>
        <w:ind w:left="29" w:right="460" w:firstLine="603"/>
        <w:spacing w:after="0" w:line="275" w:lineRule="auto"/>
        <w:tabs>
          <w:tab w:leader="none" w:pos="1011" w:val="left"/>
        </w:tabs>
        <w:numPr>
          <w:ilvl w:val="0"/>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52.225-13, Restrictions on Certain Foreign Purchases (Jun 2008) (E.o.s, proclamations, and statutes administered by the Office of Foreign Assets Control of the Department of the Treasury).</w:t>
      </w:r>
    </w:p>
    <w:p>
      <w:pPr>
        <w:spacing w:after="0" w:line="364" w:lineRule="exact"/>
        <w:rPr>
          <w:rFonts w:ascii="Courier New" w:cs="Courier New" w:eastAsia="Courier New" w:hAnsi="Courier New"/>
          <w:sz w:val="13"/>
          <w:szCs w:val="13"/>
          <w:color w:val="auto"/>
        </w:rPr>
      </w:pPr>
    </w:p>
    <w:p>
      <w:pPr>
        <w:ind w:left="29" w:right="160" w:firstLine="603"/>
        <w:spacing w:after="0" w:line="275" w:lineRule="auto"/>
        <w:tabs>
          <w:tab w:leader="none" w:pos="1011" w:val="left"/>
        </w:tabs>
        <w:numPr>
          <w:ilvl w:val="0"/>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52.225-26, Contractors Performing Private Security Functions Outside the United States (Jul 2013) (Section 862, as amended, of the National Defense Authorization Act for Fiscal Year 2008; 10 U.S.C. 2302 Note).</w:t>
      </w:r>
    </w:p>
    <w:p>
      <w:pPr>
        <w:spacing w:after="0" w:line="331" w:lineRule="exact"/>
        <w:rPr>
          <w:rFonts w:ascii="Courier New" w:cs="Courier New" w:eastAsia="Courier New" w:hAnsi="Courier New"/>
          <w:sz w:val="13"/>
          <w:szCs w:val="13"/>
          <w:color w:val="auto"/>
        </w:rPr>
      </w:pPr>
    </w:p>
    <w:p>
      <w:pPr>
        <w:ind w:left="1009" w:hanging="377"/>
        <w:spacing w:after="0"/>
        <w:tabs>
          <w:tab w:leader="none" w:pos="1009" w:val="left"/>
        </w:tabs>
        <w:numPr>
          <w:ilvl w:val="0"/>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52.226-4, Notice of Disaster or Emergency Area Set-Aside (Nov 2007) (42 U.S.C. 5150).</w:t>
      </w:r>
    </w:p>
    <w:p>
      <w:pPr>
        <w:spacing w:after="0" w:line="338" w:lineRule="exact"/>
        <w:rPr>
          <w:rFonts w:ascii="Courier New" w:cs="Courier New" w:eastAsia="Courier New" w:hAnsi="Courier New"/>
          <w:sz w:val="13"/>
          <w:szCs w:val="13"/>
          <w:color w:val="auto"/>
        </w:rPr>
      </w:pPr>
    </w:p>
    <w:p>
      <w:pPr>
        <w:ind w:left="1009" w:hanging="377"/>
        <w:spacing w:after="0"/>
        <w:tabs>
          <w:tab w:leader="none" w:pos="1009" w:val="left"/>
        </w:tabs>
        <w:numPr>
          <w:ilvl w:val="0"/>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52.226-5, Restrictions on Subcontracting Outside Disaster or Emergency Area (Nov 2007)(42 U.S.C. 5150).</w:t>
      </w:r>
    </w:p>
    <w:p>
      <w:pPr>
        <w:spacing w:after="0" w:line="338" w:lineRule="exact"/>
        <w:rPr>
          <w:rFonts w:ascii="Courier New" w:cs="Courier New" w:eastAsia="Courier New" w:hAnsi="Courier New"/>
          <w:sz w:val="13"/>
          <w:szCs w:val="13"/>
          <w:color w:val="auto"/>
        </w:rPr>
      </w:pPr>
    </w:p>
    <w:p>
      <w:pPr>
        <w:ind w:left="1009" w:hanging="377"/>
        <w:spacing w:after="0"/>
        <w:tabs>
          <w:tab w:leader="none" w:pos="1009" w:val="left"/>
        </w:tabs>
        <w:numPr>
          <w:ilvl w:val="0"/>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52.229-12, Tax on Certain Foreign Procurements (JUN 2020).</w:t>
      </w:r>
    </w:p>
    <w:p>
      <w:pPr>
        <w:spacing w:after="0" w:line="338" w:lineRule="exact"/>
        <w:rPr>
          <w:rFonts w:ascii="Courier New" w:cs="Courier New" w:eastAsia="Courier New" w:hAnsi="Courier New"/>
          <w:sz w:val="13"/>
          <w:szCs w:val="13"/>
          <w:color w:val="auto"/>
        </w:rPr>
      </w:pPr>
    </w:p>
    <w:p>
      <w:pPr>
        <w:ind w:left="1009" w:hanging="377"/>
        <w:spacing w:after="0"/>
        <w:tabs>
          <w:tab w:leader="none" w:pos="1009" w:val="left"/>
        </w:tabs>
        <w:numPr>
          <w:ilvl w:val="0"/>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52.232-29, Terms for Financing of Purchases of Commercial Items (Feb 2002)(41 U.S.C. 4505, 10 U.S.C. 2307(f)).</w:t>
      </w:r>
    </w:p>
    <w:p>
      <w:pPr>
        <w:spacing w:after="0" w:line="338" w:lineRule="exact"/>
        <w:rPr>
          <w:rFonts w:ascii="Courier New" w:cs="Courier New" w:eastAsia="Courier New" w:hAnsi="Courier New"/>
          <w:sz w:val="13"/>
          <w:szCs w:val="13"/>
          <w:color w:val="auto"/>
        </w:rPr>
      </w:pPr>
    </w:p>
    <w:p>
      <w:pPr>
        <w:ind w:left="1009" w:hanging="377"/>
        <w:spacing w:after="0"/>
        <w:tabs>
          <w:tab w:leader="none" w:pos="1009" w:val="left"/>
        </w:tabs>
        <w:numPr>
          <w:ilvl w:val="0"/>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52.232-30, Installment Payments for Commercial Items (Jan 2017)(41 U.S.C. 4505, 10 U.S.C. 2307(f)).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-2439670</wp:posOffset>
            </wp:positionV>
            <wp:extent cx="1917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-2122170</wp:posOffset>
            </wp:positionV>
            <wp:extent cx="1917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-1676400</wp:posOffset>
            </wp:positionV>
            <wp:extent cx="1917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-1247775</wp:posOffset>
            </wp:positionV>
            <wp:extent cx="1917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-939165</wp:posOffset>
            </wp:positionV>
            <wp:extent cx="1917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-631190</wp:posOffset>
            </wp:positionV>
            <wp:extent cx="1917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-321945</wp:posOffset>
            </wp:positionV>
            <wp:extent cx="1917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-13970</wp:posOffset>
            </wp:positionV>
            <wp:extent cx="1917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224" w:lineRule="exact"/>
        <w:rPr>
          <w:sz w:val="20"/>
          <w:szCs w:val="20"/>
          <w:color w:val="auto"/>
        </w:rPr>
      </w:pPr>
    </w:p>
    <w:p>
      <w:pPr>
        <w:ind w:left="329"/>
        <w:spacing w:after="0"/>
        <w:rPr>
          <w:sz w:val="20"/>
          <w:szCs w:val="20"/>
          <w:color w:val="auto"/>
        </w:rPr>
      </w:pPr>
      <w:r>
        <w:rPr>
          <w:rFonts w:ascii="Courier New" w:cs="Courier New" w:eastAsia="Courier New" w:hAnsi="Courier New"/>
          <w:sz w:val="13"/>
          <w:szCs w:val="13"/>
          <w:color w:val="auto"/>
        </w:rPr>
        <w:t>_</w:t>
      </w:r>
      <w:r>
        <w:rPr>
          <w:rFonts w:ascii="Courier New" w:cs="Courier New" w:eastAsia="Courier New" w:hAnsi="Courier New"/>
          <w:sz w:val="13"/>
          <w:szCs w:val="13"/>
          <w:u w:val="single" w:color="auto"/>
          <w:color w:val="auto"/>
        </w:rPr>
        <w:t>X</w:t>
      </w:r>
      <w:r>
        <w:rPr>
          <w:rFonts w:ascii="Courier New" w:cs="Courier New" w:eastAsia="Courier New" w:hAnsi="Courier New"/>
          <w:sz w:val="13"/>
          <w:szCs w:val="13"/>
          <w:color w:val="auto"/>
        </w:rPr>
        <w:t xml:space="preserve"> _(58) 52.232-33, Payment by Electronic Funds Transfer -- System for Award Management (Oct 2018)(31 U.S.C. 3332).</w:t>
      </w:r>
    </w:p>
    <w:p>
      <w:pPr>
        <w:spacing w:after="0" w:line="339" w:lineRule="exact"/>
        <w:rPr>
          <w:sz w:val="20"/>
          <w:szCs w:val="20"/>
          <w:color w:val="auto"/>
        </w:rPr>
      </w:pPr>
    </w:p>
    <w:p>
      <w:pPr>
        <w:ind w:left="1009" w:hanging="377"/>
        <w:spacing w:after="0"/>
        <w:tabs>
          <w:tab w:leader="none" w:pos="1009" w:val="left"/>
        </w:tabs>
        <w:numPr>
          <w:ilvl w:val="0"/>
          <w:numId w:val="1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52.232-34, Payment by Electronic Funds Transfer -- Other Than System for Award Management (Jul 2013)(31 U.S.C. 3332).</w:t>
      </w:r>
    </w:p>
    <w:p>
      <w:pPr>
        <w:spacing w:after="0" w:line="338" w:lineRule="exact"/>
        <w:rPr>
          <w:rFonts w:ascii="Courier New" w:cs="Courier New" w:eastAsia="Courier New" w:hAnsi="Courier New"/>
          <w:sz w:val="13"/>
          <w:szCs w:val="13"/>
          <w:color w:val="auto"/>
        </w:rPr>
      </w:pPr>
    </w:p>
    <w:p>
      <w:pPr>
        <w:ind w:left="1009" w:hanging="377"/>
        <w:spacing w:after="0"/>
        <w:tabs>
          <w:tab w:leader="none" w:pos="1009" w:val="left"/>
        </w:tabs>
        <w:numPr>
          <w:ilvl w:val="0"/>
          <w:numId w:val="1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52.232-36, Payment by Third Party (MAY 2014) (31 U.S.C. 3332).</w:t>
      </w:r>
    </w:p>
    <w:p>
      <w:pPr>
        <w:spacing w:after="0" w:line="338" w:lineRule="exact"/>
        <w:rPr>
          <w:rFonts w:ascii="Courier New" w:cs="Courier New" w:eastAsia="Courier New" w:hAnsi="Courier New"/>
          <w:sz w:val="13"/>
          <w:szCs w:val="13"/>
          <w:color w:val="auto"/>
        </w:rPr>
      </w:pPr>
    </w:p>
    <w:p>
      <w:pPr>
        <w:ind w:left="1009" w:hanging="377"/>
        <w:spacing w:after="0"/>
        <w:tabs>
          <w:tab w:leader="none" w:pos="1009" w:val="left"/>
        </w:tabs>
        <w:numPr>
          <w:ilvl w:val="0"/>
          <w:numId w:val="1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52.239-1, Privacy or Security Safeguards (Aug 1996)(5 U.S.C. 552a).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-630555</wp:posOffset>
            </wp:positionV>
            <wp:extent cx="1917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-322580</wp:posOffset>
            </wp:positionV>
            <wp:extent cx="1917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-13970</wp:posOffset>
            </wp:positionV>
            <wp:extent cx="1917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224" w:lineRule="exact"/>
        <w:rPr>
          <w:sz w:val="20"/>
          <w:szCs w:val="20"/>
          <w:color w:val="auto"/>
        </w:rPr>
      </w:pPr>
    </w:p>
    <w:p>
      <w:pPr>
        <w:ind w:left="329"/>
        <w:spacing w:after="0"/>
        <w:rPr>
          <w:sz w:val="20"/>
          <w:szCs w:val="20"/>
          <w:color w:val="auto"/>
        </w:rPr>
      </w:pPr>
      <w:r>
        <w:rPr>
          <w:rFonts w:ascii="Courier New" w:cs="Courier New" w:eastAsia="Courier New" w:hAnsi="Courier New"/>
          <w:sz w:val="13"/>
          <w:szCs w:val="13"/>
          <w:color w:val="auto"/>
        </w:rPr>
        <w:t>_</w:t>
      </w:r>
      <w:r>
        <w:rPr>
          <w:rFonts w:ascii="Courier New" w:cs="Courier New" w:eastAsia="Courier New" w:hAnsi="Courier New"/>
          <w:sz w:val="13"/>
          <w:szCs w:val="13"/>
          <w:u w:val="single" w:color="auto"/>
          <w:color w:val="auto"/>
        </w:rPr>
        <w:t>X</w:t>
      </w:r>
      <w:r>
        <w:rPr>
          <w:rFonts w:ascii="Courier New" w:cs="Courier New" w:eastAsia="Courier New" w:hAnsi="Courier New"/>
          <w:sz w:val="13"/>
          <w:szCs w:val="13"/>
          <w:color w:val="auto"/>
        </w:rPr>
        <w:t xml:space="preserve"> _(62) 52.242-5, Payments to Small Business Subcontractors (Jan 2017)(15 U.S.C. 637(d)(13)).</w:t>
      </w:r>
    </w:p>
    <w:p>
      <w:pPr>
        <w:spacing w:after="0" w:line="339" w:lineRule="exact"/>
        <w:rPr>
          <w:sz w:val="20"/>
          <w:szCs w:val="20"/>
          <w:color w:val="auto"/>
        </w:rPr>
      </w:pPr>
    </w:p>
    <w:p>
      <w:pPr>
        <w:ind w:left="629"/>
        <w:spacing w:after="0"/>
        <w:rPr>
          <w:sz w:val="20"/>
          <w:szCs w:val="20"/>
          <w:color w:val="auto"/>
        </w:rPr>
      </w:pPr>
      <w:r>
        <w:rPr>
          <w:rFonts w:ascii="Courier New" w:cs="Courier New" w:eastAsia="Courier New" w:hAnsi="Courier New"/>
          <w:sz w:val="13"/>
          <w:szCs w:val="13"/>
          <w:color w:val="auto"/>
        </w:rPr>
        <w:t>(63)(i) 52.247-64, Preference for Privately Owned U.S.-Flag Commercial Vessels (Feb 2006)(46 U.S.C. Appx 1241(b) and 10 U.S.C.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-13970</wp:posOffset>
            </wp:positionV>
            <wp:extent cx="1917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22" w:lineRule="exact"/>
        <w:rPr>
          <w:sz w:val="20"/>
          <w:szCs w:val="20"/>
          <w:color w:val="auto"/>
        </w:rPr>
      </w:pPr>
    </w:p>
    <w:p>
      <w:pPr>
        <w:ind w:left="29"/>
        <w:spacing w:after="0"/>
        <w:rPr>
          <w:sz w:val="20"/>
          <w:szCs w:val="20"/>
          <w:color w:val="auto"/>
        </w:rPr>
      </w:pPr>
      <w:r>
        <w:rPr>
          <w:rFonts w:ascii="Courier New" w:cs="Courier New" w:eastAsia="Courier New" w:hAnsi="Courier New"/>
          <w:sz w:val="13"/>
          <w:szCs w:val="13"/>
          <w:color w:val="auto"/>
        </w:rPr>
        <w:t>2631).</w:t>
      </w:r>
    </w:p>
    <w:p>
      <w:pPr>
        <w:spacing w:after="0" w:line="339" w:lineRule="exact"/>
        <w:rPr>
          <w:sz w:val="20"/>
          <w:szCs w:val="20"/>
          <w:color w:val="auto"/>
        </w:rPr>
      </w:pPr>
    </w:p>
    <w:p>
      <w:pPr>
        <w:ind w:left="1009" w:hanging="377"/>
        <w:spacing w:after="0"/>
        <w:tabs>
          <w:tab w:leader="none" w:pos="1009" w:val="left"/>
        </w:tabs>
        <w:numPr>
          <w:ilvl w:val="2"/>
          <w:numId w:val="1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 (Apr 2003) of 52.247-64.</w:t>
      </w:r>
    </w:p>
    <w:p>
      <w:pPr>
        <w:spacing w:after="0" w:line="338" w:lineRule="exact"/>
        <w:rPr>
          <w:rFonts w:ascii="Courier New" w:cs="Courier New" w:eastAsia="Courier New" w:hAnsi="Courier New"/>
          <w:sz w:val="13"/>
          <w:szCs w:val="13"/>
          <w:color w:val="auto"/>
        </w:rPr>
      </w:pPr>
    </w:p>
    <w:p>
      <w:pPr>
        <w:ind w:left="769" w:hanging="445"/>
        <w:spacing w:after="0"/>
        <w:tabs>
          <w:tab w:leader="none" w:pos="769" w:val="left"/>
        </w:tabs>
        <w:numPr>
          <w:ilvl w:val="1"/>
          <w:numId w:val="1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II (Feb 2006) of 52.247-64.</w:t>
      </w:r>
    </w:p>
    <w:p>
      <w:pPr>
        <w:spacing w:after="0" w:line="264" w:lineRule="exact"/>
        <w:rPr>
          <w:rFonts w:ascii="Courier New" w:cs="Courier New" w:eastAsia="Courier New" w:hAnsi="Courier New"/>
          <w:sz w:val="13"/>
          <w:szCs w:val="13"/>
          <w:color w:val="auto"/>
        </w:rPr>
      </w:pPr>
    </w:p>
    <w:p>
      <w:pPr>
        <w:ind w:left="9" w:right="180" w:hanging="9"/>
        <w:spacing w:after="0" w:line="280" w:lineRule="auto"/>
        <w:tabs>
          <w:tab w:leader="none" w:pos="311" w:val="left"/>
        </w:tabs>
        <w:numPr>
          <w:ilvl w:val="0"/>
          <w:numId w:val="1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Contractor shall comply with the FAR clauses in this paragraph (c), applicable to commercial services, that the Contracting Officer has indicated as being incorporated in this contract by reference to implement provisions of law or executive orders applicable to acquisitions of commercial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-817245</wp:posOffset>
            </wp:positionV>
            <wp:extent cx="1917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322" w:lineRule="exact"/>
        <w:rPr>
          <w:sz w:val="20"/>
          <w:szCs w:val="20"/>
          <w:color w:val="auto"/>
        </w:rPr>
      </w:pPr>
    </w:p>
    <w:p>
      <w:pPr>
        <w:ind w:left="929" w:hanging="297"/>
        <w:spacing w:after="0"/>
        <w:tabs>
          <w:tab w:leader="none" w:pos="929" w:val="left"/>
        </w:tabs>
        <w:numPr>
          <w:ilvl w:val="0"/>
          <w:numId w:val="1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52.222-41, Service Contract Labor Standards (Aug 2018) (41 U.S.C. chapter 67).</w:t>
      </w:r>
    </w:p>
    <w:p>
      <w:pPr>
        <w:spacing w:after="0" w:line="338" w:lineRule="exact"/>
        <w:rPr>
          <w:rFonts w:ascii="Courier New" w:cs="Courier New" w:eastAsia="Courier New" w:hAnsi="Courier New"/>
          <w:sz w:val="13"/>
          <w:szCs w:val="13"/>
          <w:color w:val="auto"/>
        </w:rPr>
      </w:pPr>
    </w:p>
    <w:p>
      <w:pPr>
        <w:ind w:left="929" w:hanging="297"/>
        <w:spacing w:after="0"/>
        <w:tabs>
          <w:tab w:leader="none" w:pos="929" w:val="left"/>
        </w:tabs>
        <w:numPr>
          <w:ilvl w:val="0"/>
          <w:numId w:val="1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52.222-42, Statement of Equivalent Rates for Federal Hires (MAY 2014) (29 U.S.C. 206 and 41 U.S.C. chapter 67).</w:t>
      </w:r>
    </w:p>
    <w:p>
      <w:pPr>
        <w:spacing w:after="0" w:line="358" w:lineRule="exact"/>
        <w:rPr>
          <w:rFonts w:ascii="Courier New" w:cs="Courier New" w:eastAsia="Courier New" w:hAnsi="Courier New"/>
          <w:sz w:val="13"/>
          <w:szCs w:val="13"/>
          <w:color w:val="auto"/>
        </w:rPr>
      </w:pPr>
    </w:p>
    <w:p>
      <w:pPr>
        <w:ind w:left="29" w:right="1280" w:firstLine="603"/>
        <w:spacing w:after="0" w:line="275" w:lineRule="auto"/>
        <w:tabs>
          <w:tab w:leader="none" w:pos="936" w:val="left"/>
        </w:tabs>
        <w:numPr>
          <w:ilvl w:val="0"/>
          <w:numId w:val="1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52.222-43, Fair Labor Standards Act and Service Contract Labor Standards--Price Adjustment (Multiple Year and Option Contracts) (MAY 2014) (29 U.S.C. 206 and 41 U.S.C. chapter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-764540</wp:posOffset>
            </wp:positionV>
            <wp:extent cx="1917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-455930</wp:posOffset>
            </wp:positionV>
            <wp:extent cx="1917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-138430</wp:posOffset>
            </wp:positionV>
            <wp:extent cx="1917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ectPr>
          <w:pgSz w:w="11900" w:h="16838" w:orient="portrait"/>
          <w:cols w:equalWidth="0" w:num="1">
            <w:col w:w="10989"/>
          </w:cols>
          <w:pgMar w:left="571" w:top="929" w:right="339" w:bottom="0" w:gutter="0" w:footer="0" w:header="0"/>
        </w:sectPr>
      </w:pPr>
    </w:p>
    <w:bookmarkStart w:id="120" w:name="page121"/>
    <w:bookmarkEnd w:id="1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ind w:left="280" w:right="600" w:firstLine="603"/>
        <w:spacing w:after="0" w:line="275" w:lineRule="auto"/>
        <w:tabs>
          <w:tab w:leader="none" w:pos="1187" w:val="left"/>
        </w:tabs>
        <w:numPr>
          <w:ilvl w:val="0"/>
          <w:numId w:val="1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52.222-44, Fair Labor Standards Act and Service Contract Labor Standards--Price Adjustment (MAY 2014) (29 U.S.C 206 and 41 U.S.C. chapter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-138430</wp:posOffset>
            </wp:positionV>
            <wp:extent cx="1917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0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20"/>
                <w:szCs w:val="20"/>
                <w:b w:val="1"/>
                <w:bCs w:val="1"/>
                <w:color w:val="auto"/>
              </w:rPr>
              <w:t>CONTINUATION SHEET</w:t>
            </w:r>
          </w:p>
        </w:tc>
        <w:tc>
          <w:tcPr>
            <w:tcW w:w="5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76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29</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00" w:type="dxa"/>
            <w:vAlign w:val="bottom"/>
            <w:tcBorders>
              <w:right w:val="single" w:sz="8" w:color="auto"/>
            </w:tcBorders>
          </w:tcPr>
          <w:p>
            <w:pPr>
              <w:spacing w:after="0"/>
              <w:rPr>
                <w:sz w:val="9"/>
                <w:szCs w:val="9"/>
                <w:color w:val="auto"/>
              </w:rPr>
            </w:pPr>
          </w:p>
        </w:tc>
        <w:tc>
          <w:tcPr>
            <w:tcW w:w="548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760" w:type="dxa"/>
            <w:vAlign w:val="bottom"/>
          </w:tcPr>
          <w:p>
            <w:pPr>
              <w:spacing w:after="0"/>
              <w:rPr>
                <w:sz w:val="9"/>
                <w:szCs w:val="9"/>
                <w:color w:val="auto"/>
              </w:rPr>
            </w:pPr>
          </w:p>
        </w:tc>
      </w:tr>
      <w:tr>
        <w:trPr>
          <w:trHeight w:val="188"/>
        </w:trPr>
        <w:tc>
          <w:tcPr>
            <w:tcW w:w="3200" w:type="dxa"/>
            <w:vAlign w:val="bottom"/>
            <w:tcBorders>
              <w:bottom w:val="single" w:sz="8" w:color="auto"/>
              <w:right w:val="single" w:sz="8" w:color="auto"/>
            </w:tcBorders>
          </w:tcPr>
          <w:p>
            <w:pPr>
              <w:spacing w:after="0"/>
              <w:rPr>
                <w:sz w:val="16"/>
                <w:szCs w:val="16"/>
                <w:color w:val="auto"/>
              </w:rPr>
            </w:pPr>
          </w:p>
        </w:tc>
        <w:tc>
          <w:tcPr>
            <w:tcW w:w="5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76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6262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70" w:lineRule="exact"/>
        <w:rPr>
          <w:sz w:val="20"/>
          <w:szCs w:val="20"/>
          <w:color w:val="auto"/>
        </w:rPr>
      </w:pPr>
    </w:p>
    <w:p>
      <w:pPr>
        <w:ind w:left="260" w:firstLine="617"/>
        <w:spacing w:after="0" w:line="235" w:lineRule="auto"/>
        <w:tabs>
          <w:tab w:leader="none" w:pos="1189" w:val="left"/>
        </w:tabs>
        <w:numPr>
          <w:ilvl w:val="0"/>
          <w:numId w:val="150"/>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52.222-51, Exemption from Application of the Service Contract Labor Standards to Contracts for Maintenance, Calibration, or Repair of Certain Equipment--Requirements (MAY 2014) (41 U.S.C. chapter 67).</w:t>
      </w:r>
    </w:p>
    <w:p>
      <w:pPr>
        <w:spacing w:after="0" w:line="353" w:lineRule="exact"/>
        <w:rPr>
          <w:rFonts w:ascii="Courier New" w:cs="Courier New" w:eastAsia="Courier New" w:hAnsi="Courier New"/>
          <w:sz w:val="13"/>
          <w:szCs w:val="13"/>
          <w:color w:val="auto"/>
        </w:rPr>
      </w:pPr>
    </w:p>
    <w:p>
      <w:pPr>
        <w:ind w:left="1180" w:hanging="297"/>
        <w:spacing w:after="0"/>
        <w:tabs>
          <w:tab w:leader="none" w:pos="1180" w:val="left"/>
        </w:tabs>
        <w:numPr>
          <w:ilvl w:val="0"/>
          <w:numId w:val="150"/>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52.222-53, Exemption from Application of the Service Contract Labor Standards to Contracts for Certain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-424815</wp:posOffset>
            </wp:positionV>
            <wp:extent cx="1917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-13970</wp:posOffset>
            </wp:positionV>
            <wp:extent cx="1917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3"/>
          <w:szCs w:val="13"/>
          <w:color w:val="auto"/>
        </w:rPr>
        <w:t>Requirements (MAY 2014) (41 U.S.C. chapter 67).</w:t>
      </w:r>
    </w:p>
    <w:p>
      <w:pPr>
        <w:spacing w:after="0" w:line="366" w:lineRule="exact"/>
        <w:rPr>
          <w:sz w:val="20"/>
          <w:szCs w:val="20"/>
          <w:color w:val="auto"/>
        </w:rPr>
      </w:pPr>
    </w:p>
    <w:p>
      <w:pPr>
        <w:ind w:left="1180" w:hanging="297"/>
        <w:spacing w:after="0"/>
        <w:tabs>
          <w:tab w:leader="none" w:pos="1180" w:val="left"/>
        </w:tabs>
        <w:numPr>
          <w:ilvl w:val="2"/>
          <w:numId w:val="1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52.222-55, Minimum Wages Under Executive Order 13658 (Nov 2020) (Executive Order 13658).</w:t>
      </w:r>
    </w:p>
    <w:p>
      <w:pPr>
        <w:spacing w:after="0" w:line="338" w:lineRule="exact"/>
        <w:rPr>
          <w:rFonts w:ascii="Courier New" w:cs="Courier New" w:eastAsia="Courier New" w:hAnsi="Courier New"/>
          <w:sz w:val="13"/>
          <w:szCs w:val="13"/>
          <w:color w:val="auto"/>
        </w:rPr>
      </w:pPr>
    </w:p>
    <w:p>
      <w:pPr>
        <w:ind w:left="1180" w:hanging="297"/>
        <w:spacing w:after="0"/>
        <w:tabs>
          <w:tab w:leader="none" w:pos="1180" w:val="left"/>
        </w:tabs>
        <w:numPr>
          <w:ilvl w:val="2"/>
          <w:numId w:val="1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52.222-62, Paid Sick Leave Under Executive Order 13706 (Jan 2017) (E.O. 13706).</w:t>
      </w:r>
    </w:p>
    <w:p>
      <w:pPr>
        <w:spacing w:after="0" w:line="338" w:lineRule="exact"/>
        <w:rPr>
          <w:rFonts w:ascii="Courier New" w:cs="Courier New" w:eastAsia="Courier New" w:hAnsi="Courier New"/>
          <w:sz w:val="13"/>
          <w:szCs w:val="13"/>
          <w:color w:val="auto"/>
        </w:rPr>
      </w:pPr>
    </w:p>
    <w:p>
      <w:pPr>
        <w:ind w:left="1180" w:hanging="297"/>
        <w:spacing w:after="0"/>
        <w:tabs>
          <w:tab w:leader="none" w:pos="1180" w:val="left"/>
        </w:tabs>
        <w:numPr>
          <w:ilvl w:val="2"/>
          <w:numId w:val="1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52.226-6, Promoting Excess Food Donation to Nonprofit Organizations (Jun 2020) (42 U.S.C. 1792).</w:t>
      </w:r>
    </w:p>
    <w:p>
      <w:pPr>
        <w:spacing w:after="0" w:line="264" w:lineRule="exact"/>
        <w:rPr>
          <w:rFonts w:ascii="Courier New" w:cs="Courier New" w:eastAsia="Courier New" w:hAnsi="Courier New"/>
          <w:sz w:val="13"/>
          <w:szCs w:val="13"/>
          <w:color w:val="auto"/>
        </w:rPr>
      </w:pPr>
    </w:p>
    <w:p>
      <w:pPr>
        <w:ind w:left="260" w:right="240" w:hanging="9"/>
        <w:spacing w:after="0" w:line="280" w:lineRule="auto"/>
        <w:tabs>
          <w:tab w:leader="none" w:pos="562" w:val="left"/>
        </w:tabs>
        <w:numPr>
          <w:ilvl w:val="0"/>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Comptroller General Examination of Record. The Contractor shall comply with the provisions of this paragraph (d) if this contract was awarded using other than sealed bid, is in excess of the simplified acquisition threshold, as defined in FAR 2.101, on the date of award of this contract, and does not contain the clause at 52.215-2, Audit and Records -- Negotiation.</w:t>
      </w:r>
    </w:p>
    <w:p>
      <w:pPr>
        <w:spacing w:after="0" w:line="267" w:lineRule="exact"/>
        <w:rPr>
          <w:rFonts w:ascii="Courier New" w:cs="Courier New" w:eastAsia="Courier New" w:hAnsi="Courier New"/>
          <w:sz w:val="13"/>
          <w:szCs w:val="13"/>
          <w:color w:val="auto"/>
        </w:rPr>
      </w:pPr>
    </w:p>
    <w:p>
      <w:pPr>
        <w:ind w:left="420" w:hanging="7"/>
        <w:spacing w:after="0" w:line="275" w:lineRule="auto"/>
        <w:tabs>
          <w:tab w:leader="none" w:pos="722" w:val="left"/>
        </w:tabs>
        <w:numPr>
          <w:ilvl w:val="1"/>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Comptroller General of the United States, or an authorized representative of the Comptroller General, shall have access to and right to examine any of the Contractors directly pertinent records involving transactions related to this contract.</w:t>
      </w:r>
    </w:p>
    <w:p>
      <w:pPr>
        <w:spacing w:after="0" w:line="256" w:lineRule="exact"/>
        <w:rPr>
          <w:rFonts w:ascii="Courier New" w:cs="Courier New" w:eastAsia="Courier New" w:hAnsi="Courier New"/>
          <w:sz w:val="13"/>
          <w:szCs w:val="13"/>
          <w:color w:val="auto"/>
        </w:rPr>
      </w:pPr>
    </w:p>
    <w:p>
      <w:pPr>
        <w:ind w:left="420" w:right="160" w:hanging="7"/>
        <w:spacing w:after="0" w:line="283" w:lineRule="auto"/>
        <w:tabs>
          <w:tab w:leader="none" w:pos="722" w:val="left"/>
        </w:tabs>
        <w:numPr>
          <w:ilvl w:val="1"/>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Contractor shall make available at its offices at all reasonable times the records, materials, and other evidence for examination, audit, or reproduction, until 3 years after final payment under this contract or for any shorter period specified in FAR Subpart 4.7,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pPr>
        <w:spacing w:after="0" w:line="267" w:lineRule="exact"/>
        <w:rPr>
          <w:rFonts w:ascii="Courier New" w:cs="Courier New" w:eastAsia="Courier New" w:hAnsi="Courier New"/>
          <w:sz w:val="13"/>
          <w:szCs w:val="13"/>
          <w:color w:val="auto"/>
        </w:rPr>
      </w:pPr>
    </w:p>
    <w:p>
      <w:pPr>
        <w:ind w:left="420" w:right="240" w:hanging="7"/>
        <w:spacing w:after="0" w:line="280" w:lineRule="auto"/>
        <w:tabs>
          <w:tab w:leader="none" w:pos="722" w:val="left"/>
        </w:tabs>
        <w:numPr>
          <w:ilvl w:val="1"/>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-2832100</wp:posOffset>
            </wp:positionV>
            <wp:extent cx="1917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-2523490</wp:posOffset>
            </wp:positionV>
            <wp:extent cx="1917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-2214880</wp:posOffset>
            </wp:positionV>
            <wp:extent cx="1917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234" w:lineRule="exact"/>
        <w:rPr>
          <w:sz w:val="20"/>
          <w:szCs w:val="20"/>
          <w:color w:val="auto"/>
        </w:rPr>
      </w:pPr>
    </w:p>
    <w:p>
      <w:pPr>
        <w:jc w:val="both"/>
        <w:ind w:left="280" w:right="140"/>
        <w:spacing w:after="0" w:line="280" w:lineRule="auto"/>
        <w:rPr>
          <w:sz w:val="20"/>
          <w:szCs w:val="20"/>
          <w:color w:val="auto"/>
        </w:rPr>
      </w:pPr>
      <w:r>
        <w:rPr>
          <w:rFonts w:ascii="Courier New" w:cs="Courier New" w:eastAsia="Courier New" w:hAnsi="Courier New"/>
          <w:sz w:val="13"/>
          <w:szCs w:val="13"/>
          <w:color w:val="auto"/>
        </w:rPr>
        <w:t>(e)(1) Notwithstanding the requirements of the clauses in paragraphs (a), (b), (c) and (d) of this clause, the Contractor is not required to flow down any FAR clause, other than those in this paragraph (e)(1) in a subcontract for commercial items. Unless otherwise indicated below, the extent of the flow down shall be as required by the clause--</w:t>
      </w:r>
    </w:p>
    <w:p>
      <w:pPr>
        <w:spacing w:after="0" w:line="248"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(i) 52.203-13, Contractor Code of Business Ethics and Conduct (Jun 2020) (41 U.S.C. 3509).</w:t>
      </w:r>
    </w:p>
    <w:p>
      <w:pPr>
        <w:spacing w:after="0" w:line="264" w:lineRule="exact"/>
        <w:rPr>
          <w:sz w:val="20"/>
          <w:szCs w:val="20"/>
          <w:color w:val="auto"/>
        </w:rPr>
      </w:pPr>
    </w:p>
    <w:p>
      <w:pPr>
        <w:ind w:left="580" w:right="900" w:hanging="7"/>
        <w:spacing w:after="0" w:line="280" w:lineRule="auto"/>
        <w:tabs>
          <w:tab w:leader="none" w:pos="956"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52.203-19,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254" w:lineRule="exact"/>
        <w:rPr>
          <w:rFonts w:ascii="Courier New" w:cs="Courier New" w:eastAsia="Courier New" w:hAnsi="Courier New"/>
          <w:sz w:val="13"/>
          <w:szCs w:val="13"/>
          <w:color w:val="auto"/>
        </w:rPr>
      </w:pPr>
    </w:p>
    <w:p>
      <w:pPr>
        <w:ind w:left="580" w:right="680" w:hanging="5"/>
        <w:spacing w:after="0" w:line="275" w:lineRule="auto"/>
        <w:tabs>
          <w:tab w:leader="none" w:pos="1033"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52.204-23, Prohibition on Contracting for Hardware, Software, and Services Developed or Provided by Kaspersky Lab and Other Covered Entities (Jul 2018) (Section 1634 of Pub. L. 115-91).</w:t>
      </w:r>
    </w:p>
    <w:p>
      <w:pPr>
        <w:spacing w:after="0" w:line="270" w:lineRule="exact"/>
        <w:rPr>
          <w:rFonts w:ascii="Courier New" w:cs="Courier New" w:eastAsia="Courier New" w:hAnsi="Courier New"/>
          <w:sz w:val="13"/>
          <w:szCs w:val="13"/>
          <w:color w:val="auto"/>
        </w:rPr>
      </w:pPr>
    </w:p>
    <w:p>
      <w:pPr>
        <w:ind w:left="580" w:right="600" w:hanging="5"/>
        <w:spacing w:after="0" w:line="275" w:lineRule="auto"/>
        <w:tabs>
          <w:tab w:leader="none" w:pos="958"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52.204-25, Prohibition on Contracting for Certain Telecommunications and Video Surveillance Services or Equipment. (AUG 2020) (Section 889(a)(1)(A) of Pub. L. 115-232).</w:t>
      </w:r>
    </w:p>
    <w:p>
      <w:pPr>
        <w:spacing w:after="0" w:line="256" w:lineRule="exact"/>
        <w:rPr>
          <w:rFonts w:ascii="Courier New" w:cs="Courier New" w:eastAsia="Courier New" w:hAnsi="Courier New"/>
          <w:sz w:val="13"/>
          <w:szCs w:val="13"/>
          <w:color w:val="auto"/>
        </w:rPr>
      </w:pPr>
    </w:p>
    <w:p>
      <w:pPr>
        <w:ind w:left="580" w:right="760" w:hanging="5"/>
        <w:spacing w:after="0" w:line="282" w:lineRule="auto"/>
        <w:tabs>
          <w:tab w:leader="none" w:pos="882"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52.219-8, Utilization of Small Business Concerns (Oct 2018) (15 U.S.C. 637(d)(2) and (3)), in all subcontracts that offer further subcontracting opportunities. If the subcontract (except subcontracts to small business concerns) exceeds the applicable threshold specified in FAR 19.702(a) on the date of subcontract award, the subcontractor must include 52.219-8 in lower tier subcontracts that offer subcontracting opportunities.</w:t>
      </w:r>
    </w:p>
    <w:p>
      <w:pPr>
        <w:spacing w:after="0" w:line="246" w:lineRule="exact"/>
        <w:rPr>
          <w:rFonts w:ascii="Courier New" w:cs="Courier New" w:eastAsia="Courier New" w:hAnsi="Courier New"/>
          <w:sz w:val="13"/>
          <w:szCs w:val="13"/>
          <w:color w:val="auto"/>
        </w:rPr>
      </w:pPr>
    </w:p>
    <w:p>
      <w:pPr>
        <w:ind w:left="960" w:hanging="385"/>
        <w:spacing w:after="0"/>
        <w:tabs>
          <w:tab w:leader="none" w:pos="96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52.222-21, Prohibition of Segregated Facilities (Apr 2015).</w:t>
      </w:r>
    </w:p>
    <w:p>
      <w:pPr>
        <w:spacing w:after="0" w:line="244" w:lineRule="exact"/>
        <w:rPr>
          <w:rFonts w:ascii="Courier New" w:cs="Courier New" w:eastAsia="Courier New" w:hAnsi="Courier New"/>
          <w:sz w:val="13"/>
          <w:szCs w:val="13"/>
          <w:color w:val="auto"/>
        </w:rPr>
      </w:pPr>
    </w:p>
    <w:p>
      <w:pPr>
        <w:ind w:left="1020" w:hanging="445"/>
        <w:spacing w:after="0"/>
        <w:tabs>
          <w:tab w:leader="none" w:pos="102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52.222-26, Equal Opportunity (Sep 2016) (E.O. 11246).</w:t>
      </w:r>
    </w:p>
    <w:p>
      <w:pPr>
        <w:spacing w:after="0" w:line="244" w:lineRule="exact"/>
        <w:rPr>
          <w:rFonts w:ascii="Courier New" w:cs="Courier New" w:eastAsia="Courier New" w:hAnsi="Courier New"/>
          <w:sz w:val="13"/>
          <w:szCs w:val="13"/>
          <w:color w:val="auto"/>
        </w:rPr>
      </w:pPr>
    </w:p>
    <w:p>
      <w:pPr>
        <w:ind w:left="1100" w:hanging="525"/>
        <w:spacing w:after="0"/>
        <w:tabs>
          <w:tab w:leader="none" w:pos="110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52.222-35, Equal Opportunity for Veterans (Jun 2020)(38 U.S.C. 4212).</w:t>
      </w:r>
    </w:p>
    <w:p>
      <w:pPr>
        <w:sectPr>
          <w:pgSz w:w="11900" w:h="16838" w:orient="portrait"/>
          <w:cols w:equalWidth="0" w:num="1">
            <w:col w:w="11000"/>
          </w:cols>
          <w:pgMar w:left="320" w:top="494" w:right="579" w:bottom="1440" w:gutter="0" w:footer="0" w:header="0"/>
        </w:sectPr>
      </w:pPr>
    </w:p>
    <w:p>
      <w:pPr>
        <w:spacing w:after="0" w:line="264" w:lineRule="exact"/>
        <w:rPr>
          <w:sz w:val="20"/>
          <w:szCs w:val="20"/>
          <w:color w:val="auto"/>
        </w:rPr>
      </w:pPr>
    </w:p>
    <w:p>
      <w:pPr>
        <w:ind w:left="580"/>
        <w:spacing w:after="0"/>
        <w:rPr>
          <w:sz w:val="20"/>
          <w:szCs w:val="20"/>
          <w:color w:val="auto"/>
        </w:rPr>
      </w:pPr>
      <w:r>
        <w:rPr>
          <w:rFonts w:ascii="Courier New" w:cs="Courier New" w:eastAsia="Courier New" w:hAnsi="Courier New"/>
          <w:sz w:val="12"/>
          <w:szCs w:val="12"/>
          <w:color w:val="auto"/>
        </w:rPr>
        <w:t>(ix) 52.222-36, Equal Opportunity for Workers with Disabilities (Jun 2020)(29 U.S.C. 793).</w:t>
      </w:r>
    </w:p>
    <w:p>
      <w:pPr>
        <w:sectPr>
          <w:pgSz w:w="11900" w:h="16838" w:orient="portrait"/>
          <w:cols w:equalWidth="0" w:num="1">
            <w:col w:w="11000"/>
          </w:cols>
          <w:pgMar w:left="320" w:top="494" w:right="579" w:bottom="1440" w:gutter="0" w:footer="0" w:header="0"/>
          <w:type w:val="continuous"/>
        </w:sectPr>
      </w:pPr>
    </w:p>
    <w:bookmarkStart w:id="122" w:name="page123"/>
    <w:bookmarkEnd w:id="122"/>
    <w:p>
      <w:pPr>
        <w:ind w:left="980" w:hanging="305"/>
        <w:spacing w:after="0"/>
        <w:tabs>
          <w:tab w:leader="none" w:pos="980" w:val="left"/>
        </w:tabs>
        <w:numPr>
          <w:ilvl w:val="0"/>
          <w:numId w:val="1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52.222-37, Employment Reports on Veterans (Jun 2020) (38 U.S.C. 4212).</w:t>
      </w:r>
    </w:p>
    <w:p>
      <w:pPr>
        <w:spacing w:after="0" w:line="244" w:lineRule="exact"/>
        <w:rPr>
          <w:rFonts w:ascii="Courier New" w:cs="Courier New" w:eastAsia="Courier New" w:hAnsi="Courier New"/>
          <w:sz w:val="13"/>
          <w:szCs w:val="13"/>
          <w:color w:val="auto"/>
        </w:rPr>
      </w:pPr>
    </w:p>
    <w:p>
      <w:pPr>
        <w:ind w:left="1060" w:hanging="385"/>
        <w:spacing w:after="0"/>
        <w:tabs>
          <w:tab w:leader="none" w:pos="1060" w:val="left"/>
        </w:tabs>
        <w:numPr>
          <w:ilvl w:val="0"/>
          <w:numId w:val="1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52.222-40, Notification of Employee Rights Under the National Labor Relations Act (DEC 2010) (E.O. 13496).</w:t>
      </w:r>
    </w:p>
    <w:p>
      <w:pPr>
        <w:spacing w:after="0" w:line="244" w:lineRule="exact"/>
        <w:rPr>
          <w:rFonts w:ascii="Courier New" w:cs="Courier New" w:eastAsia="Courier New" w:hAnsi="Courier New"/>
          <w:sz w:val="13"/>
          <w:szCs w:val="13"/>
          <w:color w:val="auto"/>
        </w:rPr>
      </w:pPr>
    </w:p>
    <w:p>
      <w:pPr>
        <w:ind w:left="1120" w:hanging="445"/>
        <w:spacing w:after="0"/>
        <w:tabs>
          <w:tab w:leader="none" w:pos="1120" w:val="left"/>
        </w:tabs>
        <w:numPr>
          <w:ilvl w:val="0"/>
          <w:numId w:val="1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52.222-41, Service Contract Labor Standards (Aug 2018) (41 U.S.C. chapter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5494655</wp:posOffset>
            </wp:positionH>
            <wp:positionV relativeFrom="paragraph">
              <wp:posOffset>225425</wp:posOffset>
            </wp:positionV>
            <wp:extent cx="8255" cy="3517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351790"/>
                    </a:xfrm>
                    <a:prstGeom prst="rect">
                      <a:avLst/>
                    </a:prstGeom>
                    <a:noFill/>
                  </pic:spPr>
                </pic:pic>
              </a:graphicData>
            </a:graphic>
          </wp:anchor>
        </w:drawing>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246"/>
        </w:trPr>
        <w:tc>
          <w:tcPr>
            <w:tcW w:w="30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20"/>
                <w:szCs w:val="20"/>
                <w:b w:val="1"/>
                <w:bCs w:val="1"/>
                <w:color w:val="auto"/>
              </w:rPr>
              <w:t>CONTINUATION SHEET</w:t>
            </w:r>
          </w:p>
        </w:tc>
        <w:tc>
          <w:tcPr>
            <w:tcW w:w="4540" w:type="dxa"/>
            <w:vAlign w:val="bottom"/>
            <w:tcBorders>
              <w:top w:val="single" w:sz="8" w:color="auto"/>
            </w:tcBorders>
          </w:tcPr>
          <w:p>
            <w:pPr>
              <w:jc w:val="center"/>
              <w:ind w:left="290"/>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2440" w:type="dxa"/>
            <w:vAlign w:val="bottom"/>
            <w:tcBorders>
              <w:top w:val="single" w:sz="8" w:color="auto"/>
            </w:tcBorders>
          </w:tcPr>
          <w:p>
            <w:pPr>
              <w:ind w:left="56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30</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080" w:type="dxa"/>
            <w:vAlign w:val="bottom"/>
            <w:tcBorders>
              <w:right w:val="single" w:sz="8" w:color="auto"/>
            </w:tcBorders>
          </w:tcPr>
          <w:p>
            <w:pPr>
              <w:spacing w:after="0"/>
              <w:rPr>
                <w:sz w:val="9"/>
                <w:szCs w:val="9"/>
                <w:color w:val="auto"/>
              </w:rPr>
            </w:pPr>
          </w:p>
        </w:tc>
        <w:tc>
          <w:tcPr>
            <w:tcW w:w="4540" w:type="dxa"/>
            <w:vAlign w:val="bottom"/>
          </w:tcPr>
          <w:p>
            <w:pPr>
              <w:jc w:val="center"/>
              <w:ind w:left="270"/>
              <w:spacing w:after="0" w:line="105" w:lineRule="exact"/>
              <w:rPr>
                <w:sz w:val="20"/>
                <w:szCs w:val="20"/>
                <w:color w:val="auto"/>
              </w:rPr>
            </w:pPr>
            <w:r>
              <w:rPr>
                <w:rFonts w:ascii="Courier New" w:cs="Courier New" w:eastAsia="Courier New" w:hAnsi="Courier New"/>
                <w:sz w:val="12"/>
                <w:szCs w:val="12"/>
                <w:color w:val="auto"/>
              </w:rPr>
              <w:t>W15QKN-21-C-0014</w:t>
            </w:r>
          </w:p>
        </w:tc>
        <w:tc>
          <w:tcPr>
            <w:tcW w:w="2440" w:type="dxa"/>
            <w:vAlign w:val="bottom"/>
          </w:tcPr>
          <w:p>
            <w:pPr>
              <w:spacing w:after="0"/>
              <w:rPr>
                <w:sz w:val="9"/>
                <w:szCs w:val="9"/>
                <w:color w:val="auto"/>
              </w:rPr>
            </w:pPr>
          </w:p>
        </w:tc>
      </w:tr>
      <w:tr>
        <w:trPr>
          <w:trHeight w:val="188"/>
        </w:trPr>
        <w:tc>
          <w:tcPr>
            <w:tcW w:w="3080" w:type="dxa"/>
            <w:vAlign w:val="bottom"/>
            <w:tcBorders>
              <w:bottom w:val="single" w:sz="8" w:color="auto"/>
              <w:right w:val="single" w:sz="8" w:color="auto"/>
            </w:tcBorders>
          </w:tcPr>
          <w:p>
            <w:pPr>
              <w:spacing w:after="0"/>
              <w:rPr>
                <w:sz w:val="16"/>
                <w:szCs w:val="16"/>
                <w:color w:val="auto"/>
              </w:rPr>
            </w:pPr>
          </w:p>
        </w:tc>
        <w:tc>
          <w:tcPr>
            <w:tcW w:w="4540" w:type="dxa"/>
            <w:vAlign w:val="bottom"/>
            <w:tcBorders>
              <w:bottom w:val="single" w:sz="8" w:color="auto"/>
            </w:tcBorders>
          </w:tcPr>
          <w:p>
            <w:pPr>
              <w:jc w:val="center"/>
              <w:ind w:left="270"/>
              <w:spacing w:after="0"/>
              <w:rPr>
                <w:sz w:val="20"/>
                <w:szCs w:val="20"/>
                <w:color w:val="auto"/>
              </w:rPr>
            </w:pPr>
            <w:r>
              <w:rPr>
                <w:rFonts w:ascii="Arial" w:cs="Arial" w:eastAsia="Arial" w:hAnsi="Arial"/>
                <w:sz w:val="14"/>
                <w:szCs w:val="14"/>
                <w:b w:val="1"/>
                <w:bCs w:val="1"/>
                <w:color w:val="auto"/>
              </w:rPr>
              <w:t>PIIN/SIIN MOD/AMD</w:t>
            </w:r>
          </w:p>
        </w:tc>
        <w:tc>
          <w:tcPr>
            <w:tcW w:w="244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31115</wp:posOffset>
            </wp:positionV>
            <wp:extent cx="63950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377" w:lineRule="exact"/>
        <w:rPr>
          <w:sz w:val="20"/>
          <w:szCs w:val="20"/>
          <w:color w:val="auto"/>
        </w:rPr>
      </w:pPr>
    </w:p>
    <w:p>
      <w:pPr>
        <w:ind w:left="680"/>
        <w:spacing w:after="0"/>
        <w:rPr>
          <w:sz w:val="20"/>
          <w:szCs w:val="20"/>
          <w:color w:val="auto"/>
        </w:rPr>
      </w:pPr>
      <w:r>
        <w:rPr>
          <w:rFonts w:ascii="Courier New" w:cs="Courier New" w:eastAsia="Courier New" w:hAnsi="Courier New"/>
          <w:sz w:val="13"/>
          <w:szCs w:val="13"/>
          <w:color w:val="auto"/>
        </w:rPr>
        <w:t>(xiii)(A) 52.222-50, Combating Trafficking in Persons (Oct 2020) (22 U.S.C. 7104(g)).</w:t>
      </w:r>
    </w:p>
    <w:p>
      <w:pPr>
        <w:spacing w:after="0" w:line="1" w:lineRule="exact"/>
        <w:rPr>
          <w:sz w:val="20"/>
          <w:szCs w:val="20"/>
          <w:color w:val="auto"/>
        </w:rPr>
      </w:pPr>
    </w:p>
    <w:p>
      <w:pPr>
        <w:ind w:left="1140" w:hanging="303"/>
        <w:spacing w:after="0"/>
        <w:tabs>
          <w:tab w:leader="none" w:pos="1140" w:val="left"/>
        </w:tabs>
        <w:numPr>
          <w:ilvl w:val="1"/>
          <w:numId w:val="1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 (Mar 2015) of 52.222-50 (22 U.S.C. 7104(g)).</w:t>
      </w:r>
    </w:p>
    <w:p>
      <w:pPr>
        <w:spacing w:after="0" w:line="264" w:lineRule="exact"/>
        <w:rPr>
          <w:rFonts w:ascii="Courier New" w:cs="Courier New" w:eastAsia="Courier New" w:hAnsi="Courier New"/>
          <w:sz w:val="13"/>
          <w:szCs w:val="13"/>
          <w:color w:val="auto"/>
        </w:rPr>
      </w:pPr>
    </w:p>
    <w:p>
      <w:pPr>
        <w:ind w:left="680" w:right="60" w:hanging="5"/>
        <w:spacing w:after="0" w:line="275" w:lineRule="auto"/>
        <w:tabs>
          <w:tab w:leader="none" w:pos="1133" w:val="left"/>
        </w:tabs>
        <w:numPr>
          <w:ilvl w:val="0"/>
          <w:numId w:val="1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52.222-51, Exemption from Application of the Service Contract Labor Standards to Contracts for Maintenance, Calibration, or Repair of Certain Equipment--Requirements (MAY 2014) (41 U.S.C. chapter 67).</w:t>
      </w:r>
    </w:p>
    <w:p>
      <w:pPr>
        <w:spacing w:after="0" w:line="256" w:lineRule="exact"/>
        <w:rPr>
          <w:rFonts w:ascii="Courier New" w:cs="Courier New" w:eastAsia="Courier New" w:hAnsi="Courier New"/>
          <w:sz w:val="13"/>
          <w:szCs w:val="13"/>
          <w:color w:val="auto"/>
        </w:rPr>
      </w:pPr>
    </w:p>
    <w:p>
      <w:pPr>
        <w:ind w:left="680" w:right="140" w:hanging="5"/>
        <w:spacing w:after="0" w:line="275" w:lineRule="auto"/>
        <w:tabs>
          <w:tab w:leader="none" w:pos="1058" w:val="left"/>
        </w:tabs>
        <w:numPr>
          <w:ilvl w:val="0"/>
          <w:numId w:val="1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52.222-53, Exemption from Application of the Service Contract Labor Standards to Contracts for Certain Services--Requirements (MAY 2014) (41 U.S.C. chapter 67).</w:t>
      </w:r>
    </w:p>
    <w:p>
      <w:pPr>
        <w:spacing w:after="0" w:line="250" w:lineRule="exact"/>
        <w:rPr>
          <w:rFonts w:ascii="Courier New" w:cs="Courier New" w:eastAsia="Courier New" w:hAnsi="Courier New"/>
          <w:sz w:val="13"/>
          <w:szCs w:val="13"/>
          <w:color w:val="auto"/>
        </w:rPr>
      </w:pPr>
    </w:p>
    <w:p>
      <w:pPr>
        <w:ind w:left="1120" w:hanging="445"/>
        <w:spacing w:after="0"/>
        <w:tabs>
          <w:tab w:leader="none" w:pos="1120" w:val="left"/>
        </w:tabs>
        <w:numPr>
          <w:ilvl w:val="0"/>
          <w:numId w:val="1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52.222-54, Employment Eligibility Verification (Oct 2015).</w:t>
      </w:r>
    </w:p>
    <w:p>
      <w:pPr>
        <w:spacing w:after="0" w:line="244" w:lineRule="exact"/>
        <w:rPr>
          <w:rFonts w:ascii="Courier New" w:cs="Courier New" w:eastAsia="Courier New" w:hAnsi="Courier New"/>
          <w:sz w:val="13"/>
          <w:szCs w:val="13"/>
          <w:color w:val="auto"/>
        </w:rPr>
      </w:pPr>
    </w:p>
    <w:p>
      <w:pPr>
        <w:ind w:left="1200" w:hanging="525"/>
        <w:spacing w:after="0"/>
        <w:tabs>
          <w:tab w:leader="none" w:pos="1200" w:val="left"/>
        </w:tabs>
        <w:numPr>
          <w:ilvl w:val="0"/>
          <w:numId w:val="1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52.222-55, Minimum Wages Under Executive Order 13658 (Nov 2020) (Executive Order 13658).</w:t>
      </w:r>
    </w:p>
    <w:p>
      <w:pPr>
        <w:spacing w:after="0" w:line="352" w:lineRule="exact"/>
        <w:rPr>
          <w:rFonts w:ascii="Courier New" w:cs="Courier New" w:eastAsia="Courier New" w:hAnsi="Courier New"/>
          <w:sz w:val="13"/>
          <w:szCs w:val="13"/>
          <w:color w:val="auto"/>
        </w:rPr>
      </w:pPr>
    </w:p>
    <w:p>
      <w:pPr>
        <w:ind w:left="1280" w:hanging="605"/>
        <w:spacing w:after="0"/>
        <w:tabs>
          <w:tab w:leader="none" w:pos="1280" w:val="left"/>
        </w:tabs>
        <w:numPr>
          <w:ilvl w:val="0"/>
          <w:numId w:val="1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52.222-62 Paid Sick Leave Under Executive Order 13706 (Jan 2017) (E.O. 13706).</w:t>
      </w:r>
    </w:p>
    <w:p>
      <w:pPr>
        <w:spacing w:after="0" w:line="109" w:lineRule="exact"/>
        <w:rPr>
          <w:rFonts w:ascii="Courier New" w:cs="Courier New" w:eastAsia="Courier New" w:hAnsi="Courier New"/>
          <w:sz w:val="13"/>
          <w:szCs w:val="13"/>
          <w:color w:val="auto"/>
        </w:rPr>
      </w:pPr>
    </w:p>
    <w:p>
      <w:pPr>
        <w:ind w:left="1120" w:hanging="447"/>
        <w:spacing w:after="0"/>
        <w:tabs>
          <w:tab w:leader="none" w:pos="1120" w:val="left"/>
        </w:tabs>
        <w:numPr>
          <w:ilvl w:val="0"/>
          <w:numId w:val="1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52.224-3, Privacy Training (JAN 2017) (5 U.S.C. 552a).</w:t>
      </w:r>
    </w:p>
    <w:p>
      <w:pPr>
        <w:spacing w:after="0" w:line="14" w:lineRule="exact"/>
        <w:rPr>
          <w:rFonts w:ascii="Courier New" w:cs="Courier New" w:eastAsia="Courier New" w:hAnsi="Courier New"/>
          <w:sz w:val="13"/>
          <w:szCs w:val="13"/>
          <w:color w:val="auto"/>
        </w:rPr>
      </w:pPr>
    </w:p>
    <w:p>
      <w:pPr>
        <w:ind w:left="1220" w:hanging="302"/>
        <w:spacing w:after="0"/>
        <w:tabs>
          <w:tab w:leader="none" w:pos="1220" w:val="left"/>
        </w:tabs>
        <w:numPr>
          <w:ilvl w:val="2"/>
          <w:numId w:val="1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Alternate I (JAN 2017) of 52.224-3.</w:t>
      </w:r>
    </w:p>
    <w:p>
      <w:pPr>
        <w:spacing w:after="0" w:line="264" w:lineRule="exact"/>
        <w:rPr>
          <w:rFonts w:ascii="Courier New" w:cs="Courier New" w:eastAsia="Courier New" w:hAnsi="Courier New"/>
          <w:sz w:val="13"/>
          <w:szCs w:val="13"/>
          <w:color w:val="auto"/>
        </w:rPr>
      </w:pPr>
    </w:p>
    <w:p>
      <w:pPr>
        <w:ind w:left="680" w:right="140" w:hanging="5"/>
        <w:spacing w:after="0" w:line="275" w:lineRule="auto"/>
        <w:tabs>
          <w:tab w:leader="none" w:pos="1058" w:val="left"/>
        </w:tabs>
        <w:numPr>
          <w:ilvl w:val="0"/>
          <w:numId w:val="1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52.225-26, Contractors Performing Private Security Functions Outside the United States (Jul 2013) (Section 862, as amended, of the National Defense Authorization Act for Fiscal Year 2008; 10 U.S.C. 2302 Note).</w:t>
      </w:r>
    </w:p>
    <w:p>
      <w:pPr>
        <w:spacing w:after="0" w:line="250" w:lineRule="exact"/>
        <w:rPr>
          <w:rFonts w:ascii="Courier New" w:cs="Courier New" w:eastAsia="Courier New" w:hAnsi="Courier New"/>
          <w:sz w:val="13"/>
          <w:szCs w:val="13"/>
          <w:color w:val="auto"/>
        </w:rPr>
      </w:pPr>
    </w:p>
    <w:p>
      <w:pPr>
        <w:ind w:left="1120" w:hanging="445"/>
        <w:spacing w:after="0"/>
        <w:tabs>
          <w:tab w:leader="none" w:pos="1120" w:val="left"/>
        </w:tabs>
        <w:numPr>
          <w:ilvl w:val="0"/>
          <w:numId w:val="1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52.226-6, Promoting Excess Food Donation to Nonprofit Organizations (Jun 2020) (42 U.S.C. 1792). Flow down required in</w:t>
      </w:r>
    </w:p>
    <w:p>
      <w:pPr>
        <w:spacing w:after="0" w:line="28" w:lineRule="exact"/>
        <w:rPr>
          <w:sz w:val="20"/>
          <w:szCs w:val="20"/>
          <w:color w:val="auto"/>
        </w:rPr>
      </w:pPr>
    </w:p>
    <w:p>
      <w:pPr>
        <w:ind w:left="680"/>
        <w:spacing w:after="0"/>
        <w:rPr>
          <w:sz w:val="20"/>
          <w:szCs w:val="20"/>
          <w:color w:val="auto"/>
        </w:rPr>
      </w:pPr>
      <w:r>
        <w:rPr>
          <w:rFonts w:ascii="Courier New" w:cs="Courier New" w:eastAsia="Courier New" w:hAnsi="Courier New"/>
          <w:sz w:val="13"/>
          <w:szCs w:val="13"/>
          <w:color w:val="auto"/>
        </w:rPr>
        <w:t>accordance with paragraph (e) of FAR clause 52.226-6.</w:t>
      </w:r>
    </w:p>
    <w:p>
      <w:pPr>
        <w:spacing w:after="0" w:line="291" w:lineRule="exact"/>
        <w:rPr>
          <w:sz w:val="20"/>
          <w:szCs w:val="20"/>
          <w:color w:val="auto"/>
        </w:rPr>
      </w:pPr>
    </w:p>
    <w:p>
      <w:pPr>
        <w:ind w:left="680" w:hanging="5"/>
        <w:spacing w:after="0" w:line="275" w:lineRule="auto"/>
        <w:tabs>
          <w:tab w:leader="none" w:pos="1209" w:val="left"/>
        </w:tabs>
        <w:numPr>
          <w:ilvl w:val="1"/>
          <w:numId w:val="1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52.247-64, Preference for Privately-Owned U.S. Flag Commercial Vessels (Feb 2006)(46 U.S.C. Appx 1241(b) and 10 U.S.C. 2631). Flow down required in accordance with paragraph (d) of FAR clause 52.247-64.</w:t>
      </w:r>
    </w:p>
    <w:p>
      <w:pPr>
        <w:spacing w:after="0" w:line="256" w:lineRule="exact"/>
        <w:rPr>
          <w:rFonts w:ascii="Courier New" w:cs="Courier New" w:eastAsia="Courier New" w:hAnsi="Courier New"/>
          <w:sz w:val="13"/>
          <w:szCs w:val="13"/>
          <w:color w:val="auto"/>
        </w:rPr>
      </w:pPr>
    </w:p>
    <w:p>
      <w:pPr>
        <w:ind w:left="520" w:right="680" w:hanging="7"/>
        <w:spacing w:after="0" w:line="275" w:lineRule="auto"/>
        <w:tabs>
          <w:tab w:leader="none" w:pos="822"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While not required, the Contractor may include in its subcontracts for commercial items a minimal number of additional clauses necessary to satisfy its contractual obligations.</w:t>
      </w:r>
    </w:p>
    <w:p>
      <w:pPr>
        <w:spacing w:after="0" w:line="250"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3"/>
          <w:szCs w:val="13"/>
          <w:color w:val="auto"/>
        </w:rPr>
        <w:t>(End of Clause)</w:t>
      </w:r>
    </w:p>
    <w:p>
      <w:pPr>
        <w:sectPr>
          <w:pgSz w:w="11900" w:h="16838" w:orient="portrait"/>
          <w:cols w:equalWidth="0" w:num="1">
            <w:col w:w="11020"/>
          </w:cols>
          <w:pgMar w:left="220" w:top="838" w:right="6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46"/>
        </w:trPr>
        <w:tc>
          <w:tcPr>
            <w:tcW w:w="32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20"/>
                <w:szCs w:val="20"/>
                <w:b w:val="1"/>
                <w:bCs w:val="1"/>
                <w:color w:val="auto"/>
              </w:rPr>
              <w:t>CONTINUATION SHEET</w:t>
            </w:r>
          </w:p>
        </w:tc>
        <w:tc>
          <w:tcPr>
            <w:tcW w:w="5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Reference No. of Document Being Continued</w:t>
            </w:r>
          </w:p>
        </w:tc>
        <w:tc>
          <w:tcPr>
            <w:tcW w:w="1800" w:type="dxa"/>
            <w:vAlign w:val="bottom"/>
            <w:tcBorders>
              <w:top w:val="single" w:sz="8" w:color="auto"/>
            </w:tcBorders>
          </w:tcPr>
          <w:p>
            <w:pPr>
              <w:ind w:left="200"/>
              <w:spacing w:after="0" w:line="246" w:lineRule="exact"/>
              <w:rPr>
                <w:sz w:val="20"/>
                <w:szCs w:val="20"/>
                <w:color w:val="auto"/>
              </w:rPr>
            </w:pPr>
            <w:r>
              <w:rPr>
                <w:rFonts w:ascii="Arial" w:cs="Arial" w:eastAsia="Arial" w:hAnsi="Arial"/>
                <w:sz w:val="16"/>
                <w:szCs w:val="16"/>
                <w:b w:val="1"/>
                <w:bCs w:val="1"/>
                <w:color w:val="auto"/>
              </w:rPr>
              <w:t xml:space="preserve">Page  </w:t>
            </w:r>
            <w:r>
              <w:rPr>
                <w:rFonts w:ascii="Courier New" w:cs="Courier New" w:eastAsia="Courier New" w:hAnsi="Courier New"/>
                <w:sz w:val="25"/>
                <w:szCs w:val="25"/>
                <w:color w:val="auto"/>
                <w:vertAlign w:val="superscript"/>
              </w:rPr>
              <w:t>31</w:t>
            </w:r>
            <w:r>
              <w:rPr>
                <w:rFonts w:ascii="Arial" w:cs="Arial" w:eastAsia="Arial" w:hAnsi="Arial"/>
                <w:sz w:val="16"/>
                <w:szCs w:val="16"/>
                <w:b w:val="1"/>
                <w:bCs w:val="1"/>
                <w:color w:val="auto"/>
              </w:rPr>
              <w:t xml:space="preserve">  of  </w:t>
            </w:r>
            <w:r>
              <w:rPr>
                <w:rFonts w:ascii="Courier New" w:cs="Courier New" w:eastAsia="Courier New" w:hAnsi="Courier New"/>
                <w:sz w:val="25"/>
                <w:szCs w:val="25"/>
                <w:color w:val="auto"/>
                <w:vertAlign w:val="superscript"/>
              </w:rPr>
              <w:t>31</w:t>
            </w:r>
          </w:p>
        </w:tc>
      </w:tr>
      <w:tr>
        <w:trPr>
          <w:trHeight w:val="105"/>
        </w:trPr>
        <w:tc>
          <w:tcPr>
            <w:tcW w:w="3260" w:type="dxa"/>
            <w:vAlign w:val="bottom"/>
            <w:tcBorders>
              <w:right w:val="single" w:sz="8" w:color="auto"/>
            </w:tcBorders>
          </w:tcPr>
          <w:p>
            <w:pPr>
              <w:spacing w:after="0"/>
              <w:rPr>
                <w:sz w:val="9"/>
                <w:szCs w:val="9"/>
                <w:color w:val="auto"/>
              </w:rPr>
            </w:pPr>
          </w:p>
        </w:tc>
        <w:tc>
          <w:tcPr>
            <w:tcW w:w="5560" w:type="dxa"/>
            <w:vAlign w:val="bottom"/>
            <w:tcBorders>
              <w:right w:val="single" w:sz="8" w:color="auto"/>
            </w:tcBorders>
          </w:tcPr>
          <w:p>
            <w:pPr>
              <w:jc w:val="center"/>
              <w:spacing w:after="0" w:line="105" w:lineRule="exact"/>
              <w:rPr>
                <w:sz w:val="20"/>
                <w:szCs w:val="20"/>
                <w:color w:val="auto"/>
              </w:rPr>
            </w:pPr>
            <w:r>
              <w:rPr>
                <w:rFonts w:ascii="Courier New" w:cs="Courier New" w:eastAsia="Courier New" w:hAnsi="Courier New"/>
                <w:sz w:val="12"/>
                <w:szCs w:val="12"/>
                <w:color w:val="auto"/>
              </w:rPr>
              <w:t>W15QKN-21-C-0014</w:t>
            </w:r>
          </w:p>
        </w:tc>
        <w:tc>
          <w:tcPr>
            <w:tcW w:w="1800" w:type="dxa"/>
            <w:vAlign w:val="bottom"/>
          </w:tcPr>
          <w:p>
            <w:pPr>
              <w:spacing w:after="0"/>
              <w:rPr>
                <w:sz w:val="9"/>
                <w:szCs w:val="9"/>
                <w:color w:val="auto"/>
              </w:rPr>
            </w:pPr>
          </w:p>
        </w:tc>
      </w:tr>
      <w:tr>
        <w:trPr>
          <w:trHeight w:val="188"/>
        </w:trPr>
        <w:tc>
          <w:tcPr>
            <w:tcW w:w="3260" w:type="dxa"/>
            <w:vAlign w:val="bottom"/>
            <w:tcBorders>
              <w:bottom w:val="single" w:sz="8" w:color="auto"/>
              <w:right w:val="single" w:sz="8" w:color="auto"/>
            </w:tcBorders>
          </w:tcPr>
          <w:p>
            <w:pPr>
              <w:spacing w:after="0"/>
              <w:rPr>
                <w:sz w:val="16"/>
                <w:szCs w:val="16"/>
                <w:color w:val="auto"/>
              </w:rPr>
            </w:pPr>
          </w:p>
        </w:tc>
        <w:tc>
          <w:tcPr>
            <w:tcW w:w="5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PIIN/SIIN MOD/AMD</w:t>
            </w:r>
          </w:p>
        </w:tc>
        <w:tc>
          <w:tcPr>
            <w:tcW w:w="1800" w:type="dxa"/>
            <w:vAlign w:val="bottom"/>
            <w:tcBorders>
              <w:bottom w:val="single" w:sz="8" w:color="auto"/>
            </w:tcBorders>
          </w:tcPr>
          <w:p>
            <w:pPr>
              <w:spacing w:after="0"/>
              <w:rPr>
                <w:sz w:val="16"/>
                <w:szCs w:val="16"/>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of Offeror or Contractor: </w:t>
      </w:r>
      <w:r>
        <w:rPr>
          <w:rFonts w:ascii="Arial" w:cs="Arial" w:eastAsia="Arial" w:hAnsi="Arial"/>
          <w:sz w:val="20"/>
          <w:szCs w:val="20"/>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7379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LIST OF ATTACHMENTS</w:t>
      </w: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540" w:type="dxa"/>
            <w:vAlign w:val="bottom"/>
            <w:vMerge w:val="restart"/>
          </w:tcPr>
          <w:p>
            <w:pPr>
              <w:spacing w:after="0"/>
              <w:rPr>
                <w:sz w:val="20"/>
                <w:szCs w:val="20"/>
                <w:color w:val="auto"/>
              </w:rPr>
            </w:pPr>
            <w:r>
              <w:rPr>
                <w:rFonts w:ascii="Courier New" w:cs="Courier New" w:eastAsia="Courier New" w:hAnsi="Courier New"/>
                <w:sz w:val="13"/>
                <w:szCs w:val="13"/>
                <w:color w:val="auto"/>
                <w:w w:val="95"/>
              </w:rPr>
              <w:t>List of</w:t>
            </w:r>
          </w:p>
        </w:tc>
        <w:tc>
          <w:tcPr>
            <w:tcW w:w="760" w:type="dxa"/>
            <w:vAlign w:val="bottom"/>
            <w:vMerge w:val="restart"/>
          </w:tcPr>
          <w:p>
            <w:pPr>
              <w:spacing w:after="0"/>
              <w:rPr>
                <w:sz w:val="12"/>
                <w:szCs w:val="12"/>
                <w:color w:val="auto"/>
              </w:rPr>
            </w:pPr>
          </w:p>
        </w:tc>
        <w:tc>
          <w:tcPr>
            <w:tcW w:w="10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Courier New" w:cs="Courier New" w:eastAsia="Courier New" w:hAnsi="Courier New"/>
                <w:sz w:val="13"/>
                <w:szCs w:val="13"/>
                <w:color w:val="auto"/>
              </w:rPr>
              <w:t>Number</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540" w:type="dxa"/>
            <w:vAlign w:val="bottom"/>
            <w:tcBorders>
              <w:bottom w:val="single" w:sz="8" w:color="auto"/>
            </w:tcBorders>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300" w:type="dxa"/>
            <w:vAlign w:val="bottom"/>
            <w:gridSpan w:val="2"/>
            <w:vMerge w:val="restart"/>
          </w:tcPr>
          <w:p>
            <w:pPr>
              <w:ind w:left="380"/>
              <w:spacing w:after="0"/>
              <w:rPr>
                <w:sz w:val="20"/>
                <w:szCs w:val="20"/>
                <w:color w:val="auto"/>
              </w:rPr>
            </w:pPr>
            <w:r>
              <w:rPr>
                <w:rFonts w:ascii="Courier New" w:cs="Courier New" w:eastAsia="Courier New" w:hAnsi="Courier New"/>
                <w:sz w:val="13"/>
                <w:szCs w:val="13"/>
                <w:color w:val="auto"/>
              </w:rPr>
              <w:t>of Pages</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300" w:type="dxa"/>
            <w:vAlign w:val="bottom"/>
            <w:gridSpan w:val="2"/>
            <w:vMerge w:val="restart"/>
          </w:tcPr>
          <w:p>
            <w:pPr>
              <w:spacing w:after="0" w:line="115" w:lineRule="exact"/>
              <w:rPr>
                <w:sz w:val="20"/>
                <w:szCs w:val="20"/>
                <w:color w:val="auto"/>
              </w:rPr>
            </w:pPr>
            <w:r>
              <w:rPr>
                <w:rFonts w:ascii="Courier New" w:cs="Courier New" w:eastAsia="Courier New" w:hAnsi="Courier New"/>
                <w:sz w:val="13"/>
                <w:szCs w:val="13"/>
                <w:color w:val="auto"/>
              </w:rPr>
              <w:t>Addenda</w:t>
            </w:r>
          </w:p>
        </w:tc>
        <w:tc>
          <w:tcPr>
            <w:tcW w:w="1060" w:type="dxa"/>
            <w:vAlign w:val="bottom"/>
            <w:vMerge w:val="restart"/>
          </w:tcPr>
          <w:p>
            <w:pPr>
              <w:ind w:left="380"/>
              <w:spacing w:after="0" w:line="115" w:lineRule="exact"/>
              <w:rPr>
                <w:sz w:val="20"/>
                <w:szCs w:val="20"/>
                <w:color w:val="auto"/>
              </w:rPr>
            </w:pPr>
            <w:r>
              <w:rPr>
                <w:rFonts w:ascii="Courier New" w:cs="Courier New" w:eastAsia="Courier New" w:hAnsi="Courier New"/>
                <w:sz w:val="13"/>
                <w:szCs w:val="13"/>
                <w:color w:val="auto"/>
              </w:rPr>
              <w:t>Title</w:t>
            </w:r>
          </w:p>
        </w:tc>
        <w:tc>
          <w:tcPr>
            <w:tcW w:w="2940" w:type="dxa"/>
            <w:vAlign w:val="bottom"/>
            <w:vMerge w:val="restart"/>
          </w:tcPr>
          <w:p>
            <w:pPr>
              <w:spacing w:after="0"/>
              <w:rPr>
                <w:sz w:val="6"/>
                <w:szCs w:val="6"/>
                <w:color w:val="auto"/>
              </w:rPr>
            </w:pPr>
          </w:p>
        </w:tc>
        <w:tc>
          <w:tcPr>
            <w:tcW w:w="1000" w:type="dxa"/>
            <w:vAlign w:val="bottom"/>
          </w:tcPr>
          <w:p>
            <w:pPr>
              <w:spacing w:after="0"/>
              <w:rPr>
                <w:sz w:val="6"/>
                <w:szCs w:val="6"/>
                <w:color w:val="auto"/>
              </w:rPr>
            </w:pPr>
          </w:p>
        </w:tc>
        <w:tc>
          <w:tcPr>
            <w:tcW w:w="980" w:type="dxa"/>
            <w:vAlign w:val="bottom"/>
            <w:vMerge w:val="restart"/>
          </w:tcPr>
          <w:p>
            <w:pPr>
              <w:ind w:left="380"/>
              <w:spacing w:after="0" w:line="115" w:lineRule="exact"/>
              <w:rPr>
                <w:sz w:val="20"/>
                <w:szCs w:val="20"/>
                <w:color w:val="auto"/>
              </w:rPr>
            </w:pPr>
            <w:r>
              <w:rPr>
                <w:rFonts w:ascii="Courier New" w:cs="Courier New" w:eastAsia="Courier New" w:hAnsi="Courier New"/>
                <w:sz w:val="13"/>
                <w:szCs w:val="13"/>
                <w:color w:val="auto"/>
              </w:rPr>
              <w:t>Date</w:t>
            </w:r>
          </w:p>
        </w:tc>
        <w:tc>
          <w:tcPr>
            <w:tcW w:w="1300" w:type="dxa"/>
            <w:vAlign w:val="bottom"/>
            <w:gridSpan w:val="2"/>
            <w:vMerge w:val="continue"/>
          </w:tcPr>
          <w:p>
            <w:pPr>
              <w:spacing w:after="0"/>
              <w:rPr>
                <w:sz w:val="6"/>
                <w:szCs w:val="6"/>
                <w:color w:val="auto"/>
              </w:rPr>
            </w:pPr>
          </w:p>
        </w:tc>
        <w:tc>
          <w:tcPr>
            <w:tcW w:w="1180" w:type="dxa"/>
            <w:vAlign w:val="bottom"/>
            <w:gridSpan w:val="2"/>
            <w:vMerge w:val="restart"/>
          </w:tcPr>
          <w:p>
            <w:pPr>
              <w:ind w:left="140"/>
              <w:spacing w:after="0" w:line="115" w:lineRule="exact"/>
              <w:rPr>
                <w:sz w:val="20"/>
                <w:szCs w:val="20"/>
                <w:color w:val="auto"/>
              </w:rPr>
            </w:pPr>
            <w:r>
              <w:rPr>
                <w:rFonts w:ascii="Courier New" w:cs="Courier New" w:eastAsia="Courier New" w:hAnsi="Courier New"/>
                <w:sz w:val="13"/>
                <w:szCs w:val="13"/>
                <w:color w:val="auto"/>
                <w:w w:val="93"/>
              </w:rPr>
              <w:t>Transmitted By</w:t>
            </w:r>
          </w:p>
        </w:tc>
        <w:tc>
          <w:tcPr>
            <w:tcW w:w="0" w:type="dxa"/>
            <w:vAlign w:val="bottom"/>
          </w:tcPr>
          <w:p>
            <w:pPr>
              <w:spacing w:after="0"/>
              <w:rPr>
                <w:sz w:val="1"/>
                <w:szCs w:val="1"/>
                <w:color w:val="auto"/>
              </w:rPr>
            </w:pPr>
          </w:p>
        </w:tc>
      </w:tr>
      <w:tr>
        <w:trPr>
          <w:trHeight w:val="34"/>
        </w:trPr>
        <w:tc>
          <w:tcPr>
            <w:tcW w:w="1300" w:type="dxa"/>
            <w:vAlign w:val="bottom"/>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294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1300" w:type="dxa"/>
            <w:vAlign w:val="bottom"/>
            <w:gridSpan w:val="2"/>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300" w:type="dxa"/>
            <w:vAlign w:val="bottom"/>
            <w:gridSpan w:val="2"/>
          </w:tcPr>
          <w:p>
            <w:pPr>
              <w:ind w:left="60"/>
              <w:spacing w:after="0"/>
              <w:rPr>
                <w:sz w:val="20"/>
                <w:szCs w:val="20"/>
                <w:color w:val="auto"/>
              </w:rPr>
            </w:pPr>
            <w:r>
              <w:rPr>
                <w:rFonts w:ascii="Courier New" w:cs="Courier New" w:eastAsia="Courier New" w:hAnsi="Courier New"/>
                <w:sz w:val="13"/>
                <w:szCs w:val="13"/>
                <w:color w:val="auto"/>
              </w:rPr>
              <w:t>Exhibit A</w:t>
            </w:r>
          </w:p>
        </w:tc>
        <w:tc>
          <w:tcPr>
            <w:tcW w:w="4000" w:type="dxa"/>
            <w:vAlign w:val="bottom"/>
            <w:gridSpan w:val="2"/>
          </w:tcPr>
          <w:p>
            <w:pPr>
              <w:spacing w:after="0"/>
              <w:rPr>
                <w:sz w:val="20"/>
                <w:szCs w:val="20"/>
                <w:color w:val="auto"/>
              </w:rPr>
            </w:pPr>
            <w:r>
              <w:rPr>
                <w:rFonts w:ascii="Courier New" w:cs="Courier New" w:eastAsia="Courier New" w:hAnsi="Courier New"/>
                <w:sz w:val="13"/>
                <w:szCs w:val="13"/>
                <w:color w:val="auto"/>
              </w:rPr>
              <w:t>CONTRACT DATA REQUIREMENTS LIST</w:t>
            </w:r>
          </w:p>
        </w:tc>
        <w:tc>
          <w:tcPr>
            <w:tcW w:w="1980" w:type="dxa"/>
            <w:vAlign w:val="bottom"/>
            <w:gridSpan w:val="2"/>
          </w:tcPr>
          <w:p>
            <w:pPr>
              <w:ind w:left="1000"/>
              <w:spacing w:after="0"/>
              <w:rPr>
                <w:sz w:val="20"/>
                <w:szCs w:val="20"/>
                <w:color w:val="auto"/>
              </w:rPr>
            </w:pPr>
            <w:r>
              <w:rPr>
                <w:rFonts w:ascii="Courier New" w:cs="Courier New" w:eastAsia="Courier New" w:hAnsi="Courier New"/>
                <w:sz w:val="13"/>
                <w:szCs w:val="13"/>
                <w:color w:val="auto"/>
              </w:rPr>
              <w:t>07-JAN-2021</w:t>
            </w:r>
          </w:p>
        </w:tc>
        <w:tc>
          <w:tcPr>
            <w:tcW w:w="130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033</w:t>
            </w:r>
          </w:p>
        </w:tc>
        <w:tc>
          <w:tcPr>
            <w:tcW w:w="1180" w:type="dxa"/>
            <w:vAlign w:val="bottom"/>
            <w:gridSpan w:val="2"/>
          </w:tcPr>
          <w:p>
            <w:pPr>
              <w:ind w:left="140"/>
              <w:spacing w:after="0"/>
              <w:rPr>
                <w:sz w:val="20"/>
                <w:szCs w:val="20"/>
                <w:color w:val="auto"/>
              </w:rPr>
            </w:pPr>
            <w:r>
              <w:rPr>
                <w:rFonts w:ascii="Courier New" w:cs="Courier New" w:eastAsia="Courier New" w:hAnsi="Courier New"/>
                <w:sz w:val="13"/>
                <w:szCs w:val="13"/>
                <w:color w:val="auto"/>
              </w:rPr>
              <w:t>EMAIL</w:t>
            </w:r>
          </w:p>
        </w:tc>
        <w:tc>
          <w:tcPr>
            <w:tcW w:w="0" w:type="dxa"/>
            <w:vAlign w:val="bottom"/>
          </w:tcPr>
          <w:p>
            <w:pPr>
              <w:spacing w:after="0"/>
              <w:rPr>
                <w:sz w:val="1"/>
                <w:szCs w:val="1"/>
                <w:color w:val="auto"/>
              </w:rPr>
            </w:pPr>
          </w:p>
        </w:tc>
      </w:tr>
      <w:tr>
        <w:trPr>
          <w:trHeight w:val="203"/>
        </w:trPr>
        <w:tc>
          <w:tcPr>
            <w:tcW w:w="1300" w:type="dxa"/>
            <w:vAlign w:val="bottom"/>
            <w:gridSpan w:val="2"/>
          </w:tcPr>
          <w:p>
            <w:pPr>
              <w:ind w:left="60"/>
              <w:spacing w:after="0"/>
              <w:rPr>
                <w:sz w:val="20"/>
                <w:szCs w:val="20"/>
                <w:color w:val="auto"/>
              </w:rPr>
            </w:pPr>
            <w:r>
              <w:rPr>
                <w:rFonts w:ascii="Courier New" w:cs="Courier New" w:eastAsia="Courier New" w:hAnsi="Courier New"/>
                <w:sz w:val="13"/>
                <w:szCs w:val="13"/>
                <w:color w:val="auto"/>
              </w:rPr>
              <w:t>Attachment</w:t>
            </w:r>
          </w:p>
        </w:tc>
        <w:tc>
          <w:tcPr>
            <w:tcW w:w="4000" w:type="dxa"/>
            <w:vAlign w:val="bottom"/>
            <w:gridSpan w:val="2"/>
          </w:tcPr>
          <w:p>
            <w:pPr>
              <w:spacing w:after="0"/>
              <w:rPr>
                <w:sz w:val="20"/>
                <w:szCs w:val="20"/>
                <w:color w:val="auto"/>
              </w:rPr>
            </w:pPr>
            <w:r>
              <w:rPr>
                <w:rFonts w:ascii="Courier New" w:cs="Courier New" w:eastAsia="Courier New" w:hAnsi="Courier New"/>
                <w:sz w:val="13"/>
                <w:szCs w:val="13"/>
                <w:color w:val="auto"/>
              </w:rPr>
              <w:t>SF LLL DISCLOSURE OF LOBBYING ACTIVITIES</w:t>
            </w:r>
          </w:p>
        </w:tc>
        <w:tc>
          <w:tcPr>
            <w:tcW w:w="1980" w:type="dxa"/>
            <w:vAlign w:val="bottom"/>
            <w:gridSpan w:val="2"/>
          </w:tcPr>
          <w:p>
            <w:pPr>
              <w:ind w:left="1000"/>
              <w:spacing w:after="0"/>
              <w:rPr>
                <w:sz w:val="20"/>
                <w:szCs w:val="20"/>
                <w:color w:val="auto"/>
              </w:rPr>
            </w:pPr>
            <w:r>
              <w:rPr>
                <w:rFonts w:ascii="Courier New" w:cs="Courier New" w:eastAsia="Courier New" w:hAnsi="Courier New"/>
                <w:sz w:val="13"/>
                <w:szCs w:val="13"/>
                <w:color w:val="auto"/>
              </w:rPr>
              <w:t>04-JAN-2021</w:t>
            </w:r>
          </w:p>
        </w:tc>
        <w:tc>
          <w:tcPr>
            <w:tcW w:w="130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001</w:t>
            </w:r>
          </w:p>
        </w:tc>
        <w:tc>
          <w:tcPr>
            <w:tcW w:w="1180" w:type="dxa"/>
            <w:vAlign w:val="bottom"/>
            <w:gridSpan w:val="2"/>
          </w:tcPr>
          <w:p>
            <w:pPr>
              <w:ind w:left="140"/>
              <w:spacing w:after="0"/>
              <w:rPr>
                <w:sz w:val="20"/>
                <w:szCs w:val="20"/>
                <w:color w:val="auto"/>
              </w:rPr>
            </w:pPr>
            <w:r>
              <w:rPr>
                <w:rFonts w:ascii="Courier New" w:cs="Courier New" w:eastAsia="Courier New" w:hAnsi="Courier New"/>
                <w:sz w:val="13"/>
                <w:szCs w:val="13"/>
                <w:color w:val="auto"/>
              </w:rPr>
              <w:t>EMAIL</w:t>
            </w:r>
          </w:p>
        </w:tc>
        <w:tc>
          <w:tcPr>
            <w:tcW w:w="0" w:type="dxa"/>
            <w:vAlign w:val="bottom"/>
          </w:tcPr>
          <w:p>
            <w:pPr>
              <w:spacing w:after="0"/>
              <w:rPr>
                <w:sz w:val="1"/>
                <w:szCs w:val="1"/>
                <w:color w:val="auto"/>
              </w:rPr>
            </w:pPr>
          </w:p>
        </w:tc>
      </w:tr>
      <w:tr>
        <w:trPr>
          <w:trHeight w:val="148"/>
        </w:trPr>
        <w:tc>
          <w:tcPr>
            <w:tcW w:w="540" w:type="dxa"/>
            <w:vAlign w:val="bottom"/>
          </w:tcPr>
          <w:p>
            <w:pPr>
              <w:ind w:left="60"/>
              <w:spacing w:after="0"/>
              <w:rPr>
                <w:sz w:val="20"/>
                <w:szCs w:val="20"/>
                <w:color w:val="auto"/>
              </w:rPr>
            </w:pPr>
            <w:r>
              <w:rPr>
                <w:rFonts w:ascii="Courier New" w:cs="Courier New" w:eastAsia="Courier New" w:hAnsi="Courier New"/>
                <w:sz w:val="13"/>
                <w:szCs w:val="13"/>
                <w:color w:val="auto"/>
              </w:rPr>
              <w:t>0001</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60"/>
              <w:spacing w:after="0"/>
              <w:rPr>
                <w:sz w:val="20"/>
                <w:szCs w:val="20"/>
                <w:color w:val="auto"/>
              </w:rPr>
            </w:pPr>
            <w:r>
              <w:rPr>
                <w:rFonts w:ascii="Courier New" w:cs="Courier New" w:eastAsia="Courier New" w:hAnsi="Courier New"/>
                <w:sz w:val="13"/>
                <w:szCs w:val="13"/>
                <w:color w:val="auto"/>
              </w:rPr>
              <w:t>Attachment</w:t>
            </w:r>
          </w:p>
        </w:tc>
        <w:tc>
          <w:tcPr>
            <w:tcW w:w="4000" w:type="dxa"/>
            <w:vAlign w:val="bottom"/>
            <w:gridSpan w:val="2"/>
          </w:tcPr>
          <w:p>
            <w:pPr>
              <w:spacing w:after="0"/>
              <w:rPr>
                <w:sz w:val="20"/>
                <w:szCs w:val="20"/>
                <w:color w:val="auto"/>
              </w:rPr>
            </w:pPr>
            <w:r>
              <w:rPr>
                <w:rFonts w:ascii="Courier New" w:cs="Courier New" w:eastAsia="Courier New" w:hAnsi="Courier New"/>
                <w:sz w:val="13"/>
                <w:szCs w:val="13"/>
                <w:color w:val="auto"/>
              </w:rPr>
              <w:t>REGENERON DRAFT SUBCONTRACTING PLAN</w:t>
            </w:r>
          </w:p>
        </w:tc>
        <w:tc>
          <w:tcPr>
            <w:tcW w:w="1980" w:type="dxa"/>
            <w:vAlign w:val="bottom"/>
            <w:gridSpan w:val="2"/>
          </w:tcPr>
          <w:p>
            <w:pPr>
              <w:ind w:left="1000"/>
              <w:spacing w:after="0"/>
              <w:rPr>
                <w:sz w:val="20"/>
                <w:szCs w:val="20"/>
                <w:color w:val="auto"/>
              </w:rPr>
            </w:pPr>
            <w:r>
              <w:rPr>
                <w:rFonts w:ascii="Courier New" w:cs="Courier New" w:eastAsia="Courier New" w:hAnsi="Courier New"/>
                <w:sz w:val="13"/>
                <w:szCs w:val="13"/>
                <w:color w:val="auto"/>
              </w:rPr>
              <w:t>30-NOV-2020</w:t>
            </w:r>
          </w:p>
        </w:tc>
        <w:tc>
          <w:tcPr>
            <w:tcW w:w="130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009</w:t>
            </w:r>
          </w:p>
        </w:tc>
        <w:tc>
          <w:tcPr>
            <w:tcW w:w="1180" w:type="dxa"/>
            <w:vAlign w:val="bottom"/>
            <w:gridSpan w:val="2"/>
          </w:tcPr>
          <w:p>
            <w:pPr>
              <w:ind w:left="140"/>
              <w:spacing w:after="0"/>
              <w:rPr>
                <w:sz w:val="20"/>
                <w:szCs w:val="20"/>
                <w:color w:val="auto"/>
              </w:rPr>
            </w:pPr>
            <w:r>
              <w:rPr>
                <w:rFonts w:ascii="Courier New" w:cs="Courier New" w:eastAsia="Courier New" w:hAnsi="Courier New"/>
                <w:sz w:val="13"/>
                <w:szCs w:val="13"/>
                <w:color w:val="auto"/>
              </w:rPr>
              <w:t>EMAIL</w:t>
            </w:r>
          </w:p>
        </w:tc>
        <w:tc>
          <w:tcPr>
            <w:tcW w:w="0" w:type="dxa"/>
            <w:vAlign w:val="bottom"/>
          </w:tcPr>
          <w:p>
            <w:pPr>
              <w:spacing w:after="0"/>
              <w:rPr>
                <w:sz w:val="1"/>
                <w:szCs w:val="1"/>
                <w:color w:val="auto"/>
              </w:rPr>
            </w:pPr>
          </w:p>
        </w:tc>
      </w:tr>
      <w:tr>
        <w:trPr>
          <w:trHeight w:val="149"/>
        </w:trPr>
        <w:tc>
          <w:tcPr>
            <w:tcW w:w="540" w:type="dxa"/>
            <w:vAlign w:val="bottom"/>
          </w:tcPr>
          <w:p>
            <w:pPr>
              <w:ind w:left="60"/>
              <w:spacing w:after="0"/>
              <w:rPr>
                <w:sz w:val="20"/>
                <w:szCs w:val="20"/>
                <w:color w:val="auto"/>
              </w:rPr>
            </w:pPr>
            <w:r>
              <w:rPr>
                <w:rFonts w:ascii="Courier New" w:cs="Courier New" w:eastAsia="Courier New" w:hAnsi="Courier New"/>
                <w:sz w:val="13"/>
                <w:szCs w:val="13"/>
                <w:color w:val="auto"/>
              </w:rPr>
              <w:t>0002</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1172" w:right="959" w:bottom="1440" w:gutter="0" w:footer="0" w:header="0"/>
        </w:sectPr>
      </w:pPr>
    </w:p>
    <w:bookmarkStart w:id="124" w:name="page125"/>
    <w:bookmarkEnd w:id="124"/>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W15QKN-21-C-</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34"/>
          <w:szCs w:val="34"/>
          <w:b w:val="1"/>
          <w:bCs w:val="1"/>
          <w:color w:val="auto"/>
        </w:rPr>
        <w:t>Exhibit 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auto"/>
        </w:rPr>
        <w:t>Contract Data Requirements List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34"/>
          <w:szCs w:val="34"/>
          <w:b w:val="1"/>
          <w:bCs w:val="1"/>
          <w:color w:val="auto"/>
        </w:rPr>
        <w:t>CDRLs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Date: 07 January 2021</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 of pages: 32</w:t>
      </w:r>
    </w:p>
    <w:p>
      <w:pPr>
        <w:sectPr>
          <w:pgSz w:w="11900" w:h="16838" w:orient="portrait"/>
          <w:cols w:equalWidth="0" w:num="1">
            <w:col w:w="9019"/>
          </w:cols>
          <w:pgMar w:left="1440" w:top="1440"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1880" w:type="dxa"/>
            <w:vAlign w:val="bottom"/>
            <w:vMerge w:val="restart"/>
          </w:tcPr>
          <w:p>
            <w:pPr>
              <w:ind w:left="1320"/>
              <w:spacing w:after="0"/>
              <w:rPr>
                <w:sz w:val="20"/>
                <w:szCs w:val="20"/>
                <w:color w:val="auto"/>
              </w:rPr>
            </w:pPr>
            <w:r>
              <w:rPr>
                <w:rFonts w:ascii="Arial" w:cs="Arial" w:eastAsia="Arial" w:hAnsi="Arial"/>
                <w:sz w:val="16"/>
                <w:szCs w:val="16"/>
                <w:color w:val="auto"/>
              </w:rPr>
              <w:t>A001</w:t>
            </w:r>
          </w:p>
        </w:tc>
        <w:tc>
          <w:tcPr>
            <w:tcW w:w="200" w:type="dxa"/>
            <w:vAlign w:val="bottom"/>
            <w:tcBorders>
              <w:right w:val="single" w:sz="8" w:color="auto"/>
            </w:tcBorders>
          </w:tcPr>
          <w:p>
            <w:pPr>
              <w:spacing w:after="0"/>
              <w:rPr>
                <w:sz w:val="23"/>
                <w:szCs w:val="23"/>
                <w:color w:val="auto"/>
              </w:rPr>
            </w:pPr>
          </w:p>
        </w:tc>
        <w:tc>
          <w:tcPr>
            <w:tcW w:w="3040" w:type="dxa"/>
            <w:vAlign w:val="bottom"/>
            <w:gridSpan w:val="4"/>
          </w:tcPr>
          <w:p>
            <w:pPr>
              <w:ind w:left="60"/>
              <w:spacing w:after="0"/>
              <w:rPr>
                <w:sz w:val="20"/>
                <w:szCs w:val="20"/>
                <w:color w:val="auto"/>
              </w:rPr>
            </w:pPr>
            <w:r>
              <w:rPr>
                <w:rFonts w:ascii="Arial" w:cs="Arial" w:eastAsia="Arial" w:hAnsi="Arial"/>
                <w:sz w:val="16"/>
                <w:szCs w:val="16"/>
                <w:color w:val="auto"/>
              </w:rPr>
              <w:t>Post Award Teleconference Minutes</w:t>
            </w:r>
          </w:p>
        </w:tc>
        <w:tc>
          <w:tcPr>
            <w:tcW w:w="13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29"/>
              <w:spacing w:after="0"/>
              <w:rPr>
                <w:sz w:val="20"/>
                <w:szCs w:val="20"/>
                <w:color w:val="auto"/>
              </w:rPr>
            </w:pPr>
            <w:r>
              <w:rPr>
                <w:rFonts w:ascii="Arial" w:cs="Arial" w:eastAsia="Arial" w:hAnsi="Arial"/>
                <w:sz w:val="16"/>
                <w:szCs w:val="16"/>
                <w:color w:val="auto"/>
                <w:w w:val="99"/>
              </w:rPr>
              <w:t>DI-ADMN-81505</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198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7"/>
                <w:szCs w:val="7"/>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4"/>
          <w:szCs w:val="14"/>
          <w:color w:val="0F0F0F"/>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7903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29130" cy="79038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7903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7903845"/>
                    </a:xfrm>
                    <a:prstGeom prst="rect">
                      <a:avLst/>
                    </a:prstGeom>
                    <a:noFill/>
                  </pic:spPr>
                </pic:pic>
              </a:graphicData>
            </a:graphic>
          </wp:anchor>
        </w:drawing>
        <w:t>The Awardee shall complete an initial teleconference after agreement award</w:t>
      </w:r>
    </w:p>
    <w:p>
      <w:pPr>
        <w:spacing w:after="0" w:line="1" w:lineRule="exact"/>
        <w:rPr>
          <w:sz w:val="20"/>
          <w:szCs w:val="20"/>
          <w:color w:val="auto"/>
        </w:rPr>
      </w:pPr>
    </w:p>
    <w:p>
      <w:pPr>
        <w:ind w:left="420" w:hanging="248"/>
        <w:spacing w:after="0"/>
        <w:tabs>
          <w:tab w:leader="none" w:pos="420" w:val="left"/>
        </w:tabs>
        <w:numPr>
          <w:ilvl w:val="0"/>
          <w:numId w:val="159"/>
        </w:numPr>
        <w:rPr>
          <w:rFonts w:ascii="Arial" w:cs="Arial" w:eastAsia="Arial" w:hAnsi="Arial"/>
          <w:sz w:val="14"/>
          <w:szCs w:val="14"/>
          <w:color w:val="101010"/>
        </w:rPr>
      </w:pPr>
      <w:r>
        <w:rPr>
          <w:rFonts w:ascii="Arial" w:cs="Arial" w:eastAsia="Arial" w:hAnsi="Arial"/>
          <w:sz w:val="14"/>
          <w:szCs w:val="14"/>
          <w:color w:val="101010"/>
        </w:rPr>
        <w:t xml:space="preserve">Outline activities for the next </w:t>
      </w:r>
      <w:r>
        <w:rPr>
          <w:rFonts w:ascii="Arial" w:cs="Arial" w:eastAsia="Arial" w:hAnsi="Arial"/>
          <w:sz w:val="12"/>
          <w:szCs w:val="12"/>
          <w:color w:val="000000"/>
        </w:rPr>
        <w:t>[* * *]</w:t>
      </w:r>
    </w:p>
    <w:p>
      <w:pPr>
        <w:spacing w:after="0" w:line="1" w:lineRule="exact"/>
        <w:rPr>
          <w:rFonts w:ascii="Arial" w:cs="Arial" w:eastAsia="Arial" w:hAnsi="Arial"/>
          <w:sz w:val="14"/>
          <w:szCs w:val="14"/>
          <w:color w:val="101010"/>
        </w:rPr>
      </w:pPr>
    </w:p>
    <w:p>
      <w:pPr>
        <w:ind w:left="420" w:hanging="248"/>
        <w:spacing w:after="0"/>
        <w:tabs>
          <w:tab w:leader="none" w:pos="420" w:val="left"/>
        </w:tabs>
        <w:numPr>
          <w:ilvl w:val="0"/>
          <w:numId w:val="159"/>
        </w:numPr>
        <w:rPr>
          <w:rFonts w:ascii="Arial" w:cs="Arial" w:eastAsia="Arial" w:hAnsi="Arial"/>
          <w:sz w:val="14"/>
          <w:szCs w:val="14"/>
          <w:color w:val="0E0E0E"/>
        </w:rPr>
      </w:pPr>
      <w:r>
        <w:rPr>
          <w:rFonts w:ascii="Arial" w:cs="Arial" w:eastAsia="Arial" w:hAnsi="Arial"/>
          <w:sz w:val="14"/>
          <w:szCs w:val="14"/>
          <w:color w:val="101010"/>
        </w:rPr>
        <w:t xml:space="preserve">Discuss </w:t>
      </w:r>
      <w:r>
        <w:rPr>
          <w:rFonts w:ascii="Arial" w:cs="Arial" w:eastAsia="Arial" w:hAnsi="Arial"/>
          <w:sz w:val="14"/>
          <w:szCs w:val="14"/>
          <w:color w:val="0E0E0E"/>
        </w:rPr>
        <w:t>agenda items for the post-award Kickoff Meeting (A002)</w:t>
      </w: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4"/>
          <w:szCs w:val="14"/>
          <w:color w:val="101010"/>
        </w:rPr>
        <w:t>Within one week of Agreement award</w:t>
      </w:r>
    </w:p>
    <w:p>
      <w:pPr>
        <w:spacing w:after="0" w:line="13" w:lineRule="exact"/>
        <w:rPr>
          <w:sz w:val="20"/>
          <w:szCs w:val="20"/>
          <w:color w:val="auto"/>
        </w:rPr>
      </w:pPr>
    </w:p>
    <w:p>
      <w:pPr>
        <w:ind w:left="180" w:right="3720" w:hanging="8"/>
        <w:spacing w:after="0" w:line="241" w:lineRule="auto"/>
        <w:tabs>
          <w:tab w:leader="none" w:pos="689" w:val="left"/>
        </w:tabs>
        <w:numPr>
          <w:ilvl w:val="0"/>
          <w:numId w:val="160"/>
        </w:numPr>
        <w:rPr>
          <w:rFonts w:ascii="Arial" w:cs="Arial" w:eastAsia="Arial" w:hAnsi="Arial"/>
          <w:sz w:val="14"/>
          <w:szCs w:val="14"/>
          <w:color w:val="101010"/>
        </w:rPr>
      </w:pPr>
      <w:r>
        <w:rPr>
          <w:rFonts w:ascii="Arial" w:cs="Arial" w:eastAsia="Arial" w:hAnsi="Arial"/>
          <w:sz w:val="14"/>
          <w:szCs w:val="14"/>
          <w:color w:val="121212"/>
        </w:rPr>
        <w:t xml:space="preserve">Awardee shall provide agenda and establish a teleconference number at least </w:t>
      </w:r>
      <w:r>
        <w:rPr>
          <w:rFonts w:ascii="Arial" w:cs="Arial" w:eastAsia="Arial" w:hAnsi="Arial"/>
          <w:sz w:val="12"/>
          <w:szCs w:val="12"/>
          <w:color w:val="000000"/>
        </w:rPr>
        <w:t>[* * *]</w:t>
      </w:r>
      <w:r>
        <w:rPr>
          <w:rFonts w:ascii="Arial" w:cs="Arial" w:eastAsia="Arial" w:hAnsi="Arial"/>
          <w:sz w:val="14"/>
          <w:szCs w:val="14"/>
          <w:color w:val="121212"/>
        </w:rPr>
        <w:t xml:space="preserve"> </w:t>
      </w:r>
      <w:r>
        <w:rPr>
          <w:rFonts w:ascii="Arial" w:cs="Arial" w:eastAsia="Arial" w:hAnsi="Arial"/>
          <w:sz w:val="14"/>
          <w:szCs w:val="14"/>
          <w:color w:val="101010"/>
        </w:rPr>
        <w:t>in advance of the</w:t>
      </w:r>
      <w:r>
        <w:rPr>
          <w:rFonts w:ascii="Arial" w:cs="Arial" w:eastAsia="Arial" w:hAnsi="Arial"/>
          <w:sz w:val="14"/>
          <w:szCs w:val="14"/>
          <w:color w:val="121212"/>
        </w:rPr>
        <w:t xml:space="preserve"> </w:t>
      </w:r>
      <w:r>
        <w:rPr>
          <w:rFonts w:ascii="Arial" w:cs="Arial" w:eastAsia="Arial" w:hAnsi="Arial"/>
          <w:sz w:val="14"/>
          <w:szCs w:val="14"/>
          <w:color w:val="101010"/>
        </w:rPr>
        <w:t>teleconference unless notified that BARDA will supply one</w:t>
      </w:r>
    </w:p>
    <w:p>
      <w:pPr>
        <w:ind w:left="680" w:hanging="508"/>
        <w:spacing w:after="0"/>
        <w:tabs>
          <w:tab w:leader="none" w:pos="680" w:val="left"/>
        </w:tabs>
        <w:numPr>
          <w:ilvl w:val="0"/>
          <w:numId w:val="160"/>
        </w:numPr>
        <w:rPr>
          <w:rFonts w:ascii="Arial" w:cs="Arial" w:eastAsia="Arial" w:hAnsi="Arial"/>
          <w:sz w:val="14"/>
          <w:szCs w:val="14"/>
          <w:color w:val="0E0E0E"/>
        </w:rPr>
      </w:pPr>
      <w:r>
        <w:rPr>
          <w:rFonts w:ascii="Arial" w:cs="Arial" w:eastAsia="Arial" w:hAnsi="Arial"/>
          <w:sz w:val="14"/>
          <w:szCs w:val="14"/>
          <w:color w:val="111111"/>
        </w:rPr>
        <w:t xml:space="preserve">AOR edits/approves and instructs Awardee to distribute agenda prior to meeting by at </w:t>
      </w:r>
      <w:r>
        <w:rPr>
          <w:rFonts w:ascii="Arial" w:cs="Arial" w:eastAsia="Arial" w:hAnsi="Arial"/>
          <w:sz w:val="14"/>
          <w:szCs w:val="14"/>
          <w:color w:val="0E0E0E"/>
        </w:rPr>
        <w:t>least</w:t>
      </w:r>
      <w:r>
        <w:rPr>
          <w:rFonts w:ascii="Arial" w:cs="Arial" w:eastAsia="Arial" w:hAnsi="Arial"/>
          <w:sz w:val="14"/>
          <w:szCs w:val="14"/>
          <w:color w:val="111111"/>
        </w:rPr>
        <w:t xml:space="preserve"> </w:t>
      </w:r>
      <w:r>
        <w:rPr>
          <w:rFonts w:ascii="Arial" w:cs="Arial" w:eastAsia="Arial" w:hAnsi="Arial"/>
          <w:sz w:val="12"/>
          <w:szCs w:val="12"/>
          <w:color w:val="000000"/>
        </w:rPr>
        <w:t>[* * *]</w:t>
      </w:r>
    </w:p>
    <w:p>
      <w:pPr>
        <w:spacing w:after="0" w:line="14" w:lineRule="exact"/>
        <w:rPr>
          <w:rFonts w:ascii="Arial" w:cs="Arial" w:eastAsia="Arial" w:hAnsi="Arial"/>
          <w:sz w:val="14"/>
          <w:szCs w:val="14"/>
          <w:color w:val="0E0E0E"/>
        </w:rPr>
      </w:pPr>
    </w:p>
    <w:p>
      <w:pPr>
        <w:ind w:left="680" w:hanging="508"/>
        <w:spacing w:after="0"/>
        <w:tabs>
          <w:tab w:leader="none" w:pos="680" w:val="left"/>
        </w:tabs>
        <w:numPr>
          <w:ilvl w:val="0"/>
          <w:numId w:val="160"/>
        </w:numPr>
        <w:rPr>
          <w:rFonts w:ascii="Arial" w:cs="Arial" w:eastAsia="Arial" w:hAnsi="Arial"/>
          <w:sz w:val="16"/>
          <w:szCs w:val="16"/>
          <w:color w:val="auto"/>
        </w:rPr>
      </w:pPr>
      <w:r>
        <w:rPr>
          <w:rFonts w:ascii="Arial" w:cs="Arial" w:eastAsia="Arial" w:hAnsi="Arial"/>
          <w:sz w:val="14"/>
          <w:szCs w:val="14"/>
          <w:color w:val="0F0F0F"/>
        </w:rPr>
        <w:t xml:space="preserve">Awardee provides meeting minutes to AOR within </w:t>
      </w:r>
      <w:r>
        <w:rPr>
          <w:rFonts w:ascii="Arial" w:cs="Arial" w:eastAsia="Arial" w:hAnsi="Arial"/>
          <w:sz w:val="12"/>
          <w:szCs w:val="12"/>
          <w:color w:val="000000"/>
        </w:rPr>
        <w:t>[* * *]</w:t>
      </w:r>
      <w:r>
        <w:rPr>
          <w:rFonts w:ascii="Arial" w:cs="Arial" w:eastAsia="Arial" w:hAnsi="Arial"/>
          <w:sz w:val="14"/>
          <w:szCs w:val="14"/>
          <w:color w:val="0F0F0F"/>
        </w:rPr>
        <w:t>after the meeting</w:t>
      </w:r>
    </w:p>
    <w:p>
      <w:pPr>
        <w:spacing w:after="0" w:line="5" w:lineRule="exact"/>
        <w:rPr>
          <w:rFonts w:ascii="Arial" w:cs="Arial" w:eastAsia="Arial" w:hAnsi="Arial"/>
          <w:sz w:val="16"/>
          <w:szCs w:val="16"/>
          <w:color w:val="auto"/>
        </w:rPr>
      </w:pPr>
    </w:p>
    <w:p>
      <w:pPr>
        <w:ind w:left="680" w:hanging="508"/>
        <w:spacing w:after="0"/>
        <w:tabs>
          <w:tab w:leader="none" w:pos="680" w:val="left"/>
        </w:tabs>
        <w:numPr>
          <w:ilvl w:val="0"/>
          <w:numId w:val="160"/>
        </w:numPr>
        <w:rPr>
          <w:rFonts w:ascii="Arial" w:cs="Arial" w:eastAsia="Arial" w:hAnsi="Arial"/>
          <w:sz w:val="16"/>
          <w:szCs w:val="16"/>
          <w:color w:val="auto"/>
        </w:rPr>
      </w:pPr>
      <w:r>
        <w:rPr>
          <w:rFonts w:ascii="Arial" w:cs="Arial" w:eastAsia="Arial" w:hAnsi="Arial"/>
          <w:sz w:val="14"/>
          <w:szCs w:val="14"/>
          <w:color w:val="101010"/>
        </w:rPr>
        <w:t xml:space="preserve">AOR reviews, comments and approves minutes within </w:t>
      </w:r>
      <w:r>
        <w:rPr>
          <w:rFonts w:ascii="Arial" w:cs="Arial" w:eastAsia="Arial" w:hAnsi="Arial"/>
          <w:sz w:val="12"/>
          <w:szCs w:val="12"/>
          <w:color w:val="000000"/>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15:48:29-05'00’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40"/>
              <w:spacing w:after="0"/>
              <w:rPr>
                <w:sz w:val="20"/>
                <w:szCs w:val="20"/>
                <w:color w:val="auto"/>
              </w:rPr>
            </w:pPr>
            <w:r>
              <w:rPr>
                <w:rFonts w:ascii="Arial" w:cs="Arial" w:eastAsia="Arial" w:hAnsi="Arial"/>
                <w:sz w:val="7"/>
                <w:szCs w:val="7"/>
                <w:color w:val="auto"/>
              </w:rPr>
              <w:t>Date: 2020.12.31 08:31:41-05'00'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w:t>
            </w:r>
            <w:r>
              <w:rPr>
                <w:rFonts w:ascii="Arial" w:cs="Arial" w:eastAsia="Arial" w:hAnsi="Arial"/>
                <w:sz w:val="14"/>
                <w:szCs w:val="14"/>
                <w:color w:val="070707"/>
              </w:rPr>
              <w:t>1 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80"/>
        <w:spacing w:after="0"/>
        <w:rPr>
          <w:sz w:val="20"/>
          <w:szCs w:val="20"/>
          <w:color w:val="auto"/>
        </w:rPr>
      </w:pPr>
      <w:r>
        <w:rPr>
          <w:rFonts w:ascii="Arial" w:cs="Arial" w:eastAsia="Arial" w:hAnsi="Arial"/>
          <w:sz w:val="11"/>
          <w:szCs w:val="11"/>
          <w:color w:val="252525"/>
        </w:rPr>
        <w:t>Adobe Professional 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61"/>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61"/>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ectPr>
          <w:pgSz w:w="11900" w:h="16838" w:orient="portrait"/>
          <w:cols w:equalWidth="0" w:num="2">
            <w:col w:w="10200" w:space="99"/>
            <w:col w:w="861"/>
          </w:cols>
          <w:pgMar w:left="320" w:top="403" w:right="4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9"/>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9"/>
        </w:trPr>
        <w:tc>
          <w:tcPr>
            <w:tcW w:w="1880" w:type="dxa"/>
            <w:vAlign w:val="bottom"/>
            <w:vMerge w:val="restart"/>
          </w:tcPr>
          <w:p>
            <w:pPr>
              <w:ind w:left="1320"/>
              <w:spacing w:after="0"/>
              <w:rPr>
                <w:sz w:val="20"/>
                <w:szCs w:val="20"/>
                <w:color w:val="auto"/>
              </w:rPr>
            </w:pPr>
            <w:r>
              <w:rPr>
                <w:rFonts w:ascii="Arial" w:cs="Arial" w:eastAsia="Arial" w:hAnsi="Arial"/>
                <w:sz w:val="16"/>
                <w:szCs w:val="16"/>
                <w:color w:val="auto"/>
              </w:rPr>
              <w:t>A002</w:t>
            </w:r>
          </w:p>
        </w:tc>
        <w:tc>
          <w:tcPr>
            <w:tcW w:w="200" w:type="dxa"/>
            <w:vAlign w:val="bottom"/>
            <w:tcBorders>
              <w:right w:val="single" w:sz="8" w:color="auto"/>
            </w:tcBorders>
          </w:tcPr>
          <w:p>
            <w:pPr>
              <w:spacing w:after="0"/>
              <w:rPr>
                <w:sz w:val="22"/>
                <w:szCs w:val="22"/>
                <w:color w:val="auto"/>
              </w:rPr>
            </w:pPr>
          </w:p>
        </w:tc>
        <w:tc>
          <w:tcPr>
            <w:tcW w:w="3040" w:type="dxa"/>
            <w:vAlign w:val="bottom"/>
            <w:gridSpan w:val="4"/>
          </w:tcPr>
          <w:p>
            <w:pPr>
              <w:jc w:val="right"/>
              <w:ind w:right="717"/>
              <w:spacing w:after="0"/>
              <w:rPr>
                <w:sz w:val="20"/>
                <w:szCs w:val="20"/>
                <w:color w:val="auto"/>
              </w:rPr>
            </w:pPr>
            <w:r>
              <w:rPr>
                <w:rFonts w:ascii="Arial" w:cs="Arial" w:eastAsia="Arial" w:hAnsi="Arial"/>
                <w:sz w:val="14"/>
                <w:szCs w:val="14"/>
                <w:color w:val="010101"/>
                <w:w w:val="98"/>
              </w:rPr>
              <w:t>Kickoff Meeting Agenda and Minutes</w:t>
            </w:r>
          </w:p>
        </w:tc>
        <w:tc>
          <w:tcPr>
            <w:tcW w:w="13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1880" w:type="dxa"/>
            <w:vAlign w:val="bottom"/>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29"/>
              <w:spacing w:after="0"/>
              <w:rPr>
                <w:sz w:val="20"/>
                <w:szCs w:val="20"/>
                <w:color w:val="auto"/>
              </w:rPr>
            </w:pPr>
            <w:r>
              <w:rPr>
                <w:rFonts w:ascii="Arial" w:cs="Arial" w:eastAsia="Arial" w:hAnsi="Arial"/>
                <w:sz w:val="16"/>
                <w:szCs w:val="16"/>
                <w:color w:val="auto"/>
                <w:w w:val="99"/>
              </w:rPr>
              <w:t>DI-ADMN-81505</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2"/>
          </w:tcPr>
          <w:p>
            <w:pPr>
              <w:jc w:val="right"/>
              <w:ind w:right="717"/>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3"/>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8"/>
                <w:szCs w:val="8"/>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8"/>
                <w:szCs w:val="8"/>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48" w:lineRule="exact"/>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91" w:lineRule="exact"/>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4"/>
          <w:szCs w:val="14"/>
          <w:color w:val="0F0F0F"/>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032115"/>
                    </a:xfrm>
                    <a:prstGeom prst="rect">
                      <a:avLst/>
                    </a:prstGeom>
                    <a:noFill/>
                  </pic:spPr>
                </pic:pic>
              </a:graphicData>
            </a:graphic>
          </wp:anchor>
        </w:drawing>
        <w:t xml:space="preserve">The Awardee shall complete a Kickoff meeting after agreement award • Within </w:t>
      </w:r>
      <w:r>
        <w:rPr>
          <w:rFonts w:ascii="Arial" w:cs="Arial" w:eastAsia="Arial" w:hAnsi="Arial"/>
          <w:sz w:val="14"/>
          <w:szCs w:val="14"/>
          <w:color w:val="2A2A2A"/>
        </w:rPr>
        <w:t>[* * *]</w:t>
      </w:r>
      <w:r>
        <w:rPr>
          <w:rFonts w:ascii="Arial" w:cs="Arial" w:eastAsia="Arial" w:hAnsi="Arial"/>
          <w:sz w:val="14"/>
          <w:szCs w:val="14"/>
          <w:color w:val="0F0F0F"/>
        </w:rPr>
        <w:t xml:space="preserve"> of</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0F0F0F"/>
        </w:rPr>
        <w:t>agreement award, pending concurrence by the agreements officer</w:t>
      </w:r>
    </w:p>
    <w:p>
      <w:pPr>
        <w:spacing w:after="0" w:line="1" w:lineRule="exact"/>
        <w:rPr>
          <w:sz w:val="20"/>
          <w:szCs w:val="20"/>
          <w:color w:val="auto"/>
        </w:rPr>
      </w:pPr>
    </w:p>
    <w:p>
      <w:pPr>
        <w:ind w:left="680" w:hanging="508"/>
        <w:spacing w:after="0"/>
        <w:tabs>
          <w:tab w:leader="none" w:pos="680" w:val="left"/>
        </w:tabs>
        <w:numPr>
          <w:ilvl w:val="0"/>
          <w:numId w:val="162"/>
        </w:numPr>
        <w:rPr>
          <w:rFonts w:ascii="Arial" w:cs="Arial" w:eastAsia="Arial" w:hAnsi="Arial"/>
          <w:sz w:val="14"/>
          <w:szCs w:val="14"/>
          <w:color w:val="101010"/>
        </w:rPr>
      </w:pPr>
      <w:r>
        <w:rPr>
          <w:rFonts w:ascii="Arial" w:cs="Arial" w:eastAsia="Arial" w:hAnsi="Arial"/>
          <w:sz w:val="14"/>
          <w:szCs w:val="14"/>
          <w:color w:val="0F0F0F"/>
        </w:rPr>
        <w:t>A</w:t>
      </w:r>
      <w:r>
        <w:rPr>
          <w:rFonts w:ascii="Arial" w:cs="Arial" w:eastAsia="Arial" w:hAnsi="Arial"/>
          <w:sz w:val="14"/>
          <w:szCs w:val="14"/>
          <w:color w:val="101010"/>
        </w:rPr>
        <w:t>wardee shall provide itinerary and agenda at least</w:t>
      </w:r>
      <w:r>
        <w:rPr>
          <w:rFonts w:ascii="Arial" w:cs="Arial" w:eastAsia="Arial" w:hAnsi="Arial"/>
          <w:sz w:val="14"/>
          <w:szCs w:val="14"/>
          <w:color w:val="0F0F0F"/>
        </w:rPr>
        <w:t xml:space="preserve"> </w:t>
      </w:r>
      <w:r>
        <w:rPr>
          <w:rFonts w:ascii="Arial" w:cs="Arial" w:eastAsia="Arial" w:hAnsi="Arial"/>
          <w:sz w:val="12"/>
          <w:szCs w:val="12"/>
          <w:color w:val="000000"/>
        </w:rPr>
        <w:t>[* * *]</w:t>
      </w:r>
      <w:r>
        <w:rPr>
          <w:rFonts w:ascii="Arial" w:cs="Arial" w:eastAsia="Arial" w:hAnsi="Arial"/>
          <w:sz w:val="14"/>
          <w:szCs w:val="14"/>
          <w:color w:val="0F0F0F"/>
        </w:rPr>
        <w:t xml:space="preserve"> </w:t>
      </w:r>
      <w:r>
        <w:rPr>
          <w:rFonts w:ascii="Arial" w:cs="Arial" w:eastAsia="Arial" w:hAnsi="Arial"/>
          <w:sz w:val="14"/>
          <w:szCs w:val="14"/>
          <w:color w:val="101010"/>
        </w:rPr>
        <w:t>in advance of site visit or virtual meeting</w:t>
      </w:r>
    </w:p>
    <w:p>
      <w:pPr>
        <w:spacing w:after="0" w:line="1" w:lineRule="exact"/>
        <w:rPr>
          <w:rFonts w:ascii="Arial" w:cs="Arial" w:eastAsia="Arial" w:hAnsi="Arial"/>
          <w:sz w:val="14"/>
          <w:szCs w:val="14"/>
          <w:color w:val="101010"/>
        </w:rPr>
      </w:pPr>
    </w:p>
    <w:p>
      <w:pPr>
        <w:ind w:left="680" w:hanging="508"/>
        <w:spacing w:after="0"/>
        <w:tabs>
          <w:tab w:leader="none" w:pos="680" w:val="left"/>
        </w:tabs>
        <w:numPr>
          <w:ilvl w:val="0"/>
          <w:numId w:val="162"/>
        </w:numPr>
        <w:rPr>
          <w:rFonts w:ascii="Arial" w:cs="Arial" w:eastAsia="Arial" w:hAnsi="Arial"/>
          <w:sz w:val="14"/>
          <w:szCs w:val="14"/>
          <w:color w:val="101010"/>
        </w:rPr>
      </w:pPr>
      <w:r>
        <w:rPr>
          <w:rFonts w:ascii="Arial" w:cs="Arial" w:eastAsia="Arial" w:hAnsi="Arial"/>
          <w:sz w:val="14"/>
          <w:szCs w:val="14"/>
          <w:color w:val="101010"/>
        </w:rPr>
        <w:t xml:space="preserve">AOR edits/approves and instructs Awardee to distribute agenda prior to meeting by at least </w:t>
      </w:r>
      <w:r>
        <w:rPr>
          <w:rFonts w:ascii="Arial" w:cs="Arial" w:eastAsia="Arial" w:hAnsi="Arial"/>
          <w:sz w:val="12"/>
          <w:szCs w:val="12"/>
          <w:color w:val="000000"/>
        </w:rPr>
        <w:t>[* * *]</w:t>
      </w:r>
    </w:p>
    <w:p>
      <w:pPr>
        <w:spacing w:after="0" w:line="1" w:lineRule="exact"/>
        <w:rPr>
          <w:rFonts w:ascii="Arial" w:cs="Arial" w:eastAsia="Arial" w:hAnsi="Arial"/>
          <w:sz w:val="14"/>
          <w:szCs w:val="14"/>
          <w:color w:val="101010"/>
        </w:rPr>
      </w:pPr>
    </w:p>
    <w:p>
      <w:pPr>
        <w:ind w:left="680" w:hanging="508"/>
        <w:spacing w:after="0"/>
        <w:tabs>
          <w:tab w:leader="none" w:pos="680" w:val="left"/>
        </w:tabs>
        <w:numPr>
          <w:ilvl w:val="0"/>
          <w:numId w:val="162"/>
        </w:numPr>
        <w:rPr>
          <w:rFonts w:ascii="Arial" w:cs="Arial" w:eastAsia="Arial" w:hAnsi="Arial"/>
          <w:sz w:val="14"/>
          <w:szCs w:val="14"/>
          <w:color w:val="101010"/>
        </w:rPr>
      </w:pPr>
      <w:r>
        <w:rPr>
          <w:rFonts w:ascii="Arial" w:cs="Arial" w:eastAsia="Arial" w:hAnsi="Arial"/>
          <w:sz w:val="14"/>
          <w:szCs w:val="14"/>
          <w:color w:val="101010"/>
        </w:rPr>
        <w:t xml:space="preserve">Awardee provides meeting minutes to AOR within </w:t>
      </w:r>
      <w:r>
        <w:rPr>
          <w:rFonts w:ascii="Arial" w:cs="Arial" w:eastAsia="Arial" w:hAnsi="Arial"/>
          <w:sz w:val="12"/>
          <w:szCs w:val="12"/>
          <w:color w:val="000000"/>
        </w:rPr>
        <w:t>[* * *]</w:t>
      </w:r>
      <w:r>
        <w:rPr>
          <w:rFonts w:ascii="Arial" w:cs="Arial" w:eastAsia="Arial" w:hAnsi="Arial"/>
          <w:sz w:val="14"/>
          <w:szCs w:val="14"/>
          <w:color w:val="101010"/>
        </w:rPr>
        <w:t xml:space="preserve"> after the meeting</w:t>
      </w:r>
    </w:p>
    <w:p>
      <w:pPr>
        <w:spacing w:after="0" w:line="14" w:lineRule="exact"/>
        <w:rPr>
          <w:rFonts w:ascii="Arial" w:cs="Arial" w:eastAsia="Arial" w:hAnsi="Arial"/>
          <w:sz w:val="14"/>
          <w:szCs w:val="14"/>
          <w:color w:val="101010"/>
        </w:rPr>
      </w:pPr>
    </w:p>
    <w:p>
      <w:pPr>
        <w:ind w:left="680" w:hanging="508"/>
        <w:spacing w:after="0"/>
        <w:tabs>
          <w:tab w:leader="none" w:pos="680" w:val="left"/>
        </w:tabs>
        <w:numPr>
          <w:ilvl w:val="0"/>
          <w:numId w:val="162"/>
        </w:numPr>
        <w:rPr>
          <w:rFonts w:ascii="Arial" w:cs="Arial" w:eastAsia="Arial" w:hAnsi="Arial"/>
          <w:sz w:val="16"/>
          <w:szCs w:val="16"/>
          <w:color w:val="auto"/>
        </w:rPr>
      </w:pPr>
      <w:r>
        <w:rPr>
          <w:rFonts w:ascii="Arial" w:cs="Arial" w:eastAsia="Arial" w:hAnsi="Arial"/>
          <w:sz w:val="14"/>
          <w:szCs w:val="14"/>
          <w:color w:val="101010"/>
        </w:rPr>
        <w:t xml:space="preserve">AOR </w:t>
      </w:r>
      <w:r>
        <w:rPr>
          <w:rFonts w:ascii="Arial" w:cs="Arial" w:eastAsia="Arial" w:hAnsi="Arial"/>
          <w:sz w:val="14"/>
          <w:szCs w:val="14"/>
          <w:color w:val="0F0F0F"/>
        </w:rPr>
        <w:t>reviews, comments, and approves minutes within</w:t>
      </w:r>
      <w:r>
        <w:rPr>
          <w:rFonts w:ascii="Arial" w:cs="Arial" w:eastAsia="Arial" w:hAnsi="Arial"/>
          <w:sz w:val="14"/>
          <w:szCs w:val="14"/>
          <w:color w:val="101010"/>
        </w:rPr>
        <w:t xml:space="preserve"> </w:t>
      </w:r>
      <w:r>
        <w:rPr>
          <w:rFonts w:ascii="Arial" w:cs="Arial" w:eastAsia="Arial" w:hAnsi="Arial"/>
          <w:sz w:val="12"/>
          <w:szCs w:val="12"/>
          <w:color w:val="000000"/>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8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80" w:type="dxa"/>
            <w:vAlign w:val="bottom"/>
            <w:vMerge w:val="restart"/>
          </w:tcPr>
          <w:p>
            <w:pPr>
              <w:jc w:val="center"/>
              <w:ind w:right="1179"/>
              <w:spacing w:after="0"/>
              <w:rPr>
                <w:sz w:val="20"/>
                <w:szCs w:val="20"/>
                <w:color w:val="auto"/>
              </w:rPr>
            </w:pPr>
            <w:r>
              <w:rPr>
                <w:rFonts w:ascii="Arial" w:cs="Arial" w:eastAsia="Arial" w:hAnsi="Arial"/>
                <w:sz w:val="13"/>
                <w:szCs w:val="13"/>
                <w:b w:val="1"/>
                <w:bCs w:val="1"/>
                <w:color w:val="auto"/>
                <w:w w:val="95"/>
              </w:rPr>
              <w:t>G. PREPARED BY</w:t>
            </w:r>
          </w:p>
        </w:tc>
        <w:tc>
          <w:tcPr>
            <w:tcW w:w="1780" w:type="dxa"/>
            <w:vAlign w:val="bottom"/>
            <w:tcBorders>
              <w:right w:val="single" w:sz="8" w:color="auto"/>
            </w:tcBorders>
          </w:tcPr>
          <w:p>
            <w:pPr>
              <w:spacing w:after="0"/>
              <w:rPr>
                <w:sz w:val="15"/>
                <w:szCs w:val="15"/>
                <w:color w:val="auto"/>
              </w:rPr>
            </w:pPr>
          </w:p>
        </w:tc>
        <w:tc>
          <w:tcPr>
            <w:tcW w:w="82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6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80" w:type="dxa"/>
            <w:vAlign w:val="bottom"/>
            <w:vMerge w:val="continue"/>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80" w:type="dxa"/>
            <w:vAlign w:val="bottom"/>
            <w:vMerge w:val="restart"/>
          </w:tcPr>
          <w:p>
            <w:pPr>
              <w:jc w:val="center"/>
              <w:ind w:right="121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78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vMerge w:val="continue"/>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15:47:38-05’00’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178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80" w:type="dxa"/>
            <w:vAlign w:val="bottom"/>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80" w:type="dxa"/>
            <w:vAlign w:val="bottom"/>
          </w:tcPr>
          <w:p>
            <w:pPr>
              <w:ind w:left="1280"/>
              <w:spacing w:after="0"/>
              <w:rPr>
                <w:sz w:val="20"/>
                <w:szCs w:val="20"/>
                <w:color w:val="auto"/>
              </w:rPr>
            </w:pPr>
            <w:r>
              <w:rPr>
                <w:rFonts w:ascii="Arial" w:cs="Arial" w:eastAsia="Arial" w:hAnsi="Arial"/>
                <w:sz w:val="7"/>
                <w:szCs w:val="7"/>
                <w:color w:val="auto"/>
              </w:rPr>
              <w:t>Date 2020.12.31 08:34:18-05’00’</w:t>
            </w:r>
          </w:p>
        </w:tc>
        <w:tc>
          <w:tcPr>
            <w:tcW w:w="17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80" w:type="dxa"/>
            <w:vAlign w:val="bottom"/>
          </w:tcPr>
          <w:p>
            <w:pPr>
              <w:spacing w:after="0"/>
              <w:rPr>
                <w:sz w:val="20"/>
                <w:szCs w:val="20"/>
                <w:color w:val="auto"/>
              </w:rPr>
            </w:pPr>
            <w:r>
              <w:rPr>
                <w:rFonts w:ascii="Arial" w:cs="Arial" w:eastAsia="Arial" w:hAnsi="Arial"/>
                <w:sz w:val="16"/>
                <w:szCs w:val="16"/>
                <w:b w:val="1"/>
                <w:bCs w:val="1"/>
                <w:color w:val="auto"/>
              </w:rPr>
              <w:t>D D FORM 1423-1, FEB 2001</w:t>
            </w:r>
          </w:p>
        </w:tc>
        <w:tc>
          <w:tcPr>
            <w:tcW w:w="2600" w:type="dxa"/>
            <w:vAlign w:val="bottom"/>
            <w:gridSpan w:val="2"/>
          </w:tcPr>
          <w:p>
            <w:pPr>
              <w:ind w:left="60"/>
              <w:spacing w:after="0"/>
              <w:rPr>
                <w:sz w:val="20"/>
                <w:szCs w:val="20"/>
                <w:color w:val="auto"/>
              </w:rPr>
            </w:pPr>
            <w:r>
              <w:rPr>
                <w:rFonts w:ascii="Arial" w:cs="Arial" w:eastAsia="Arial" w:hAnsi="Arial"/>
                <w:sz w:val="14"/>
                <w:szCs w:val="14"/>
                <w:color w:val="080808"/>
              </w:rPr>
              <w:t>PREVIOUS EDITION MAY BE USED.</w:t>
            </w:r>
          </w:p>
        </w:tc>
        <w:tc>
          <w:tcPr>
            <w:tcW w:w="2100" w:type="dxa"/>
            <w:vAlign w:val="bottom"/>
            <w:gridSpan w:val="2"/>
          </w:tcPr>
          <w:p>
            <w:pPr>
              <w:ind w:left="140"/>
              <w:spacing w:after="0"/>
              <w:rPr>
                <w:sz w:val="20"/>
                <w:szCs w:val="20"/>
                <w:color w:val="auto"/>
              </w:rPr>
            </w:pPr>
            <w:r>
              <w:rPr>
                <w:rFonts w:ascii="Arial" w:cs="Arial" w:eastAsia="Arial" w:hAnsi="Arial"/>
                <w:sz w:val="13"/>
                <w:szCs w:val="13"/>
                <w:color w:val="090909"/>
              </w:rPr>
              <w:t xml:space="preserve">Page </w:t>
            </w:r>
            <w:r>
              <w:rPr>
                <w:rFonts w:ascii="Arial" w:cs="Arial" w:eastAsia="Arial" w:hAnsi="Arial"/>
                <w:sz w:val="14"/>
                <w:szCs w:val="14"/>
                <w:color w:val="070707"/>
              </w:rPr>
              <w:t>2 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63"/>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63"/>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A003</w:t>
            </w:r>
          </w:p>
        </w:tc>
        <w:tc>
          <w:tcPr>
            <w:tcW w:w="200" w:type="dxa"/>
            <w:vAlign w:val="bottom"/>
            <w:tcBorders>
              <w:right w:val="single" w:sz="8" w:color="auto"/>
            </w:tcBorders>
          </w:tcPr>
          <w:p>
            <w:pPr>
              <w:spacing w:after="0"/>
              <w:rPr>
                <w:sz w:val="24"/>
                <w:szCs w:val="24"/>
                <w:color w:val="auto"/>
              </w:rPr>
            </w:pPr>
          </w:p>
        </w:tc>
        <w:tc>
          <w:tcPr>
            <w:tcW w:w="3040" w:type="dxa"/>
            <w:vAlign w:val="bottom"/>
            <w:gridSpan w:val="4"/>
            <w:vMerge w:val="restart"/>
          </w:tcPr>
          <w:p>
            <w:pPr>
              <w:ind w:left="60"/>
              <w:spacing w:after="0"/>
              <w:rPr>
                <w:sz w:val="20"/>
                <w:szCs w:val="20"/>
                <w:color w:val="auto"/>
              </w:rPr>
            </w:pPr>
            <w:r>
              <w:rPr>
                <w:rFonts w:ascii="Arial" w:cs="Arial" w:eastAsia="Arial" w:hAnsi="Arial"/>
                <w:sz w:val="16"/>
                <w:szCs w:val="16"/>
                <w:color w:val="auto"/>
              </w:rPr>
              <w:t>Teleconference Minutes</w:t>
            </w: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3040" w:type="dxa"/>
            <w:vAlign w:val="bottom"/>
            <w:tcBorders>
              <w:bottom w:val="single" w:sz="8" w:color="auto"/>
            </w:tcBorders>
            <w:gridSpan w:val="4"/>
            <w:vMerge w:val="continue"/>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29"/>
              <w:spacing w:after="0"/>
              <w:rPr>
                <w:sz w:val="20"/>
                <w:szCs w:val="20"/>
                <w:color w:val="auto"/>
              </w:rPr>
            </w:pPr>
            <w:r>
              <w:rPr>
                <w:rFonts w:ascii="Arial" w:cs="Arial" w:eastAsia="Arial" w:hAnsi="Arial"/>
                <w:sz w:val="16"/>
                <w:szCs w:val="16"/>
                <w:color w:val="auto"/>
                <w:w w:val="99"/>
              </w:rPr>
              <w:t>DI-ADMN-81505</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198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7"/>
                <w:szCs w:val="7"/>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right="3620"/>
        <w:spacing w:after="0" w:line="236" w:lineRule="auto"/>
        <w:rPr>
          <w:sz w:val="20"/>
          <w:szCs w:val="20"/>
          <w:color w:val="auto"/>
        </w:rPr>
      </w:pPr>
      <w:r>
        <w:rPr>
          <w:rFonts w:ascii="Arial" w:cs="Arial" w:eastAsia="Arial" w:hAnsi="Arial"/>
          <w:sz w:val="14"/>
          <w:szCs w:val="14"/>
          <w:color w:val="2A2A2A"/>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032115"/>
                    </a:xfrm>
                    <a:prstGeom prst="rect">
                      <a:avLst/>
                    </a:prstGeom>
                    <a:noFill/>
                  </pic:spPr>
                </pic:pic>
              </a:graphicData>
            </a:graphic>
          </wp:anchor>
        </w:drawing>
        <w:t xml:space="preserve">The </w:t>
      </w:r>
      <w:r>
        <w:rPr>
          <w:rFonts w:ascii="Arial" w:cs="Arial" w:eastAsia="Arial" w:hAnsi="Arial"/>
          <w:sz w:val="16"/>
          <w:szCs w:val="16"/>
          <w:color w:val="000000"/>
        </w:rPr>
        <w:t>Awardee</w:t>
      </w:r>
      <w:r>
        <w:rPr>
          <w:rFonts w:ascii="Arial" w:cs="Arial" w:eastAsia="Arial" w:hAnsi="Arial"/>
          <w:sz w:val="14"/>
          <w:szCs w:val="14"/>
          <w:color w:val="2A2A2A"/>
        </w:rPr>
        <w:t xml:space="preserve"> shall </w:t>
      </w:r>
      <w:r>
        <w:rPr>
          <w:rFonts w:ascii="Arial" w:cs="Arial" w:eastAsia="Arial" w:hAnsi="Arial"/>
          <w:sz w:val="14"/>
          <w:szCs w:val="14"/>
          <w:color w:val="141414"/>
        </w:rPr>
        <w:t>participate in teleconferences every</w:t>
      </w:r>
      <w:r>
        <w:rPr>
          <w:rFonts w:ascii="Arial" w:cs="Arial" w:eastAsia="Arial" w:hAnsi="Arial"/>
          <w:sz w:val="14"/>
          <w:szCs w:val="14"/>
          <w:color w:val="2A2A2A"/>
        </w:rPr>
        <w:t xml:space="preserve"> </w:t>
      </w:r>
      <w:r>
        <w:rPr>
          <w:rFonts w:ascii="Arial" w:cs="Arial" w:eastAsia="Arial" w:hAnsi="Arial"/>
          <w:sz w:val="12"/>
          <w:szCs w:val="12"/>
          <w:color w:val="000000"/>
        </w:rPr>
        <w:t>[* * *]</w:t>
      </w:r>
      <w:r>
        <w:rPr>
          <w:rFonts w:ascii="Arial" w:cs="Arial" w:eastAsia="Arial" w:hAnsi="Arial"/>
          <w:sz w:val="14"/>
          <w:szCs w:val="14"/>
          <w:color w:val="2A2A2A"/>
        </w:rPr>
        <w:t xml:space="preserve">, with </w:t>
      </w:r>
      <w:r>
        <w:rPr>
          <w:rFonts w:ascii="Arial" w:cs="Arial" w:eastAsia="Arial" w:hAnsi="Arial"/>
          <w:sz w:val="14"/>
          <w:szCs w:val="14"/>
          <w:color w:val="141414"/>
        </w:rPr>
        <w:t>BARDA to discuss</w:t>
      </w:r>
      <w:r>
        <w:rPr>
          <w:rFonts w:ascii="Arial" w:cs="Arial" w:eastAsia="Arial" w:hAnsi="Arial"/>
          <w:sz w:val="14"/>
          <w:szCs w:val="14"/>
          <w:color w:val="2A2A2A"/>
        </w:rPr>
        <w:t xml:space="preserve"> </w:t>
      </w:r>
      <w:r>
        <w:rPr>
          <w:rFonts w:ascii="Arial" w:cs="Arial" w:eastAsia="Arial" w:hAnsi="Arial"/>
          <w:sz w:val="14"/>
          <w:szCs w:val="14"/>
          <w:color w:val="010101"/>
        </w:rPr>
        <w:t>the</w:t>
      </w:r>
      <w:r>
        <w:rPr>
          <w:rFonts w:ascii="Arial" w:cs="Arial" w:eastAsia="Arial" w:hAnsi="Arial"/>
          <w:sz w:val="14"/>
          <w:szCs w:val="14"/>
          <w:color w:val="2A2A2A"/>
        </w:rPr>
        <w:t xml:space="preserve"> </w:t>
      </w:r>
      <w:r>
        <w:rPr>
          <w:rFonts w:ascii="Arial" w:cs="Arial" w:eastAsia="Arial" w:hAnsi="Arial"/>
          <w:sz w:val="14"/>
          <w:szCs w:val="14"/>
          <w:color w:val="141414"/>
        </w:rPr>
        <w:t>performance on the</w:t>
      </w:r>
      <w:r>
        <w:rPr>
          <w:rFonts w:ascii="Arial" w:cs="Arial" w:eastAsia="Arial" w:hAnsi="Arial"/>
          <w:sz w:val="14"/>
          <w:szCs w:val="14"/>
          <w:color w:val="2A2A2A"/>
        </w:rPr>
        <w:t xml:space="preserve"> </w:t>
      </w:r>
      <w:r>
        <w:rPr>
          <w:rFonts w:ascii="Arial" w:cs="Arial" w:eastAsia="Arial" w:hAnsi="Arial"/>
          <w:sz w:val="14"/>
          <w:szCs w:val="14"/>
          <w:color w:val="141414"/>
        </w:rPr>
        <w:t xml:space="preserve">Agreement. </w:t>
      </w:r>
      <w:r>
        <w:rPr>
          <w:rFonts w:ascii="Arial" w:cs="Arial" w:eastAsia="Arial" w:hAnsi="Arial"/>
          <w:sz w:val="14"/>
          <w:szCs w:val="14"/>
          <w:color w:val="010101"/>
        </w:rPr>
        <w:t>Meeting</w:t>
      </w:r>
      <w:r>
        <w:rPr>
          <w:rFonts w:ascii="Arial" w:cs="Arial" w:eastAsia="Arial" w:hAnsi="Arial"/>
          <w:sz w:val="14"/>
          <w:szCs w:val="14"/>
          <w:color w:val="141414"/>
        </w:rPr>
        <w:t xml:space="preserve"> frequency can be </w:t>
      </w:r>
      <w:r>
        <w:rPr>
          <w:rFonts w:ascii="Arial" w:cs="Arial" w:eastAsia="Arial" w:hAnsi="Arial"/>
          <w:sz w:val="14"/>
          <w:szCs w:val="14"/>
          <w:color w:val="010101"/>
        </w:rPr>
        <w:t>increased</w:t>
      </w:r>
      <w:r>
        <w:rPr>
          <w:rFonts w:ascii="Arial" w:cs="Arial" w:eastAsia="Arial" w:hAnsi="Arial"/>
          <w:sz w:val="14"/>
          <w:szCs w:val="14"/>
          <w:color w:val="141414"/>
        </w:rPr>
        <w:t xml:space="preserve"> with agreement</w:t>
      </w:r>
    </w:p>
    <w:p>
      <w:pPr>
        <w:spacing w:after="0" w:line="1" w:lineRule="exact"/>
        <w:rPr>
          <w:sz w:val="20"/>
          <w:szCs w:val="20"/>
          <w:color w:val="auto"/>
        </w:rPr>
      </w:pPr>
    </w:p>
    <w:p>
      <w:pPr>
        <w:ind w:left="160" w:right="4840"/>
        <w:spacing w:after="0" w:line="241" w:lineRule="auto"/>
        <w:rPr>
          <w:sz w:val="20"/>
          <w:szCs w:val="20"/>
          <w:color w:val="auto"/>
        </w:rPr>
      </w:pPr>
      <w:r>
        <w:rPr>
          <w:rFonts w:ascii="Arial" w:cs="Arial" w:eastAsia="Arial" w:hAnsi="Arial"/>
          <w:sz w:val="14"/>
          <w:szCs w:val="14"/>
          <w:color w:val="141414"/>
        </w:rPr>
        <w:t xml:space="preserve">between both </w:t>
      </w:r>
      <w:r>
        <w:rPr>
          <w:rFonts w:ascii="Arial" w:cs="Arial" w:eastAsia="Arial" w:hAnsi="Arial"/>
          <w:sz w:val="14"/>
          <w:szCs w:val="14"/>
          <w:color w:val="010101"/>
        </w:rPr>
        <w:t>parties</w:t>
      </w:r>
      <w:r>
        <w:rPr>
          <w:rFonts w:ascii="Arial" w:cs="Arial" w:eastAsia="Arial" w:hAnsi="Arial"/>
          <w:sz w:val="14"/>
          <w:szCs w:val="14"/>
          <w:color w:val="141414"/>
        </w:rPr>
        <w:t xml:space="preserve"> as </w:t>
      </w:r>
      <w:r>
        <w:rPr>
          <w:rFonts w:ascii="Arial" w:cs="Arial" w:eastAsia="Arial" w:hAnsi="Arial"/>
          <w:sz w:val="14"/>
          <w:szCs w:val="14"/>
          <w:color w:val="010101"/>
        </w:rPr>
        <w:t>need</w:t>
      </w:r>
      <w:r>
        <w:rPr>
          <w:rFonts w:ascii="Arial" w:cs="Arial" w:eastAsia="Arial" w:hAnsi="Arial"/>
          <w:sz w:val="14"/>
          <w:szCs w:val="14"/>
          <w:color w:val="2A2A2A"/>
        </w:rPr>
        <w:t>e</w:t>
      </w:r>
      <w:r>
        <w:rPr>
          <w:rFonts w:ascii="Arial" w:cs="Arial" w:eastAsia="Arial" w:hAnsi="Arial"/>
          <w:sz w:val="14"/>
          <w:szCs w:val="14"/>
          <w:color w:val="010101"/>
        </w:rPr>
        <w:t>d during the cour</w:t>
      </w:r>
      <w:r>
        <w:rPr>
          <w:rFonts w:ascii="Arial" w:cs="Arial" w:eastAsia="Arial" w:hAnsi="Arial"/>
          <w:sz w:val="14"/>
          <w:szCs w:val="14"/>
          <w:color w:val="2A2A2A"/>
        </w:rPr>
        <w:t>se</w:t>
      </w:r>
      <w:r>
        <w:rPr>
          <w:rFonts w:ascii="Arial" w:cs="Arial" w:eastAsia="Arial" w:hAnsi="Arial"/>
          <w:sz w:val="14"/>
          <w:szCs w:val="14"/>
          <w:color w:val="141414"/>
        </w:rPr>
        <w:t xml:space="preserve"> of </w:t>
      </w:r>
      <w:r>
        <w:rPr>
          <w:rFonts w:ascii="Arial" w:cs="Arial" w:eastAsia="Arial" w:hAnsi="Arial"/>
          <w:sz w:val="14"/>
          <w:szCs w:val="14"/>
          <w:color w:val="010101"/>
        </w:rPr>
        <w:t>the</w:t>
      </w:r>
      <w:r>
        <w:rPr>
          <w:rFonts w:ascii="Arial" w:cs="Arial" w:eastAsia="Arial" w:hAnsi="Arial"/>
          <w:sz w:val="14"/>
          <w:szCs w:val="14"/>
          <w:color w:val="141414"/>
        </w:rPr>
        <w:t xml:space="preserve"> project• </w:t>
      </w:r>
      <w:r>
        <w:rPr>
          <w:rFonts w:ascii="Arial" w:cs="Arial" w:eastAsia="Arial" w:hAnsi="Arial"/>
          <w:sz w:val="14"/>
          <w:szCs w:val="14"/>
          <w:color w:val="2A2A2A"/>
        </w:rPr>
        <w:t>Award</w:t>
      </w:r>
      <w:r>
        <w:rPr>
          <w:rFonts w:ascii="Arial" w:cs="Arial" w:eastAsia="Arial" w:hAnsi="Arial"/>
          <w:sz w:val="14"/>
          <w:szCs w:val="14"/>
          <w:color w:val="010101"/>
        </w:rPr>
        <w:t>ee</w:t>
      </w:r>
      <w:r>
        <w:rPr>
          <w:rFonts w:ascii="Arial" w:cs="Arial" w:eastAsia="Arial" w:hAnsi="Arial"/>
          <w:sz w:val="14"/>
          <w:szCs w:val="14"/>
          <w:color w:val="141414"/>
        </w:rPr>
        <w:t xml:space="preserve"> provides </w:t>
      </w:r>
      <w:r>
        <w:rPr>
          <w:rFonts w:ascii="Arial" w:cs="Arial" w:eastAsia="Arial" w:hAnsi="Arial"/>
          <w:sz w:val="14"/>
          <w:szCs w:val="14"/>
          <w:color w:val="010101"/>
        </w:rPr>
        <w:t>a</w:t>
      </w:r>
      <w:r>
        <w:rPr>
          <w:rFonts w:ascii="Arial" w:cs="Arial" w:eastAsia="Arial" w:hAnsi="Arial"/>
          <w:sz w:val="14"/>
          <w:szCs w:val="14"/>
          <w:color w:val="2A2A2A"/>
        </w:rPr>
        <w:t>ge</w:t>
      </w:r>
      <w:r>
        <w:rPr>
          <w:rFonts w:ascii="Arial" w:cs="Arial" w:eastAsia="Arial" w:hAnsi="Arial"/>
          <w:sz w:val="14"/>
          <w:szCs w:val="14"/>
          <w:color w:val="010101"/>
        </w:rPr>
        <w:t>nda</w:t>
      </w:r>
      <w:r>
        <w:rPr>
          <w:rFonts w:ascii="Arial" w:cs="Arial" w:eastAsia="Arial" w:hAnsi="Arial"/>
          <w:sz w:val="14"/>
          <w:szCs w:val="14"/>
          <w:color w:val="141414"/>
        </w:rPr>
        <w:t xml:space="preserve"> to </w:t>
      </w:r>
      <w:r>
        <w:rPr>
          <w:rFonts w:ascii="Arial" w:cs="Arial" w:eastAsia="Arial" w:hAnsi="Arial"/>
          <w:sz w:val="14"/>
          <w:szCs w:val="14"/>
          <w:color w:val="010101"/>
        </w:rPr>
        <w:t>AOR no later than</w:t>
      </w:r>
      <w:r>
        <w:rPr>
          <w:rFonts w:ascii="Arial" w:cs="Arial" w:eastAsia="Arial" w:hAnsi="Arial"/>
          <w:sz w:val="14"/>
          <w:szCs w:val="14"/>
          <w:color w:val="141414"/>
        </w:rPr>
        <w:t xml:space="preserve"> </w:t>
      </w:r>
      <w:r>
        <w:rPr>
          <w:rFonts w:ascii="Arial" w:cs="Arial" w:eastAsia="Arial" w:hAnsi="Arial"/>
          <w:sz w:val="12"/>
          <w:szCs w:val="12"/>
          <w:color w:val="000000"/>
        </w:rPr>
        <w:t>[* * *]</w:t>
      </w:r>
      <w:r>
        <w:rPr>
          <w:rFonts w:ascii="Arial" w:cs="Arial" w:eastAsia="Arial" w:hAnsi="Arial"/>
          <w:sz w:val="14"/>
          <w:szCs w:val="14"/>
          <w:color w:val="141414"/>
        </w:rPr>
        <w:t xml:space="preserve"> </w:t>
      </w:r>
      <w:r>
        <w:rPr>
          <w:rFonts w:ascii="Arial" w:cs="Arial" w:eastAsia="Arial" w:hAnsi="Arial"/>
          <w:sz w:val="14"/>
          <w:szCs w:val="14"/>
          <w:color w:val="010101"/>
        </w:rPr>
        <w:t>in</w:t>
      </w:r>
      <w:r>
        <w:rPr>
          <w:rFonts w:ascii="Arial" w:cs="Arial" w:eastAsia="Arial" w:hAnsi="Arial"/>
          <w:sz w:val="14"/>
          <w:szCs w:val="14"/>
          <w:color w:val="141414"/>
        </w:rPr>
        <w:t xml:space="preserve"> advance of </w:t>
      </w:r>
      <w:r>
        <w:rPr>
          <w:rFonts w:ascii="Arial" w:cs="Arial" w:eastAsia="Arial" w:hAnsi="Arial"/>
          <w:sz w:val="14"/>
          <w:szCs w:val="14"/>
          <w:color w:val="010101"/>
        </w:rPr>
        <w:t>meeting</w:t>
      </w:r>
    </w:p>
    <w:p>
      <w:pPr>
        <w:spacing w:after="0" w:line="1" w:lineRule="exact"/>
        <w:rPr>
          <w:sz w:val="20"/>
          <w:szCs w:val="20"/>
          <w:color w:val="auto"/>
        </w:rPr>
      </w:pPr>
    </w:p>
    <w:p>
      <w:pPr>
        <w:ind w:left="680" w:hanging="508"/>
        <w:spacing w:after="0"/>
        <w:tabs>
          <w:tab w:leader="none" w:pos="680" w:val="left"/>
        </w:tabs>
        <w:numPr>
          <w:ilvl w:val="0"/>
          <w:numId w:val="164"/>
        </w:numPr>
        <w:rPr>
          <w:rFonts w:ascii="Arial" w:cs="Arial" w:eastAsia="Arial" w:hAnsi="Arial"/>
          <w:sz w:val="14"/>
          <w:szCs w:val="14"/>
          <w:color w:val="101010"/>
        </w:rPr>
      </w:pPr>
      <w:r>
        <w:rPr>
          <w:rFonts w:ascii="Arial" w:cs="Arial" w:eastAsia="Arial" w:hAnsi="Arial"/>
          <w:sz w:val="14"/>
          <w:szCs w:val="14"/>
          <w:color w:val="010101"/>
        </w:rPr>
        <w:t>A</w:t>
      </w:r>
      <w:r>
        <w:rPr>
          <w:rFonts w:ascii="Arial" w:cs="Arial" w:eastAsia="Arial" w:hAnsi="Arial"/>
          <w:sz w:val="14"/>
          <w:szCs w:val="14"/>
          <w:color w:val="101010"/>
        </w:rPr>
        <w:t>OR edits/approves and instructs Awardee to distribute agenda prior to meeting</w:t>
      </w:r>
    </w:p>
    <w:p>
      <w:pPr>
        <w:spacing w:after="0" w:line="1" w:lineRule="exact"/>
        <w:rPr>
          <w:rFonts w:ascii="Arial" w:cs="Arial" w:eastAsia="Arial" w:hAnsi="Arial"/>
          <w:sz w:val="14"/>
          <w:szCs w:val="14"/>
          <w:color w:val="101010"/>
        </w:rPr>
      </w:pPr>
    </w:p>
    <w:p>
      <w:pPr>
        <w:ind w:left="680" w:hanging="508"/>
        <w:spacing w:after="0"/>
        <w:tabs>
          <w:tab w:leader="none" w:pos="680" w:val="left"/>
        </w:tabs>
        <w:numPr>
          <w:ilvl w:val="0"/>
          <w:numId w:val="164"/>
        </w:numPr>
        <w:rPr>
          <w:rFonts w:ascii="Arial" w:cs="Arial" w:eastAsia="Arial" w:hAnsi="Arial"/>
          <w:sz w:val="14"/>
          <w:szCs w:val="14"/>
          <w:color w:val="101010"/>
        </w:rPr>
      </w:pPr>
      <w:r>
        <w:rPr>
          <w:rFonts w:ascii="Arial" w:cs="Arial" w:eastAsia="Arial" w:hAnsi="Arial"/>
          <w:sz w:val="14"/>
          <w:szCs w:val="14"/>
          <w:color w:val="101010"/>
        </w:rPr>
        <w:t xml:space="preserve">Awardee distributes agenda and presentation materials if needed at least </w:t>
      </w:r>
      <w:r>
        <w:rPr>
          <w:rFonts w:ascii="Arial" w:cs="Arial" w:eastAsia="Arial" w:hAnsi="Arial"/>
          <w:sz w:val="12"/>
          <w:szCs w:val="12"/>
          <w:color w:val="000000"/>
        </w:rPr>
        <w:t>[* * *]</w:t>
      </w:r>
      <w:r>
        <w:rPr>
          <w:rFonts w:ascii="Arial" w:cs="Arial" w:eastAsia="Arial" w:hAnsi="Arial"/>
          <w:sz w:val="14"/>
          <w:szCs w:val="14"/>
          <w:color w:val="101010"/>
        </w:rPr>
        <w:t xml:space="preserve"> in advance</w:t>
      </w:r>
    </w:p>
    <w:p>
      <w:pPr>
        <w:spacing w:after="0" w:line="1" w:lineRule="exact"/>
        <w:rPr>
          <w:rFonts w:ascii="Arial" w:cs="Arial" w:eastAsia="Arial" w:hAnsi="Arial"/>
          <w:sz w:val="14"/>
          <w:szCs w:val="14"/>
          <w:color w:val="101010"/>
        </w:rPr>
      </w:pPr>
    </w:p>
    <w:p>
      <w:pPr>
        <w:ind w:left="680" w:hanging="508"/>
        <w:spacing w:after="0"/>
        <w:tabs>
          <w:tab w:leader="none" w:pos="680" w:val="left"/>
        </w:tabs>
        <w:numPr>
          <w:ilvl w:val="0"/>
          <w:numId w:val="164"/>
        </w:numPr>
        <w:rPr>
          <w:rFonts w:ascii="Arial" w:cs="Arial" w:eastAsia="Arial" w:hAnsi="Arial"/>
          <w:sz w:val="14"/>
          <w:szCs w:val="14"/>
          <w:color w:val="101010"/>
        </w:rPr>
      </w:pPr>
      <w:r>
        <w:rPr>
          <w:rFonts w:ascii="Arial" w:cs="Arial" w:eastAsia="Arial" w:hAnsi="Arial"/>
          <w:sz w:val="14"/>
          <w:szCs w:val="14"/>
          <w:color w:val="101010"/>
        </w:rPr>
        <w:t xml:space="preserve">Awardee provides meeting minutes to AOR within </w:t>
      </w:r>
      <w:r>
        <w:rPr>
          <w:rFonts w:ascii="Arial" w:cs="Arial" w:eastAsia="Arial" w:hAnsi="Arial"/>
          <w:sz w:val="12"/>
          <w:szCs w:val="12"/>
          <w:color w:val="000000"/>
        </w:rPr>
        <w:t>[* * *]</w:t>
      </w:r>
      <w:r>
        <w:rPr>
          <w:rFonts w:ascii="Arial" w:cs="Arial" w:eastAsia="Arial" w:hAnsi="Arial"/>
          <w:sz w:val="14"/>
          <w:szCs w:val="14"/>
          <w:color w:val="101010"/>
        </w:rPr>
        <w:t xml:space="preserve"> of the meeting</w:t>
      </w:r>
    </w:p>
    <w:p>
      <w:pPr>
        <w:spacing w:after="0" w:line="1" w:lineRule="exact"/>
        <w:rPr>
          <w:rFonts w:ascii="Arial" w:cs="Arial" w:eastAsia="Arial" w:hAnsi="Arial"/>
          <w:sz w:val="14"/>
          <w:szCs w:val="14"/>
          <w:color w:val="101010"/>
        </w:rPr>
      </w:pPr>
    </w:p>
    <w:p>
      <w:pPr>
        <w:ind w:left="680" w:hanging="508"/>
        <w:spacing w:after="0"/>
        <w:tabs>
          <w:tab w:leader="none" w:pos="680" w:val="left"/>
        </w:tabs>
        <w:numPr>
          <w:ilvl w:val="0"/>
          <w:numId w:val="164"/>
        </w:numPr>
        <w:rPr>
          <w:rFonts w:ascii="Arial" w:cs="Arial" w:eastAsia="Arial" w:hAnsi="Arial"/>
          <w:sz w:val="14"/>
          <w:szCs w:val="14"/>
          <w:color w:val="101010"/>
        </w:rPr>
      </w:pPr>
      <w:r>
        <w:rPr>
          <w:rFonts w:ascii="Arial" w:cs="Arial" w:eastAsia="Arial" w:hAnsi="Arial"/>
          <w:sz w:val="14"/>
          <w:szCs w:val="14"/>
          <w:color w:val="101010"/>
        </w:rPr>
        <w:t xml:space="preserve">AOR reviews, comments, and approves minutes within </w:t>
      </w:r>
      <w:r>
        <w:rPr>
          <w:rFonts w:ascii="Arial" w:cs="Arial" w:eastAsia="Arial" w:hAnsi="Arial"/>
          <w:sz w:val="12"/>
          <w:szCs w:val="12"/>
          <w:color w:val="000000"/>
        </w:rPr>
        <w:t>[* * *]</w:t>
      </w:r>
    </w:p>
    <w:p>
      <w:pPr>
        <w:spacing w:after="0" w:line="14" w:lineRule="exact"/>
        <w:rPr>
          <w:rFonts w:ascii="Arial" w:cs="Arial" w:eastAsia="Arial" w:hAnsi="Arial"/>
          <w:sz w:val="14"/>
          <w:szCs w:val="14"/>
          <w:color w:val="101010"/>
        </w:rPr>
      </w:pPr>
    </w:p>
    <w:p>
      <w:pPr>
        <w:ind w:left="680" w:hanging="508"/>
        <w:spacing w:after="0"/>
        <w:tabs>
          <w:tab w:leader="none" w:pos="680" w:val="left"/>
        </w:tabs>
        <w:numPr>
          <w:ilvl w:val="0"/>
          <w:numId w:val="164"/>
        </w:numPr>
        <w:rPr>
          <w:rFonts w:ascii="Arial" w:cs="Arial" w:eastAsia="Arial" w:hAnsi="Arial"/>
          <w:sz w:val="16"/>
          <w:szCs w:val="16"/>
          <w:color w:val="auto"/>
        </w:rPr>
      </w:pPr>
      <w:r>
        <w:rPr>
          <w:rFonts w:ascii="Arial" w:cs="Arial" w:eastAsia="Arial" w:hAnsi="Arial"/>
          <w:sz w:val="14"/>
          <w:szCs w:val="14"/>
          <w:color w:val="101010"/>
        </w:rPr>
        <w:t>Upd</w:t>
      </w:r>
      <w:r>
        <w:rPr>
          <w:rFonts w:ascii="Arial" w:cs="Arial" w:eastAsia="Arial" w:hAnsi="Arial"/>
          <w:sz w:val="14"/>
          <w:szCs w:val="14"/>
          <w:color w:val="141414"/>
        </w:rPr>
        <w:t>ates</w:t>
      </w:r>
      <w:r>
        <w:rPr>
          <w:rFonts w:ascii="Arial" w:cs="Arial" w:eastAsia="Arial" w:hAnsi="Arial"/>
          <w:sz w:val="14"/>
          <w:szCs w:val="14"/>
          <w:color w:val="101010"/>
        </w:rPr>
        <w:t xml:space="preserve"> </w:t>
      </w:r>
      <w:r>
        <w:rPr>
          <w:rFonts w:ascii="Arial" w:cs="Arial" w:eastAsia="Arial" w:hAnsi="Arial"/>
          <w:sz w:val="14"/>
          <w:szCs w:val="14"/>
          <w:color w:val="010101"/>
        </w:rPr>
        <w:t>to include distribution</w:t>
      </w:r>
      <w:r>
        <w:rPr>
          <w:rFonts w:ascii="Arial" w:cs="Arial" w:eastAsia="Arial" w:hAnsi="Arial"/>
          <w:sz w:val="14"/>
          <w:szCs w:val="14"/>
          <w:color w:val="101010"/>
        </w:rPr>
        <w:t xml:space="preserve"> </w:t>
      </w:r>
      <w:r>
        <w:rPr>
          <w:rFonts w:ascii="Arial" w:cs="Arial" w:eastAsia="Arial" w:hAnsi="Arial"/>
          <w:sz w:val="14"/>
          <w:szCs w:val="14"/>
          <w:color w:val="141414"/>
        </w:rPr>
        <w:t>and</w:t>
      </w:r>
      <w:r>
        <w:rPr>
          <w:rFonts w:ascii="Arial" w:cs="Arial" w:eastAsia="Arial" w:hAnsi="Arial"/>
          <w:sz w:val="14"/>
          <w:szCs w:val="14"/>
          <w:color w:val="101010"/>
        </w:rPr>
        <w:t xml:space="preserve"> </w:t>
      </w:r>
      <w:r>
        <w:rPr>
          <w:rFonts w:ascii="Arial" w:cs="Arial" w:eastAsia="Arial" w:hAnsi="Arial"/>
          <w:sz w:val="14"/>
          <w:szCs w:val="14"/>
          <w:color w:val="010101"/>
        </w:rPr>
        <w:t>r</w:t>
      </w:r>
      <w:r>
        <w:rPr>
          <w:rFonts w:ascii="Arial" w:cs="Arial" w:eastAsia="Arial" w:hAnsi="Arial"/>
          <w:sz w:val="14"/>
          <w:szCs w:val="14"/>
          <w:color w:val="2A2A2A"/>
        </w:rPr>
        <w:t>egulato</w:t>
      </w:r>
      <w:r>
        <w:rPr>
          <w:rFonts w:ascii="Arial" w:cs="Arial" w:eastAsia="Arial" w:hAnsi="Arial"/>
          <w:sz w:val="14"/>
          <w:szCs w:val="14"/>
          <w:color w:val="010101"/>
        </w:rPr>
        <w:t>r</w:t>
      </w:r>
      <w:r>
        <w:rPr>
          <w:rFonts w:ascii="Arial" w:cs="Arial" w:eastAsia="Arial" w:hAnsi="Arial"/>
          <w:sz w:val="14"/>
          <w:szCs w:val="14"/>
          <w:color w:val="2A2A2A"/>
        </w:rPr>
        <w:t>y</w:t>
      </w:r>
      <w:r>
        <w:rPr>
          <w:rFonts w:ascii="Arial" w:cs="Arial" w:eastAsia="Arial" w:hAnsi="Arial"/>
          <w:sz w:val="14"/>
          <w:szCs w:val="14"/>
          <w:color w:val="101010"/>
        </w:rPr>
        <w:t xml:space="preserve"> </w:t>
      </w:r>
      <w:r>
        <w:rPr>
          <w:rFonts w:ascii="Arial" w:cs="Arial" w:eastAsia="Arial" w:hAnsi="Arial"/>
          <w:sz w:val="14"/>
          <w:szCs w:val="14"/>
          <w:color w:val="010101"/>
        </w:rPr>
        <w:t>issu</w:t>
      </w:r>
      <w:r>
        <w:rPr>
          <w:rFonts w:ascii="Arial" w:cs="Arial" w:eastAsia="Arial" w:hAnsi="Arial"/>
          <w:sz w:val="14"/>
          <w:szCs w:val="14"/>
          <w:color w:val="2A2A2A"/>
        </w:rPr>
        <w: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8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80" w:type="dxa"/>
            <w:vAlign w:val="bottom"/>
            <w:vMerge w:val="restart"/>
          </w:tcPr>
          <w:p>
            <w:pPr>
              <w:jc w:val="center"/>
              <w:ind w:right="1179"/>
              <w:spacing w:after="0"/>
              <w:rPr>
                <w:sz w:val="20"/>
                <w:szCs w:val="20"/>
                <w:color w:val="auto"/>
              </w:rPr>
            </w:pPr>
            <w:r>
              <w:rPr>
                <w:rFonts w:ascii="Arial" w:cs="Arial" w:eastAsia="Arial" w:hAnsi="Arial"/>
                <w:sz w:val="13"/>
                <w:szCs w:val="13"/>
                <w:b w:val="1"/>
                <w:bCs w:val="1"/>
                <w:color w:val="auto"/>
                <w:w w:val="95"/>
              </w:rPr>
              <w:t>G. PREPARED BY</w:t>
            </w:r>
          </w:p>
        </w:tc>
        <w:tc>
          <w:tcPr>
            <w:tcW w:w="1780" w:type="dxa"/>
            <w:vAlign w:val="bottom"/>
            <w:tcBorders>
              <w:right w:val="single" w:sz="8" w:color="auto"/>
            </w:tcBorders>
          </w:tcPr>
          <w:p>
            <w:pPr>
              <w:spacing w:after="0"/>
              <w:rPr>
                <w:sz w:val="15"/>
                <w:szCs w:val="15"/>
                <w:color w:val="auto"/>
              </w:rPr>
            </w:pPr>
          </w:p>
        </w:tc>
        <w:tc>
          <w:tcPr>
            <w:tcW w:w="82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6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80" w:type="dxa"/>
            <w:vAlign w:val="bottom"/>
            <w:vMerge w:val="continue"/>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80" w:type="dxa"/>
            <w:vAlign w:val="bottom"/>
            <w:vMerge w:val="restart"/>
          </w:tcPr>
          <w:p>
            <w:pPr>
              <w:jc w:val="center"/>
              <w:ind w:right="121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78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vMerge w:val="continue"/>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15:47:08-05’00’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178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80" w:type="dxa"/>
            <w:vAlign w:val="bottom"/>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80" w:type="dxa"/>
            <w:vAlign w:val="bottom"/>
          </w:tcPr>
          <w:p>
            <w:pPr>
              <w:ind w:left="1260"/>
              <w:spacing w:after="0"/>
              <w:rPr>
                <w:sz w:val="20"/>
                <w:szCs w:val="20"/>
                <w:color w:val="auto"/>
              </w:rPr>
            </w:pPr>
            <w:r>
              <w:rPr>
                <w:rFonts w:ascii="Arial" w:cs="Arial" w:eastAsia="Arial" w:hAnsi="Arial"/>
                <w:sz w:val="7"/>
                <w:szCs w:val="7"/>
                <w:color w:val="auto"/>
              </w:rPr>
              <w:t>Date 2020.12.31 08:37:03-05’00’</w:t>
            </w:r>
          </w:p>
        </w:tc>
        <w:tc>
          <w:tcPr>
            <w:tcW w:w="17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80" w:type="dxa"/>
            <w:vAlign w:val="bottom"/>
          </w:tcPr>
          <w:p>
            <w:pPr>
              <w:spacing w:after="0"/>
              <w:rPr>
                <w:sz w:val="20"/>
                <w:szCs w:val="20"/>
                <w:color w:val="auto"/>
              </w:rPr>
            </w:pPr>
            <w:r>
              <w:rPr>
                <w:rFonts w:ascii="Arial" w:cs="Arial" w:eastAsia="Arial" w:hAnsi="Arial"/>
                <w:sz w:val="16"/>
                <w:szCs w:val="16"/>
                <w:b w:val="1"/>
                <w:bCs w:val="1"/>
                <w:color w:val="auto"/>
              </w:rPr>
              <w:t>D D FORM 1423-1, FEB 2001</w:t>
            </w:r>
          </w:p>
        </w:tc>
        <w:tc>
          <w:tcPr>
            <w:tcW w:w="2600" w:type="dxa"/>
            <w:vAlign w:val="bottom"/>
            <w:gridSpan w:val="2"/>
          </w:tcPr>
          <w:p>
            <w:pPr>
              <w:ind w:left="60"/>
              <w:spacing w:after="0"/>
              <w:rPr>
                <w:sz w:val="20"/>
                <w:szCs w:val="20"/>
                <w:color w:val="auto"/>
              </w:rPr>
            </w:pPr>
            <w:r>
              <w:rPr>
                <w:rFonts w:ascii="Arial" w:cs="Arial" w:eastAsia="Arial" w:hAnsi="Arial"/>
                <w:sz w:val="14"/>
                <w:szCs w:val="14"/>
                <w:color w:val="080808"/>
              </w:rPr>
              <w:t>PREVIOUS EDITION MAY BE USED.</w:t>
            </w:r>
          </w:p>
        </w:tc>
        <w:tc>
          <w:tcPr>
            <w:tcW w:w="2100" w:type="dxa"/>
            <w:vAlign w:val="bottom"/>
            <w:gridSpan w:val="2"/>
          </w:tcPr>
          <w:p>
            <w:pPr>
              <w:ind w:left="140"/>
              <w:spacing w:after="0"/>
              <w:rPr>
                <w:sz w:val="20"/>
                <w:szCs w:val="20"/>
                <w:color w:val="auto"/>
              </w:rPr>
            </w:pPr>
            <w:r>
              <w:rPr>
                <w:rFonts w:ascii="Arial" w:cs="Arial" w:eastAsia="Arial" w:hAnsi="Arial"/>
                <w:sz w:val="13"/>
                <w:szCs w:val="13"/>
                <w:color w:val="090909"/>
              </w:rPr>
              <w:t xml:space="preserve">Page </w:t>
            </w:r>
            <w:r>
              <w:rPr>
                <w:rFonts w:ascii="Arial" w:cs="Arial" w:eastAsia="Arial" w:hAnsi="Arial"/>
                <w:sz w:val="14"/>
                <w:szCs w:val="14"/>
                <w:color w:val="070707"/>
              </w:rPr>
              <w:t>3 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65"/>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65"/>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A004</w:t>
            </w:r>
          </w:p>
        </w:tc>
        <w:tc>
          <w:tcPr>
            <w:tcW w:w="200" w:type="dxa"/>
            <w:vAlign w:val="bottom"/>
            <w:tcBorders>
              <w:right w:val="single" w:sz="8" w:color="auto"/>
            </w:tcBorders>
          </w:tcPr>
          <w:p>
            <w:pPr>
              <w:spacing w:after="0"/>
              <w:rPr>
                <w:sz w:val="24"/>
                <w:szCs w:val="2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6"/>
                <w:szCs w:val="16"/>
                <w:color w:val="auto"/>
                <w:w w:val="99"/>
              </w:rPr>
              <w:t>Quarterly Meetings</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29"/>
              <w:spacing w:after="0"/>
              <w:rPr>
                <w:sz w:val="20"/>
                <w:szCs w:val="20"/>
                <w:color w:val="auto"/>
              </w:rPr>
            </w:pPr>
            <w:r>
              <w:rPr>
                <w:rFonts w:ascii="Arial" w:cs="Arial" w:eastAsia="Arial" w:hAnsi="Arial"/>
                <w:sz w:val="16"/>
                <w:szCs w:val="16"/>
                <w:color w:val="auto"/>
                <w:w w:val="99"/>
              </w:rPr>
              <w:t>DI-ADMN-81505</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2"/>
          </w:tcPr>
          <w:p>
            <w:pPr>
              <w:jc w:val="right"/>
              <w:ind w:right="717"/>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3"/>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8"/>
                <w:szCs w:val="8"/>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8"/>
                <w:szCs w:val="8"/>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48" w:lineRule="exact"/>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91" w:lineRule="exact"/>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60" w:right="4740"/>
        <w:spacing w:after="0" w:line="260" w:lineRule="auto"/>
        <w:rPr>
          <w:sz w:val="20"/>
          <w:szCs w:val="20"/>
          <w:color w:val="auto"/>
        </w:rPr>
      </w:pPr>
      <w:r>
        <w:rPr>
          <w:rFonts w:ascii="Arial" w:cs="Arial" w:eastAsia="Arial" w:hAnsi="Arial"/>
          <w:sz w:val="13"/>
          <w:szCs w:val="13"/>
          <w:color w:val="2A2A2A"/>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032115"/>
                    </a:xfrm>
                    <a:prstGeom prst="rect">
                      <a:avLst/>
                    </a:prstGeom>
                    <a:noFill/>
                  </pic:spPr>
                </pic:pic>
              </a:graphicData>
            </a:graphic>
          </wp:anchor>
        </w:drawing>
        <w:t>At the discretion of the government the Awardee shall hold recurring teleconference or face-to-face Project Review Meetings up to four per year either in Washington DC or at work sites of the Awardee or sub-awardees. Face-to-face meetings shall alternate between Washington DC and Awardee, sub-awardee sites. The meetings will be used to discuss agreement progress in relation to the Program Management deliverables described below as well as technical, and regulatory aspects of the program.</w:t>
      </w:r>
    </w:p>
    <w:p>
      <w:pPr>
        <w:ind w:left="160" w:right="3160" w:firstLine="9"/>
        <w:spacing w:after="0" w:line="241" w:lineRule="auto"/>
        <w:tabs>
          <w:tab w:leader="none" w:pos="669" w:val="left"/>
        </w:tabs>
        <w:numPr>
          <w:ilvl w:val="0"/>
          <w:numId w:val="166"/>
        </w:numPr>
        <w:rPr>
          <w:rFonts w:ascii="Arial" w:cs="Arial" w:eastAsia="Arial" w:hAnsi="Arial"/>
          <w:sz w:val="14"/>
          <w:szCs w:val="14"/>
          <w:color w:val="2A2A2A"/>
        </w:rPr>
      </w:pPr>
      <w:r>
        <w:rPr>
          <w:rFonts w:ascii="Arial" w:cs="Arial" w:eastAsia="Arial" w:hAnsi="Arial"/>
          <w:sz w:val="14"/>
          <w:szCs w:val="14"/>
          <w:color w:val="101010"/>
        </w:rPr>
        <w:t xml:space="preserve">Awardee </w:t>
      </w:r>
      <w:r>
        <w:rPr>
          <w:rFonts w:ascii="Arial" w:cs="Arial" w:eastAsia="Arial" w:hAnsi="Arial"/>
          <w:sz w:val="14"/>
          <w:szCs w:val="14"/>
          <w:color w:val="2A2A2A"/>
        </w:rPr>
        <w:t>shall provide itinerary and agenda at least</w:t>
      </w:r>
      <w:r>
        <w:rPr>
          <w:rFonts w:ascii="Arial" w:cs="Arial" w:eastAsia="Arial" w:hAnsi="Arial"/>
          <w:sz w:val="14"/>
          <w:szCs w:val="14"/>
          <w:color w:val="101010"/>
        </w:rPr>
        <w:t xml:space="preserve"> </w:t>
      </w:r>
      <w:r>
        <w:rPr>
          <w:rFonts w:ascii="Arial" w:cs="Arial" w:eastAsia="Arial" w:hAnsi="Arial"/>
          <w:sz w:val="12"/>
          <w:szCs w:val="12"/>
          <w:color w:val="000000"/>
        </w:rPr>
        <w:t>[* * *]</w:t>
      </w:r>
      <w:r>
        <w:rPr>
          <w:rFonts w:ascii="Arial" w:cs="Arial" w:eastAsia="Arial" w:hAnsi="Arial"/>
          <w:sz w:val="14"/>
          <w:szCs w:val="14"/>
          <w:color w:val="2A2A2A"/>
        </w:rPr>
        <w:t>, and presentation materials at least</w:t>
      </w:r>
      <w:r>
        <w:rPr>
          <w:rFonts w:ascii="Arial" w:cs="Arial" w:eastAsia="Arial" w:hAnsi="Arial"/>
          <w:sz w:val="14"/>
          <w:szCs w:val="14"/>
          <w:color w:val="101010"/>
        </w:rPr>
        <w:t xml:space="preserve"> </w:t>
      </w:r>
      <w:r>
        <w:rPr>
          <w:rFonts w:ascii="Arial" w:cs="Arial" w:eastAsia="Arial" w:hAnsi="Arial"/>
          <w:sz w:val="12"/>
          <w:szCs w:val="12"/>
          <w:color w:val="000000"/>
        </w:rPr>
        <w:t>[* * *]</w:t>
      </w:r>
      <w:r>
        <w:rPr>
          <w:rFonts w:ascii="Arial" w:cs="Arial" w:eastAsia="Arial" w:hAnsi="Arial"/>
          <w:sz w:val="14"/>
          <w:szCs w:val="14"/>
          <w:color w:val="101010"/>
        </w:rPr>
        <w:t xml:space="preserve"> </w:t>
      </w:r>
      <w:r>
        <w:rPr>
          <w:rFonts w:ascii="Arial" w:cs="Arial" w:eastAsia="Arial" w:hAnsi="Arial"/>
          <w:sz w:val="14"/>
          <w:szCs w:val="14"/>
          <w:color w:val="2A2A2A"/>
        </w:rPr>
        <w:t>in advance</w:t>
      </w:r>
      <w:r>
        <w:rPr>
          <w:rFonts w:ascii="Arial" w:cs="Arial" w:eastAsia="Arial" w:hAnsi="Arial"/>
          <w:sz w:val="14"/>
          <w:szCs w:val="14"/>
          <w:color w:val="101010"/>
        </w:rPr>
        <w:t xml:space="preserve"> </w:t>
      </w:r>
      <w:r>
        <w:rPr>
          <w:rFonts w:ascii="Arial" w:cs="Arial" w:eastAsia="Arial" w:hAnsi="Arial"/>
          <w:sz w:val="14"/>
          <w:szCs w:val="14"/>
          <w:color w:val="2A2A2A"/>
        </w:rPr>
        <w:t>of site visit</w:t>
      </w:r>
    </w:p>
    <w:p>
      <w:pPr>
        <w:ind w:left="680" w:hanging="511"/>
        <w:spacing w:after="0"/>
        <w:tabs>
          <w:tab w:leader="none" w:pos="680" w:val="left"/>
        </w:tabs>
        <w:numPr>
          <w:ilvl w:val="0"/>
          <w:numId w:val="166"/>
        </w:numPr>
        <w:rPr>
          <w:rFonts w:ascii="Arial" w:cs="Arial" w:eastAsia="Arial" w:hAnsi="Arial"/>
          <w:sz w:val="14"/>
          <w:szCs w:val="14"/>
          <w:color w:val="2A2A2A"/>
        </w:rPr>
      </w:pPr>
      <w:r>
        <w:rPr>
          <w:rFonts w:ascii="Arial" w:cs="Arial" w:eastAsia="Arial" w:hAnsi="Arial"/>
          <w:sz w:val="14"/>
          <w:szCs w:val="14"/>
          <w:color w:val="2A2A2A"/>
        </w:rPr>
        <w:t>AOR edits/approves and instructs Awardee to distribute agenda prior to meeting by at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2A2A2A"/>
        </w:rPr>
        <w:t xml:space="preserve">least </w:t>
      </w:r>
      <w:r>
        <w:rPr>
          <w:rFonts w:ascii="Arial" w:cs="Arial" w:eastAsia="Arial" w:hAnsi="Arial"/>
          <w:sz w:val="12"/>
          <w:szCs w:val="12"/>
          <w:color w:val="000000"/>
        </w:rPr>
        <w:t>[* * *]</w:t>
      </w:r>
    </w:p>
    <w:p>
      <w:pPr>
        <w:spacing w:after="0" w:line="1" w:lineRule="exact"/>
        <w:rPr>
          <w:sz w:val="20"/>
          <w:szCs w:val="20"/>
          <w:color w:val="auto"/>
        </w:rPr>
      </w:pPr>
    </w:p>
    <w:p>
      <w:pPr>
        <w:ind w:left="680" w:hanging="511"/>
        <w:spacing w:after="0"/>
        <w:tabs>
          <w:tab w:leader="none" w:pos="680" w:val="left"/>
        </w:tabs>
        <w:numPr>
          <w:ilvl w:val="0"/>
          <w:numId w:val="167"/>
        </w:numPr>
        <w:rPr>
          <w:rFonts w:ascii="Arial" w:cs="Arial" w:eastAsia="Arial" w:hAnsi="Arial"/>
          <w:sz w:val="14"/>
          <w:szCs w:val="14"/>
          <w:color w:val="2A2A2A"/>
        </w:rPr>
      </w:pPr>
      <w:r>
        <w:rPr>
          <w:rFonts w:ascii="Arial" w:cs="Arial" w:eastAsia="Arial" w:hAnsi="Arial"/>
          <w:sz w:val="14"/>
          <w:szCs w:val="14"/>
          <w:color w:val="2A2A2A"/>
        </w:rPr>
        <w:t xml:space="preserve">Awardee provides meeting minutes to AOR within </w:t>
      </w:r>
      <w:r>
        <w:rPr>
          <w:rFonts w:ascii="Arial" w:cs="Arial" w:eastAsia="Arial" w:hAnsi="Arial"/>
          <w:sz w:val="12"/>
          <w:szCs w:val="12"/>
          <w:color w:val="000000"/>
        </w:rPr>
        <w:t>[* * *]</w:t>
      </w:r>
      <w:r>
        <w:rPr>
          <w:rFonts w:ascii="Arial" w:cs="Arial" w:eastAsia="Arial" w:hAnsi="Arial"/>
          <w:sz w:val="14"/>
          <w:szCs w:val="14"/>
          <w:color w:val="2A2A2A"/>
        </w:rPr>
        <w:t xml:space="preserve"> after the meeting</w:t>
      </w:r>
    </w:p>
    <w:p>
      <w:pPr>
        <w:spacing w:after="0" w:line="1" w:lineRule="exact"/>
        <w:rPr>
          <w:rFonts w:ascii="Arial" w:cs="Arial" w:eastAsia="Arial" w:hAnsi="Arial"/>
          <w:sz w:val="14"/>
          <w:szCs w:val="14"/>
          <w:color w:val="2A2A2A"/>
        </w:rPr>
      </w:pPr>
    </w:p>
    <w:p>
      <w:pPr>
        <w:ind w:left="680" w:hanging="511"/>
        <w:spacing w:after="0"/>
        <w:tabs>
          <w:tab w:leader="none" w:pos="680" w:val="left"/>
        </w:tabs>
        <w:numPr>
          <w:ilvl w:val="0"/>
          <w:numId w:val="167"/>
        </w:numPr>
        <w:rPr>
          <w:rFonts w:ascii="Arial" w:cs="Arial" w:eastAsia="Arial" w:hAnsi="Arial"/>
          <w:sz w:val="14"/>
          <w:szCs w:val="14"/>
          <w:color w:val="2A2A2A"/>
        </w:rPr>
      </w:pPr>
      <w:r>
        <w:rPr>
          <w:rFonts w:ascii="Arial" w:cs="Arial" w:eastAsia="Arial" w:hAnsi="Arial"/>
          <w:sz w:val="14"/>
          <w:szCs w:val="14"/>
          <w:color w:val="2A2A2A"/>
        </w:rPr>
        <w:t xml:space="preserve">AOR reviews, comments, and approves minutes within </w:t>
      </w:r>
      <w:r>
        <w:rPr>
          <w:rFonts w:ascii="Arial" w:cs="Arial" w:eastAsia="Arial" w:hAnsi="Arial"/>
          <w:sz w:val="12"/>
          <w:szCs w:val="12"/>
          <w:color w:val="000000"/>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15:46:39-05’00’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60"/>
              <w:spacing w:after="0"/>
              <w:rPr>
                <w:sz w:val="20"/>
                <w:szCs w:val="20"/>
                <w:color w:val="auto"/>
              </w:rPr>
            </w:pPr>
            <w:r>
              <w:rPr>
                <w:rFonts w:ascii="Arial" w:cs="Arial" w:eastAsia="Arial" w:hAnsi="Arial"/>
                <w:sz w:val="7"/>
                <w:szCs w:val="7"/>
                <w:color w:val="auto"/>
              </w:rPr>
              <w:t>Date 2020.12.31 08:39:50-05’00’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w:t>
            </w:r>
            <w:r>
              <w:rPr>
                <w:rFonts w:ascii="Arial" w:cs="Arial" w:eastAsia="Arial" w:hAnsi="Arial"/>
                <w:sz w:val="14"/>
                <w:szCs w:val="14"/>
                <w:color w:val="070707"/>
              </w:rPr>
              <w:t>4 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68"/>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68"/>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A005</w:t>
            </w:r>
          </w:p>
        </w:tc>
        <w:tc>
          <w:tcPr>
            <w:tcW w:w="200" w:type="dxa"/>
            <w:vAlign w:val="bottom"/>
            <w:tcBorders>
              <w:right w:val="single" w:sz="8" w:color="auto"/>
            </w:tcBorders>
          </w:tcPr>
          <w:p>
            <w:pPr>
              <w:spacing w:after="0"/>
              <w:rPr>
                <w:sz w:val="24"/>
                <w:szCs w:val="24"/>
                <w:color w:val="auto"/>
              </w:rPr>
            </w:pPr>
          </w:p>
        </w:tc>
        <w:tc>
          <w:tcPr>
            <w:tcW w:w="3040" w:type="dxa"/>
            <w:vAlign w:val="bottom"/>
            <w:gridSpan w:val="4"/>
            <w:vMerge w:val="restart"/>
          </w:tcPr>
          <w:p>
            <w:pPr>
              <w:ind w:left="60"/>
              <w:spacing w:after="0"/>
              <w:rPr>
                <w:sz w:val="20"/>
                <w:szCs w:val="20"/>
                <w:color w:val="auto"/>
              </w:rPr>
            </w:pPr>
            <w:r>
              <w:rPr>
                <w:rFonts w:ascii="Arial" w:cs="Arial" w:eastAsia="Arial" w:hAnsi="Arial"/>
                <w:sz w:val="16"/>
                <w:szCs w:val="16"/>
                <w:color w:val="auto"/>
              </w:rPr>
              <w:t>FDA Meeting Minutes</w:t>
            </w: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8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3040" w:type="dxa"/>
            <w:vAlign w:val="bottom"/>
            <w:tcBorders>
              <w:bottom w:val="single" w:sz="8" w:color="auto"/>
            </w:tcBorders>
            <w:gridSpan w:val="4"/>
            <w:vMerge w:val="continue"/>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28"/>
              <w:spacing w:after="0"/>
              <w:rPr>
                <w:sz w:val="20"/>
                <w:szCs w:val="20"/>
                <w:color w:val="auto"/>
              </w:rPr>
            </w:pPr>
            <w:r>
              <w:rPr>
                <w:rFonts w:ascii="Arial" w:cs="Arial" w:eastAsia="Arial" w:hAnsi="Arial"/>
                <w:sz w:val="16"/>
                <w:szCs w:val="16"/>
                <w:color w:val="auto"/>
                <w:w w:val="99"/>
              </w:rPr>
              <w:t>DI-ADMN-81505</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198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7"/>
                <w:szCs w:val="7"/>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120" w:type="dxa"/>
            <w:vAlign w:val="bottom"/>
            <w:gridSpan w:val="6"/>
            <w:vMerge w:val="restart"/>
          </w:tcPr>
          <w:p>
            <w:pPr>
              <w:ind w:left="500"/>
              <w:spacing w:after="0"/>
              <w:rPr>
                <w:sz w:val="20"/>
                <w:szCs w:val="20"/>
                <w:color w:val="auto"/>
              </w:rPr>
            </w:pPr>
            <w:r>
              <w:rPr>
                <w:rFonts w:ascii="Arial" w:cs="Arial" w:eastAsia="Arial" w:hAnsi="Arial"/>
                <w:sz w:val="14"/>
                <w:szCs w:val="14"/>
                <w:color w:val="2A2A2A"/>
              </w:rPr>
              <w:t>All formal communications with the FDA should be provided to BARDA</w:t>
            </w: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5120" w:type="dxa"/>
            <w:vAlign w:val="bottom"/>
            <w:gridSpan w:val="6"/>
            <w:vMerge w:val="continue"/>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032115"/>
                    </a:xfrm>
                    <a:prstGeom prst="rect">
                      <a:avLst/>
                    </a:prstGeom>
                    <a:noFill/>
                  </pic:spPr>
                </pic:pic>
              </a:graphicData>
            </a:graphic>
          </wp:anchor>
        </w:drawing>
      </w:r>
    </w:p>
    <w:p>
      <w:pPr>
        <w:spacing w:after="0" w:line="266" w:lineRule="exact"/>
        <w:rPr>
          <w:sz w:val="20"/>
          <w:szCs w:val="20"/>
          <w:color w:val="auto"/>
        </w:rPr>
      </w:pPr>
    </w:p>
    <w:p>
      <w:pPr>
        <w:ind w:left="160" w:right="3580" w:firstLine="9"/>
        <w:spacing w:after="0" w:line="250" w:lineRule="auto"/>
        <w:tabs>
          <w:tab w:leader="none" w:pos="669" w:val="left"/>
        </w:tabs>
        <w:numPr>
          <w:ilvl w:val="0"/>
          <w:numId w:val="169"/>
        </w:numPr>
        <w:rPr>
          <w:rFonts w:ascii="Arial" w:cs="Arial" w:eastAsia="Arial" w:hAnsi="Arial"/>
          <w:sz w:val="14"/>
          <w:szCs w:val="14"/>
          <w:color w:val="2A2A2A"/>
        </w:rPr>
      </w:pPr>
      <w:r>
        <w:rPr>
          <w:rFonts w:ascii="Arial" w:cs="Arial" w:eastAsia="Arial" w:hAnsi="Arial"/>
          <w:sz w:val="14"/>
          <w:szCs w:val="14"/>
          <w:color w:val="2A2A2A"/>
        </w:rPr>
        <w:t xml:space="preserve">Contractor shall notify BARDA of upcoming FDA meeting within </w:t>
      </w:r>
      <w:r>
        <w:rPr>
          <w:rFonts w:ascii="Arial" w:cs="Arial" w:eastAsia="Arial" w:hAnsi="Arial"/>
          <w:sz w:val="12"/>
          <w:szCs w:val="12"/>
          <w:color w:val="000000"/>
        </w:rPr>
        <w:t>[* * *]</w:t>
      </w:r>
      <w:r>
        <w:rPr>
          <w:rFonts w:ascii="Arial" w:cs="Arial" w:eastAsia="Arial" w:hAnsi="Arial"/>
          <w:sz w:val="14"/>
          <w:szCs w:val="14"/>
          <w:color w:val="2A2A2A"/>
        </w:rPr>
        <w:t xml:space="preserve"> of scheduling Type A, B or C meetings OR within </w:t>
      </w:r>
      <w:r>
        <w:rPr>
          <w:rFonts w:ascii="Arial" w:cs="Arial" w:eastAsia="Arial" w:hAnsi="Arial"/>
          <w:sz w:val="12"/>
          <w:szCs w:val="12"/>
          <w:color w:val="000000"/>
        </w:rPr>
        <w:t>[* * *]</w:t>
      </w:r>
      <w:r>
        <w:rPr>
          <w:rFonts w:ascii="Arial" w:cs="Arial" w:eastAsia="Arial" w:hAnsi="Arial"/>
          <w:sz w:val="14"/>
          <w:szCs w:val="14"/>
          <w:color w:val="2A2A2A"/>
        </w:rPr>
        <w:t xml:space="preserve"> of meeting occurrence for ad hoc meetings</w:t>
      </w:r>
    </w:p>
    <w:p>
      <w:pPr>
        <w:ind w:left="160" w:right="3120" w:firstLine="9"/>
        <w:spacing w:after="0" w:line="255" w:lineRule="auto"/>
        <w:tabs>
          <w:tab w:leader="none" w:pos="669" w:val="left"/>
        </w:tabs>
        <w:numPr>
          <w:ilvl w:val="0"/>
          <w:numId w:val="169"/>
        </w:numPr>
        <w:rPr>
          <w:rFonts w:ascii="Arial" w:cs="Arial" w:eastAsia="Arial" w:hAnsi="Arial"/>
          <w:sz w:val="14"/>
          <w:szCs w:val="14"/>
          <w:color w:val="2A2A2A"/>
        </w:rPr>
      </w:pPr>
      <w:r>
        <w:rPr>
          <w:rFonts w:ascii="Arial" w:cs="Arial" w:eastAsia="Arial" w:hAnsi="Arial"/>
          <w:sz w:val="14"/>
          <w:szCs w:val="14"/>
          <w:color w:val="2A2A2A"/>
        </w:rPr>
        <w:t xml:space="preserve">Contractor shall forward initial contractor and FDA-issued draft minutes and final minutes of any meeting with the FDA to BARDA within </w:t>
      </w:r>
      <w:r>
        <w:rPr>
          <w:rFonts w:ascii="Arial" w:cs="Arial" w:eastAsia="Arial" w:hAnsi="Arial"/>
          <w:sz w:val="12"/>
          <w:szCs w:val="12"/>
          <w:color w:val="000000"/>
        </w:rPr>
        <w:t>[* * *]</w:t>
      </w:r>
      <w:r>
        <w:rPr>
          <w:rFonts w:ascii="Arial" w:cs="Arial" w:eastAsia="Arial" w:hAnsi="Arial"/>
          <w:sz w:val="14"/>
          <w:szCs w:val="14"/>
          <w:color w:val="2A2A2A"/>
        </w:rPr>
        <w:t xml:space="preserve"> of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15:46:13-05’00’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60"/>
              <w:spacing w:after="0"/>
              <w:rPr>
                <w:sz w:val="20"/>
                <w:szCs w:val="20"/>
                <w:color w:val="auto"/>
              </w:rPr>
            </w:pPr>
            <w:r>
              <w:rPr>
                <w:rFonts w:ascii="Arial" w:cs="Arial" w:eastAsia="Arial" w:hAnsi="Arial"/>
                <w:sz w:val="7"/>
                <w:szCs w:val="7"/>
                <w:color w:val="auto"/>
              </w:rPr>
              <w:t>Date 2020.12.31 08:42:42-05’00’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w:t>
            </w:r>
            <w:r>
              <w:rPr>
                <w:rFonts w:ascii="Arial" w:cs="Arial" w:eastAsia="Arial" w:hAnsi="Arial"/>
                <w:sz w:val="14"/>
                <w:szCs w:val="14"/>
                <w:color w:val="070707"/>
              </w:rPr>
              <w:t>5 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70"/>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70"/>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308"/>
        </w:trPr>
        <w:tc>
          <w:tcPr>
            <w:tcW w:w="17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gridSpan w:val="5"/>
          </w:tcPr>
          <w:p>
            <w:pPr>
              <w:jc w:val="right"/>
              <w:ind w:right="37"/>
              <w:spacing w:after="0"/>
              <w:rPr>
                <w:sz w:val="20"/>
                <w:szCs w:val="20"/>
                <w:color w:val="auto"/>
              </w:rPr>
            </w:pPr>
            <w:r>
              <w:rPr>
                <w:rFonts w:ascii="Arial" w:cs="Arial" w:eastAsia="Arial" w:hAnsi="Arial"/>
                <w:sz w:val="14"/>
                <w:szCs w:val="14"/>
                <w:b w:val="1"/>
                <w:bCs w:val="1"/>
                <w:color w:val="auto"/>
              </w:rPr>
              <w:t>CONTRACT DATA REQUIREMENTS LIST</w:t>
            </w:r>
          </w:p>
        </w:tc>
        <w:tc>
          <w:tcPr>
            <w:tcW w:w="1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right w:val="single" w:sz="8" w:color="auto"/>
            </w:tcBorders>
          </w:tcPr>
          <w:p>
            <w:pPr>
              <w:spacing w:after="0"/>
              <w:rPr>
                <w:sz w:val="24"/>
                <w:szCs w:val="24"/>
                <w:color w:val="auto"/>
              </w:rPr>
            </w:pPr>
          </w:p>
        </w:tc>
        <w:tc>
          <w:tcPr>
            <w:tcW w:w="1860" w:type="dxa"/>
            <w:vAlign w:val="bottom"/>
            <w:tcBorders>
              <w:top w:val="single" w:sz="8" w:color="auto"/>
            </w:tcBorders>
            <w:gridSpan w:val="3"/>
          </w:tcPr>
          <w:p>
            <w:pPr>
              <w:jc w:val="right"/>
              <w:ind w:right="295"/>
              <w:spacing w:after="0"/>
              <w:rPr>
                <w:sz w:val="20"/>
                <w:szCs w:val="20"/>
                <w:color w:val="auto"/>
              </w:rPr>
            </w:pPr>
            <w:r>
              <w:rPr>
                <w:rFonts w:ascii="Arial" w:cs="Arial" w:eastAsia="Arial" w:hAnsi="Arial"/>
                <w:sz w:val="13"/>
                <w:szCs w:val="13"/>
                <w:i w:val="1"/>
                <w:iCs w:val="1"/>
                <w:color w:val="auto"/>
              </w:rPr>
              <w:t>Form Approved</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477"/>
              <w:spacing w:after="0"/>
              <w:rPr>
                <w:sz w:val="20"/>
                <w:szCs w:val="20"/>
                <w:color w:val="auto"/>
              </w:rPr>
            </w:pPr>
            <w:r>
              <w:rPr>
                <w:rFonts w:ascii="Arial" w:cs="Arial" w:eastAsia="Arial" w:hAnsi="Arial"/>
                <w:sz w:val="13"/>
                <w:szCs w:val="13"/>
                <w:i w:val="1"/>
                <w:iCs w:val="1"/>
                <w:color w:val="auto"/>
              </w:rPr>
              <w:t>(1 Data Item)</w:t>
            </w: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3"/>
                <w:szCs w:val="13"/>
                <w:i w:val="1"/>
                <w:iCs w:val="1"/>
                <w:color w:val="auto"/>
              </w:rPr>
              <w:t>OMB No. 0704-0188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020" w:type="dxa"/>
            <w:vAlign w:val="bottom"/>
            <w:tcBorders>
              <w:bottom w:val="single" w:sz="8" w:color="auto"/>
              <w:right w:val="single" w:sz="8" w:color="auto"/>
            </w:tcBorders>
            <w:gridSpan w:val="10"/>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140" w:type="dxa"/>
            <w:vAlign w:val="bottom"/>
            <w:gridSpan w:val="11"/>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8140" w:type="dxa"/>
            <w:vAlign w:val="bottom"/>
            <w:gridSpan w:val="11"/>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980" w:type="dxa"/>
            <w:vAlign w:val="bottom"/>
            <w:gridSpan w:val="9"/>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6980" w:type="dxa"/>
            <w:vAlign w:val="bottom"/>
            <w:gridSpan w:val="9"/>
          </w:tcPr>
          <w:p>
            <w:pPr>
              <w:ind w:left="160"/>
              <w:spacing w:after="0"/>
              <w:rPr>
                <w:sz w:val="20"/>
                <w:szCs w:val="20"/>
                <w:color w:val="auto"/>
              </w:rPr>
            </w:pPr>
            <w:r>
              <w:rPr>
                <w:rFonts w:ascii="Arial" w:cs="Arial" w:eastAsia="Arial" w:hAnsi="Arial"/>
                <w:sz w:val="9"/>
                <w:szCs w:val="9"/>
                <w:color w:val="auto"/>
                <w:w w:val="99"/>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w w:val="99"/>
              </w:rPr>
              <w:t>collection</w:t>
            </w: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98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440" w:type="dxa"/>
            <w:vAlign w:val="bottom"/>
            <w:gridSpan w:val="5"/>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160" w:type="dxa"/>
            <w:vAlign w:val="bottom"/>
            <w:tcBorders>
              <w:bottom w:val="single" w:sz="8" w:color="auto"/>
            </w:tcBorders>
            <w:gridSpan w:val="3"/>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19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160" w:type="dxa"/>
            <w:vAlign w:val="bottom"/>
            <w:gridSpan w:val="3"/>
          </w:tcPr>
          <w:p>
            <w:pPr>
              <w:ind w:left="100"/>
              <w:spacing w:after="0"/>
              <w:rPr>
                <w:sz w:val="20"/>
                <w:szCs w:val="20"/>
                <w:color w:val="auto"/>
              </w:rPr>
            </w:pPr>
            <w:r>
              <w:rPr>
                <w:rFonts w:ascii="Arial" w:cs="Arial" w:eastAsia="Arial" w:hAnsi="Arial"/>
                <w:sz w:val="13"/>
                <w:szCs w:val="13"/>
                <w:b w:val="1"/>
                <w:bCs w:val="1"/>
                <w:color w:val="auto"/>
              </w:rPr>
              <w:t>A. CONTRACT LINE ITEM NO.</w:t>
            </w:r>
          </w:p>
        </w:tc>
        <w:tc>
          <w:tcPr>
            <w:tcW w:w="11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right w:val="single" w:sz="8" w:color="auto"/>
            </w:tcBorders>
            <w:gridSpan w:val="2"/>
          </w:tcPr>
          <w:p>
            <w:pPr>
              <w:jc w:val="right"/>
              <w:ind w:right="777"/>
              <w:spacing w:after="0"/>
              <w:rPr>
                <w:sz w:val="20"/>
                <w:szCs w:val="20"/>
                <w:color w:val="auto"/>
              </w:rPr>
            </w:pPr>
            <w:r>
              <w:rPr>
                <w:rFonts w:ascii="Arial" w:cs="Arial" w:eastAsia="Arial" w:hAnsi="Arial"/>
                <w:sz w:val="13"/>
                <w:szCs w:val="13"/>
                <w:b w:val="1"/>
                <w:bCs w:val="1"/>
                <w:color w:val="auto"/>
              </w:rPr>
              <w:t>B. EXHIBIT</w:t>
            </w:r>
          </w:p>
        </w:tc>
        <w:tc>
          <w:tcPr>
            <w:tcW w:w="1980" w:type="dxa"/>
            <w:vAlign w:val="bottom"/>
            <w:gridSpan w:val="2"/>
          </w:tcPr>
          <w:p>
            <w:pPr>
              <w:jc w:val="right"/>
              <w:ind w:right="944"/>
              <w:spacing w:after="0"/>
              <w:rPr>
                <w:sz w:val="20"/>
                <w:szCs w:val="20"/>
                <w:color w:val="auto"/>
              </w:rPr>
            </w:pPr>
            <w:r>
              <w:rPr>
                <w:rFonts w:ascii="Arial" w:cs="Arial" w:eastAsia="Arial" w:hAnsi="Arial"/>
                <w:sz w:val="13"/>
                <w:szCs w:val="13"/>
                <w:b w:val="1"/>
                <w:bCs w:val="1"/>
                <w:color w:val="auto"/>
              </w:rPr>
              <w:t>C. CATEGORY:</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7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0001</w:t>
            </w:r>
          </w:p>
        </w:tc>
        <w:tc>
          <w:tcPr>
            <w:tcW w:w="1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Borders>
              <w:right w:val="single" w:sz="8" w:color="auto"/>
            </w:tcBorders>
          </w:tcPr>
          <w:p>
            <w:pPr>
              <w:jc w:val="right"/>
              <w:ind w:right="697"/>
              <w:spacing w:after="0"/>
              <w:rPr>
                <w:sz w:val="20"/>
                <w:szCs w:val="20"/>
                <w:color w:val="auto"/>
              </w:rPr>
            </w:pPr>
            <w:r>
              <w:rPr>
                <w:rFonts w:ascii="Arial" w:cs="Arial" w:eastAsia="Arial" w:hAnsi="Arial"/>
                <w:sz w:val="16"/>
                <w:szCs w:val="16"/>
                <w:color w:val="auto"/>
              </w:rPr>
              <w:t>A</w:t>
            </w:r>
          </w:p>
        </w:tc>
        <w:tc>
          <w:tcPr>
            <w:tcW w:w="198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9"/>
                <w:szCs w:val="9"/>
                <w:color w:val="auto"/>
              </w:rPr>
              <w:t xml:space="preserve">TDP  </w:t>
            </w:r>
            <w:r>
              <w:rPr>
                <w:rFonts w:ascii="Arial" w:cs="Arial" w:eastAsia="Arial" w:hAnsi="Arial"/>
                <w:sz w:val="17"/>
                <w:szCs w:val="17"/>
                <w:color w:val="auto"/>
              </w:rPr>
              <w:t>X</w:t>
            </w:r>
            <w:r>
              <w:rPr>
                <w:rFonts w:ascii="Arial" w:cs="Arial" w:eastAsia="Arial" w:hAnsi="Arial"/>
                <w:sz w:val="9"/>
                <w:szCs w:val="9"/>
                <w:color w:val="auto"/>
              </w:rPr>
              <w:t xml:space="preserve"> TM</w:t>
            </w: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OTHER</w:t>
            </w: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76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1680" w:type="dxa"/>
            <w:vAlign w:val="bottom"/>
            <w:gridSpan w:val="4"/>
            <w:vMerge w:val="restart"/>
          </w:tcPr>
          <w:p>
            <w:pPr>
              <w:ind w:left="220"/>
              <w:spacing w:after="0"/>
              <w:rPr>
                <w:sz w:val="20"/>
                <w:szCs w:val="20"/>
                <w:color w:val="auto"/>
              </w:rPr>
            </w:pPr>
            <w:r>
              <w:rPr>
                <w:rFonts w:ascii="Arial" w:cs="Arial" w:eastAsia="Arial" w:hAnsi="Arial"/>
                <w:sz w:val="16"/>
                <w:szCs w:val="16"/>
                <w:color w:val="auto"/>
              </w:rPr>
              <w:t>Therapeutics</w:t>
            </w:r>
          </w:p>
        </w:tc>
        <w:tc>
          <w:tcPr>
            <w:tcW w:w="48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6"/>
              </w:rPr>
              <w:t xml:space="preserve">E. CONTRACT/PR NO. </w:t>
            </w:r>
            <w:r>
              <w:rPr>
                <w:rFonts w:ascii="Arial" w:cs="Arial" w:eastAsia="Arial" w:hAnsi="Arial"/>
                <w:sz w:val="16"/>
                <w:szCs w:val="16"/>
                <w:color w:val="auto"/>
                <w:w w:val="96"/>
              </w:rPr>
              <w:t>W15QKN21C</w:t>
            </w:r>
          </w:p>
        </w:tc>
        <w:tc>
          <w:tcPr>
            <w:tcW w:w="1800" w:type="dxa"/>
            <w:vAlign w:val="bottom"/>
            <w:gridSpan w:val="3"/>
          </w:tcPr>
          <w:p>
            <w:pPr>
              <w:ind w:left="80"/>
              <w:spacing w:after="0"/>
              <w:rPr>
                <w:sz w:val="20"/>
                <w:szCs w:val="20"/>
                <w:color w:val="auto"/>
              </w:rPr>
            </w:pPr>
            <w:r>
              <w:rPr>
                <w:rFonts w:ascii="Arial" w:cs="Arial" w:eastAsia="Arial" w:hAnsi="Arial"/>
                <w:sz w:val="13"/>
                <w:szCs w:val="13"/>
                <w:b w:val="1"/>
                <w:bCs w:val="1"/>
                <w:color w:val="auto"/>
              </w:rPr>
              <w:t>F. CONTRACTOR</w:t>
            </w: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color w:val="auto"/>
                <w:w w:val="88"/>
              </w:rPr>
              <w:t>Regeneron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1680" w:type="dxa"/>
            <w:vAlign w:val="bottom"/>
            <w:gridSpan w:val="4"/>
            <w:vMerge w:val="continue"/>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76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3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9"/>
                <w:szCs w:val="9"/>
                <w:color w:val="auto"/>
              </w:rPr>
              <w:t>2. TITLE OF DATA ITEM</w:t>
            </w: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800" w:type="dxa"/>
            <w:vAlign w:val="bottom"/>
            <w:gridSpan w:val="3"/>
          </w:tcPr>
          <w:p>
            <w:pPr>
              <w:ind w:left="80"/>
              <w:spacing w:after="0"/>
              <w:rPr>
                <w:sz w:val="20"/>
                <w:szCs w:val="20"/>
                <w:color w:val="auto"/>
              </w:rPr>
            </w:pPr>
            <w:r>
              <w:rPr>
                <w:rFonts w:ascii="Arial" w:cs="Arial" w:eastAsia="Arial" w:hAnsi="Arial"/>
                <w:sz w:val="10"/>
                <w:szCs w:val="10"/>
                <w:color w:val="auto"/>
              </w:rPr>
              <w:t>3. SUBTITLE</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76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760" w:type="dxa"/>
            <w:vAlign w:val="bottom"/>
          </w:tcPr>
          <w:p>
            <w:pPr>
              <w:ind w:left="1340"/>
              <w:spacing w:after="0"/>
              <w:rPr>
                <w:sz w:val="20"/>
                <w:szCs w:val="20"/>
                <w:color w:val="auto"/>
              </w:rPr>
            </w:pPr>
            <w:r>
              <w:rPr>
                <w:rFonts w:ascii="Arial" w:cs="Arial" w:eastAsia="Arial" w:hAnsi="Arial"/>
                <w:sz w:val="16"/>
                <w:szCs w:val="16"/>
                <w:color w:val="auto"/>
              </w:rPr>
              <w:t>A006</w:t>
            </w:r>
          </w:p>
        </w:tc>
        <w:tc>
          <w:tcPr>
            <w:tcW w:w="3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4"/>
                <w:szCs w:val="14"/>
                <w:color w:val="010101"/>
              </w:rPr>
              <w:t xml:space="preserve">Daily </w:t>
            </w:r>
            <w:r>
              <w:rPr>
                <w:rFonts w:ascii="Arial" w:cs="Arial" w:eastAsia="Arial" w:hAnsi="Arial"/>
                <w:sz w:val="14"/>
                <w:szCs w:val="14"/>
                <w:color w:val="141414"/>
              </w:rPr>
              <w:t>check</w:t>
            </w:r>
            <w:r>
              <w:rPr>
                <w:rFonts w:ascii="Arial" w:cs="Arial" w:eastAsia="Arial" w:hAnsi="Arial"/>
                <w:sz w:val="14"/>
                <w:szCs w:val="14"/>
                <w:color w:val="010101"/>
              </w:rPr>
              <w:t xml:space="preserve"> in </w:t>
            </w:r>
            <w:r>
              <w:rPr>
                <w:rFonts w:ascii="Arial" w:cs="Arial" w:eastAsia="Arial" w:hAnsi="Arial"/>
                <w:sz w:val="14"/>
                <w:szCs w:val="14"/>
                <w:color w:val="141414"/>
              </w:rPr>
              <w:t>with project staff</w:t>
            </w:r>
            <w:r>
              <w:rPr>
                <w:rFonts w:ascii="Arial" w:cs="Arial" w:eastAsia="Arial" w:hAnsi="Arial"/>
                <w:sz w:val="14"/>
                <w:szCs w:val="14"/>
                <w:color w:val="010101"/>
              </w:rPr>
              <w:t xml:space="preserve"> for </w:t>
            </w:r>
            <w:r>
              <w:rPr>
                <w:rFonts w:ascii="Arial" w:cs="Arial" w:eastAsia="Arial" w:hAnsi="Arial"/>
                <w:sz w:val="14"/>
                <w:szCs w:val="14"/>
                <w:color w:val="141414"/>
              </w:rPr>
              <w:t>COVID-19 Agreement</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180" w:type="dxa"/>
            <w:vAlign w:val="bottom"/>
            <w:tcBorders>
              <w:right w:val="single" w:sz="8" w:color="auto"/>
            </w:tcBorders>
            <w:gridSpan w:val="5"/>
            <w:vMerge w:val="continue"/>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80" w:type="dxa"/>
            <w:vAlign w:val="bottom"/>
            <w:tcBorders>
              <w:bottom w:val="single" w:sz="8" w:color="auto"/>
              <w:right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160" w:type="dxa"/>
            <w:vAlign w:val="bottom"/>
            <w:gridSpan w:val="3"/>
          </w:tcPr>
          <w:p>
            <w:pPr>
              <w:ind w:left="100"/>
              <w:spacing w:after="0"/>
              <w:rPr>
                <w:sz w:val="20"/>
                <w:szCs w:val="20"/>
                <w:color w:val="auto"/>
              </w:rPr>
            </w:pPr>
            <w:r>
              <w:rPr>
                <w:rFonts w:ascii="Arial" w:cs="Arial" w:eastAsia="Arial" w:hAnsi="Arial"/>
                <w:sz w:val="9"/>
                <w:szCs w:val="9"/>
                <w:color w:val="auto"/>
              </w:rPr>
              <w:t xml:space="preserve">4. AUTHORITY </w:t>
            </w:r>
            <w:r>
              <w:rPr>
                <w:rFonts w:ascii="Arial" w:cs="Arial" w:eastAsia="Arial" w:hAnsi="Arial"/>
                <w:sz w:val="9"/>
                <w:szCs w:val="9"/>
                <w:i w:val="1"/>
                <w:iCs w:val="1"/>
                <w:color w:val="auto"/>
              </w:rPr>
              <w:t>(Data Acquisition Document No.)</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30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9"/>
                <w:szCs w:val="9"/>
                <w:color w:val="auto"/>
              </w:rPr>
              <w:t>6. REQUIRING OFFICE</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440" w:type="dxa"/>
            <w:vAlign w:val="bottom"/>
            <w:gridSpan w:val="5"/>
          </w:tcPr>
          <w:p>
            <w:pPr>
              <w:ind w:left="1380"/>
              <w:spacing w:after="0"/>
              <w:rPr>
                <w:sz w:val="20"/>
                <w:szCs w:val="20"/>
                <w:color w:val="auto"/>
              </w:rPr>
            </w:pPr>
            <w:r>
              <w:rPr>
                <w:rFonts w:ascii="Arial" w:cs="Arial" w:eastAsia="Arial" w:hAnsi="Arial"/>
                <w:sz w:val="16"/>
                <w:szCs w:val="16"/>
                <w:color w:val="auto"/>
              </w:rPr>
              <w:t>DI-ADMN-81505</w:t>
            </w:r>
          </w:p>
        </w:tc>
        <w:tc>
          <w:tcPr>
            <w:tcW w:w="48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gridSpan w:val="2"/>
          </w:tcPr>
          <w:p>
            <w:pPr>
              <w:jc w:val="right"/>
              <w:ind w:right="1204"/>
              <w:spacing w:after="0"/>
              <w:rPr>
                <w:sz w:val="20"/>
                <w:szCs w:val="20"/>
                <w:color w:val="auto"/>
              </w:rPr>
            </w:pPr>
            <w:r>
              <w:rPr>
                <w:rFonts w:ascii="Arial" w:cs="Arial" w:eastAsia="Arial" w:hAnsi="Arial"/>
                <w:sz w:val="16"/>
                <w:szCs w:val="16"/>
                <w:color w:val="auto"/>
              </w:rPr>
              <w:t>SOW</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BARDA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7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76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9"/>
                <w:szCs w:val="9"/>
                <w:color w:val="auto"/>
              </w:rPr>
              <w:t>D</w:t>
            </w:r>
          </w:p>
        </w:tc>
        <w:tc>
          <w:tcPr>
            <w:tcW w:w="80" w:type="dxa"/>
            <w:vAlign w:val="bottom"/>
          </w:tcPr>
          <w:p>
            <w:pPr>
              <w:spacing w:after="0"/>
              <w:rPr>
                <w:sz w:val="10"/>
                <w:szCs w:val="10"/>
                <w:color w:val="auto"/>
              </w:rPr>
            </w:pPr>
          </w:p>
        </w:tc>
        <w:tc>
          <w:tcPr>
            <w:tcW w:w="1120" w:type="dxa"/>
            <w:vAlign w:val="bottom"/>
            <w:tcBorders>
              <w:right w:val="single" w:sz="8" w:color="auto"/>
            </w:tcBorders>
          </w:tcPr>
          <w:p>
            <w:pPr>
              <w:ind w:left="200"/>
              <w:spacing w:after="0"/>
              <w:rPr>
                <w:sz w:val="20"/>
                <w:szCs w:val="20"/>
                <w:color w:val="auto"/>
              </w:rPr>
            </w:pPr>
            <w:r>
              <w:rPr>
                <w:rFonts w:ascii="Arial" w:cs="Arial" w:eastAsia="Arial" w:hAnsi="Arial"/>
                <w:sz w:val="10"/>
                <w:szCs w:val="10"/>
                <w:color w:val="auto"/>
              </w:rPr>
              <w:t>9. DIST</w:t>
            </w:r>
          </w:p>
        </w:tc>
        <w:tc>
          <w:tcPr>
            <w:tcW w:w="160" w:type="dxa"/>
            <w:vAlign w:val="bottom"/>
          </w:tcPr>
          <w:p>
            <w:pPr>
              <w:spacing w:after="0"/>
              <w:rPr>
                <w:sz w:val="10"/>
                <w:szCs w:val="10"/>
                <w:color w:val="auto"/>
              </w:rPr>
            </w:pPr>
          </w:p>
        </w:tc>
        <w:tc>
          <w:tcPr>
            <w:tcW w:w="1560" w:type="dxa"/>
            <w:vAlign w:val="bottom"/>
            <w:tcBorders>
              <w:right w:val="single" w:sz="8" w:color="auto"/>
            </w:tcBorders>
            <w:gridSpan w:val="2"/>
            <w:vMerge w:val="restart"/>
          </w:tcPr>
          <w:p>
            <w:pPr>
              <w:jc w:val="right"/>
              <w:ind w:right="697"/>
              <w:spacing w:after="0"/>
              <w:rPr>
                <w:sz w:val="20"/>
                <w:szCs w:val="20"/>
                <w:color w:val="auto"/>
              </w:rPr>
            </w:pPr>
            <w:r>
              <w:rPr>
                <w:rFonts w:ascii="Arial" w:cs="Arial" w:eastAsia="Arial" w:hAnsi="Arial"/>
                <w:sz w:val="9"/>
                <w:szCs w:val="9"/>
                <w:color w:val="auto"/>
              </w:rPr>
              <w:t>10. FREQUENCY</w:t>
            </w:r>
          </w:p>
        </w:tc>
        <w:tc>
          <w:tcPr>
            <w:tcW w:w="1980" w:type="dxa"/>
            <w:vAlign w:val="bottom"/>
            <w:gridSpan w:val="2"/>
            <w:vMerge w:val="restart"/>
          </w:tcPr>
          <w:p>
            <w:pPr>
              <w:jc w:val="right"/>
              <w:ind w:right="424"/>
              <w:spacing w:after="0"/>
              <w:rPr>
                <w:sz w:val="20"/>
                <w:szCs w:val="20"/>
                <w:color w:val="auto"/>
              </w:rPr>
            </w:pPr>
            <w:r>
              <w:rPr>
                <w:rFonts w:ascii="Arial" w:cs="Arial" w:eastAsia="Arial" w:hAnsi="Arial"/>
                <w:sz w:val="9"/>
                <w:szCs w:val="9"/>
                <w:color w:val="auto"/>
              </w:rPr>
              <w:t>12. DATE OF FIRST SUBMISSION</w:t>
            </w:r>
          </w:p>
        </w:tc>
        <w:tc>
          <w:tcPr>
            <w:tcW w:w="40" w:type="dxa"/>
            <w:vAlign w:val="bottom"/>
          </w:tcPr>
          <w:p>
            <w:pPr>
              <w:spacing w:after="0"/>
              <w:rPr>
                <w:sz w:val="10"/>
                <w:szCs w:val="10"/>
                <w:color w:val="auto"/>
              </w:rPr>
            </w:pPr>
          </w:p>
        </w:tc>
        <w:tc>
          <w:tcPr>
            <w:tcW w:w="1120" w:type="dxa"/>
            <w:vAlign w:val="bottom"/>
            <w:vMerge w:val="restart"/>
          </w:tcPr>
          <w:p>
            <w:pPr>
              <w:ind w:left="60"/>
              <w:spacing w:after="0"/>
              <w:rPr>
                <w:sz w:val="20"/>
                <w:szCs w:val="20"/>
                <w:color w:val="auto"/>
              </w:rPr>
            </w:pPr>
            <w:r>
              <w:rPr>
                <w:rFonts w:ascii="Arial" w:cs="Arial" w:eastAsia="Arial" w:hAnsi="Arial"/>
                <w:sz w:val="10"/>
                <w:szCs w:val="10"/>
                <w:color w:val="auto"/>
              </w:rPr>
              <w:t>14.  DISTRIBUTION</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760" w:type="dxa"/>
            <w:vAlign w:val="bottom"/>
            <w:vMerge w:val="continue"/>
          </w:tcPr>
          <w:p>
            <w:pPr>
              <w:spacing w:after="0"/>
              <w:rPr>
                <w:sz w:val="3"/>
                <w:szCs w:val="3"/>
                <w:color w:val="auto"/>
              </w:rPr>
            </w:pPr>
          </w:p>
        </w:tc>
        <w:tc>
          <w:tcPr>
            <w:tcW w:w="32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right w:val="single" w:sz="8" w:color="auto"/>
            </w:tcBorders>
            <w:vMerge w:val="restart"/>
          </w:tcPr>
          <w:p>
            <w:pPr>
              <w:ind w:left="200"/>
              <w:spacing w:after="0" w:line="108" w:lineRule="exact"/>
              <w:rPr>
                <w:sz w:val="20"/>
                <w:szCs w:val="20"/>
                <w:color w:val="auto"/>
              </w:rPr>
            </w:pPr>
            <w:r>
              <w:rPr>
                <w:rFonts w:ascii="Arial" w:cs="Arial" w:eastAsia="Arial" w:hAnsi="Arial"/>
                <w:sz w:val="10"/>
                <w:szCs w:val="10"/>
                <w:color w:val="auto"/>
              </w:rPr>
              <w:t>STATEMENT</w:t>
            </w:r>
          </w:p>
        </w:tc>
        <w:tc>
          <w:tcPr>
            <w:tcW w:w="160" w:type="dxa"/>
            <w:vAlign w:val="bottom"/>
          </w:tcPr>
          <w:p>
            <w:pPr>
              <w:spacing w:after="0"/>
              <w:rPr>
                <w:sz w:val="3"/>
                <w:szCs w:val="3"/>
                <w:color w:val="auto"/>
              </w:rPr>
            </w:pPr>
          </w:p>
        </w:tc>
        <w:tc>
          <w:tcPr>
            <w:tcW w:w="1560" w:type="dxa"/>
            <w:vAlign w:val="bottom"/>
            <w:tcBorders>
              <w:right w:val="single" w:sz="8" w:color="auto"/>
            </w:tcBorders>
            <w:gridSpan w:val="2"/>
            <w:vMerge w:val="continue"/>
          </w:tcPr>
          <w:p>
            <w:pPr>
              <w:spacing w:after="0"/>
              <w:rPr>
                <w:sz w:val="3"/>
                <w:szCs w:val="3"/>
                <w:color w:val="auto"/>
              </w:rPr>
            </w:pPr>
          </w:p>
        </w:tc>
        <w:tc>
          <w:tcPr>
            <w:tcW w:w="19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9"/>
        </w:trPr>
        <w:tc>
          <w:tcPr>
            <w:tcW w:w="176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3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tcBorders>
              <w:right w:val="single" w:sz="8" w:color="auto"/>
            </w:tcBorders>
            <w:gridSpan w:val="2"/>
            <w:vMerge w:val="restart"/>
          </w:tcPr>
          <w:p>
            <w:pPr>
              <w:jc w:val="right"/>
              <w:ind w:right="377"/>
              <w:spacing w:after="0" w:line="159" w:lineRule="exact"/>
              <w:rPr>
                <w:sz w:val="20"/>
                <w:szCs w:val="20"/>
                <w:color w:val="auto"/>
              </w:rPr>
            </w:pPr>
            <w:r>
              <w:rPr>
                <w:rFonts w:ascii="Arial" w:cs="Arial" w:eastAsia="Arial" w:hAnsi="Arial"/>
                <w:sz w:val="16"/>
                <w:szCs w:val="16"/>
                <w:color w:val="auto"/>
              </w:rPr>
              <w:t>see remarks</w:t>
            </w:r>
          </w:p>
        </w:tc>
        <w:tc>
          <w:tcPr>
            <w:tcW w:w="1980" w:type="dxa"/>
            <w:vAlign w:val="bottom"/>
            <w:gridSpan w:val="2"/>
            <w:vMerge w:val="restart"/>
          </w:tcPr>
          <w:p>
            <w:pPr>
              <w:jc w:val="right"/>
              <w:ind w:right="424"/>
              <w:spacing w:after="0" w:line="159" w:lineRule="exact"/>
              <w:rPr>
                <w:sz w:val="20"/>
                <w:szCs w:val="20"/>
                <w:color w:val="auto"/>
              </w:rPr>
            </w:pPr>
            <w:r>
              <w:rPr>
                <w:rFonts w:ascii="Arial" w:cs="Arial" w:eastAsia="Arial" w:hAnsi="Arial"/>
                <w:sz w:val="16"/>
                <w:szCs w:val="16"/>
                <w:color w:val="auto"/>
              </w:rPr>
              <w:t>see remarks</w:t>
            </w:r>
          </w:p>
        </w:tc>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176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0"/>
                <w:szCs w:val="10"/>
                <w:color w:val="auto"/>
              </w:rPr>
              <w:t>REQUIRED</w:t>
            </w:r>
          </w:p>
        </w:tc>
        <w:tc>
          <w:tcPr>
            <w:tcW w:w="160" w:type="dxa"/>
            <w:vAlign w:val="bottom"/>
          </w:tcPr>
          <w:p>
            <w:pPr>
              <w:spacing w:after="0"/>
              <w:rPr>
                <w:sz w:val="3"/>
                <w:szCs w:val="3"/>
                <w:color w:val="auto"/>
              </w:rPr>
            </w:pPr>
          </w:p>
        </w:tc>
        <w:tc>
          <w:tcPr>
            <w:tcW w:w="1560" w:type="dxa"/>
            <w:vAlign w:val="bottom"/>
            <w:tcBorders>
              <w:right w:val="single" w:sz="8" w:color="auto"/>
            </w:tcBorders>
            <w:gridSpan w:val="2"/>
            <w:vMerge w:val="continue"/>
          </w:tcPr>
          <w:p>
            <w:pPr>
              <w:spacing w:after="0"/>
              <w:rPr>
                <w:sz w:val="3"/>
                <w:szCs w:val="3"/>
                <w:color w:val="auto"/>
              </w:rPr>
            </w:pPr>
          </w:p>
        </w:tc>
        <w:tc>
          <w:tcPr>
            <w:tcW w:w="19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7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right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Borders>
              <w:right w:val="single" w:sz="8" w:color="auto"/>
            </w:tcBorders>
            <w:gridSpan w:val="2"/>
            <w:vMerge w:val="continue"/>
          </w:tcPr>
          <w:p>
            <w:pPr>
              <w:spacing w:after="0"/>
              <w:rPr>
                <w:sz w:val="2"/>
                <w:szCs w:val="2"/>
                <w:color w:val="auto"/>
              </w:rPr>
            </w:pPr>
          </w:p>
        </w:tc>
        <w:tc>
          <w:tcPr>
            <w:tcW w:w="19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
        </w:trPr>
        <w:tc>
          <w:tcPr>
            <w:tcW w:w="17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right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ind w:left="100"/>
              <w:spacing w:after="0"/>
              <w:rPr>
                <w:sz w:val="20"/>
                <w:szCs w:val="20"/>
                <w:color w:val="auto"/>
              </w:rPr>
            </w:pPr>
            <w:r>
              <w:rPr>
                <w:rFonts w:ascii="Arial" w:cs="Arial" w:eastAsia="Arial" w:hAnsi="Arial"/>
                <w:sz w:val="10"/>
                <w:szCs w:val="10"/>
                <w:color w:val="auto"/>
              </w:rPr>
              <w:t>b. COPIES</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76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6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9"/>
                <w:szCs w:val="9"/>
                <w:color w:val="auto"/>
              </w:rPr>
              <w:t>A</w:t>
            </w:r>
          </w:p>
        </w:tc>
        <w:tc>
          <w:tcPr>
            <w:tcW w:w="8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tcBorders>
              <w:right w:val="single" w:sz="8" w:color="auto"/>
            </w:tcBorders>
            <w:gridSpan w:val="2"/>
          </w:tcPr>
          <w:p>
            <w:pPr>
              <w:jc w:val="right"/>
              <w:ind w:right="697"/>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2"/>
          </w:tcPr>
          <w:p>
            <w:pPr>
              <w:jc w:val="right"/>
              <w:ind w:right="4"/>
              <w:spacing w:after="0" w:line="102" w:lineRule="exact"/>
              <w:rPr>
                <w:sz w:val="20"/>
                <w:szCs w:val="20"/>
                <w:color w:val="auto"/>
              </w:rPr>
            </w:pPr>
            <w:r>
              <w:rPr>
                <w:rFonts w:ascii="Arial" w:cs="Arial" w:eastAsia="Arial" w:hAnsi="Arial"/>
                <w:sz w:val="9"/>
                <w:szCs w:val="9"/>
                <w:color w:val="auto"/>
              </w:rPr>
              <w:t>13. DATE OF SUBSEQUENT SUBMISSION</w:t>
            </w:r>
          </w:p>
        </w:tc>
        <w:tc>
          <w:tcPr>
            <w:tcW w:w="40" w:type="dxa"/>
            <w:vAlign w:val="bottom"/>
          </w:tcPr>
          <w:p>
            <w:pPr>
              <w:spacing w:after="0"/>
              <w:rPr>
                <w:sz w:val="8"/>
                <w:szCs w:val="8"/>
                <w:color w:val="auto"/>
              </w:rPr>
            </w:pPr>
          </w:p>
        </w:tc>
        <w:tc>
          <w:tcPr>
            <w:tcW w:w="1120" w:type="dxa"/>
            <w:vAlign w:val="bottom"/>
            <w:vMerge w:val="restart"/>
          </w:tcPr>
          <w:p>
            <w:pPr>
              <w:ind w:left="400"/>
              <w:spacing w:after="0"/>
              <w:rPr>
                <w:sz w:val="20"/>
                <w:szCs w:val="20"/>
                <w:color w:val="auto"/>
              </w:rPr>
            </w:pPr>
            <w:r>
              <w:rPr>
                <w:rFonts w:ascii="Arial" w:cs="Arial" w:eastAsia="Arial" w:hAnsi="Arial"/>
                <w:sz w:val="10"/>
                <w:szCs w:val="10"/>
                <w:color w:val="auto"/>
                <w:w w:val="96"/>
              </w:rPr>
              <w:t>a. ADDRESSEE</w:t>
            </w: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760" w:type="dxa"/>
            <w:vAlign w:val="bottom"/>
            <w:vMerge w:val="continue"/>
          </w:tcPr>
          <w:p>
            <w:pPr>
              <w:spacing w:after="0"/>
              <w:rPr>
                <w:sz w:val="4"/>
                <w:szCs w:val="4"/>
                <w:color w:val="auto"/>
              </w:rPr>
            </w:pPr>
          </w:p>
        </w:tc>
        <w:tc>
          <w:tcPr>
            <w:tcW w:w="32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1980" w:type="dxa"/>
            <w:vAlign w:val="bottom"/>
            <w:gridSpan w:val="2"/>
            <w:vMerge w:val="restart"/>
          </w:tcPr>
          <w:p>
            <w:pPr>
              <w:jc w:val="right"/>
              <w:ind w:right="424"/>
              <w:spacing w:after="0" w:line="148" w:lineRule="exact"/>
              <w:rPr>
                <w:sz w:val="20"/>
                <w:szCs w:val="20"/>
                <w:color w:val="auto"/>
              </w:rPr>
            </w:pPr>
            <w:r>
              <w:rPr>
                <w:rFonts w:ascii="Arial" w:cs="Arial" w:eastAsia="Arial" w:hAnsi="Arial"/>
                <w:sz w:val="16"/>
                <w:szCs w:val="16"/>
                <w:color w:val="auto"/>
              </w:rPr>
              <w:t>see remarks</w:t>
            </w:r>
          </w:p>
        </w:tc>
        <w:tc>
          <w:tcPr>
            <w:tcW w:w="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760" w:type="dxa"/>
            <w:vAlign w:val="bottom"/>
          </w:tcPr>
          <w:p>
            <w:pPr>
              <w:ind w:left="40"/>
              <w:spacing w:after="0" w:line="91" w:lineRule="exact"/>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3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9"/>
                <w:szCs w:val="9"/>
                <w:color w:val="auto"/>
              </w:rPr>
              <w:t>Draft</w:t>
            </w: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6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40"/>
              <w:spacing w:after="0"/>
              <w:rPr>
                <w:sz w:val="20"/>
                <w:szCs w:val="20"/>
                <w:color w:val="auto"/>
              </w:rPr>
            </w:pPr>
            <w:r>
              <w:rPr>
                <w:rFonts w:ascii="Arial" w:cs="Arial" w:eastAsia="Arial" w:hAnsi="Arial"/>
                <w:sz w:val="10"/>
                <w:szCs w:val="10"/>
                <w:color w:val="auto"/>
              </w:rPr>
              <w:t>Reg</w:t>
            </w:r>
          </w:p>
        </w:tc>
        <w:tc>
          <w:tcPr>
            <w:tcW w:w="48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76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6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760" w:type="dxa"/>
            <w:vAlign w:val="bottom"/>
          </w:tcPr>
          <w:p>
            <w:pPr>
              <w:ind w:left="100"/>
              <w:spacing w:after="0"/>
              <w:rPr>
                <w:sz w:val="20"/>
                <w:szCs w:val="20"/>
                <w:color w:val="auto"/>
              </w:rPr>
            </w:pPr>
            <w:r>
              <w:rPr>
                <w:rFonts w:ascii="Arial" w:cs="Arial" w:eastAsia="Arial" w:hAnsi="Arial"/>
                <w:sz w:val="9"/>
                <w:szCs w:val="9"/>
                <w:color w:val="auto"/>
              </w:rPr>
              <w:t>16. REMARKS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ind w:left="60"/>
              <w:spacing w:after="0"/>
              <w:rPr>
                <w:sz w:val="20"/>
                <w:szCs w:val="20"/>
                <w:color w:val="auto"/>
              </w:rPr>
            </w:pPr>
            <w:r>
              <w:rPr>
                <w:rFonts w:ascii="Arial" w:cs="Arial" w:eastAsia="Arial" w:hAnsi="Arial"/>
                <w:sz w:val="14"/>
                <w:szCs w:val="14"/>
                <w:color w:val="auto"/>
              </w:rPr>
              <w:t>BARDA</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1</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4"/>
                <w:szCs w:val="14"/>
                <w:color w:val="auto"/>
              </w:rPr>
              <w:t>JPEO CBRND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1</w:t>
            </w: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80" w:right="4700"/>
        <w:spacing w:after="0" w:line="244" w:lineRule="auto"/>
        <w:rPr>
          <w:sz w:val="20"/>
          <w:szCs w:val="20"/>
          <w:color w:val="auto"/>
        </w:rPr>
      </w:pPr>
      <w:r>
        <w:rPr>
          <w:rFonts w:ascii="Arial" w:cs="Arial" w:eastAsia="Arial" w:hAnsi="Arial"/>
          <w:sz w:val="14"/>
          <w:szCs w:val="14"/>
          <w:color w:val="2A2A2A"/>
        </w:rPr>
        <w:drawing>
          <wp:anchor simplePos="0" relativeHeight="251657728" behindDoc="1" locked="0" layoutInCell="0" allowOverlap="1">
            <wp:simplePos x="0" y="0"/>
            <wp:positionH relativeFrom="page">
              <wp:posOffset>4648835</wp:posOffset>
            </wp:positionH>
            <wp:positionV relativeFrom="page">
              <wp:posOffset>268605</wp:posOffset>
            </wp:positionV>
            <wp:extent cx="1963420" cy="79978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963420" cy="799782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79978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7997825"/>
                    </a:xfrm>
                    <a:prstGeom prst="rect">
                      <a:avLst/>
                    </a:prstGeom>
                    <a:noFill/>
                  </pic:spPr>
                </pic:pic>
              </a:graphicData>
            </a:graphic>
          </wp:anchor>
        </w:drawing>
        <w:t xml:space="preserve">Upon </w:t>
      </w:r>
      <w:r>
        <w:rPr>
          <w:rFonts w:ascii="Arial" w:cs="Arial" w:eastAsia="Arial" w:hAnsi="Arial"/>
          <w:sz w:val="14"/>
          <w:szCs w:val="14"/>
          <w:color w:val="141414"/>
        </w:rPr>
        <w:t>request</w:t>
      </w:r>
      <w:r>
        <w:rPr>
          <w:rFonts w:ascii="Arial" w:cs="Arial" w:eastAsia="Arial" w:hAnsi="Arial"/>
          <w:sz w:val="14"/>
          <w:szCs w:val="14"/>
          <w:color w:val="2A2A2A"/>
        </w:rPr>
        <w:t xml:space="preserve"> of </w:t>
      </w:r>
      <w:r>
        <w:rPr>
          <w:rFonts w:ascii="Arial" w:cs="Arial" w:eastAsia="Arial" w:hAnsi="Arial"/>
          <w:sz w:val="14"/>
          <w:szCs w:val="14"/>
          <w:color w:val="141414"/>
        </w:rPr>
        <w:t>the</w:t>
      </w:r>
      <w:r>
        <w:rPr>
          <w:rFonts w:ascii="Arial" w:cs="Arial" w:eastAsia="Arial" w:hAnsi="Arial"/>
          <w:sz w:val="14"/>
          <w:szCs w:val="14"/>
          <w:color w:val="2A2A2A"/>
        </w:rPr>
        <w:t xml:space="preserve"> Government, </w:t>
      </w:r>
      <w:r>
        <w:rPr>
          <w:rFonts w:ascii="Arial" w:cs="Arial" w:eastAsia="Arial" w:hAnsi="Arial"/>
          <w:sz w:val="14"/>
          <w:szCs w:val="14"/>
          <w:color w:val="141414"/>
        </w:rPr>
        <w:t>the contractor</w:t>
      </w:r>
      <w:r>
        <w:rPr>
          <w:rFonts w:ascii="Arial" w:cs="Arial" w:eastAsia="Arial" w:hAnsi="Arial"/>
          <w:sz w:val="14"/>
          <w:szCs w:val="14"/>
          <w:color w:val="2A2A2A"/>
        </w:rPr>
        <w:t xml:space="preserve"> shall </w:t>
      </w:r>
      <w:r>
        <w:rPr>
          <w:rFonts w:ascii="Arial" w:cs="Arial" w:eastAsia="Arial" w:hAnsi="Arial"/>
          <w:sz w:val="14"/>
          <w:szCs w:val="14"/>
          <w:color w:val="141414"/>
        </w:rPr>
        <w:t>participate in</w:t>
      </w:r>
      <w:r>
        <w:rPr>
          <w:rFonts w:ascii="Arial" w:cs="Arial" w:eastAsia="Arial" w:hAnsi="Arial"/>
          <w:sz w:val="14"/>
          <w:szCs w:val="14"/>
          <w:color w:val="2A2A2A"/>
        </w:rPr>
        <w:t xml:space="preserve"> a daily </w:t>
      </w:r>
      <w:r>
        <w:rPr>
          <w:rFonts w:ascii="Arial" w:cs="Arial" w:eastAsia="Arial" w:hAnsi="Arial"/>
          <w:sz w:val="14"/>
          <w:szCs w:val="14"/>
          <w:color w:val="141414"/>
        </w:rPr>
        <w:t>check-in update</w:t>
      </w:r>
      <w:r>
        <w:rPr>
          <w:rFonts w:ascii="Arial" w:cs="Arial" w:eastAsia="Arial" w:hAnsi="Arial"/>
          <w:sz w:val="14"/>
          <w:szCs w:val="14"/>
          <w:color w:val="2A2A2A"/>
        </w:rPr>
        <w:t xml:space="preserve"> </w:t>
      </w:r>
      <w:r>
        <w:rPr>
          <w:rFonts w:ascii="Arial" w:cs="Arial" w:eastAsia="Arial" w:hAnsi="Arial"/>
          <w:sz w:val="14"/>
          <w:szCs w:val="14"/>
          <w:color w:val="010101"/>
        </w:rPr>
        <w:t xml:space="preserve">if necessary </w:t>
      </w:r>
      <w:r>
        <w:rPr>
          <w:rFonts w:ascii="Arial" w:cs="Arial" w:eastAsia="Arial" w:hAnsi="Arial"/>
          <w:sz w:val="14"/>
          <w:szCs w:val="14"/>
          <w:color w:val="141414"/>
        </w:rPr>
        <w:t>with the</w:t>
      </w:r>
      <w:r>
        <w:rPr>
          <w:rFonts w:ascii="Arial" w:cs="Arial" w:eastAsia="Arial" w:hAnsi="Arial"/>
          <w:sz w:val="14"/>
          <w:szCs w:val="14"/>
          <w:color w:val="010101"/>
        </w:rPr>
        <w:t xml:space="preserve"> Proje</w:t>
      </w:r>
      <w:r>
        <w:rPr>
          <w:rFonts w:ascii="Arial" w:cs="Arial" w:eastAsia="Arial" w:hAnsi="Arial"/>
          <w:sz w:val="14"/>
          <w:szCs w:val="14"/>
          <w:color w:val="2A2A2A"/>
        </w:rPr>
        <w:t>ct</w:t>
      </w:r>
      <w:r>
        <w:rPr>
          <w:rFonts w:ascii="Arial" w:cs="Arial" w:eastAsia="Arial" w:hAnsi="Arial"/>
          <w:sz w:val="14"/>
          <w:szCs w:val="14"/>
          <w:color w:val="010101"/>
        </w:rPr>
        <w:t xml:space="preserve"> Managers </w:t>
      </w:r>
      <w:r>
        <w:rPr>
          <w:rFonts w:ascii="Arial" w:cs="Arial" w:eastAsia="Arial" w:hAnsi="Arial"/>
          <w:sz w:val="14"/>
          <w:szCs w:val="14"/>
          <w:color w:val="141414"/>
        </w:rPr>
        <w:t>and additional</w:t>
      </w:r>
      <w:r>
        <w:rPr>
          <w:rFonts w:ascii="Arial" w:cs="Arial" w:eastAsia="Arial" w:hAnsi="Arial"/>
          <w:sz w:val="14"/>
          <w:szCs w:val="14"/>
          <w:color w:val="010101"/>
        </w:rPr>
        <w:t xml:space="preserve"> project st</w:t>
      </w:r>
      <w:r>
        <w:rPr>
          <w:rFonts w:ascii="Arial" w:cs="Arial" w:eastAsia="Arial" w:hAnsi="Arial"/>
          <w:sz w:val="14"/>
          <w:szCs w:val="14"/>
          <w:color w:val="2A2A2A"/>
        </w:rPr>
        <w:t>a</w:t>
      </w:r>
      <w:r>
        <w:rPr>
          <w:rFonts w:ascii="Arial" w:cs="Arial" w:eastAsia="Arial" w:hAnsi="Arial"/>
          <w:sz w:val="14"/>
          <w:szCs w:val="14"/>
          <w:color w:val="010101"/>
        </w:rPr>
        <w:t xml:space="preserve">ff </w:t>
      </w:r>
      <w:r>
        <w:rPr>
          <w:rFonts w:ascii="Arial" w:cs="Arial" w:eastAsia="Arial" w:hAnsi="Arial"/>
          <w:sz w:val="14"/>
          <w:szCs w:val="14"/>
          <w:color w:val="2A2A2A"/>
        </w:rPr>
        <w:t>as</w:t>
      </w:r>
      <w:r>
        <w:rPr>
          <w:rFonts w:ascii="Arial" w:cs="Arial" w:eastAsia="Arial" w:hAnsi="Arial"/>
          <w:sz w:val="14"/>
          <w:szCs w:val="14"/>
          <w:color w:val="010101"/>
        </w:rPr>
        <w:t xml:space="preserve"> n</w:t>
      </w:r>
      <w:r>
        <w:rPr>
          <w:rFonts w:ascii="Arial" w:cs="Arial" w:eastAsia="Arial" w:hAnsi="Arial"/>
          <w:sz w:val="14"/>
          <w:szCs w:val="14"/>
          <w:color w:val="2A2A2A"/>
        </w:rPr>
        <w:t>ee</w:t>
      </w:r>
      <w:r>
        <w:rPr>
          <w:rFonts w:ascii="Arial" w:cs="Arial" w:eastAsia="Arial" w:hAnsi="Arial"/>
          <w:sz w:val="14"/>
          <w:szCs w:val="14"/>
          <w:color w:val="010101"/>
        </w:rPr>
        <w:t xml:space="preserve">ded </w:t>
      </w:r>
      <w:r>
        <w:rPr>
          <w:rFonts w:ascii="Arial" w:cs="Arial" w:eastAsia="Arial" w:hAnsi="Arial"/>
          <w:sz w:val="14"/>
          <w:szCs w:val="14"/>
          <w:color w:val="141414"/>
        </w:rPr>
        <w:t>(via</w:t>
      </w:r>
      <w:r>
        <w:rPr>
          <w:rFonts w:ascii="Arial" w:cs="Arial" w:eastAsia="Arial" w:hAnsi="Arial"/>
          <w:sz w:val="14"/>
          <w:szCs w:val="14"/>
          <w:color w:val="010101"/>
        </w:rPr>
        <w:t xml:space="preserve"> </w:t>
      </w:r>
      <w:r>
        <w:rPr>
          <w:rFonts w:ascii="Arial" w:cs="Arial" w:eastAsia="Arial" w:hAnsi="Arial"/>
          <w:sz w:val="14"/>
          <w:szCs w:val="14"/>
          <w:color w:val="141414"/>
        </w:rPr>
        <w:t xml:space="preserve">teleconference or </w:t>
      </w:r>
      <w:r>
        <w:rPr>
          <w:rFonts w:ascii="Arial" w:cs="Arial" w:eastAsia="Arial" w:hAnsi="Arial"/>
          <w:sz w:val="14"/>
          <w:szCs w:val="14"/>
          <w:color w:val="010101"/>
        </w:rPr>
        <w:t>email).</w:t>
      </w:r>
      <w:r>
        <w:rPr>
          <w:rFonts w:ascii="Arial" w:cs="Arial" w:eastAsia="Arial" w:hAnsi="Arial"/>
          <w:sz w:val="14"/>
          <w:szCs w:val="14"/>
          <w:color w:val="141414"/>
        </w:rPr>
        <w:t xml:space="preserve"> Potential triggers for the check-in </w:t>
      </w:r>
      <w:r>
        <w:rPr>
          <w:rFonts w:ascii="Arial" w:cs="Arial" w:eastAsia="Arial" w:hAnsi="Arial"/>
          <w:sz w:val="14"/>
          <w:szCs w:val="14"/>
          <w:color w:val="010101"/>
        </w:rPr>
        <w:t>include but</w:t>
      </w:r>
      <w:r>
        <w:rPr>
          <w:rFonts w:ascii="Arial" w:cs="Arial" w:eastAsia="Arial" w:hAnsi="Arial"/>
          <w:sz w:val="14"/>
          <w:szCs w:val="14"/>
          <w:color w:val="141414"/>
        </w:rPr>
        <w:t xml:space="preserve"> are </w:t>
      </w:r>
      <w:r>
        <w:rPr>
          <w:rFonts w:ascii="Arial" w:cs="Arial" w:eastAsia="Arial" w:hAnsi="Arial"/>
          <w:sz w:val="14"/>
          <w:szCs w:val="14"/>
          <w:color w:val="010101"/>
        </w:rPr>
        <w:t>not limited</w:t>
      </w:r>
      <w:r>
        <w:rPr>
          <w:rFonts w:ascii="Arial" w:cs="Arial" w:eastAsia="Arial" w:hAnsi="Arial"/>
          <w:sz w:val="14"/>
          <w:szCs w:val="14"/>
          <w:color w:val="141414"/>
        </w:rPr>
        <w:t xml:space="preserve"> to regulatory status changes, manufacturing and or/distribution problems that will affect delivery.</w:t>
      </w:r>
    </w:p>
    <w:p>
      <w:pPr>
        <w:spacing w:after="0" w:line="223" w:lineRule="exact"/>
        <w:rPr>
          <w:sz w:val="20"/>
          <w:szCs w:val="20"/>
          <w:color w:val="auto"/>
        </w:rPr>
      </w:pPr>
    </w:p>
    <w:p>
      <w:pPr>
        <w:jc w:val="both"/>
        <w:ind w:left="180" w:right="4780"/>
        <w:spacing w:after="0" w:line="247" w:lineRule="auto"/>
        <w:rPr>
          <w:sz w:val="20"/>
          <w:szCs w:val="20"/>
          <w:color w:val="auto"/>
        </w:rPr>
      </w:pPr>
      <w:r>
        <w:rPr>
          <w:rFonts w:ascii="Arial" w:cs="Arial" w:eastAsia="Arial" w:hAnsi="Arial"/>
          <w:sz w:val="14"/>
          <w:szCs w:val="14"/>
          <w:color w:val="141414"/>
        </w:rPr>
        <w:t xml:space="preserve">Daily check-ins may </w:t>
      </w:r>
      <w:r>
        <w:rPr>
          <w:rFonts w:ascii="Arial" w:cs="Arial" w:eastAsia="Arial" w:hAnsi="Arial"/>
          <w:sz w:val="14"/>
          <w:szCs w:val="14"/>
          <w:color w:val="2A2A2A"/>
        </w:rPr>
        <w:t>occur on</w:t>
      </w:r>
      <w:r>
        <w:rPr>
          <w:rFonts w:ascii="Arial" w:cs="Arial" w:eastAsia="Arial" w:hAnsi="Arial"/>
          <w:sz w:val="14"/>
          <w:szCs w:val="14"/>
          <w:color w:val="141414"/>
        </w:rPr>
        <w:t xml:space="preserve"> weekdays</w:t>
      </w:r>
      <w:r>
        <w:rPr>
          <w:rFonts w:ascii="Arial" w:cs="Arial" w:eastAsia="Arial" w:hAnsi="Arial"/>
          <w:sz w:val="14"/>
          <w:szCs w:val="14"/>
          <w:color w:val="454545"/>
        </w:rPr>
        <w:t>,</w:t>
      </w:r>
      <w:r>
        <w:rPr>
          <w:rFonts w:ascii="Arial" w:cs="Arial" w:eastAsia="Arial" w:hAnsi="Arial"/>
          <w:sz w:val="14"/>
          <w:szCs w:val="14"/>
          <w:color w:val="141414"/>
        </w:rPr>
        <w:t xml:space="preserve"> </w:t>
      </w:r>
      <w:r>
        <w:rPr>
          <w:rFonts w:ascii="Arial" w:cs="Arial" w:eastAsia="Arial" w:hAnsi="Arial"/>
          <w:sz w:val="14"/>
          <w:szCs w:val="14"/>
          <w:color w:val="2A2A2A"/>
        </w:rPr>
        <w:t>excluding federal</w:t>
      </w:r>
      <w:r>
        <w:rPr>
          <w:rFonts w:ascii="Arial" w:cs="Arial" w:eastAsia="Arial" w:hAnsi="Arial"/>
          <w:sz w:val="14"/>
          <w:szCs w:val="14"/>
          <w:color w:val="141414"/>
        </w:rPr>
        <w:t xml:space="preserve"> holidays. Upon request </w:t>
      </w:r>
      <w:r>
        <w:rPr>
          <w:rFonts w:ascii="Arial" w:cs="Arial" w:eastAsia="Arial" w:hAnsi="Arial"/>
          <w:sz w:val="14"/>
          <w:szCs w:val="14"/>
          <w:color w:val="2A2A2A"/>
        </w:rPr>
        <w:t>of</w:t>
      </w:r>
      <w:r>
        <w:rPr>
          <w:rFonts w:ascii="Arial" w:cs="Arial" w:eastAsia="Arial" w:hAnsi="Arial"/>
          <w:sz w:val="14"/>
          <w:szCs w:val="14"/>
          <w:color w:val="141414"/>
        </w:rPr>
        <w:t xml:space="preserve"> the Government, check-ins </w:t>
      </w:r>
      <w:r>
        <w:rPr>
          <w:rFonts w:ascii="Arial" w:cs="Arial" w:eastAsia="Arial" w:hAnsi="Arial"/>
          <w:sz w:val="14"/>
          <w:szCs w:val="14"/>
          <w:color w:val="010101"/>
        </w:rPr>
        <w:t>may</w:t>
      </w:r>
      <w:r>
        <w:rPr>
          <w:rFonts w:ascii="Arial" w:cs="Arial" w:eastAsia="Arial" w:hAnsi="Arial"/>
          <w:sz w:val="14"/>
          <w:szCs w:val="14"/>
          <w:color w:val="141414"/>
        </w:rPr>
        <w:t xml:space="preserve"> also </w:t>
      </w:r>
      <w:r>
        <w:rPr>
          <w:rFonts w:ascii="Arial" w:cs="Arial" w:eastAsia="Arial" w:hAnsi="Arial"/>
          <w:sz w:val="14"/>
          <w:szCs w:val="14"/>
          <w:color w:val="010101"/>
        </w:rPr>
        <w:t>occur on</w:t>
      </w:r>
      <w:r>
        <w:rPr>
          <w:rFonts w:ascii="Arial" w:cs="Arial" w:eastAsia="Arial" w:hAnsi="Arial"/>
          <w:sz w:val="14"/>
          <w:szCs w:val="14"/>
          <w:color w:val="141414"/>
        </w:rPr>
        <w:t xml:space="preserve"> </w:t>
      </w:r>
      <w:r>
        <w:rPr>
          <w:rFonts w:ascii="Arial" w:cs="Arial" w:eastAsia="Arial" w:hAnsi="Arial"/>
          <w:sz w:val="14"/>
          <w:szCs w:val="14"/>
          <w:color w:val="2A2A2A"/>
        </w:rPr>
        <w:t>wee</w:t>
      </w:r>
      <w:r>
        <w:rPr>
          <w:rFonts w:ascii="Arial" w:cs="Arial" w:eastAsia="Arial" w:hAnsi="Arial"/>
          <w:sz w:val="14"/>
          <w:szCs w:val="14"/>
          <w:color w:val="010101"/>
        </w:rPr>
        <w:t>k</w:t>
      </w:r>
      <w:r>
        <w:rPr>
          <w:rFonts w:ascii="Arial" w:cs="Arial" w:eastAsia="Arial" w:hAnsi="Arial"/>
          <w:sz w:val="14"/>
          <w:szCs w:val="14"/>
          <w:color w:val="2A2A2A"/>
        </w:rPr>
        <w:t>ends</w:t>
      </w:r>
      <w:r>
        <w:rPr>
          <w:rFonts w:ascii="Arial" w:cs="Arial" w:eastAsia="Arial" w:hAnsi="Arial"/>
          <w:sz w:val="14"/>
          <w:szCs w:val="14"/>
          <w:color w:val="141414"/>
        </w:rPr>
        <w:t xml:space="preserve"> and </w:t>
      </w:r>
      <w:r>
        <w:rPr>
          <w:rFonts w:ascii="Arial" w:cs="Arial" w:eastAsia="Arial" w:hAnsi="Arial"/>
          <w:sz w:val="14"/>
          <w:szCs w:val="14"/>
          <w:color w:val="010101"/>
        </w:rPr>
        <w:t>on</w:t>
      </w:r>
      <w:r>
        <w:rPr>
          <w:rFonts w:ascii="Arial" w:cs="Arial" w:eastAsia="Arial" w:hAnsi="Arial"/>
          <w:sz w:val="14"/>
          <w:szCs w:val="14"/>
          <w:color w:val="141414"/>
        </w:rPr>
        <w:t xml:space="preserve"> federal </w:t>
      </w:r>
      <w:r>
        <w:rPr>
          <w:rFonts w:ascii="Arial" w:cs="Arial" w:eastAsia="Arial" w:hAnsi="Arial"/>
          <w:sz w:val="14"/>
          <w:szCs w:val="14"/>
          <w:color w:val="010101"/>
        </w:rPr>
        <w:t>holida</w:t>
      </w:r>
      <w:r>
        <w:rPr>
          <w:rFonts w:ascii="Arial" w:cs="Arial" w:eastAsia="Arial" w:hAnsi="Arial"/>
          <w:sz w:val="14"/>
          <w:szCs w:val="14"/>
          <w:color w:val="2A2A2A"/>
        </w:rPr>
        <w:t>ys,</w:t>
      </w:r>
      <w:r>
        <w:rPr>
          <w:rFonts w:ascii="Arial" w:cs="Arial" w:eastAsia="Arial" w:hAnsi="Arial"/>
          <w:sz w:val="14"/>
          <w:szCs w:val="14"/>
          <w:color w:val="141414"/>
        </w:rPr>
        <w:t xml:space="preserve"> provided at </w:t>
      </w:r>
      <w:r>
        <w:rPr>
          <w:rFonts w:ascii="Arial" w:cs="Arial" w:eastAsia="Arial" w:hAnsi="Arial"/>
          <w:sz w:val="14"/>
          <w:szCs w:val="14"/>
          <w:color w:val="010101"/>
        </w:rPr>
        <w:t xml:space="preserve">least </w:t>
      </w:r>
      <w:r>
        <w:rPr>
          <w:rFonts w:ascii="Arial" w:cs="Arial" w:eastAsia="Arial" w:hAnsi="Arial"/>
          <w:sz w:val="12"/>
          <w:szCs w:val="12"/>
          <w:color w:val="000000"/>
        </w:rPr>
        <w:t>[* * *]</w:t>
      </w:r>
      <w:r>
        <w:rPr>
          <w:rFonts w:ascii="Arial" w:cs="Arial" w:eastAsia="Arial" w:hAnsi="Arial"/>
          <w:sz w:val="14"/>
          <w:szCs w:val="14"/>
          <w:color w:val="010101"/>
        </w:rPr>
        <w:t>.</w:t>
      </w:r>
    </w:p>
    <w:p>
      <w:pPr>
        <w:spacing w:after="0" w:line="1" w:lineRule="exact"/>
        <w:rPr>
          <w:sz w:val="20"/>
          <w:szCs w:val="20"/>
          <w:color w:val="auto"/>
        </w:rPr>
      </w:pPr>
    </w:p>
    <w:p>
      <w:pPr>
        <w:ind w:left="180" w:right="4400" w:hanging="7"/>
        <w:spacing w:after="0" w:line="241" w:lineRule="auto"/>
        <w:tabs>
          <w:tab w:leader="none" w:pos="689" w:val="left"/>
        </w:tabs>
        <w:numPr>
          <w:ilvl w:val="0"/>
          <w:numId w:val="171"/>
        </w:numPr>
        <w:rPr>
          <w:rFonts w:ascii="Arial" w:cs="Arial" w:eastAsia="Arial" w:hAnsi="Arial"/>
          <w:sz w:val="14"/>
          <w:szCs w:val="14"/>
          <w:color w:val="141414"/>
        </w:rPr>
      </w:pPr>
      <w:r>
        <w:rPr>
          <w:rFonts w:ascii="Arial" w:cs="Arial" w:eastAsia="Arial" w:hAnsi="Arial"/>
          <w:sz w:val="14"/>
          <w:szCs w:val="14"/>
          <w:color w:val="141414"/>
        </w:rPr>
        <w:t xml:space="preserve">Preparation </w:t>
      </w:r>
      <w:r>
        <w:rPr>
          <w:rFonts w:ascii="Arial" w:cs="Arial" w:eastAsia="Arial" w:hAnsi="Arial"/>
          <w:sz w:val="14"/>
          <w:szCs w:val="14"/>
          <w:color w:val="2A2A2A"/>
        </w:rPr>
        <w:t>of</w:t>
      </w:r>
      <w:r>
        <w:rPr>
          <w:rFonts w:ascii="Arial" w:cs="Arial" w:eastAsia="Arial" w:hAnsi="Arial"/>
          <w:sz w:val="14"/>
          <w:szCs w:val="14"/>
          <w:color w:val="141414"/>
        </w:rPr>
        <w:t xml:space="preserve"> materials </w:t>
      </w:r>
      <w:r>
        <w:rPr>
          <w:rFonts w:ascii="Arial" w:cs="Arial" w:eastAsia="Arial" w:hAnsi="Arial"/>
          <w:sz w:val="14"/>
          <w:szCs w:val="14"/>
          <w:color w:val="2A2A2A"/>
        </w:rPr>
        <w:t>will</w:t>
      </w:r>
      <w:r>
        <w:rPr>
          <w:rFonts w:ascii="Arial" w:cs="Arial" w:eastAsia="Arial" w:hAnsi="Arial"/>
          <w:sz w:val="14"/>
          <w:szCs w:val="14"/>
          <w:color w:val="141414"/>
        </w:rPr>
        <w:t xml:space="preserve"> not be required but may be provided </w:t>
      </w:r>
      <w:r>
        <w:rPr>
          <w:rFonts w:ascii="Arial" w:cs="Arial" w:eastAsia="Arial" w:hAnsi="Arial"/>
          <w:sz w:val="14"/>
          <w:szCs w:val="14"/>
          <w:color w:val="2A2A2A"/>
        </w:rPr>
        <w:t>on an ad</w:t>
      </w:r>
      <w:r>
        <w:rPr>
          <w:rFonts w:ascii="Arial" w:cs="Arial" w:eastAsia="Arial" w:hAnsi="Arial"/>
          <w:sz w:val="14"/>
          <w:szCs w:val="14"/>
          <w:color w:val="141414"/>
        </w:rPr>
        <w:t xml:space="preserve"> hoc basis </w:t>
      </w:r>
      <w:r>
        <w:rPr>
          <w:rFonts w:ascii="Arial" w:cs="Arial" w:eastAsia="Arial" w:hAnsi="Arial"/>
          <w:sz w:val="14"/>
          <w:szCs w:val="14"/>
          <w:color w:val="2A2A2A"/>
        </w:rPr>
        <w:t>as</w:t>
      </w:r>
      <w:r>
        <w:rPr>
          <w:rFonts w:ascii="Arial" w:cs="Arial" w:eastAsia="Arial" w:hAnsi="Arial"/>
          <w:sz w:val="14"/>
          <w:szCs w:val="14"/>
          <w:color w:val="141414"/>
        </w:rPr>
        <w:t xml:space="preserve"> data or </w:t>
      </w:r>
      <w:r>
        <w:rPr>
          <w:rFonts w:ascii="Arial" w:cs="Arial" w:eastAsia="Arial" w:hAnsi="Arial"/>
          <w:sz w:val="14"/>
          <w:szCs w:val="14"/>
          <w:color w:val="2A2A2A"/>
        </w:rPr>
        <w:t>circumstances occur</w:t>
      </w:r>
    </w:p>
    <w:p>
      <w:pPr>
        <w:ind w:left="680" w:hanging="507"/>
        <w:spacing w:after="0"/>
        <w:tabs>
          <w:tab w:leader="none" w:pos="680" w:val="left"/>
        </w:tabs>
        <w:numPr>
          <w:ilvl w:val="0"/>
          <w:numId w:val="171"/>
        </w:numPr>
        <w:rPr>
          <w:rFonts w:ascii="Arial" w:cs="Arial" w:eastAsia="Arial" w:hAnsi="Arial"/>
          <w:sz w:val="14"/>
          <w:szCs w:val="14"/>
          <w:color w:val="141414"/>
        </w:rPr>
      </w:pPr>
      <w:r>
        <w:rPr>
          <w:rFonts w:ascii="Arial" w:cs="Arial" w:eastAsia="Arial" w:hAnsi="Arial"/>
          <w:sz w:val="14"/>
          <w:szCs w:val="14"/>
          <w:color w:val="141414"/>
        </w:rPr>
        <w:t xml:space="preserve">No agenda will </w:t>
      </w:r>
      <w:r>
        <w:rPr>
          <w:rFonts w:ascii="Arial" w:cs="Arial" w:eastAsia="Arial" w:hAnsi="Arial"/>
          <w:sz w:val="14"/>
          <w:szCs w:val="14"/>
          <w:color w:val="010101"/>
        </w:rPr>
        <w:t>be required</w:t>
      </w:r>
      <w:r>
        <w:rPr>
          <w:rFonts w:ascii="Arial" w:cs="Arial" w:eastAsia="Arial" w:hAnsi="Arial"/>
          <w:sz w:val="14"/>
          <w:szCs w:val="14"/>
          <w:color w:val="141414"/>
        </w:rPr>
        <w:t xml:space="preserve"> for </w:t>
      </w:r>
      <w:r>
        <w:rPr>
          <w:rFonts w:ascii="Arial" w:cs="Arial" w:eastAsia="Arial" w:hAnsi="Arial"/>
          <w:sz w:val="14"/>
          <w:szCs w:val="14"/>
          <w:color w:val="010101"/>
        </w:rPr>
        <w:t>the</w:t>
      </w:r>
      <w:r>
        <w:rPr>
          <w:rFonts w:ascii="Arial" w:cs="Arial" w:eastAsia="Arial" w:hAnsi="Arial"/>
          <w:sz w:val="14"/>
          <w:szCs w:val="14"/>
          <w:color w:val="141414"/>
        </w:rPr>
        <w:t xml:space="preserve"> meeting</w:t>
      </w:r>
    </w:p>
    <w:p>
      <w:pPr>
        <w:spacing w:after="0" w:line="1" w:lineRule="exact"/>
        <w:rPr>
          <w:rFonts w:ascii="Arial" w:cs="Arial" w:eastAsia="Arial" w:hAnsi="Arial"/>
          <w:sz w:val="14"/>
          <w:szCs w:val="14"/>
          <w:color w:val="141414"/>
        </w:rPr>
      </w:pPr>
    </w:p>
    <w:p>
      <w:pPr>
        <w:ind w:left="680" w:hanging="507"/>
        <w:spacing w:after="0"/>
        <w:tabs>
          <w:tab w:leader="none" w:pos="680" w:val="left"/>
        </w:tabs>
        <w:numPr>
          <w:ilvl w:val="0"/>
          <w:numId w:val="171"/>
        </w:numPr>
        <w:rPr>
          <w:rFonts w:ascii="Arial" w:cs="Arial" w:eastAsia="Arial" w:hAnsi="Arial"/>
          <w:sz w:val="14"/>
          <w:szCs w:val="14"/>
          <w:color w:val="141414"/>
        </w:rPr>
      </w:pPr>
      <w:r>
        <w:rPr>
          <w:rFonts w:ascii="Arial" w:cs="Arial" w:eastAsia="Arial" w:hAnsi="Arial"/>
          <w:sz w:val="14"/>
          <w:szCs w:val="14"/>
          <w:color w:val="141414"/>
        </w:rPr>
        <w:t>No meeting minutes are required</w:t>
      </w:r>
    </w:p>
    <w:p>
      <w:pPr>
        <w:spacing w:after="0" w:line="1" w:lineRule="exact"/>
        <w:rPr>
          <w:rFonts w:ascii="Arial" w:cs="Arial" w:eastAsia="Arial" w:hAnsi="Arial"/>
          <w:sz w:val="14"/>
          <w:szCs w:val="14"/>
          <w:color w:val="141414"/>
        </w:rPr>
      </w:pPr>
    </w:p>
    <w:p>
      <w:pPr>
        <w:ind w:left="180" w:right="4420" w:hanging="7"/>
        <w:spacing w:after="0" w:line="255" w:lineRule="auto"/>
        <w:tabs>
          <w:tab w:leader="none" w:pos="689" w:val="left"/>
        </w:tabs>
        <w:numPr>
          <w:ilvl w:val="0"/>
          <w:numId w:val="171"/>
        </w:numPr>
        <w:rPr>
          <w:rFonts w:ascii="Arial" w:cs="Arial" w:eastAsia="Arial" w:hAnsi="Arial"/>
          <w:sz w:val="14"/>
          <w:szCs w:val="14"/>
          <w:color w:val="2A2A2A"/>
        </w:rPr>
      </w:pPr>
      <w:r>
        <w:rPr>
          <w:rFonts w:ascii="Arial" w:cs="Arial" w:eastAsia="Arial" w:hAnsi="Arial"/>
          <w:sz w:val="14"/>
          <w:szCs w:val="14"/>
          <w:color w:val="141414"/>
        </w:rPr>
        <w:t xml:space="preserve">Contractor </w:t>
      </w:r>
      <w:r>
        <w:rPr>
          <w:rFonts w:ascii="Arial" w:cs="Arial" w:eastAsia="Arial" w:hAnsi="Arial"/>
          <w:sz w:val="14"/>
          <w:szCs w:val="14"/>
          <w:color w:val="2A2A2A"/>
        </w:rPr>
        <w:t>w</w:t>
      </w:r>
      <w:r>
        <w:rPr>
          <w:rFonts w:ascii="Arial" w:cs="Arial" w:eastAsia="Arial" w:hAnsi="Arial"/>
          <w:sz w:val="14"/>
          <w:szCs w:val="14"/>
          <w:color w:val="010101"/>
        </w:rPr>
        <w:t>ill</w:t>
      </w:r>
      <w:r>
        <w:rPr>
          <w:rFonts w:ascii="Arial" w:cs="Arial" w:eastAsia="Arial" w:hAnsi="Arial"/>
          <w:sz w:val="14"/>
          <w:szCs w:val="14"/>
          <w:color w:val="141414"/>
        </w:rPr>
        <w:t xml:space="preserve"> provide bulleted </w:t>
      </w:r>
      <w:r>
        <w:rPr>
          <w:rFonts w:ascii="Arial" w:cs="Arial" w:eastAsia="Arial" w:hAnsi="Arial"/>
          <w:sz w:val="14"/>
          <w:szCs w:val="14"/>
          <w:color w:val="2A2A2A"/>
        </w:rPr>
        <w:t>emai</w:t>
      </w:r>
      <w:r>
        <w:rPr>
          <w:rFonts w:ascii="Arial" w:cs="Arial" w:eastAsia="Arial" w:hAnsi="Arial"/>
          <w:sz w:val="14"/>
          <w:szCs w:val="14"/>
          <w:color w:val="010101"/>
        </w:rPr>
        <w:t>l</w:t>
      </w:r>
      <w:r>
        <w:rPr>
          <w:rFonts w:ascii="Arial" w:cs="Arial" w:eastAsia="Arial" w:hAnsi="Arial"/>
          <w:sz w:val="14"/>
          <w:szCs w:val="14"/>
          <w:color w:val="141414"/>
        </w:rPr>
        <w:t xml:space="preserve"> updates </w:t>
      </w:r>
      <w:r>
        <w:rPr>
          <w:rFonts w:ascii="Arial" w:cs="Arial" w:eastAsia="Arial" w:hAnsi="Arial"/>
          <w:sz w:val="14"/>
          <w:szCs w:val="14"/>
          <w:color w:val="010101"/>
        </w:rPr>
        <w:t>following</w:t>
      </w:r>
      <w:r>
        <w:rPr>
          <w:rFonts w:ascii="Arial" w:cs="Arial" w:eastAsia="Arial" w:hAnsi="Arial"/>
          <w:sz w:val="14"/>
          <w:szCs w:val="14"/>
          <w:color w:val="141414"/>
        </w:rPr>
        <w:t xml:space="preserve"> any call or </w:t>
      </w:r>
      <w:r>
        <w:rPr>
          <w:rFonts w:ascii="Arial" w:cs="Arial" w:eastAsia="Arial" w:hAnsi="Arial"/>
          <w:sz w:val="14"/>
          <w:szCs w:val="14"/>
          <w:color w:val="010101"/>
        </w:rPr>
        <w:t>in lieu</w:t>
      </w:r>
      <w:r>
        <w:rPr>
          <w:rFonts w:ascii="Arial" w:cs="Arial" w:eastAsia="Arial" w:hAnsi="Arial"/>
          <w:sz w:val="14"/>
          <w:szCs w:val="14"/>
          <w:color w:val="141414"/>
        </w:rPr>
        <w:t xml:space="preserve"> of a call by </w:t>
      </w:r>
      <w:r>
        <w:rPr>
          <w:rFonts w:ascii="Arial" w:cs="Arial" w:eastAsia="Arial" w:hAnsi="Arial"/>
          <w:sz w:val="14"/>
          <w:szCs w:val="14"/>
          <w:color w:val="010101"/>
        </w:rPr>
        <w:t>2</w:t>
      </w:r>
      <w:r>
        <w:rPr>
          <w:rFonts w:ascii="Arial" w:cs="Arial" w:eastAsia="Arial" w:hAnsi="Arial"/>
          <w:sz w:val="14"/>
          <w:szCs w:val="14"/>
          <w:color w:val="2A2A2A"/>
        </w:rPr>
        <w:t>PM</w:t>
      </w:r>
      <w:r>
        <w:rPr>
          <w:rFonts w:ascii="Arial" w:cs="Arial" w:eastAsia="Arial" w:hAnsi="Arial"/>
          <w:sz w:val="14"/>
          <w:szCs w:val="14"/>
          <w:color w:val="010101"/>
        </w:rPr>
        <w:t xml:space="preserve"> </w:t>
      </w:r>
      <w:r>
        <w:rPr>
          <w:rFonts w:ascii="Arial" w:cs="Arial" w:eastAsia="Arial" w:hAnsi="Arial"/>
          <w:sz w:val="14"/>
          <w:szCs w:val="14"/>
          <w:color w:val="141414"/>
        </w:rPr>
        <w:t>for</w:t>
      </w:r>
      <w:r>
        <w:rPr>
          <w:rFonts w:ascii="Arial" w:cs="Arial" w:eastAsia="Arial" w:hAnsi="Arial"/>
          <w:sz w:val="14"/>
          <w:szCs w:val="14"/>
          <w:color w:val="010101"/>
        </w:rPr>
        <w:t xml:space="preserve"> that </w:t>
      </w:r>
      <w:r>
        <w:rPr>
          <w:rFonts w:ascii="Arial" w:cs="Arial" w:eastAsia="Arial" w:hAnsi="Arial"/>
          <w:sz w:val="14"/>
          <w:szCs w:val="14"/>
          <w:color w:val="141414"/>
        </w:rPr>
        <w:t>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80" w:type="dxa"/>
            <w:vAlign w:val="bottom"/>
          </w:tcPr>
          <w:p>
            <w:pPr>
              <w:ind w:left="160"/>
              <w:spacing w:after="0"/>
              <w:rPr>
                <w:sz w:val="20"/>
                <w:szCs w:val="20"/>
                <w:color w:val="auto"/>
              </w:rPr>
            </w:pPr>
            <w:r>
              <w:rPr>
                <w:rFonts w:ascii="Arial" w:cs="Arial" w:eastAsia="Arial" w:hAnsi="Arial"/>
                <w:sz w:val="9"/>
                <w:szCs w:val="9"/>
                <w:color w:val="auto"/>
              </w:rPr>
              <w:t>15. TOTAL</w:t>
            </w:r>
          </w:p>
        </w:tc>
        <w:tc>
          <w:tcPr>
            <w:tcW w:w="480" w:type="dxa"/>
            <w:vAlign w:val="bottom"/>
            <w:vMerge w:val="restart"/>
          </w:tcPr>
          <w:p>
            <w:pPr>
              <w:ind w:left="220"/>
              <w:spacing w:after="0"/>
              <w:rPr>
                <w:sz w:val="20"/>
                <w:szCs w:val="20"/>
                <w:color w:val="auto"/>
              </w:rPr>
            </w:pPr>
            <w:r>
              <w:rPr>
                <w:rFonts w:ascii="Arial" w:cs="Arial" w:eastAsia="Arial" w:hAnsi="Arial"/>
                <w:sz w:val="14"/>
                <w:szCs w:val="14"/>
                <w:color w:val="auto"/>
              </w:rPr>
              <w:t>2</w:t>
            </w:r>
          </w:p>
        </w:tc>
        <w:tc>
          <w:tcPr>
            <w:tcW w:w="52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right"/>
              <w:ind w:right="4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740" w:type="dxa"/>
            <w:vAlign w:val="bottom"/>
            <w:tcBorders>
              <w:right w:val="single" w:sz="8" w:color="auto"/>
            </w:tcBorders>
          </w:tcPr>
          <w:p>
            <w:pPr>
              <w:spacing w:after="0"/>
              <w:rPr>
                <w:sz w:val="15"/>
                <w:szCs w:val="15"/>
                <w:color w:val="auto"/>
              </w:rPr>
            </w:pPr>
          </w:p>
        </w:tc>
        <w:tc>
          <w:tcPr>
            <w:tcW w:w="820" w:type="dxa"/>
            <w:vAlign w:val="bottom"/>
          </w:tcPr>
          <w:p>
            <w:pPr>
              <w:ind w:left="120"/>
              <w:spacing w:after="0"/>
              <w:rPr>
                <w:sz w:val="20"/>
                <w:szCs w:val="20"/>
                <w:color w:val="auto"/>
              </w:rPr>
            </w:pPr>
            <w:r>
              <w:rPr>
                <w:rFonts w:ascii="Arial" w:cs="Arial" w:eastAsia="Arial" w:hAnsi="Arial"/>
                <w:sz w:val="13"/>
                <w:szCs w:val="13"/>
                <w:b w:val="1"/>
                <w:bCs w:val="1"/>
                <w:color w:val="auto"/>
              </w:rPr>
              <w:t>H. DATE</w:t>
            </w:r>
          </w:p>
        </w:tc>
        <w:tc>
          <w:tcPr>
            <w:tcW w:w="500" w:type="dxa"/>
            <w:vAlign w:val="bottom"/>
            <w:tcBorders>
              <w:right w:val="single" w:sz="8" w:color="auto"/>
            </w:tcBorders>
          </w:tcPr>
          <w:p>
            <w:pPr>
              <w:spacing w:after="0"/>
              <w:rPr>
                <w:sz w:val="15"/>
                <w:szCs w:val="15"/>
                <w:color w:val="auto"/>
              </w:rPr>
            </w:pPr>
          </w:p>
        </w:tc>
        <w:tc>
          <w:tcPr>
            <w:tcW w:w="1460" w:type="dxa"/>
            <w:vAlign w:val="bottom"/>
          </w:tcPr>
          <w:p>
            <w:pPr>
              <w:ind w:left="300"/>
              <w:spacing w:after="0"/>
              <w:rPr>
                <w:sz w:val="20"/>
                <w:szCs w:val="20"/>
                <w:color w:val="auto"/>
              </w:rPr>
            </w:pPr>
            <w:r>
              <w:rPr>
                <w:rFonts w:ascii="Arial" w:cs="Arial" w:eastAsia="Arial" w:hAnsi="Arial"/>
                <w:sz w:val="13"/>
                <w:szCs w:val="13"/>
                <w:b w:val="1"/>
                <w:bCs w:val="1"/>
                <w:color w:val="auto"/>
              </w:rPr>
              <w:t>I. APPROVED BY</w:t>
            </w:r>
          </w:p>
        </w:tc>
        <w:tc>
          <w:tcPr>
            <w:tcW w:w="148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3"/>
                <w:szCs w:val="13"/>
                <w:b w:val="1"/>
                <w:bCs w:val="1"/>
                <w:color w:val="auto"/>
              </w:rPr>
              <w:t>J. DATE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740" w:type="dxa"/>
            <w:vAlign w:val="bottom"/>
            <w:tcBorders>
              <w:right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460" w:type="dxa"/>
            <w:vAlign w:val="bottom"/>
          </w:tcPr>
          <w:p>
            <w:pPr>
              <w:spacing w:after="0"/>
              <w:rPr>
                <w:sz w:val="5"/>
                <w:szCs w:val="5"/>
                <w:color w:val="auto"/>
              </w:rPr>
            </w:pPr>
          </w:p>
        </w:tc>
        <w:tc>
          <w:tcPr>
            <w:tcW w:w="1480" w:type="dxa"/>
            <w:vAlign w:val="bottom"/>
            <w:vMerge w:val="restart"/>
          </w:tcPr>
          <w:p>
            <w:pPr>
              <w:ind w:left="560"/>
              <w:spacing w:after="0" w:line="97" w:lineRule="exact"/>
              <w:rPr>
                <w:sz w:val="20"/>
                <w:szCs w:val="20"/>
                <w:color w:val="auto"/>
              </w:rPr>
            </w:pPr>
            <w:r>
              <w:rPr>
                <w:rFonts w:ascii="Arial" w:cs="Arial" w:eastAsia="Arial" w:hAnsi="Arial"/>
                <w:sz w:val="9"/>
                <w:szCs w:val="9"/>
                <w:color w:val="auto"/>
              </w:rPr>
              <w:t>Digitally signed by</w:t>
            </w: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74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46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80" w:type="dxa"/>
            <w:vAlign w:val="bottom"/>
          </w:tcPr>
          <w:p>
            <w:pPr>
              <w:ind w:left="560"/>
              <w:spacing w:after="0"/>
              <w:rPr>
                <w:sz w:val="20"/>
                <w:szCs w:val="20"/>
                <w:color w:val="auto"/>
              </w:rPr>
            </w:pPr>
            <w:r>
              <w:rPr>
                <w:rFonts w:ascii="Arial" w:cs="Arial" w:eastAsia="Arial" w:hAnsi="Arial"/>
                <w:sz w:val="9"/>
                <w:szCs w:val="9"/>
                <w:color w:val="auto"/>
              </w:rPr>
              <w:t>Date: 2020.12.30</w:t>
            </w:r>
          </w:p>
        </w:tc>
        <w:tc>
          <w:tcPr>
            <w:tcW w:w="1000" w:type="dxa"/>
            <w:vAlign w:val="bottom"/>
            <w:gridSpan w:val="2"/>
            <w:vMerge w:val="restart"/>
          </w:tcPr>
          <w:p>
            <w:pPr>
              <w:ind w:left="220"/>
              <w:spacing w:after="0"/>
              <w:rPr>
                <w:sz w:val="20"/>
                <w:szCs w:val="20"/>
                <w:color w:val="auto"/>
              </w:rPr>
            </w:pPr>
            <w:r>
              <w:rPr>
                <w:rFonts w:ascii="Arial" w:cs="Arial" w:eastAsia="Arial" w:hAnsi="Arial"/>
                <w:sz w:val="9"/>
                <w:szCs w:val="9"/>
                <w:color w:val="auto"/>
              </w:rPr>
              <w:t>15:45:47-05’00’</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460" w:type="dxa"/>
            <w:vAlign w:val="bottom"/>
            <w:vMerge w:val="continue"/>
          </w:tcPr>
          <w:p>
            <w:pPr>
              <w:spacing w:after="0"/>
              <w:rPr>
                <w:sz w:val="2"/>
                <w:szCs w:val="2"/>
                <w:color w:val="auto"/>
              </w:rPr>
            </w:pPr>
          </w:p>
        </w:tc>
        <w:tc>
          <w:tcPr>
            <w:tcW w:w="14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08:45:48-05’00’</w:t>
            </w:r>
          </w:p>
        </w:tc>
        <w:tc>
          <w:tcPr>
            <w:tcW w:w="174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56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1960" w:type="dxa"/>
            <w:vAlign w:val="bottom"/>
            <w:gridSpan w:val="2"/>
          </w:tcPr>
          <w:p>
            <w:pPr>
              <w:ind w:left="160"/>
              <w:spacing w:after="0"/>
              <w:rPr>
                <w:sz w:val="20"/>
                <w:szCs w:val="20"/>
                <w:color w:val="auto"/>
              </w:rPr>
            </w:pPr>
            <w:r>
              <w:rPr>
                <w:rFonts w:ascii="Arial" w:cs="Arial" w:eastAsia="Arial" w:hAnsi="Arial"/>
                <w:sz w:val="13"/>
                <w:szCs w:val="13"/>
                <w:color w:val="090909"/>
              </w:rPr>
              <w:t xml:space="preserve">Page </w:t>
            </w:r>
            <w:r>
              <w:rPr>
                <w:rFonts w:ascii="Arial" w:cs="Arial" w:eastAsia="Arial" w:hAnsi="Arial"/>
                <w:sz w:val="14"/>
                <w:szCs w:val="14"/>
                <w:color w:val="070707"/>
              </w:rPr>
              <w:t>6 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9" w:hanging="169"/>
        <w:spacing w:after="0"/>
        <w:tabs>
          <w:tab w:leader="none" w:pos="169" w:val="left"/>
        </w:tabs>
        <w:numPr>
          <w:ilvl w:val="0"/>
          <w:numId w:val="172"/>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9" w:right="120" w:hanging="9"/>
        <w:spacing w:after="0" w:line="283" w:lineRule="auto"/>
        <w:tabs>
          <w:tab w:leader="none" w:pos="174" w:val="left"/>
        </w:tabs>
        <w:numPr>
          <w:ilvl w:val="0"/>
          <w:numId w:val="172"/>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94690" cy="7289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4690" cy="728980"/>
                    </a:xfrm>
                    <a:prstGeom prst="rect">
                      <a:avLst/>
                    </a:prstGeom>
                    <a:noFill/>
                  </pic:spPr>
                </pic:pic>
              </a:graphicData>
            </a:graphic>
          </wp:anchor>
        </w:drawing>
      </w:r>
    </w:p>
    <w:p>
      <w:pPr>
        <w:spacing w:after="0" w:line="10428" w:lineRule="exact"/>
        <w:rPr>
          <w:sz w:val="20"/>
          <w:szCs w:val="20"/>
          <w:color w:val="auto"/>
        </w:rPr>
      </w:pPr>
    </w:p>
    <w:p>
      <w:pPr>
        <w:sectPr>
          <w:pgSz w:w="11900" w:h="16838" w:orient="portrait"/>
          <w:cols w:equalWidth="0" w:num="2">
            <w:col w:w="10100" w:space="91"/>
            <w:col w:w="849"/>
          </w:cols>
          <w:pgMar w:left="320" w:top="403" w:right="53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040"/>
          </w:cols>
          <w:pgMar w:left="320" w:top="403" w:right="53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A007</w:t>
            </w:r>
          </w:p>
        </w:tc>
        <w:tc>
          <w:tcPr>
            <w:tcW w:w="200" w:type="dxa"/>
            <w:vAlign w:val="bottom"/>
            <w:tcBorders>
              <w:right w:val="single" w:sz="8" w:color="auto"/>
            </w:tcBorders>
          </w:tcPr>
          <w:p>
            <w:pPr>
              <w:spacing w:after="0"/>
              <w:rPr>
                <w:sz w:val="24"/>
                <w:szCs w:val="24"/>
                <w:color w:val="auto"/>
              </w:rPr>
            </w:pPr>
          </w:p>
        </w:tc>
        <w:tc>
          <w:tcPr>
            <w:tcW w:w="3040" w:type="dxa"/>
            <w:vAlign w:val="bottom"/>
            <w:gridSpan w:val="4"/>
            <w:vMerge w:val="restart"/>
          </w:tcPr>
          <w:p>
            <w:pPr>
              <w:ind w:left="60"/>
              <w:spacing w:after="0"/>
              <w:rPr>
                <w:sz w:val="20"/>
                <w:szCs w:val="20"/>
                <w:color w:val="auto"/>
              </w:rPr>
            </w:pPr>
            <w:r>
              <w:rPr>
                <w:rFonts w:ascii="Arial" w:cs="Arial" w:eastAsia="Arial" w:hAnsi="Arial"/>
                <w:sz w:val="16"/>
                <w:szCs w:val="16"/>
                <w:color w:val="010101"/>
              </w:rPr>
              <w:t>Monthly Progress Reports</w:t>
            </w: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8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3040" w:type="dxa"/>
            <w:vAlign w:val="bottom"/>
            <w:tcBorders>
              <w:bottom w:val="single" w:sz="8" w:color="auto"/>
            </w:tcBorders>
            <w:gridSpan w:val="4"/>
            <w:vMerge w:val="continue"/>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auto"/>
                <w:w w:val="97"/>
              </w:rPr>
              <w:t>DI-MISC-80711</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198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7"/>
                <w:szCs w:val="7"/>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4"/>
          <w:szCs w:val="14"/>
          <w:color w:val="1F1F1F"/>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032115"/>
                    </a:xfrm>
                    <a:prstGeom prst="rect">
                      <a:avLst/>
                    </a:prstGeom>
                    <a:noFill/>
                  </pic:spPr>
                </pic:pic>
              </a:graphicData>
            </a:graphic>
          </wp:anchor>
        </w:drawing>
        <w:t xml:space="preserve">A </w:t>
      </w:r>
      <w:r>
        <w:rPr>
          <w:rFonts w:ascii="Arial" w:cs="Arial" w:eastAsia="Arial" w:hAnsi="Arial"/>
          <w:sz w:val="14"/>
          <w:szCs w:val="14"/>
          <w:color w:val="141414"/>
        </w:rPr>
        <w:t>consolidated</w:t>
      </w:r>
      <w:r>
        <w:rPr>
          <w:rFonts w:ascii="Arial" w:cs="Arial" w:eastAsia="Arial" w:hAnsi="Arial"/>
          <w:sz w:val="14"/>
          <w:szCs w:val="14"/>
          <w:color w:val="1F1F1F"/>
        </w:rPr>
        <w:t xml:space="preserve"> submission of all slides and data presented </w:t>
      </w:r>
      <w:r>
        <w:rPr>
          <w:rFonts w:ascii="Arial" w:cs="Arial" w:eastAsia="Arial" w:hAnsi="Arial"/>
          <w:sz w:val="14"/>
          <w:szCs w:val="14"/>
          <w:color w:val="323232"/>
        </w:rPr>
        <w:t>at</w:t>
      </w:r>
      <w:r>
        <w:rPr>
          <w:rFonts w:ascii="Arial" w:cs="Arial" w:eastAsia="Arial" w:hAnsi="Arial"/>
          <w:sz w:val="14"/>
          <w:szCs w:val="14"/>
          <w:color w:val="1F1F1F"/>
        </w:rPr>
        <w:t xml:space="preserve"> the </w:t>
      </w:r>
      <w:r>
        <w:rPr>
          <w:rFonts w:ascii="Arial" w:cs="Arial" w:eastAsia="Arial" w:hAnsi="Arial"/>
          <w:sz w:val="14"/>
          <w:szCs w:val="14"/>
          <w:color w:val="323232"/>
        </w:rPr>
        <w:t>bi</w:t>
      </w:r>
      <w:r>
        <w:rPr>
          <w:rFonts w:ascii="Arial" w:cs="Arial" w:eastAsia="Arial" w:hAnsi="Arial"/>
          <w:sz w:val="14"/>
          <w:szCs w:val="14"/>
          <w:color w:val="101010"/>
        </w:rPr>
        <w:t>weekly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101010"/>
        </w:rPr>
        <w:t xml:space="preserve">telecons will serve </w:t>
      </w:r>
      <w:r>
        <w:rPr>
          <w:rFonts w:ascii="Arial" w:cs="Arial" w:eastAsia="Arial" w:hAnsi="Arial"/>
          <w:sz w:val="14"/>
          <w:szCs w:val="14"/>
          <w:color w:val="1F1F1F"/>
        </w:rPr>
        <w:t>as</w:t>
      </w:r>
      <w:r>
        <w:rPr>
          <w:rFonts w:ascii="Arial" w:cs="Arial" w:eastAsia="Arial" w:hAnsi="Arial"/>
          <w:sz w:val="14"/>
          <w:szCs w:val="14"/>
          <w:color w:val="101010"/>
        </w:rPr>
        <w:t xml:space="preserve"> the monthly report.</w:t>
      </w:r>
    </w:p>
    <w:p>
      <w:pPr>
        <w:spacing w:after="0" w:line="1" w:lineRule="exact"/>
        <w:rPr>
          <w:sz w:val="20"/>
          <w:szCs w:val="20"/>
          <w:color w:val="auto"/>
        </w:rPr>
      </w:pPr>
    </w:p>
    <w:p>
      <w:pPr>
        <w:ind w:left="180" w:right="4820"/>
        <w:spacing w:after="0" w:line="241" w:lineRule="auto"/>
        <w:rPr>
          <w:sz w:val="20"/>
          <w:szCs w:val="20"/>
          <w:color w:val="auto"/>
        </w:rPr>
      </w:pPr>
      <w:r>
        <w:rPr>
          <w:rFonts w:ascii="Arial" w:cs="Arial" w:eastAsia="Arial" w:hAnsi="Arial"/>
          <w:sz w:val="14"/>
          <w:szCs w:val="14"/>
          <w:color w:val="101010"/>
        </w:rPr>
        <w:t xml:space="preserve">The report only consists of a summary </w:t>
      </w:r>
      <w:r>
        <w:rPr>
          <w:rFonts w:ascii="Arial" w:cs="Arial" w:eastAsia="Arial" w:hAnsi="Arial"/>
          <w:sz w:val="14"/>
          <w:szCs w:val="14"/>
          <w:color w:val="1F1F1F"/>
        </w:rPr>
        <w:t>of</w:t>
      </w:r>
      <w:r>
        <w:rPr>
          <w:rFonts w:ascii="Arial" w:cs="Arial" w:eastAsia="Arial" w:hAnsi="Arial"/>
          <w:sz w:val="14"/>
          <w:szCs w:val="14"/>
          <w:color w:val="101010"/>
        </w:rPr>
        <w:t xml:space="preserve"> quantity of </w:t>
      </w:r>
      <w:r>
        <w:rPr>
          <w:rFonts w:ascii="Arial" w:cs="Arial" w:eastAsia="Arial" w:hAnsi="Arial"/>
          <w:sz w:val="14"/>
          <w:szCs w:val="14"/>
          <w:color w:val="1F1F1F"/>
        </w:rPr>
        <w:t>product</w:t>
      </w:r>
      <w:r>
        <w:rPr>
          <w:rFonts w:ascii="Arial" w:cs="Arial" w:eastAsia="Arial" w:hAnsi="Arial"/>
          <w:sz w:val="14"/>
          <w:szCs w:val="14"/>
          <w:color w:val="101010"/>
        </w:rPr>
        <w:t xml:space="preserve"> </w:t>
      </w:r>
      <w:r>
        <w:rPr>
          <w:rFonts w:ascii="Arial" w:cs="Arial" w:eastAsia="Arial" w:hAnsi="Arial"/>
          <w:sz w:val="14"/>
          <w:szCs w:val="14"/>
          <w:color w:val="010101"/>
        </w:rPr>
        <w:t>d</w:t>
      </w:r>
      <w:r>
        <w:rPr>
          <w:rFonts w:ascii="Arial" w:cs="Arial" w:eastAsia="Arial" w:hAnsi="Arial"/>
          <w:sz w:val="14"/>
          <w:szCs w:val="14"/>
          <w:color w:val="1F1F1F"/>
        </w:rPr>
        <w:t>e</w:t>
      </w:r>
      <w:r>
        <w:rPr>
          <w:rFonts w:ascii="Arial" w:cs="Arial" w:eastAsia="Arial" w:hAnsi="Arial"/>
          <w:sz w:val="14"/>
          <w:szCs w:val="14"/>
          <w:color w:val="010101"/>
        </w:rPr>
        <w:t>li</w:t>
      </w:r>
      <w:r>
        <w:rPr>
          <w:rFonts w:ascii="Arial" w:cs="Arial" w:eastAsia="Arial" w:hAnsi="Arial"/>
          <w:sz w:val="14"/>
          <w:szCs w:val="14"/>
          <w:color w:val="1F1F1F"/>
        </w:rPr>
        <w:t>v</w:t>
      </w:r>
      <w:r>
        <w:rPr>
          <w:rFonts w:ascii="Arial" w:cs="Arial" w:eastAsia="Arial" w:hAnsi="Arial"/>
          <w:sz w:val="14"/>
          <w:szCs w:val="14"/>
          <w:color w:val="010101"/>
        </w:rPr>
        <w:t>er</w:t>
      </w:r>
      <w:r>
        <w:rPr>
          <w:rFonts w:ascii="Arial" w:cs="Arial" w:eastAsia="Arial" w:hAnsi="Arial"/>
          <w:sz w:val="14"/>
          <w:szCs w:val="14"/>
          <w:color w:val="1F1F1F"/>
        </w:rPr>
        <w:t>e</w:t>
      </w:r>
      <w:r>
        <w:rPr>
          <w:rFonts w:ascii="Arial" w:cs="Arial" w:eastAsia="Arial" w:hAnsi="Arial"/>
          <w:sz w:val="14"/>
          <w:szCs w:val="14"/>
          <w:color w:val="010101"/>
        </w:rPr>
        <w:t>d,</w:t>
      </w:r>
      <w:r>
        <w:rPr>
          <w:rFonts w:ascii="Arial" w:cs="Arial" w:eastAsia="Arial" w:hAnsi="Arial"/>
          <w:sz w:val="14"/>
          <w:szCs w:val="14"/>
          <w:color w:val="101010"/>
        </w:rPr>
        <w:t xml:space="preserve"> when and </w:t>
      </w:r>
      <w:r>
        <w:rPr>
          <w:rFonts w:ascii="Arial" w:cs="Arial" w:eastAsia="Arial" w:hAnsi="Arial"/>
          <w:sz w:val="14"/>
          <w:szCs w:val="14"/>
          <w:color w:val="010101"/>
        </w:rPr>
        <w:t>l</w:t>
      </w:r>
      <w:r>
        <w:rPr>
          <w:rFonts w:ascii="Arial" w:cs="Arial" w:eastAsia="Arial" w:hAnsi="Arial"/>
          <w:sz w:val="14"/>
          <w:szCs w:val="14"/>
          <w:color w:val="1F1F1F"/>
        </w:rPr>
        <w:t>o</w:t>
      </w:r>
      <w:r>
        <w:rPr>
          <w:rFonts w:ascii="Arial" w:cs="Arial" w:eastAsia="Arial" w:hAnsi="Arial"/>
          <w:sz w:val="14"/>
          <w:szCs w:val="14"/>
          <w:color w:val="010101"/>
        </w:rPr>
        <w:t>c</w:t>
      </w:r>
      <w:r>
        <w:rPr>
          <w:rFonts w:ascii="Arial" w:cs="Arial" w:eastAsia="Arial" w:hAnsi="Arial"/>
          <w:sz w:val="14"/>
          <w:szCs w:val="14"/>
          <w:color w:val="1F1F1F"/>
        </w:rPr>
        <w:t>atio</w:t>
      </w:r>
      <w:r>
        <w:rPr>
          <w:rFonts w:ascii="Arial" w:cs="Arial" w:eastAsia="Arial" w:hAnsi="Arial"/>
          <w:sz w:val="14"/>
          <w:szCs w:val="14"/>
          <w:color w:val="010101"/>
        </w:rPr>
        <w:t>n</w:t>
      </w:r>
      <w:r>
        <w:rPr>
          <w:rFonts w:ascii="Arial" w:cs="Arial" w:eastAsia="Arial" w:hAnsi="Arial"/>
          <w:sz w:val="14"/>
          <w:szCs w:val="14"/>
          <w:color w:val="101010"/>
        </w:rPr>
        <w:t xml:space="preserve"> </w:t>
      </w:r>
      <w:r>
        <w:rPr>
          <w:rFonts w:ascii="Arial" w:cs="Arial" w:eastAsia="Arial" w:hAnsi="Arial"/>
          <w:sz w:val="14"/>
          <w:szCs w:val="14"/>
          <w:color w:val="1F1F1F"/>
        </w:rPr>
        <w:t xml:space="preserve">of </w:t>
      </w:r>
      <w:r>
        <w:rPr>
          <w:rFonts w:ascii="Arial" w:cs="Arial" w:eastAsia="Arial" w:hAnsi="Arial"/>
          <w:sz w:val="14"/>
          <w:szCs w:val="14"/>
          <w:color w:val="010101"/>
        </w:rPr>
        <w:t>the</w:t>
      </w:r>
      <w:r>
        <w:rPr>
          <w:rFonts w:ascii="Arial" w:cs="Arial" w:eastAsia="Arial" w:hAnsi="Arial"/>
          <w:sz w:val="14"/>
          <w:szCs w:val="14"/>
          <w:color w:val="1F1F1F"/>
        </w:rPr>
        <w:t xml:space="preserve"> </w:t>
      </w:r>
      <w:r>
        <w:rPr>
          <w:rFonts w:ascii="Arial" w:cs="Arial" w:eastAsia="Arial" w:hAnsi="Arial"/>
          <w:sz w:val="14"/>
          <w:szCs w:val="14"/>
          <w:color w:val="101010"/>
        </w:rPr>
        <w:t>delivery.</w:t>
      </w:r>
    </w:p>
    <w:p>
      <w:pPr>
        <w:spacing w:after="0" w:line="1" w:lineRule="exact"/>
        <w:rPr>
          <w:sz w:val="20"/>
          <w:szCs w:val="20"/>
          <w:color w:val="auto"/>
        </w:rPr>
      </w:pPr>
    </w:p>
    <w:p>
      <w:pPr>
        <w:ind w:left="680" w:hanging="507"/>
        <w:spacing w:after="0"/>
        <w:tabs>
          <w:tab w:leader="none" w:pos="680" w:val="left"/>
        </w:tabs>
        <w:numPr>
          <w:ilvl w:val="0"/>
          <w:numId w:val="173"/>
        </w:numPr>
        <w:rPr>
          <w:rFonts w:ascii="Arial" w:cs="Arial" w:eastAsia="Arial" w:hAnsi="Arial"/>
          <w:sz w:val="14"/>
          <w:szCs w:val="14"/>
          <w:color w:val="2A2A2A"/>
        </w:rPr>
      </w:pPr>
      <w:r>
        <w:rPr>
          <w:rFonts w:ascii="Arial" w:cs="Arial" w:eastAsia="Arial" w:hAnsi="Arial"/>
          <w:sz w:val="14"/>
          <w:szCs w:val="14"/>
          <w:color w:val="141414"/>
        </w:rPr>
        <w:t xml:space="preserve">Monthly </w:t>
      </w:r>
      <w:r>
        <w:rPr>
          <w:rFonts w:ascii="Arial" w:cs="Arial" w:eastAsia="Arial" w:hAnsi="Arial"/>
          <w:sz w:val="14"/>
          <w:szCs w:val="14"/>
          <w:color w:val="101010"/>
        </w:rPr>
        <w:t>reports shall be</w:t>
      </w:r>
      <w:r>
        <w:rPr>
          <w:rFonts w:ascii="Arial" w:cs="Arial" w:eastAsia="Arial" w:hAnsi="Arial"/>
          <w:sz w:val="14"/>
          <w:szCs w:val="14"/>
          <w:color w:val="141414"/>
        </w:rPr>
        <w:t xml:space="preserve"> </w:t>
      </w:r>
      <w:r>
        <w:rPr>
          <w:rFonts w:ascii="Arial" w:cs="Arial" w:eastAsia="Arial" w:hAnsi="Arial"/>
          <w:sz w:val="14"/>
          <w:szCs w:val="14"/>
          <w:color w:val="010101"/>
        </w:rPr>
        <w:t>submitt</w:t>
      </w:r>
      <w:r>
        <w:rPr>
          <w:rFonts w:ascii="Arial" w:cs="Arial" w:eastAsia="Arial" w:hAnsi="Arial"/>
          <w:sz w:val="14"/>
          <w:szCs w:val="14"/>
          <w:color w:val="1F1F1F"/>
        </w:rPr>
        <w:t>e</w:t>
      </w:r>
      <w:r>
        <w:rPr>
          <w:rFonts w:ascii="Arial" w:cs="Arial" w:eastAsia="Arial" w:hAnsi="Arial"/>
          <w:sz w:val="14"/>
          <w:szCs w:val="14"/>
          <w:color w:val="010101"/>
        </w:rPr>
        <w:t>d</w:t>
      </w:r>
      <w:r>
        <w:rPr>
          <w:rFonts w:ascii="Arial" w:cs="Arial" w:eastAsia="Arial" w:hAnsi="Arial"/>
          <w:sz w:val="14"/>
          <w:szCs w:val="14"/>
          <w:color w:val="141414"/>
        </w:rPr>
        <w:t xml:space="preserve"> </w:t>
      </w:r>
      <w:r>
        <w:rPr>
          <w:rFonts w:ascii="Arial" w:cs="Arial" w:eastAsia="Arial" w:hAnsi="Arial"/>
          <w:sz w:val="14"/>
          <w:szCs w:val="14"/>
          <w:color w:val="101010"/>
        </w:rPr>
        <w:t>on or before</w:t>
      </w:r>
      <w:r>
        <w:rPr>
          <w:rFonts w:ascii="Arial" w:cs="Arial" w:eastAsia="Arial" w:hAnsi="Arial"/>
          <w:sz w:val="14"/>
          <w:szCs w:val="14"/>
          <w:color w:val="141414"/>
        </w:rPr>
        <w:t xml:space="preserve"> </w:t>
      </w:r>
      <w:r>
        <w:rPr>
          <w:rFonts w:ascii="Arial" w:cs="Arial" w:eastAsia="Arial" w:hAnsi="Arial"/>
          <w:sz w:val="14"/>
          <w:szCs w:val="14"/>
          <w:color w:val="010101"/>
        </w:rPr>
        <w:t>th</w:t>
      </w:r>
      <w:r>
        <w:rPr>
          <w:rFonts w:ascii="Arial" w:cs="Arial" w:eastAsia="Arial" w:hAnsi="Arial"/>
          <w:sz w:val="14"/>
          <w:szCs w:val="14"/>
          <w:color w:val="323232"/>
        </w:rPr>
        <w:t>e</w:t>
      </w:r>
      <w:r>
        <w:rPr>
          <w:rFonts w:ascii="Arial" w:cs="Arial" w:eastAsia="Arial" w:hAnsi="Arial"/>
          <w:sz w:val="14"/>
          <w:szCs w:val="14"/>
          <w:color w:val="141414"/>
        </w:rPr>
        <w:t xml:space="preserve"> </w:t>
      </w:r>
      <w:r>
        <w:rPr>
          <w:rFonts w:ascii="Arial" w:cs="Arial" w:eastAsia="Arial" w:hAnsi="Arial"/>
          <w:sz w:val="12"/>
          <w:szCs w:val="12"/>
          <w:color w:val="000000"/>
        </w:rPr>
        <w:t>[* * *]</w:t>
      </w:r>
      <w:r>
        <w:rPr>
          <w:rFonts w:ascii="Arial" w:cs="Arial" w:eastAsia="Arial" w:hAnsi="Arial"/>
          <w:sz w:val="14"/>
          <w:szCs w:val="14"/>
          <w:color w:val="141414"/>
        </w:rPr>
        <w:t xml:space="preserve"> </w:t>
      </w:r>
      <w:r>
        <w:rPr>
          <w:rFonts w:ascii="Arial" w:cs="Arial" w:eastAsia="Arial" w:hAnsi="Arial"/>
          <w:sz w:val="14"/>
          <w:szCs w:val="14"/>
          <w:color w:val="101010"/>
        </w:rPr>
        <w:t>covering the</w:t>
      </w:r>
      <w:r>
        <w:rPr>
          <w:rFonts w:ascii="Arial" w:cs="Arial" w:eastAsia="Arial" w:hAnsi="Arial"/>
          <w:sz w:val="14"/>
          <w:szCs w:val="14"/>
          <w:color w:val="141414"/>
        </w:rPr>
        <w:t xml:space="preserve"> </w:t>
      </w:r>
      <w:r>
        <w:rPr>
          <w:rFonts w:ascii="Arial" w:cs="Arial" w:eastAsia="Arial" w:hAnsi="Arial"/>
          <w:sz w:val="14"/>
          <w:szCs w:val="14"/>
          <w:color w:val="010101"/>
        </w:rPr>
        <w:t>pr</w:t>
      </w:r>
      <w:r>
        <w:rPr>
          <w:rFonts w:ascii="Arial" w:cs="Arial" w:eastAsia="Arial" w:hAnsi="Arial"/>
          <w:sz w:val="14"/>
          <w:szCs w:val="14"/>
          <w:color w:val="1F1F1F"/>
        </w:rPr>
        <w:t>ece</w:t>
      </w:r>
      <w:r>
        <w:rPr>
          <w:rFonts w:ascii="Arial" w:cs="Arial" w:eastAsia="Arial" w:hAnsi="Arial"/>
          <w:sz w:val="14"/>
          <w:szCs w:val="14"/>
          <w:color w:val="010101"/>
        </w:rPr>
        <w:t>ding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15:45:22-05’00’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08:50:25-05’00’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w:t>
            </w:r>
            <w:r>
              <w:rPr>
                <w:rFonts w:ascii="Arial" w:cs="Arial" w:eastAsia="Arial" w:hAnsi="Arial"/>
                <w:sz w:val="14"/>
                <w:szCs w:val="14"/>
                <w:color w:val="070707"/>
              </w:rPr>
              <w:t>7 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74"/>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74"/>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A008</w:t>
            </w:r>
          </w:p>
        </w:tc>
        <w:tc>
          <w:tcPr>
            <w:tcW w:w="200" w:type="dxa"/>
            <w:vAlign w:val="bottom"/>
            <w:tcBorders>
              <w:right w:val="single" w:sz="8" w:color="auto"/>
            </w:tcBorders>
          </w:tcPr>
          <w:p>
            <w:pPr>
              <w:spacing w:after="0"/>
              <w:rPr>
                <w:sz w:val="24"/>
                <w:szCs w:val="2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6"/>
                <w:szCs w:val="16"/>
                <w:color w:val="010101"/>
              </w:rPr>
              <w:t>Milestone Reports</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8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auto"/>
                <w:w w:val="97"/>
              </w:rPr>
              <w:t>DI-MISC-80711</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2"/>
          </w:tcPr>
          <w:p>
            <w:pPr>
              <w:jc w:val="right"/>
              <w:ind w:right="717"/>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3"/>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8"/>
                <w:szCs w:val="8"/>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8"/>
                <w:szCs w:val="8"/>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48" w:lineRule="exact"/>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91" w:lineRule="exact"/>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4"/>
          <w:szCs w:val="14"/>
          <w:color w:val="2A2A2A"/>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032115"/>
                    </a:xfrm>
                    <a:prstGeom prst="rect">
                      <a:avLst/>
                    </a:prstGeom>
                    <a:noFill/>
                  </pic:spPr>
                </pic:pic>
              </a:graphicData>
            </a:graphic>
          </wp:anchor>
        </w:drawing>
        <w:t>Milestone reports shall be cross-referenced to the Work Breakdown Structure (WBS) and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2A2A2A"/>
        </w:rPr>
        <w:t>Statement of Work (SOW).</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4"/>
          <w:szCs w:val="14"/>
          <w:color w:val="2A2A2A"/>
        </w:rPr>
        <w:t>As applicable, an Executive Summary highlighting the progress, issues and relevant</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2A2A2A"/>
        </w:rPr>
        <w:t>manufacturing, non-clinical, clinical and regulatory activities. The Executive Summary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2A2A2A"/>
        </w:rPr>
        <w:t>should highlight only critical issues for that reporting period and resolution approach;</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2A2A2A"/>
        </w:rPr>
        <w:t>limited to 2 pages</w:t>
      </w:r>
    </w:p>
    <w:p>
      <w:pPr>
        <w:spacing w:after="0" w:line="1" w:lineRule="exact"/>
        <w:rPr>
          <w:sz w:val="20"/>
          <w:szCs w:val="20"/>
          <w:color w:val="auto"/>
        </w:rPr>
      </w:pPr>
    </w:p>
    <w:p>
      <w:pPr>
        <w:ind w:left="180" w:right="4460" w:hanging="7"/>
        <w:spacing w:after="0" w:line="241" w:lineRule="auto"/>
        <w:tabs>
          <w:tab w:leader="none" w:pos="689" w:val="left"/>
        </w:tabs>
        <w:numPr>
          <w:ilvl w:val="0"/>
          <w:numId w:val="175"/>
        </w:numPr>
        <w:rPr>
          <w:rFonts w:ascii="Arial" w:cs="Arial" w:eastAsia="Arial" w:hAnsi="Arial"/>
          <w:sz w:val="14"/>
          <w:szCs w:val="14"/>
          <w:color w:val="2A2A2A"/>
        </w:rPr>
      </w:pPr>
      <w:r>
        <w:rPr>
          <w:rFonts w:ascii="Arial" w:cs="Arial" w:eastAsia="Arial" w:hAnsi="Arial"/>
          <w:sz w:val="14"/>
          <w:szCs w:val="14"/>
          <w:color w:val="2A2A2A"/>
        </w:rPr>
        <w:t>Milestone reports shall be submitted upon the completion of each milestone and include all associated deliverables. The AOR and AO will review the monthly reports with the Awardee and provide feedback</w:t>
      </w:r>
    </w:p>
    <w:p>
      <w:pPr>
        <w:spacing w:after="0" w:line="1" w:lineRule="exact"/>
        <w:rPr>
          <w:rFonts w:ascii="Arial" w:cs="Arial" w:eastAsia="Arial" w:hAnsi="Arial"/>
          <w:sz w:val="14"/>
          <w:szCs w:val="14"/>
          <w:color w:val="2A2A2A"/>
        </w:rPr>
      </w:pPr>
    </w:p>
    <w:p>
      <w:pPr>
        <w:ind w:left="680" w:hanging="507"/>
        <w:spacing w:after="0"/>
        <w:tabs>
          <w:tab w:leader="none" w:pos="680" w:val="left"/>
        </w:tabs>
        <w:numPr>
          <w:ilvl w:val="0"/>
          <w:numId w:val="175"/>
        </w:numPr>
        <w:rPr>
          <w:rFonts w:ascii="Arial" w:cs="Arial" w:eastAsia="Arial" w:hAnsi="Arial"/>
          <w:sz w:val="14"/>
          <w:szCs w:val="14"/>
          <w:color w:val="2A2A2A"/>
        </w:rPr>
      </w:pPr>
      <w:r>
        <w:rPr>
          <w:rFonts w:ascii="Arial" w:cs="Arial" w:eastAsia="Arial" w:hAnsi="Arial"/>
          <w:sz w:val="14"/>
          <w:szCs w:val="14"/>
          <w:color w:val="2A2A2A"/>
        </w:rPr>
        <w:t>Awardee shall provide FINAL versions of reports within [* * *]after receiving BARDA comments/edits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15:43:12-05’00’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08:54:17-05’00’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8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76"/>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76"/>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A009</w:t>
            </w:r>
          </w:p>
        </w:tc>
        <w:tc>
          <w:tcPr>
            <w:tcW w:w="200" w:type="dxa"/>
            <w:vAlign w:val="bottom"/>
            <w:tcBorders>
              <w:right w:val="single" w:sz="8" w:color="auto"/>
            </w:tcBorders>
          </w:tcPr>
          <w:p>
            <w:pPr>
              <w:spacing w:after="0"/>
              <w:rPr>
                <w:sz w:val="24"/>
                <w:szCs w:val="24"/>
                <w:color w:val="auto"/>
              </w:rPr>
            </w:pPr>
          </w:p>
        </w:tc>
        <w:tc>
          <w:tcPr>
            <w:tcW w:w="3040" w:type="dxa"/>
            <w:vAlign w:val="bottom"/>
            <w:gridSpan w:val="4"/>
            <w:vMerge w:val="restart"/>
          </w:tcPr>
          <w:p>
            <w:pPr>
              <w:ind w:left="60"/>
              <w:spacing w:after="0"/>
              <w:rPr>
                <w:sz w:val="20"/>
                <w:szCs w:val="20"/>
                <w:color w:val="auto"/>
              </w:rPr>
            </w:pPr>
            <w:r>
              <w:rPr>
                <w:rFonts w:ascii="Arial" w:cs="Arial" w:eastAsia="Arial" w:hAnsi="Arial"/>
                <w:sz w:val="16"/>
                <w:szCs w:val="16"/>
                <w:color w:val="010101"/>
              </w:rPr>
              <w:t>Draft Technical Progress Report</w:t>
            </w: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8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3040" w:type="dxa"/>
            <w:vAlign w:val="bottom"/>
            <w:tcBorders>
              <w:bottom w:val="single" w:sz="8" w:color="auto"/>
            </w:tcBorders>
            <w:gridSpan w:val="4"/>
            <w:vMerge w:val="continue"/>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auto"/>
                <w:w w:val="97"/>
              </w:rPr>
              <w:t>DI-MISC-80711</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198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7"/>
                <w:szCs w:val="7"/>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right="3180"/>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032115"/>
                    </a:xfrm>
                    <a:prstGeom prst="rect">
                      <a:avLst/>
                    </a:prstGeom>
                    <a:noFill/>
                  </pic:spPr>
                </pic:pic>
              </a:graphicData>
            </a:graphic>
          </wp:anchor>
        </w:drawing>
        <w:t>A draft Final Technical Progress Report containing a summation of the work performed over the entire Agreement. This report shall be in sufficient detail to fully describe the progress achieved under all milestones. Report should contain a timeline of originally planned and baselined activities and milestones overlaid with actual progress attained during the Agreement. Descriptions and rationale for activities and milestones that were not completed as planned should be provided. The draft report shall be duly marked as 'Draft'</w:t>
      </w:r>
    </w:p>
    <w:p>
      <w:pPr>
        <w:spacing w:after="0" w:line="222" w:lineRule="exact"/>
        <w:rPr>
          <w:sz w:val="20"/>
          <w:szCs w:val="20"/>
          <w:color w:val="auto"/>
        </w:rPr>
      </w:pPr>
    </w:p>
    <w:p>
      <w:pPr>
        <w:ind w:left="160" w:right="3340" w:firstLine="9"/>
        <w:spacing w:after="0" w:line="255" w:lineRule="auto"/>
        <w:tabs>
          <w:tab w:leader="none" w:pos="67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The Draft Technical Progress Report shall be submitted </w:t>
      </w:r>
      <w:r>
        <w:rPr>
          <w:rFonts w:ascii="Arial" w:cs="Arial" w:eastAsia="Arial" w:hAnsi="Arial"/>
          <w:sz w:val="12"/>
          <w:szCs w:val="12"/>
          <w:color w:val="auto"/>
        </w:rPr>
        <w:t>[* * *]</w:t>
      </w:r>
      <w:r>
        <w:rPr>
          <w:rFonts w:ascii="Arial" w:cs="Arial" w:eastAsia="Arial" w:hAnsi="Arial"/>
          <w:sz w:val="16"/>
          <w:szCs w:val="16"/>
          <w:color w:val="auto"/>
        </w:rPr>
        <w:t xml:space="preserve"> before the end of the PoP and the Final Technical Progress Report on or before the completion date of the PoP</w:t>
      </w:r>
    </w:p>
    <w:p>
      <w:pPr>
        <w:spacing w:after="0" w:line="1" w:lineRule="exact"/>
        <w:rPr>
          <w:rFonts w:ascii="Arial" w:cs="Arial" w:eastAsia="Arial" w:hAnsi="Arial"/>
          <w:sz w:val="16"/>
          <w:szCs w:val="16"/>
          <w:color w:val="auto"/>
        </w:rPr>
      </w:pPr>
    </w:p>
    <w:p>
      <w:pPr>
        <w:ind w:left="160" w:right="3580" w:firstLine="9"/>
        <w:spacing w:after="0" w:line="257" w:lineRule="auto"/>
        <w:tabs>
          <w:tab w:leader="none" w:pos="67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AOR will provide feedback on draft report within </w:t>
      </w:r>
      <w:r>
        <w:rPr>
          <w:rFonts w:ascii="Arial" w:cs="Arial" w:eastAsia="Arial" w:hAnsi="Arial"/>
          <w:sz w:val="12"/>
          <w:szCs w:val="12"/>
          <w:color w:val="auto"/>
        </w:rPr>
        <w:t>[* * *]</w:t>
      </w:r>
      <w:r>
        <w:rPr>
          <w:rFonts w:ascii="Arial" w:cs="Arial" w:eastAsia="Arial" w:hAnsi="Arial"/>
          <w:sz w:val="16"/>
          <w:szCs w:val="16"/>
          <w:color w:val="auto"/>
        </w:rPr>
        <w:t xml:space="preserve"> of receipt, which the Awardee shall consider incorporating into the Final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12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12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 PREPARED BY</w:t>
            </w:r>
          </w:p>
        </w:tc>
        <w:tc>
          <w:tcPr>
            <w:tcW w:w="2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H. DATE</w:t>
            </w: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00" w:type="dxa"/>
            <w:vAlign w:val="bottom"/>
            <w:vMerge w:val="continue"/>
          </w:tcPr>
          <w:p>
            <w:pPr>
              <w:spacing w:after="0"/>
              <w:rPr>
                <w:sz w:val="5"/>
                <w:szCs w:val="5"/>
                <w:color w:val="auto"/>
              </w:rPr>
            </w:pPr>
          </w:p>
        </w:tc>
        <w:tc>
          <w:tcPr>
            <w:tcW w:w="2960" w:type="dxa"/>
            <w:vAlign w:val="bottom"/>
            <w:tcBorders>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200" w:type="dxa"/>
            <w:vAlign w:val="bottom"/>
            <w:vMerge w:val="restart"/>
          </w:tcPr>
          <w:p>
            <w:pPr>
              <w:jc w:val="center"/>
              <w:ind w:right="37"/>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296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00" w:type="dxa"/>
            <w:vAlign w:val="bottom"/>
            <w:vMerge w:val="continue"/>
          </w:tcPr>
          <w:p>
            <w:pPr>
              <w:spacing w:after="0"/>
              <w:rPr>
                <w:sz w:val="11"/>
                <w:szCs w:val="11"/>
                <w:color w:val="auto"/>
              </w:rPr>
            </w:pPr>
          </w:p>
        </w:tc>
        <w:tc>
          <w:tcPr>
            <w:tcW w:w="29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15:42:47-05’00’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200" w:type="dxa"/>
            <w:vAlign w:val="bottom"/>
          </w:tcPr>
          <w:p>
            <w:pPr>
              <w:spacing w:after="0"/>
              <w:rPr>
                <w:sz w:val="2"/>
                <w:szCs w:val="2"/>
                <w:color w:val="auto"/>
              </w:rPr>
            </w:pPr>
          </w:p>
        </w:tc>
        <w:tc>
          <w:tcPr>
            <w:tcW w:w="296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200" w:type="dxa"/>
            <w:vAlign w:val="bottom"/>
          </w:tcPr>
          <w:p>
            <w:pPr>
              <w:spacing w:after="0"/>
              <w:rPr>
                <w:sz w:val="14"/>
                <w:szCs w:val="14"/>
                <w:color w:val="auto"/>
              </w:rPr>
            </w:pPr>
          </w:p>
        </w:tc>
        <w:tc>
          <w:tcPr>
            <w:tcW w:w="296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2960" w:type="dxa"/>
            <w:vAlign w:val="bottom"/>
            <w:tcBorders>
              <w:right w:val="single" w:sz="8" w:color="auto"/>
            </w:tcBorders>
          </w:tcPr>
          <w:p>
            <w:pPr>
              <w:ind w:left="80"/>
              <w:spacing w:after="0"/>
              <w:rPr>
                <w:sz w:val="20"/>
                <w:szCs w:val="20"/>
                <w:color w:val="auto"/>
              </w:rPr>
            </w:pPr>
            <w:r>
              <w:rPr>
                <w:rFonts w:ascii="Arial" w:cs="Arial" w:eastAsia="Arial" w:hAnsi="Arial"/>
                <w:sz w:val="7"/>
                <w:szCs w:val="7"/>
                <w:color w:val="auto"/>
              </w:rPr>
              <w:t>Date 2020.12.31 08:58:34-05’00’</w:t>
            </w:r>
          </w:p>
        </w:tc>
        <w:tc>
          <w:tcPr>
            <w:tcW w:w="13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bottom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78"/>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78"/>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183"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spacing w:after="0" w:line="232" w:lineRule="exact"/>
        <w:rPr>
          <w:sz w:val="20"/>
          <w:szCs w:val="20"/>
          <w:color w:val="auto"/>
        </w:rPr>
      </w:pPr>
    </w:p>
    <w:p>
      <w:pPr>
        <w:spacing w:after="0"/>
        <w:tabs>
          <w:tab w:leader="none" w:pos="2380" w:val="left"/>
          <w:tab w:leader="none" w:pos="5060" w:val="left"/>
        </w:tabs>
        <w:rPr>
          <w:sz w:val="20"/>
          <w:szCs w:val="20"/>
          <w:color w:val="auto"/>
        </w:rPr>
      </w:pPr>
      <w:r>
        <w:rPr>
          <w:rFonts w:ascii="Arial" w:cs="Arial" w:eastAsia="Arial" w:hAnsi="Arial"/>
          <w:sz w:val="16"/>
          <w:szCs w:val="16"/>
          <w:b w:val="1"/>
          <w:bCs w:val="1"/>
          <w:color w:val="auto"/>
        </w:rPr>
        <w:t>DD FORM 1423-1, FEB 2001</w:t>
      </w:r>
      <w:r>
        <w:rPr>
          <w:sz w:val="20"/>
          <w:szCs w:val="20"/>
          <w:color w:val="auto"/>
        </w:rPr>
        <w:tab/>
      </w:r>
      <w:r>
        <w:rPr>
          <w:rFonts w:ascii="Arial" w:cs="Arial" w:eastAsia="Arial" w:hAnsi="Arial"/>
          <w:sz w:val="14"/>
          <w:szCs w:val="14"/>
          <w:color w:val="080808"/>
        </w:rPr>
        <w:t>PREVIOUS EDITION MAY BE USED.</w:t>
      </w:r>
      <w:r>
        <w:rPr>
          <w:sz w:val="20"/>
          <w:szCs w:val="20"/>
          <w:color w:val="auto"/>
        </w:rPr>
        <w:tab/>
      </w:r>
      <w:r>
        <w:rPr>
          <w:rFonts w:ascii="Arial" w:cs="Arial" w:eastAsia="Arial" w:hAnsi="Arial"/>
          <w:sz w:val="11"/>
          <w:szCs w:val="11"/>
          <w:color w:val="090909"/>
        </w:rPr>
        <w:t xml:space="preserve">Page 9 </w:t>
      </w:r>
      <w:r>
        <w:rPr>
          <w:rFonts w:ascii="Arial" w:cs="Arial" w:eastAsia="Arial" w:hAnsi="Arial"/>
          <w:sz w:val="12"/>
          <w:szCs w:val="12"/>
          <w:color w:val="070707"/>
        </w:rPr>
        <w:t>of 32</w:t>
      </w:r>
      <w:r>
        <w:rPr>
          <w:rFonts w:ascii="Arial" w:cs="Arial" w:eastAsia="Arial" w:hAnsi="Arial"/>
          <w:sz w:val="11"/>
          <w:szCs w:val="11"/>
          <w:color w:val="090909"/>
        </w:rPr>
        <w:t xml:space="preserve"> </w:t>
      </w:r>
      <w:r>
        <w:rPr>
          <w:rFonts w:ascii="Arial" w:cs="Arial" w:eastAsia="Arial" w:hAnsi="Arial"/>
          <w:sz w:val="11"/>
          <w:szCs w:val="11"/>
          <w:color w:val="0B0B0B"/>
        </w:rPr>
        <w:t>Pages</w:t>
      </w:r>
    </w:p>
    <w:p>
      <w:pPr>
        <w:sectPr>
          <w:pgSz w:w="11900" w:h="16838" w:orient="portrait"/>
          <w:cols w:equalWidth="0" w:num="1">
            <w:col w:w="11160"/>
          </w:cols>
          <w:pgMar w:left="320" w:top="403" w:right="419" w:bottom="1440" w:gutter="0" w:footer="0" w:header="0"/>
          <w:type w:val="continuous"/>
        </w:sectPr>
      </w:pPr>
    </w:p>
    <w:p>
      <w:pPr>
        <w:spacing w:after="0" w:line="17" w:lineRule="exact"/>
        <w:rPr>
          <w:sz w:val="20"/>
          <w:szCs w:val="20"/>
          <w:color w:val="auto"/>
        </w:r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A010</w:t>
            </w:r>
          </w:p>
        </w:tc>
        <w:tc>
          <w:tcPr>
            <w:tcW w:w="200" w:type="dxa"/>
            <w:vAlign w:val="bottom"/>
            <w:tcBorders>
              <w:right w:val="single" w:sz="8" w:color="auto"/>
            </w:tcBorders>
          </w:tcPr>
          <w:p>
            <w:pPr>
              <w:spacing w:after="0"/>
              <w:rPr>
                <w:sz w:val="24"/>
                <w:szCs w:val="24"/>
                <w:color w:val="auto"/>
              </w:rPr>
            </w:pPr>
          </w:p>
        </w:tc>
        <w:tc>
          <w:tcPr>
            <w:tcW w:w="3040" w:type="dxa"/>
            <w:vAlign w:val="bottom"/>
            <w:gridSpan w:val="4"/>
            <w:vMerge w:val="restart"/>
          </w:tcPr>
          <w:p>
            <w:pPr>
              <w:ind w:left="60"/>
              <w:spacing w:after="0"/>
              <w:rPr>
                <w:sz w:val="20"/>
                <w:szCs w:val="20"/>
                <w:color w:val="auto"/>
              </w:rPr>
            </w:pPr>
            <w:r>
              <w:rPr>
                <w:rFonts w:ascii="Arial" w:cs="Arial" w:eastAsia="Arial" w:hAnsi="Arial"/>
                <w:sz w:val="16"/>
                <w:szCs w:val="16"/>
                <w:color w:val="010101"/>
              </w:rPr>
              <w:t>Final Technical Progress Report</w:t>
            </w: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8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3040" w:type="dxa"/>
            <w:vAlign w:val="bottom"/>
            <w:tcBorders>
              <w:bottom w:val="single" w:sz="8" w:color="auto"/>
            </w:tcBorders>
            <w:gridSpan w:val="4"/>
            <w:vMerge w:val="continue"/>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auto"/>
                <w:w w:val="97"/>
              </w:rPr>
              <w:t>DI-MISC-80711</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2"/>
          </w:tcPr>
          <w:p>
            <w:pPr>
              <w:jc w:val="right"/>
              <w:ind w:right="717"/>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3"/>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8"/>
                <w:szCs w:val="8"/>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8"/>
                <w:szCs w:val="8"/>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48" w:lineRule="exact"/>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91" w:lineRule="exact"/>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right="3080"/>
        <w:spacing w:after="0" w:line="24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032115"/>
                    </a:xfrm>
                    <a:prstGeom prst="rect">
                      <a:avLst/>
                    </a:prstGeom>
                    <a:noFill/>
                  </pic:spPr>
                </pic:pic>
              </a:graphicData>
            </a:graphic>
          </wp:anchor>
        </w:drawing>
        <w:t>The Final Technical Progress Report incorporating feedback received from BARDA and containing a summation of the work performed for the entire agreement PoP. The final report shall document the results of the entire Agreement. The final report shall be duly marked as 'Final' . A cover letter with the report will contain a summary (not to exceed 200 words) of product delivery and distribution achieved during the performance of the Agreement</w:t>
      </w:r>
    </w:p>
    <w:p>
      <w:pPr>
        <w:spacing w:after="0" w:line="220" w:lineRule="exact"/>
        <w:rPr>
          <w:sz w:val="20"/>
          <w:szCs w:val="20"/>
          <w:color w:val="auto"/>
        </w:rPr>
      </w:pPr>
    </w:p>
    <w:p>
      <w:pPr>
        <w:ind w:left="160" w:right="3320" w:firstLine="9"/>
        <w:spacing w:after="0" w:line="275" w:lineRule="auto"/>
        <w:tabs>
          <w:tab w:leader="none" w:pos="67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Final Technical report will include all milestone reports submitted throughout the period of performance and include an overarching executive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15:42:22-05’00’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09:03:00-05’00’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10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80"/>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80"/>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35" w:name="page136"/>
    <w:bookmarkEnd w:id="135"/>
    <w:tbl>
      <w:tblPr>
        <w:tblLayout w:type="fixed"/>
        <w:tblInd w:w="10" w:type="dxa"/>
        <w:tblCellMar>
          <w:top w:w="0" w:type="dxa"/>
          <w:left w:w="0" w:type="dxa"/>
          <w:bottom w:w="0" w:type="dxa"/>
          <w:right w:w="0" w:type="dxa"/>
        </w:tblCellMar>
      </w:tblPr>
      <w:tr>
        <w:trPr>
          <w:trHeight w:val="308"/>
        </w:trPr>
        <w:tc>
          <w:tcPr>
            <w:tcW w:w="680" w:type="dxa"/>
            <w:vAlign w:val="bottom"/>
            <w:tcBorders>
              <w:top w:val="single" w:sz="8" w:color="auto"/>
              <w:left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CONTRACT DATA REQUIREMENTS LIST</w:t>
            </w: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3"/>
          </w:tcPr>
          <w:p>
            <w:pPr>
              <w:ind w:left="660"/>
              <w:spacing w:after="0"/>
              <w:rPr>
                <w:sz w:val="20"/>
                <w:szCs w:val="20"/>
                <w:color w:val="auto"/>
              </w:rPr>
            </w:pPr>
            <w:r>
              <w:rPr>
                <w:rFonts w:ascii="Arial" w:cs="Arial" w:eastAsia="Arial" w:hAnsi="Arial"/>
                <w:sz w:val="13"/>
                <w:szCs w:val="13"/>
                <w:i w:val="1"/>
                <w:iCs w:val="1"/>
                <w:color w:val="auto"/>
              </w:rPr>
              <w:t>Form Approved</w:t>
            </w: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jc w:val="right"/>
              <w:ind w:right="428"/>
              <w:spacing w:after="0"/>
              <w:rPr>
                <w:sz w:val="20"/>
                <w:szCs w:val="20"/>
                <w:color w:val="auto"/>
              </w:rPr>
            </w:pPr>
            <w:r>
              <w:rPr>
                <w:rFonts w:ascii="Arial" w:cs="Arial" w:eastAsia="Arial" w:hAnsi="Arial"/>
                <w:sz w:val="13"/>
                <w:szCs w:val="13"/>
                <w:i w:val="1"/>
                <w:iCs w:val="1"/>
                <w:color w:val="auto"/>
              </w:rPr>
              <w:t>(1 Data Item)</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3"/>
          </w:tcPr>
          <w:p>
            <w:pPr>
              <w:ind w:left="660"/>
              <w:spacing w:after="0"/>
              <w:rPr>
                <w:sz w:val="20"/>
                <w:szCs w:val="20"/>
                <w:color w:val="auto"/>
              </w:rPr>
            </w:pPr>
            <w:r>
              <w:rPr>
                <w:rFonts w:ascii="Arial" w:cs="Arial" w:eastAsia="Arial" w:hAnsi="Arial"/>
                <w:sz w:val="13"/>
                <w:szCs w:val="13"/>
                <w:i w:val="1"/>
                <w:iCs w:val="1"/>
                <w:color w:val="auto"/>
              </w:rPr>
              <w:t>OMB No. 0704-0188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left w:val="single" w:sz="8" w:color="auto"/>
              <w:bottom w:val="single" w:sz="8" w:color="auto"/>
            </w:tcBorders>
            <w:gridSpan w:val="12"/>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100" w:type="dxa"/>
            <w:vAlign w:val="bottom"/>
            <w:tcBorders>
              <w:left w:val="single" w:sz="8" w:color="auto"/>
            </w:tcBorders>
            <w:gridSpan w:val="12"/>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tcBorders>
              <w:left w:val="single" w:sz="8" w:color="auto"/>
            </w:tcBorders>
            <w:gridSpan w:val="12"/>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tcBorders>
              <w:left w:val="single" w:sz="8" w:color="auto"/>
            </w:tcBorders>
            <w:gridSpan w:val="11"/>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tcBorders>
              <w:left w:val="single" w:sz="8" w:color="auto"/>
            </w:tcBorders>
            <w:gridSpan w:val="12"/>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tcBorders>
              <w:left w:val="single" w:sz="8" w:color="auto"/>
            </w:tcBorders>
            <w:gridSpan w:val="12"/>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tcBorders>
              <w:left w:val="single" w:sz="8" w:color="auto"/>
            </w:tcBorders>
            <w:gridSpan w:val="5"/>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left w:val="single" w:sz="8" w:color="auto"/>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3"/>
          </w:tcPr>
          <w:p>
            <w:pPr>
              <w:jc w:val="right"/>
              <w:ind w:right="788"/>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3"/>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0" w:type="dxa"/>
            <w:vAlign w:val="bottom"/>
            <w:tcBorders>
              <w:lef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4"/>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708"/>
              <w:spacing w:after="0"/>
              <w:rPr>
                <w:sz w:val="20"/>
                <w:szCs w:val="20"/>
                <w:color w:val="auto"/>
              </w:rPr>
            </w:pPr>
            <w:r>
              <w:rPr>
                <w:rFonts w:ascii="Arial" w:cs="Arial" w:eastAsia="Arial" w:hAnsi="Arial"/>
                <w:sz w:val="16"/>
                <w:szCs w:val="16"/>
                <w:color w:val="auto"/>
              </w:rPr>
              <w:t>A</w:t>
            </w:r>
          </w:p>
        </w:tc>
        <w:tc>
          <w:tcPr>
            <w:tcW w:w="420" w:type="dxa"/>
            <w:vAlign w:val="bottom"/>
          </w:tcPr>
          <w:p>
            <w:pPr>
              <w:spacing w:after="0"/>
              <w:rPr>
                <w:sz w:val="19"/>
                <w:szCs w:val="19"/>
                <w:color w:val="auto"/>
              </w:rPr>
            </w:pPr>
          </w:p>
        </w:tc>
        <w:tc>
          <w:tcPr>
            <w:tcW w:w="1020" w:type="dxa"/>
            <w:vAlign w:val="bottom"/>
            <w:gridSpan w:val="2"/>
          </w:tcPr>
          <w:p>
            <w:pPr>
              <w:jc w:val="center"/>
              <w:ind w:left="728"/>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280" w:type="dxa"/>
            <w:vAlign w:val="bottom"/>
            <w:gridSpan w:val="2"/>
          </w:tcPr>
          <w:p>
            <w:pPr>
              <w:spacing w:after="0"/>
              <w:rPr>
                <w:sz w:val="20"/>
                <w:szCs w:val="20"/>
                <w:color w:val="auto"/>
              </w:rPr>
            </w:pPr>
            <w:r>
              <w:rPr>
                <w:rFonts w:ascii="Arial" w:cs="Arial" w:eastAsia="Arial" w:hAnsi="Arial"/>
                <w:sz w:val="9"/>
                <w:szCs w:val="9"/>
                <w:color w:val="auto"/>
              </w:rPr>
              <w:t>OTHER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gridSpan w:val="2"/>
          </w:tcPr>
          <w:p>
            <w:pPr>
              <w:spacing w:after="0"/>
              <w:rPr>
                <w:sz w:val="10"/>
                <w:szCs w:val="10"/>
                <w:color w:val="auto"/>
              </w:rPr>
            </w:pPr>
          </w:p>
        </w:tc>
        <w:tc>
          <w:tcPr>
            <w:tcW w:w="1440" w:type="dxa"/>
            <w:vAlign w:val="bottom"/>
            <w:tcBorders>
              <w:bottom w:val="single" w:sz="8" w:color="auto"/>
            </w:tcBorders>
            <w:gridSpan w:val="3"/>
          </w:tcPr>
          <w:p>
            <w:pPr>
              <w:spacing w:after="0"/>
              <w:rPr>
                <w:sz w:val="10"/>
                <w:szCs w:val="10"/>
                <w:color w:val="auto"/>
              </w:rPr>
            </w:pPr>
          </w:p>
        </w:tc>
        <w:tc>
          <w:tcPr>
            <w:tcW w:w="1820" w:type="dxa"/>
            <w:vAlign w:val="bottom"/>
            <w:tcBorders>
              <w:bottom w:val="single" w:sz="8" w:color="auto"/>
            </w:tcBorders>
            <w:gridSpan w:val="3"/>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680" w:type="dxa"/>
            <w:vAlign w:val="bottom"/>
            <w:tcBorders>
              <w:left w:val="single" w:sz="8" w:color="auto"/>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3"/>
                <w:szCs w:val="13"/>
                <w:b w:val="1"/>
                <w:bCs w:val="1"/>
                <w:color w:val="auto"/>
              </w:rPr>
              <w:t>F. CONTRACTOR</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3"/>
          </w:tcPr>
          <w:p>
            <w:pPr>
              <w:jc w:val="right"/>
              <w:ind w:right="44"/>
              <w:spacing w:after="0"/>
              <w:rPr>
                <w:sz w:val="20"/>
                <w:szCs w:val="20"/>
                <w:color w:val="auto"/>
              </w:rPr>
            </w:pPr>
            <w:r>
              <w:rPr>
                <w:rFonts w:ascii="Arial" w:cs="Arial" w:eastAsia="Arial" w:hAnsi="Arial"/>
                <w:sz w:val="16"/>
                <w:szCs w:val="16"/>
                <w:color w:val="auto"/>
              </w:rPr>
              <w:t>Regeneron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80" w:type="dxa"/>
            <w:vAlign w:val="bottom"/>
            <w:tcBorders>
              <w:left w:val="single" w:sz="8" w:color="auto"/>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3"/>
          </w:tcPr>
          <w:p>
            <w:pPr>
              <w:ind w:left="20"/>
              <w:spacing w:after="0"/>
              <w:rPr>
                <w:sz w:val="20"/>
                <w:szCs w:val="20"/>
                <w:color w:val="auto"/>
              </w:rPr>
            </w:pPr>
            <w:r>
              <w:rPr>
                <w:rFonts w:ascii="Arial" w:cs="Arial" w:eastAsia="Arial" w:hAnsi="Arial"/>
                <w:sz w:val="10"/>
                <w:szCs w:val="10"/>
                <w:color w:val="auto"/>
              </w:rPr>
              <w:t>3. SUBTITLE</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880" w:type="dxa"/>
            <w:vAlign w:val="bottom"/>
            <w:tcBorders>
              <w:left w:val="single" w:sz="8" w:color="auto"/>
            </w:tcBorders>
            <w:gridSpan w:val="2"/>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680" w:type="dxa"/>
            <w:vAlign w:val="bottom"/>
            <w:tcBorders>
              <w:left w:val="single" w:sz="8" w:color="auto"/>
            </w:tcBorders>
          </w:tcPr>
          <w:p>
            <w:pPr>
              <w:spacing w:after="0"/>
              <w:rPr>
                <w:sz w:val="13"/>
                <w:szCs w:val="13"/>
                <w:color w:val="auto"/>
              </w:rPr>
            </w:pPr>
          </w:p>
        </w:tc>
        <w:tc>
          <w:tcPr>
            <w:tcW w:w="1200" w:type="dxa"/>
            <w:vAlign w:val="bottom"/>
            <w:vMerge w:val="restart"/>
          </w:tcPr>
          <w:p>
            <w:pPr>
              <w:ind w:left="660"/>
              <w:spacing w:after="0"/>
              <w:rPr>
                <w:sz w:val="20"/>
                <w:szCs w:val="20"/>
                <w:color w:val="auto"/>
              </w:rPr>
            </w:pPr>
            <w:r>
              <w:rPr>
                <w:rFonts w:ascii="Arial" w:cs="Arial" w:eastAsia="Arial" w:hAnsi="Arial"/>
                <w:sz w:val="16"/>
                <w:szCs w:val="16"/>
                <w:color w:val="auto"/>
              </w:rPr>
              <w:t>A011</w:t>
            </w:r>
          </w:p>
        </w:tc>
        <w:tc>
          <w:tcPr>
            <w:tcW w:w="200" w:type="dxa"/>
            <w:vAlign w:val="bottom"/>
            <w:tcBorders>
              <w:right w:val="single" w:sz="8" w:color="auto"/>
            </w:tcBorders>
          </w:tcPr>
          <w:p>
            <w:pPr>
              <w:spacing w:after="0"/>
              <w:rPr>
                <w:sz w:val="13"/>
                <w:szCs w:val="13"/>
                <w:color w:val="auto"/>
              </w:rPr>
            </w:pPr>
          </w:p>
        </w:tc>
        <w:tc>
          <w:tcPr>
            <w:tcW w:w="4420" w:type="dxa"/>
            <w:vAlign w:val="bottom"/>
            <w:tcBorders>
              <w:right w:val="single" w:sz="8" w:color="auto"/>
            </w:tcBorders>
            <w:gridSpan w:val="7"/>
          </w:tcPr>
          <w:p>
            <w:pPr>
              <w:ind w:left="60"/>
              <w:spacing w:after="0" w:line="158" w:lineRule="exact"/>
              <w:rPr>
                <w:sz w:val="20"/>
                <w:szCs w:val="20"/>
                <w:color w:val="auto"/>
              </w:rPr>
            </w:pPr>
            <w:r>
              <w:rPr>
                <w:rFonts w:ascii="Arial" w:cs="Arial" w:eastAsia="Arial" w:hAnsi="Arial"/>
                <w:sz w:val="16"/>
                <w:szCs w:val="16"/>
                <w:color w:val="010101"/>
              </w:rPr>
              <w:t>Product Development Source Material and Manufacturing</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tcBorders>
          </w:tcPr>
          <w:p>
            <w:pPr>
              <w:spacing w:after="0"/>
              <w:rPr>
                <w:sz w:val="17"/>
                <w:szCs w:val="17"/>
                <w:color w:val="auto"/>
              </w:rPr>
            </w:pPr>
          </w:p>
        </w:tc>
        <w:tc>
          <w:tcPr>
            <w:tcW w:w="120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010101"/>
              </w:rPr>
              <w:t>Reports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80" w:type="dxa"/>
            <w:vAlign w:val="bottom"/>
            <w:tcBorders>
              <w:left w:val="single" w:sz="8" w:color="auto"/>
              <w:bottom w:val="single" w:sz="8" w:color="auto"/>
              <w:right w:val="single" w:sz="8" w:color="auto"/>
            </w:tcBorders>
            <w:gridSpan w:val="3"/>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500" w:type="dxa"/>
            <w:vAlign w:val="bottom"/>
            <w:tcBorders>
              <w:bottom w:val="single" w:sz="8" w:color="auto"/>
              <w:right w:val="single" w:sz="8" w:color="auto"/>
            </w:tcBorders>
            <w:gridSpan w:val="4"/>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80" w:type="dxa"/>
            <w:vAlign w:val="bottom"/>
            <w:tcBorders>
              <w:left w:val="single" w:sz="8" w:color="auto"/>
            </w:tcBorders>
            <w:gridSpan w:val="3"/>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5"/>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0" w:type="dxa"/>
            <w:vAlign w:val="bottom"/>
          </w:tcPr>
          <w:p>
            <w:pPr>
              <w:ind w:left="80"/>
              <w:spacing w:after="0"/>
              <w:rPr>
                <w:sz w:val="20"/>
                <w:szCs w:val="20"/>
                <w:color w:val="auto"/>
              </w:rPr>
            </w:pPr>
            <w:r>
              <w:rPr>
                <w:rFonts w:ascii="Arial" w:cs="Arial" w:eastAsia="Arial" w:hAnsi="Arial"/>
                <w:sz w:val="9"/>
                <w:szCs w:val="9"/>
                <w:color w:val="auto"/>
              </w:rPr>
              <w:t>6. REQUIRING OFFICE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80" w:type="dxa"/>
            <w:vAlign w:val="bottom"/>
            <w:tcBorders>
              <w:left w:val="single" w:sz="8" w:color="auto"/>
            </w:tcBorders>
          </w:tcPr>
          <w:p>
            <w:pPr>
              <w:spacing w:after="0"/>
              <w:rPr>
                <w:sz w:val="18"/>
                <w:szCs w:val="18"/>
                <w:color w:val="auto"/>
              </w:rPr>
            </w:pPr>
          </w:p>
        </w:tc>
        <w:tc>
          <w:tcPr>
            <w:tcW w:w="2820" w:type="dxa"/>
            <w:vAlign w:val="bottom"/>
            <w:gridSpan w:val="4"/>
          </w:tcPr>
          <w:p>
            <w:pPr>
              <w:jc w:val="center"/>
              <w:ind w:right="180"/>
              <w:spacing w:after="0"/>
              <w:rPr>
                <w:sz w:val="20"/>
                <w:szCs w:val="20"/>
                <w:color w:val="auto"/>
              </w:rPr>
            </w:pPr>
            <w:r>
              <w:rPr>
                <w:rFonts w:ascii="Arial" w:cs="Arial" w:eastAsia="Arial" w:hAnsi="Arial"/>
                <w:sz w:val="16"/>
                <w:szCs w:val="16"/>
                <w:color w:val="151515"/>
                <w:w w:val="94"/>
              </w:rPr>
              <w:t>DI-TCSP-82040</w:t>
            </w:r>
          </w:p>
        </w:tc>
        <w:tc>
          <w:tcPr>
            <w:tcW w:w="5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gridSpan w:val="2"/>
          </w:tcPr>
          <w:p>
            <w:pPr>
              <w:jc w:val="right"/>
              <w:ind w:right="44"/>
              <w:spacing w:after="0"/>
              <w:rPr>
                <w:sz w:val="20"/>
                <w:szCs w:val="20"/>
                <w:color w:val="auto"/>
              </w:rPr>
            </w:pPr>
            <w:r>
              <w:rPr>
                <w:rFonts w:ascii="Arial" w:cs="Arial" w:eastAsia="Arial" w:hAnsi="Arial"/>
                <w:sz w:val="16"/>
                <w:szCs w:val="16"/>
                <w:color w:val="auto"/>
              </w:rPr>
              <w:t>BARDA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80" w:type="dxa"/>
            <w:vAlign w:val="bottom"/>
            <w:tcBorders>
              <w:left w:val="single" w:sz="8" w:color="auto"/>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680" w:type="dxa"/>
            <w:vAlign w:val="bottom"/>
            <w:tcBorders>
              <w:left w:val="single" w:sz="8" w:color="auto"/>
            </w:tcBorders>
          </w:tcPr>
          <w:p>
            <w:pPr>
              <w:spacing w:after="0"/>
              <w:rPr>
                <w:sz w:val="10"/>
                <w:szCs w:val="10"/>
                <w:color w:val="auto"/>
              </w:rPr>
            </w:pPr>
          </w:p>
        </w:tc>
        <w:tc>
          <w:tcPr>
            <w:tcW w:w="1200" w:type="dxa"/>
            <w:vAlign w:val="bottom"/>
            <w:vMerge w:val="restart"/>
          </w:tcPr>
          <w:p>
            <w:pPr>
              <w:ind w:left="66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3"/>
            <w:vMerge w:val="restart"/>
          </w:tcPr>
          <w:p>
            <w:pPr>
              <w:jc w:val="right"/>
              <w:ind w:right="708"/>
              <w:spacing w:after="0"/>
              <w:rPr>
                <w:sz w:val="20"/>
                <w:szCs w:val="20"/>
                <w:color w:val="auto"/>
              </w:rPr>
            </w:pPr>
            <w:r>
              <w:rPr>
                <w:rFonts w:ascii="Arial" w:cs="Arial" w:eastAsia="Arial" w:hAnsi="Arial"/>
                <w:sz w:val="9"/>
                <w:szCs w:val="9"/>
                <w:color w:val="auto"/>
              </w:rPr>
              <w:t>10. FREQUENCY</w:t>
            </w:r>
          </w:p>
        </w:tc>
        <w:tc>
          <w:tcPr>
            <w:tcW w:w="1980" w:type="dxa"/>
            <w:vAlign w:val="bottom"/>
            <w:gridSpan w:val="4"/>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Borders>
              <w:right w:val="single" w:sz="8" w:color="auto"/>
            </w:tcBorders>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0"/>
                <w:szCs w:val="10"/>
                <w:color w:val="auto"/>
              </w:rPr>
              <w:t>14.  DISTRIBUTION</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80" w:type="dxa"/>
            <w:vAlign w:val="bottom"/>
            <w:tcBorders>
              <w:left w:val="single" w:sz="8" w:color="auto"/>
            </w:tcBorders>
            <w:vMerge w:val="restart"/>
          </w:tcPr>
          <w:p>
            <w:pPr>
              <w:ind w:left="40"/>
              <w:spacing w:after="0"/>
              <w:rPr>
                <w:sz w:val="20"/>
                <w:szCs w:val="20"/>
                <w:color w:val="auto"/>
              </w:rPr>
            </w:pPr>
            <w:r>
              <w:rPr>
                <w:rFonts w:ascii="Arial" w:cs="Arial" w:eastAsia="Arial" w:hAnsi="Arial"/>
                <w:sz w:val="9"/>
                <w:szCs w:val="9"/>
                <w:b w:val="1"/>
                <w:bCs w:val="1"/>
                <w:color w:val="auto"/>
                <w:w w:val="99"/>
              </w:rPr>
              <w:t>7</w:t>
            </w:r>
            <w:r>
              <w:rPr>
                <w:rFonts w:ascii="Arial" w:cs="Arial" w:eastAsia="Arial" w:hAnsi="Arial"/>
                <w:sz w:val="9"/>
                <w:szCs w:val="9"/>
                <w:color w:val="auto"/>
                <w:w w:val="99"/>
              </w:rPr>
              <w:t>. DD 250 REQ</w:t>
            </w:r>
          </w:p>
        </w:tc>
        <w:tc>
          <w:tcPr>
            <w:tcW w:w="1200" w:type="dxa"/>
            <w:vAlign w:val="bottom"/>
            <w:vMerge w:val="continue"/>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5"/>
                <w:szCs w:val="5"/>
                <w:color w:val="auto"/>
              </w:rPr>
            </w:pPr>
          </w:p>
        </w:tc>
        <w:tc>
          <w:tcPr>
            <w:tcW w:w="1620" w:type="dxa"/>
            <w:vAlign w:val="bottom"/>
            <w:tcBorders>
              <w:right w:val="single" w:sz="8" w:color="auto"/>
            </w:tcBorders>
            <w:gridSpan w:val="3"/>
            <w:vMerge w:val="continue"/>
          </w:tcPr>
          <w:p>
            <w:pPr>
              <w:spacing w:after="0"/>
              <w:rPr>
                <w:sz w:val="5"/>
                <w:szCs w:val="5"/>
                <w:color w:val="auto"/>
              </w:rPr>
            </w:pPr>
          </w:p>
        </w:tc>
        <w:tc>
          <w:tcPr>
            <w:tcW w:w="1980" w:type="dxa"/>
            <w:vAlign w:val="bottom"/>
            <w:gridSpan w:val="4"/>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680" w:type="dxa"/>
            <w:vAlign w:val="bottom"/>
            <w:tcBorders>
              <w:left w:val="single" w:sz="8" w:color="auto"/>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Borders>
              <w:right w:val="single" w:sz="8" w:color="auto"/>
            </w:tcBorders>
            <w:gridSpan w:val="3"/>
            <w:vMerge w:val="restart"/>
          </w:tcPr>
          <w:p>
            <w:pPr>
              <w:jc w:val="right"/>
              <w:ind w:right="388"/>
              <w:spacing w:after="0"/>
              <w:rPr>
                <w:sz w:val="20"/>
                <w:szCs w:val="20"/>
                <w:color w:val="auto"/>
              </w:rPr>
            </w:pPr>
            <w:r>
              <w:rPr>
                <w:rFonts w:ascii="Arial" w:cs="Arial" w:eastAsia="Arial" w:hAnsi="Arial"/>
                <w:sz w:val="16"/>
                <w:szCs w:val="16"/>
                <w:color w:val="auto"/>
              </w:rPr>
              <w:t>see remarks</w:t>
            </w:r>
          </w:p>
        </w:tc>
        <w:tc>
          <w:tcPr>
            <w:tcW w:w="420" w:type="dxa"/>
            <w:vAlign w:val="bottom"/>
          </w:tcPr>
          <w:p>
            <w:pPr>
              <w:spacing w:after="0"/>
              <w:rPr>
                <w:sz w:val="4"/>
                <w:szCs w:val="4"/>
                <w:color w:val="auto"/>
              </w:rPr>
            </w:pPr>
          </w:p>
        </w:tc>
        <w:tc>
          <w:tcPr>
            <w:tcW w:w="1560" w:type="dxa"/>
            <w:vAlign w:val="bottom"/>
            <w:gridSpan w:val="3"/>
            <w:vMerge w:val="restart"/>
          </w:tcPr>
          <w:p>
            <w:pPr>
              <w:ind w:left="340"/>
              <w:spacing w:after="0"/>
              <w:rPr>
                <w:sz w:val="20"/>
                <w:szCs w:val="20"/>
                <w:color w:val="auto"/>
              </w:rPr>
            </w:pPr>
            <w:r>
              <w:rPr>
                <w:rFonts w:ascii="Arial" w:cs="Arial" w:eastAsia="Arial" w:hAnsi="Arial"/>
                <w:sz w:val="16"/>
                <w:szCs w:val="16"/>
                <w:color w:val="auto"/>
              </w:rPr>
              <w:t>see remarks</w:t>
            </w:r>
          </w:p>
        </w:tc>
        <w:tc>
          <w:tcPr>
            <w:tcW w:w="8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680" w:type="dxa"/>
            <w:vAlign w:val="bottom"/>
            <w:tcBorders>
              <w:left w:val="single" w:sz="8" w:color="auto"/>
            </w:tcBorders>
            <w:vMerge w:val="continue"/>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680" w:type="dxa"/>
            <w:vAlign w:val="bottom"/>
            <w:tcBorders>
              <w:lef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Borders>
              <w:right w:val="single" w:sz="8" w:color="auto"/>
            </w:tcBorders>
            <w:gridSpan w:val="4"/>
            <w:vMerge w:val="restart"/>
          </w:tcPr>
          <w:p>
            <w:pPr>
              <w:jc w:val="right"/>
              <w:ind w:right="459"/>
              <w:spacing w:after="0"/>
              <w:rPr>
                <w:sz w:val="20"/>
                <w:szCs w:val="20"/>
                <w:color w:val="auto"/>
              </w:rPr>
            </w:pPr>
            <w:r>
              <w:rPr>
                <w:rFonts w:ascii="Arial" w:cs="Arial" w:eastAsia="Arial" w:hAnsi="Arial"/>
                <w:sz w:val="10"/>
                <w:szCs w:val="10"/>
                <w:color w:val="auto"/>
              </w:rPr>
              <w:t>b. COPIES</w:t>
            </w:r>
          </w:p>
        </w:tc>
        <w:tc>
          <w:tcPr>
            <w:tcW w:w="0" w:type="dxa"/>
            <w:vAlign w:val="bottom"/>
          </w:tcPr>
          <w:p>
            <w:pPr>
              <w:spacing w:after="0"/>
              <w:rPr>
                <w:sz w:val="1"/>
                <w:szCs w:val="1"/>
                <w:color w:val="auto"/>
              </w:rPr>
            </w:pPr>
          </w:p>
        </w:tc>
      </w:tr>
      <w:tr>
        <w:trPr>
          <w:trHeight w:val="61"/>
        </w:trPr>
        <w:tc>
          <w:tcPr>
            <w:tcW w:w="680" w:type="dxa"/>
            <w:vAlign w:val="bottom"/>
            <w:tcBorders>
              <w:lef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680" w:type="dxa"/>
            <w:vAlign w:val="bottom"/>
            <w:tcBorders>
              <w:left w:val="single" w:sz="8" w:color="auto"/>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gridSpan w:val="2"/>
          </w:tcPr>
          <w:p>
            <w:pPr>
              <w:spacing w:after="0"/>
              <w:rPr>
                <w:sz w:val="9"/>
                <w:szCs w:val="9"/>
                <w:color w:val="auto"/>
              </w:rPr>
            </w:pPr>
          </w:p>
        </w:tc>
        <w:tc>
          <w:tcPr>
            <w:tcW w:w="1380" w:type="dxa"/>
            <w:vAlign w:val="bottom"/>
            <w:tcBorders>
              <w:bottom w:val="single" w:sz="8" w:color="auto"/>
            </w:tcBorders>
            <w:gridSpan w:val="2"/>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680" w:type="dxa"/>
            <w:vAlign w:val="bottom"/>
            <w:tcBorders>
              <w:left w:val="single" w:sz="8" w:color="auto"/>
            </w:tcBorders>
          </w:tcPr>
          <w:p>
            <w:pPr>
              <w:spacing w:after="0"/>
              <w:rPr>
                <w:sz w:val="7"/>
                <w:szCs w:val="7"/>
                <w:color w:val="auto"/>
              </w:rPr>
            </w:pPr>
          </w:p>
        </w:tc>
        <w:tc>
          <w:tcPr>
            <w:tcW w:w="1200" w:type="dxa"/>
            <w:vAlign w:val="bottom"/>
            <w:vMerge w:val="restart"/>
          </w:tcPr>
          <w:p>
            <w:pPr>
              <w:ind w:left="66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3"/>
          </w:tcPr>
          <w:p>
            <w:pPr>
              <w:jc w:val="right"/>
              <w:ind w:right="708"/>
              <w:spacing w:after="0" w:line="82" w:lineRule="exact"/>
              <w:rPr>
                <w:sz w:val="20"/>
                <w:szCs w:val="20"/>
                <w:color w:val="auto"/>
              </w:rPr>
            </w:pPr>
            <w:r>
              <w:rPr>
                <w:rFonts w:ascii="Arial" w:cs="Arial" w:eastAsia="Arial" w:hAnsi="Arial"/>
                <w:sz w:val="9"/>
                <w:szCs w:val="9"/>
                <w:color w:val="auto"/>
              </w:rPr>
              <w:t>11. AS OF DATE</w:t>
            </w:r>
          </w:p>
        </w:tc>
        <w:tc>
          <w:tcPr>
            <w:tcW w:w="1980" w:type="dxa"/>
            <w:vAlign w:val="bottom"/>
            <w:gridSpan w:val="4"/>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80" w:type="dxa"/>
            <w:vAlign w:val="bottom"/>
            <w:tcBorders>
              <w:right w:val="single" w:sz="8" w:color="auto"/>
            </w:tcBorders>
          </w:tcPr>
          <w:p>
            <w:pPr>
              <w:spacing w:after="0"/>
              <w:rPr>
                <w:sz w:val="7"/>
                <w:szCs w:val="7"/>
                <w:color w:val="auto"/>
              </w:rPr>
            </w:pPr>
          </w:p>
        </w:tc>
        <w:tc>
          <w:tcPr>
            <w:tcW w:w="1200" w:type="dxa"/>
            <w:vAlign w:val="bottom"/>
            <w:vMerge w:val="restart"/>
          </w:tcPr>
          <w:p>
            <w:pPr>
              <w:ind w:left="460"/>
              <w:spacing w:after="0"/>
              <w:rPr>
                <w:sz w:val="20"/>
                <w:szCs w:val="20"/>
                <w:color w:val="auto"/>
              </w:rPr>
            </w:pPr>
            <w:r>
              <w:rPr>
                <w:rFonts w:ascii="Arial" w:cs="Arial" w:eastAsia="Arial" w:hAnsi="Arial"/>
                <w:sz w:val="10"/>
                <w:szCs w:val="10"/>
                <w:color w:val="auto"/>
                <w:w w:val="98"/>
              </w:rPr>
              <w:t>a. ADDRESSEE</w:t>
            </w: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right w:val="single" w:sz="8" w:color="auto"/>
            </w:tcBorders>
            <w:gridSpan w:val="2"/>
            <w:vMerge w:val="restart"/>
          </w:tcPr>
          <w:p>
            <w:pPr>
              <w:jc w:val="right"/>
              <w:ind w:right="399"/>
              <w:spacing w:after="0"/>
              <w:rPr>
                <w:sz w:val="20"/>
                <w:szCs w:val="20"/>
                <w:color w:val="auto"/>
              </w:rPr>
            </w:pPr>
            <w:r>
              <w:rPr>
                <w:rFonts w:ascii="Arial" w:cs="Arial" w:eastAsia="Arial" w:hAnsi="Arial"/>
                <w:sz w:val="10"/>
                <w:szCs w:val="10"/>
                <w:color w:val="auto"/>
              </w:rPr>
              <w:t>Final</w:t>
            </w:r>
          </w:p>
        </w:tc>
        <w:tc>
          <w:tcPr>
            <w:tcW w:w="0" w:type="dxa"/>
            <w:vAlign w:val="bottom"/>
          </w:tcPr>
          <w:p>
            <w:pPr>
              <w:spacing w:after="0"/>
              <w:rPr>
                <w:sz w:val="1"/>
                <w:szCs w:val="1"/>
                <w:color w:val="auto"/>
              </w:rPr>
            </w:pPr>
          </w:p>
        </w:tc>
      </w:tr>
      <w:tr>
        <w:trPr>
          <w:trHeight w:val="68"/>
        </w:trPr>
        <w:tc>
          <w:tcPr>
            <w:tcW w:w="680" w:type="dxa"/>
            <w:vAlign w:val="bottom"/>
            <w:tcBorders>
              <w:left w:val="single" w:sz="8" w:color="auto"/>
            </w:tcBorders>
            <w:vMerge w:val="restart"/>
          </w:tcPr>
          <w:p>
            <w:pPr>
              <w:ind w:left="40"/>
              <w:spacing w:after="0"/>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1200" w:type="dxa"/>
            <w:vAlign w:val="bottom"/>
            <w:vMerge w:val="continue"/>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560" w:type="dxa"/>
            <w:vAlign w:val="bottom"/>
            <w:gridSpan w:val="3"/>
            <w:vMerge w:val="restart"/>
          </w:tcPr>
          <w:p>
            <w:pPr>
              <w:ind w:left="34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Borders>
              <w:right w:val="single" w:sz="8" w:color="auto"/>
            </w:tcBorders>
          </w:tcPr>
          <w:p>
            <w:pPr>
              <w:spacing w:after="0"/>
              <w:rPr>
                <w:sz w:val="5"/>
                <w:szCs w:val="5"/>
                <w:color w:val="auto"/>
              </w:rPr>
            </w:pPr>
          </w:p>
        </w:tc>
        <w:tc>
          <w:tcPr>
            <w:tcW w:w="1200" w:type="dxa"/>
            <w:vAlign w:val="bottom"/>
            <w:vMerge w:val="continue"/>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tcBorders>
              <w:left w:val="single" w:sz="8" w:color="auto"/>
            </w:tcBorders>
            <w:vMerge w:val="continue"/>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80" w:type="dxa"/>
            <w:vAlign w:val="bottom"/>
            <w:vMerge w:val="restart"/>
          </w:tcPr>
          <w:p>
            <w:pPr>
              <w:spacing w:after="0"/>
              <w:rPr>
                <w:sz w:val="20"/>
                <w:szCs w:val="20"/>
                <w:color w:val="auto"/>
              </w:rPr>
            </w:pPr>
            <w:r>
              <w:rPr>
                <w:rFonts w:ascii="Arial" w:cs="Arial" w:eastAsia="Arial" w:hAnsi="Arial"/>
                <w:sz w:val="9"/>
                <w:szCs w:val="9"/>
                <w:color w:val="auto"/>
              </w:rPr>
              <w:t>Draft</w:t>
            </w:r>
          </w:p>
        </w:tc>
        <w:tc>
          <w:tcPr>
            <w:tcW w:w="18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80" w:type="dxa"/>
            <w:vAlign w:val="bottom"/>
            <w:tcBorders>
              <w:lef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10"/>
                <w:szCs w:val="10"/>
                <w:color w:val="auto"/>
              </w:rPr>
              <w:t>Reg</w:t>
            </w: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680" w:type="dxa"/>
            <w:vAlign w:val="bottom"/>
            <w:tcBorders>
              <w:lef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left w:val="single" w:sz="8" w:color="auto"/>
              <w:bottom w:val="single" w:sz="8" w:color="auto"/>
            </w:tcBorders>
            <w:gridSpan w:val="2"/>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200" w:type="dxa"/>
            <w:vAlign w:val="bottom"/>
          </w:tcPr>
          <w:p>
            <w:pPr>
              <w:ind w:left="60"/>
              <w:spacing w:after="0"/>
              <w:rPr>
                <w:sz w:val="20"/>
                <w:szCs w:val="20"/>
                <w:color w:val="auto"/>
              </w:rPr>
            </w:pPr>
            <w:r>
              <w:rPr>
                <w:rFonts w:ascii="Arial" w:cs="Arial" w:eastAsia="Arial" w:hAnsi="Arial"/>
                <w:sz w:val="14"/>
                <w:szCs w:val="14"/>
                <w:color w:val="auto"/>
              </w:rPr>
              <w:t>BARDA</w:t>
            </w:r>
          </w:p>
        </w:tc>
        <w:tc>
          <w:tcPr>
            <w:tcW w:w="4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0" w:type="dxa"/>
            <w:vAlign w:val="bottom"/>
            <w:tcBorders>
              <w:lef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60" w:type="dxa"/>
            <w:vAlign w:val="bottom"/>
            <w:tcBorders>
              <w:lef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rPr>
              <w:t>The contractor shall submit a detailed spreadsheet regarding critical project materials that</w:t>
            </w: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JPEO CBRND</w:t>
            </w: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560" w:type="dxa"/>
            <w:vAlign w:val="bottom"/>
            <w:tcBorders>
              <w:left w:val="single" w:sz="8" w:color="auto"/>
            </w:tcBorders>
            <w:gridSpan w:val="11"/>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560" w:type="dxa"/>
            <w:vAlign w:val="bottom"/>
            <w:tcBorders>
              <w:lef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w w:val="98"/>
              </w:rPr>
              <w:t>are sourced from a location other than the United States, sources, and manufacturing sites,</w:t>
            </w:r>
          </w:p>
        </w:tc>
        <w:tc>
          <w:tcPr>
            <w:tcW w:w="5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560" w:type="dxa"/>
            <w:vAlign w:val="bottom"/>
            <w:tcBorders>
              <w:left w:val="single" w:sz="8" w:color="auto"/>
            </w:tcBorders>
            <w:gridSpan w:val="11"/>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560" w:type="dxa"/>
            <w:vAlign w:val="bottom"/>
            <w:tcBorders>
              <w:lef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rPr>
              <w:t>including but not limited to: physical locations of sources of raw and processed material</w:t>
            </w: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560" w:type="dxa"/>
            <w:vAlign w:val="bottom"/>
            <w:tcBorders>
              <w:left w:val="single" w:sz="8" w:color="auto"/>
            </w:tcBorders>
            <w:gridSpan w:val="11"/>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7100" w:type="dxa"/>
            <w:vAlign w:val="bottom"/>
            <w:tcBorders>
              <w:left w:val="single" w:sz="8" w:color="auto"/>
            </w:tcBorders>
            <w:gridSpan w:val="12"/>
            <w:vMerge w:val="restart"/>
          </w:tcPr>
          <w:p>
            <w:pPr>
              <w:ind w:left="160"/>
              <w:spacing w:after="0"/>
              <w:rPr>
                <w:sz w:val="20"/>
                <w:szCs w:val="20"/>
                <w:color w:val="auto"/>
              </w:rPr>
            </w:pPr>
            <w:r>
              <w:rPr>
                <w:rFonts w:ascii="Arial" w:cs="Arial" w:eastAsia="Arial" w:hAnsi="Arial"/>
                <w:sz w:val="16"/>
                <w:szCs w:val="16"/>
                <w:color w:val="auto"/>
                <w:w w:val="93"/>
              </w:rPr>
              <w:t>type of material; location and nature of work performed at manufacturing sites; and location and nature of</w:t>
            </w:r>
          </w:p>
        </w:tc>
        <w:tc>
          <w:tcPr>
            <w:tcW w:w="8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7100" w:type="dxa"/>
            <w:vAlign w:val="bottom"/>
            <w:tcBorders>
              <w:left w:val="single" w:sz="8" w:color="auto"/>
            </w:tcBorders>
            <w:gridSpan w:val="12"/>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3500" w:type="dxa"/>
            <w:vAlign w:val="bottom"/>
            <w:tcBorders>
              <w:left w:val="single" w:sz="8" w:color="auto"/>
            </w:tcBorders>
            <w:gridSpan w:val="5"/>
            <w:vMerge w:val="restart"/>
          </w:tcPr>
          <w:p>
            <w:pPr>
              <w:ind w:left="160"/>
              <w:spacing w:after="0"/>
              <w:rPr>
                <w:sz w:val="20"/>
                <w:szCs w:val="20"/>
                <w:color w:val="auto"/>
              </w:rPr>
            </w:pPr>
            <w:r>
              <w:rPr>
                <w:rFonts w:ascii="Arial" w:cs="Arial" w:eastAsia="Arial" w:hAnsi="Arial"/>
                <w:sz w:val="16"/>
                <w:szCs w:val="16"/>
                <w:color w:val="auto"/>
              </w:rPr>
              <w:t>non-clinical and clinical study sites.</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3500" w:type="dxa"/>
            <w:vAlign w:val="bottom"/>
            <w:tcBorders>
              <w:left w:val="single" w:sz="8" w:color="auto"/>
            </w:tcBorders>
            <w:gridSpan w:val="5"/>
            <w:vMerge w:val="continue"/>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6560" w:type="dxa"/>
            <w:vAlign w:val="bottom"/>
            <w:tcBorders>
              <w:lef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rPr>
              <w:t>The contractor will provide manufacturing reports and manufacturing dose tracking</w:t>
            </w: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560" w:type="dxa"/>
            <w:vAlign w:val="bottom"/>
            <w:tcBorders>
              <w:left w:val="single" w:sz="8" w:color="auto"/>
            </w:tcBorders>
            <w:gridSpan w:val="11"/>
            <w:vMerge w:val="continue"/>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560" w:type="dxa"/>
            <w:vAlign w:val="bottom"/>
            <w:tcBorders>
              <w:left w:val="single" w:sz="8" w:color="auto"/>
            </w:tcBorders>
            <w:gridSpan w:val="11"/>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60" w:type="dxa"/>
            <w:vAlign w:val="bottom"/>
            <w:tcBorders>
              <w:left w:val="single" w:sz="8" w:color="auto"/>
            </w:tcBorders>
            <w:gridSpan w:val="11"/>
          </w:tcPr>
          <w:p>
            <w:pPr>
              <w:ind w:left="160"/>
              <w:spacing w:after="0" w:line="138" w:lineRule="exact"/>
              <w:rPr>
                <w:sz w:val="20"/>
                <w:szCs w:val="20"/>
                <w:color w:val="auto"/>
              </w:rPr>
            </w:pPr>
            <w:r>
              <w:rPr>
                <w:rFonts w:ascii="Arial" w:cs="Arial" w:eastAsia="Arial" w:hAnsi="Arial"/>
                <w:sz w:val="16"/>
                <w:szCs w:val="16"/>
                <w:color w:val="auto"/>
              </w:rPr>
              <w:t>projections/actuals utilizing the "COVID-19 Dose Tracking Templates" or similar, on any</w:t>
            </w: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tcBorders>
              <w:left w:val="single" w:sz="8" w:color="auto"/>
            </w:tcBorders>
            <w:gridSpan w:val="11"/>
          </w:tcPr>
          <w:p>
            <w:pPr>
              <w:ind w:left="160"/>
              <w:spacing w:after="0"/>
              <w:rPr>
                <w:sz w:val="20"/>
                <w:szCs w:val="20"/>
                <w:color w:val="auto"/>
              </w:rPr>
            </w:pPr>
            <w:r>
              <w:rPr>
                <w:rFonts w:ascii="Arial" w:cs="Arial" w:eastAsia="Arial" w:hAnsi="Arial"/>
                <w:sz w:val="16"/>
                <w:szCs w:val="16"/>
                <w:color w:val="auto"/>
              </w:rPr>
              <w:t>contract/agreement that is manufacturing product, including product for clinical trial use.</w:t>
            </w: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tcBorders>
            <w:gridSpan w:val="8"/>
          </w:tcPr>
          <w:p>
            <w:pPr>
              <w:ind w:left="160"/>
              <w:spacing w:after="0" w:line="183" w:lineRule="exact"/>
              <w:rPr>
                <w:sz w:val="20"/>
                <w:szCs w:val="20"/>
                <w:color w:val="auto"/>
              </w:rPr>
            </w:pPr>
            <w:r>
              <w:rPr>
                <w:rFonts w:ascii="Arial" w:cs="Arial" w:eastAsia="Arial" w:hAnsi="Arial"/>
                <w:sz w:val="16"/>
                <w:szCs w:val="16"/>
                <w:color w:val="auto"/>
              </w:rPr>
              <w:t>Awardee will submit Product Development Source Material Report</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Borders>
              <w:left w:val="single" w:sz="8" w:color="auto"/>
            </w:tcBorders>
          </w:tcPr>
          <w:p>
            <w:pPr>
              <w:ind w:left="180"/>
              <w:spacing w:after="0"/>
              <w:rPr>
                <w:sz w:val="20"/>
                <w:szCs w:val="20"/>
                <w:color w:val="auto"/>
              </w:rPr>
            </w:pPr>
            <w:r>
              <w:rPr>
                <w:rFonts w:ascii="Courier New" w:cs="Courier New" w:eastAsia="Courier New" w:hAnsi="Courier New"/>
                <w:sz w:val="16"/>
                <w:szCs w:val="16"/>
                <w:color w:val="auto"/>
              </w:rPr>
              <w:t>•</w:t>
            </w:r>
          </w:p>
        </w:tc>
        <w:tc>
          <w:tcPr>
            <w:tcW w:w="2820" w:type="dxa"/>
            <w:vAlign w:val="bottom"/>
            <w:gridSpan w:val="4"/>
          </w:tcPr>
          <w:p>
            <w:pPr>
              <w:ind w:left="140"/>
              <w:spacing w:after="0"/>
              <w:rPr>
                <w:sz w:val="20"/>
                <w:szCs w:val="20"/>
                <w:color w:val="auto"/>
              </w:rPr>
            </w:pPr>
            <w:r>
              <w:rPr>
                <w:rFonts w:ascii="Arial" w:cs="Arial" w:eastAsia="Arial" w:hAnsi="Arial"/>
                <w:sz w:val="16"/>
                <w:szCs w:val="16"/>
                <w:color w:val="auto"/>
              </w:rPr>
              <w:t xml:space="preserve">Within </w:t>
            </w:r>
            <w:r>
              <w:rPr>
                <w:rFonts w:ascii="Arial" w:cs="Arial" w:eastAsia="Arial" w:hAnsi="Arial"/>
                <w:sz w:val="12"/>
                <w:szCs w:val="12"/>
                <w:color w:val="auto"/>
              </w:rPr>
              <w:t>[* * *]</w:t>
            </w:r>
            <w:r>
              <w:rPr>
                <w:rFonts w:ascii="Arial" w:cs="Arial" w:eastAsia="Arial" w:hAnsi="Arial"/>
                <w:sz w:val="16"/>
                <w:szCs w:val="16"/>
                <w:color w:val="auto"/>
              </w:rPr>
              <w:t xml:space="preserve"> of Agreement award</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80" w:type="dxa"/>
            <w:vAlign w:val="bottom"/>
            <w:tcBorders>
              <w:left w:val="single" w:sz="8" w:color="auto"/>
            </w:tcBorders>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5880" w:type="dxa"/>
            <w:vAlign w:val="bottom"/>
            <w:gridSpan w:val="10"/>
          </w:tcPr>
          <w:p>
            <w:pPr>
              <w:ind w:left="140"/>
              <w:spacing w:after="0" w:line="179" w:lineRule="exact"/>
              <w:rPr>
                <w:sz w:val="20"/>
                <w:szCs w:val="20"/>
                <w:color w:val="auto"/>
              </w:rPr>
            </w:pPr>
            <w:r>
              <w:rPr>
                <w:rFonts w:ascii="Arial" w:cs="Arial" w:eastAsia="Arial" w:hAnsi="Arial"/>
                <w:sz w:val="16"/>
                <w:szCs w:val="16"/>
                <w:color w:val="auto"/>
              </w:rPr>
              <w:t xml:space="preserve">Within </w:t>
            </w:r>
            <w:r>
              <w:rPr>
                <w:rFonts w:ascii="Arial" w:cs="Arial" w:eastAsia="Arial" w:hAnsi="Arial"/>
                <w:sz w:val="12"/>
                <w:szCs w:val="12"/>
                <w:color w:val="auto"/>
              </w:rPr>
              <w:t>[* * *]</w:t>
            </w:r>
            <w:r>
              <w:rPr>
                <w:rFonts w:ascii="Arial" w:cs="Arial" w:eastAsia="Arial" w:hAnsi="Arial"/>
                <w:sz w:val="16"/>
                <w:szCs w:val="16"/>
                <w:color w:val="auto"/>
              </w:rPr>
              <w:t xml:space="preserve"> of substantive changes are made to sources and/or materials</w:t>
            </w: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0" w:type="dxa"/>
            <w:vAlign w:val="bottom"/>
            <w:tcBorders>
              <w:left w:val="single" w:sz="8" w:color="auto"/>
            </w:tcBorders>
            <w:vMerge w:val="restart"/>
          </w:tcPr>
          <w:p>
            <w:pPr>
              <w:ind w:left="180"/>
              <w:spacing w:after="0"/>
              <w:rPr>
                <w:sz w:val="20"/>
                <w:szCs w:val="20"/>
                <w:color w:val="auto"/>
              </w:rPr>
            </w:pPr>
            <w:r>
              <w:rPr>
                <w:rFonts w:ascii="Courier New" w:cs="Courier New" w:eastAsia="Courier New" w:hAnsi="Courier New"/>
                <w:sz w:val="16"/>
                <w:szCs w:val="16"/>
                <w:color w:val="auto"/>
              </w:rPr>
              <w:t>•</w:t>
            </w:r>
          </w:p>
        </w:tc>
        <w:tc>
          <w:tcPr>
            <w:tcW w:w="2820" w:type="dxa"/>
            <w:vAlign w:val="bottom"/>
            <w:gridSpan w:val="4"/>
            <w:vMerge w:val="restart"/>
          </w:tcPr>
          <w:p>
            <w:pPr>
              <w:jc w:val="center"/>
              <w:ind w:right="180"/>
              <w:spacing w:after="0"/>
              <w:rPr>
                <w:sz w:val="20"/>
                <w:szCs w:val="20"/>
                <w:color w:val="auto"/>
              </w:rPr>
            </w:pPr>
            <w:r>
              <w:rPr>
                <w:rFonts w:ascii="Arial" w:cs="Arial" w:eastAsia="Arial" w:hAnsi="Arial"/>
                <w:sz w:val="16"/>
                <w:szCs w:val="16"/>
                <w:color w:val="auto"/>
                <w:w w:val="93"/>
              </w:rPr>
              <w:t xml:space="preserve">Or on the </w:t>
            </w:r>
            <w:r>
              <w:rPr>
                <w:rFonts w:ascii="Arial" w:cs="Arial" w:eastAsia="Arial" w:hAnsi="Arial"/>
                <w:sz w:val="12"/>
                <w:szCs w:val="12"/>
                <w:color w:val="auto"/>
                <w:w w:val="93"/>
              </w:rPr>
              <w:t>[* * *]</w:t>
            </w:r>
            <w:r>
              <w:rPr>
                <w:rFonts w:ascii="Arial" w:cs="Arial" w:eastAsia="Arial" w:hAnsi="Arial"/>
                <w:sz w:val="16"/>
                <w:szCs w:val="16"/>
                <w:color w:val="auto"/>
                <w:w w:val="93"/>
              </w:rPr>
              <w:t xml:space="preserve"> contract anniversary.</w:t>
            </w: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80" w:type="dxa"/>
            <w:vAlign w:val="bottom"/>
            <w:tcBorders>
              <w:left w:val="single" w:sz="8" w:color="auto"/>
            </w:tcBorders>
            <w:vMerge w:val="continue"/>
          </w:tcPr>
          <w:p>
            <w:pPr>
              <w:spacing w:after="0"/>
              <w:rPr>
                <w:sz w:val="15"/>
                <w:szCs w:val="15"/>
                <w:color w:val="auto"/>
              </w:rPr>
            </w:pPr>
          </w:p>
        </w:tc>
        <w:tc>
          <w:tcPr>
            <w:tcW w:w="2820" w:type="dxa"/>
            <w:vAlign w:val="bottom"/>
            <w:gridSpan w:val="4"/>
            <w:vMerge w:val="continue"/>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auto"/>
              </w:rPr>
              <w:t>•</w:t>
            </w:r>
          </w:p>
        </w:tc>
        <w:tc>
          <w:tcPr>
            <w:tcW w:w="5880" w:type="dxa"/>
            <w:vAlign w:val="bottom"/>
            <w:gridSpan w:val="10"/>
            <w:vMerge w:val="restart"/>
          </w:tcPr>
          <w:p>
            <w:pPr>
              <w:spacing w:after="0"/>
              <w:rPr>
                <w:sz w:val="20"/>
                <w:szCs w:val="20"/>
                <w:color w:val="auto"/>
              </w:rPr>
            </w:pPr>
            <w:r>
              <w:rPr>
                <w:rFonts w:ascii="Arial" w:cs="Arial" w:eastAsia="Arial" w:hAnsi="Arial"/>
                <w:sz w:val="16"/>
                <w:szCs w:val="16"/>
                <w:color w:val="auto"/>
              </w:rPr>
              <w:t>Contractor will update the Dose Tracking Template weekly during manufacturing</w:t>
            </w: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80" w:type="dxa"/>
            <w:vAlign w:val="bottom"/>
            <w:tcBorders>
              <w:left w:val="single" w:sz="8" w:color="auto"/>
            </w:tcBorders>
            <w:vMerge w:val="continue"/>
          </w:tcPr>
          <w:p>
            <w:pPr>
              <w:spacing w:after="0"/>
              <w:rPr>
                <w:sz w:val="15"/>
                <w:szCs w:val="15"/>
                <w:color w:val="auto"/>
              </w:rPr>
            </w:pPr>
          </w:p>
        </w:tc>
        <w:tc>
          <w:tcPr>
            <w:tcW w:w="5880" w:type="dxa"/>
            <w:vAlign w:val="bottom"/>
            <w:gridSpan w:val="10"/>
            <w:vMerge w:val="continue"/>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60" w:type="dxa"/>
            <w:vAlign w:val="bottom"/>
            <w:tcBorders>
              <w:lef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rPr>
              <w:t>campaigns and daily during response operations (where a Public Health Emergency has</w:t>
            </w: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560" w:type="dxa"/>
            <w:vAlign w:val="bottom"/>
            <w:tcBorders>
              <w:left w:val="single" w:sz="8" w:color="auto"/>
            </w:tcBorders>
            <w:gridSpan w:val="11"/>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560" w:type="dxa"/>
            <w:vAlign w:val="bottom"/>
            <w:tcBorders>
              <w:lef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w w:val="99"/>
              </w:rPr>
              <w:t xml:space="preserve">been declared) and COVID-19 response, with the first deliverable submission within </w:t>
            </w:r>
            <w:r>
              <w:rPr>
                <w:rFonts w:ascii="Arial" w:cs="Arial" w:eastAsia="Arial" w:hAnsi="Arial"/>
                <w:sz w:val="12"/>
                <w:szCs w:val="12"/>
                <w:color w:val="auto"/>
                <w:w w:val="99"/>
              </w:rPr>
              <w:t>[* * *]</w:t>
            </w:r>
            <w:r>
              <w:rPr>
                <w:rFonts w:ascii="Arial" w:cs="Arial" w:eastAsia="Arial" w:hAnsi="Arial"/>
                <w:sz w:val="16"/>
                <w:szCs w:val="16"/>
                <w:color w:val="auto"/>
                <w:w w:val="99"/>
              </w:rPr>
              <w:t xml:space="preserve"> of</w:t>
            </w:r>
          </w:p>
        </w:tc>
        <w:tc>
          <w:tcPr>
            <w:tcW w:w="5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6560" w:type="dxa"/>
            <w:vAlign w:val="bottom"/>
            <w:tcBorders>
              <w:left w:val="single" w:sz="8" w:color="auto"/>
            </w:tcBorders>
            <w:gridSpan w:val="11"/>
            <w:vMerge w:val="continue"/>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7100" w:type="dxa"/>
            <w:vAlign w:val="bottom"/>
            <w:tcBorders>
              <w:left w:val="single" w:sz="8" w:color="auto"/>
            </w:tcBorders>
            <w:gridSpan w:val="12"/>
            <w:vMerge w:val="restart"/>
          </w:tcPr>
          <w:p>
            <w:pPr>
              <w:ind w:left="160"/>
              <w:spacing w:after="0"/>
              <w:rPr>
                <w:sz w:val="20"/>
                <w:szCs w:val="20"/>
                <w:color w:val="auto"/>
              </w:rPr>
            </w:pPr>
            <w:r>
              <w:rPr>
                <w:rFonts w:ascii="Arial" w:cs="Arial" w:eastAsia="Arial" w:hAnsi="Arial"/>
                <w:sz w:val="16"/>
                <w:szCs w:val="16"/>
                <w:color w:val="auto"/>
                <w:w w:val="95"/>
              </w:rPr>
              <w:t>award/modification. Updates to be provided weekly in advance of commercial-scale manufacturing and</w:t>
            </w:r>
          </w:p>
        </w:tc>
        <w:tc>
          <w:tcPr>
            <w:tcW w:w="80" w:type="dxa"/>
            <w:vAlign w:val="bottom"/>
            <w:tcBorders>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100" w:type="dxa"/>
            <w:vAlign w:val="bottom"/>
            <w:tcBorders>
              <w:left w:val="single" w:sz="8" w:color="auto"/>
            </w:tcBorders>
            <w:gridSpan w:val="1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5120" w:type="dxa"/>
            <w:vAlign w:val="bottom"/>
            <w:tcBorders>
              <w:left w:val="single" w:sz="8" w:color="auto"/>
            </w:tcBorders>
            <w:gridSpan w:val="8"/>
            <w:vMerge w:val="restart"/>
          </w:tcPr>
          <w:p>
            <w:pPr>
              <w:ind w:left="160"/>
              <w:spacing w:after="0"/>
              <w:rPr>
                <w:sz w:val="20"/>
                <w:szCs w:val="20"/>
                <w:color w:val="auto"/>
              </w:rPr>
            </w:pPr>
            <w:r>
              <w:rPr>
                <w:rFonts w:ascii="Arial" w:cs="Arial" w:eastAsia="Arial" w:hAnsi="Arial"/>
                <w:sz w:val="16"/>
                <w:szCs w:val="16"/>
                <w:color w:val="auto"/>
                <w:w w:val="97"/>
              </w:rPr>
              <w:t>daily once material for use in response operations begins manufacture.</w:t>
            </w: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5120" w:type="dxa"/>
            <w:vAlign w:val="bottom"/>
            <w:tcBorders>
              <w:left w:val="single" w:sz="8" w:color="auto"/>
            </w:tcBorders>
            <w:gridSpan w:val="8"/>
            <w:vMerge w:val="continue"/>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auto"/>
              </w:rPr>
              <w:t>•</w:t>
            </w:r>
          </w:p>
        </w:tc>
        <w:tc>
          <w:tcPr>
            <w:tcW w:w="5880" w:type="dxa"/>
            <w:vAlign w:val="bottom"/>
            <w:gridSpan w:val="10"/>
            <w:vMerge w:val="restart"/>
          </w:tcPr>
          <w:p>
            <w:pPr>
              <w:spacing w:after="0"/>
              <w:rPr>
                <w:sz w:val="20"/>
                <w:szCs w:val="20"/>
                <w:color w:val="auto"/>
              </w:rPr>
            </w:pPr>
            <w:r>
              <w:rPr>
                <w:rFonts w:ascii="Arial" w:cs="Arial" w:eastAsia="Arial" w:hAnsi="Arial"/>
                <w:sz w:val="16"/>
                <w:szCs w:val="16"/>
                <w:color w:val="auto"/>
                <w:w w:val="99"/>
              </w:rPr>
              <w:t>The Government will provide written comments to the Product Development Source</w:t>
            </w: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680" w:type="dxa"/>
            <w:vAlign w:val="bottom"/>
            <w:tcBorders>
              <w:left w:val="single" w:sz="8" w:color="auto"/>
            </w:tcBorders>
            <w:vMerge w:val="continue"/>
          </w:tcPr>
          <w:p>
            <w:pPr>
              <w:spacing w:after="0"/>
              <w:rPr>
                <w:sz w:val="5"/>
                <w:szCs w:val="5"/>
                <w:color w:val="auto"/>
              </w:rPr>
            </w:pPr>
          </w:p>
        </w:tc>
        <w:tc>
          <w:tcPr>
            <w:tcW w:w="5880" w:type="dxa"/>
            <w:vAlign w:val="bottom"/>
            <w:gridSpan w:val="10"/>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5120" w:type="dxa"/>
            <w:vAlign w:val="bottom"/>
            <w:tcBorders>
              <w:left w:val="single" w:sz="8" w:color="auto"/>
            </w:tcBorders>
            <w:gridSpan w:val="8"/>
            <w:vMerge w:val="restart"/>
          </w:tcPr>
          <w:p>
            <w:pPr>
              <w:ind w:left="160"/>
              <w:spacing w:after="0"/>
              <w:rPr>
                <w:sz w:val="20"/>
                <w:szCs w:val="20"/>
                <w:color w:val="auto"/>
              </w:rPr>
            </w:pPr>
            <w:r>
              <w:rPr>
                <w:rFonts w:ascii="Arial" w:cs="Arial" w:eastAsia="Arial" w:hAnsi="Arial"/>
                <w:sz w:val="16"/>
                <w:szCs w:val="16"/>
                <w:color w:val="auto"/>
              </w:rPr>
              <w:t xml:space="preserve">Material and Manufacturing Report within </w:t>
            </w:r>
            <w:r>
              <w:rPr>
                <w:rFonts w:ascii="Arial" w:cs="Arial" w:eastAsia="Arial" w:hAnsi="Arial"/>
                <w:sz w:val="12"/>
                <w:szCs w:val="12"/>
                <w:color w:val="auto"/>
              </w:rPr>
              <w:t>[* * *]</w:t>
            </w:r>
            <w:r>
              <w:rPr>
                <w:rFonts w:ascii="Arial" w:cs="Arial" w:eastAsia="Arial" w:hAnsi="Arial"/>
                <w:sz w:val="16"/>
                <w:szCs w:val="16"/>
                <w:color w:val="auto"/>
              </w:rPr>
              <w:t xml:space="preserve"> after the submission</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5120" w:type="dxa"/>
            <w:vAlign w:val="bottom"/>
            <w:tcBorders>
              <w:left w:val="single" w:sz="8" w:color="auto"/>
            </w:tcBorders>
            <w:gridSpan w:val="8"/>
            <w:vMerge w:val="continue"/>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680" w:type="dxa"/>
            <w:vAlign w:val="bottom"/>
            <w:tcBorders>
              <w:left w:val="single" w:sz="8" w:color="auto"/>
            </w:tcBorders>
          </w:tcPr>
          <w:p>
            <w:pPr>
              <w:ind w:left="160"/>
              <w:spacing w:after="0" w:line="138" w:lineRule="exact"/>
              <w:rPr>
                <w:sz w:val="20"/>
                <w:szCs w:val="20"/>
                <w:color w:val="auto"/>
              </w:rPr>
            </w:pPr>
            <w:r>
              <w:rPr>
                <w:rFonts w:ascii="Arial" w:cs="Arial" w:eastAsia="Arial" w:hAnsi="Arial"/>
                <w:sz w:val="16"/>
                <w:szCs w:val="16"/>
                <w:color w:val="auto"/>
              </w:rPr>
              <w:t>•</w:t>
            </w:r>
          </w:p>
        </w:tc>
        <w:tc>
          <w:tcPr>
            <w:tcW w:w="5880" w:type="dxa"/>
            <w:vAlign w:val="bottom"/>
            <w:gridSpan w:val="10"/>
          </w:tcPr>
          <w:p>
            <w:pPr>
              <w:spacing w:after="0" w:line="138" w:lineRule="exact"/>
              <w:rPr>
                <w:sz w:val="20"/>
                <w:szCs w:val="20"/>
                <w:color w:val="auto"/>
              </w:rPr>
            </w:pPr>
            <w:r>
              <w:rPr>
                <w:rFonts w:ascii="Arial" w:cs="Arial" w:eastAsia="Arial" w:hAnsi="Arial"/>
                <w:sz w:val="16"/>
                <w:szCs w:val="16"/>
                <w:color w:val="auto"/>
                <w:w w:val="98"/>
              </w:rPr>
              <w:t>If corrective action is recommended, contractor must address all concerns raised by</w:t>
            </w: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80" w:type="dxa"/>
            <w:vAlign w:val="bottom"/>
            <w:tcBorders>
              <w:left w:val="single" w:sz="8" w:color="auto"/>
            </w:tcBorders>
            <w:gridSpan w:val="2"/>
          </w:tcPr>
          <w:p>
            <w:pPr>
              <w:ind w:left="160"/>
              <w:spacing w:after="0" w:line="183" w:lineRule="exact"/>
              <w:rPr>
                <w:sz w:val="20"/>
                <w:szCs w:val="20"/>
                <w:color w:val="auto"/>
              </w:rPr>
            </w:pPr>
            <w:r>
              <w:rPr>
                <w:rFonts w:ascii="Arial" w:cs="Arial" w:eastAsia="Arial" w:hAnsi="Arial"/>
                <w:sz w:val="16"/>
                <w:szCs w:val="16"/>
                <w:color w:val="auto"/>
              </w:rPr>
              <w:t>BARDA in writing</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5880" w:type="dxa"/>
            <w:vAlign w:val="bottom"/>
            <w:gridSpan w:val="10"/>
          </w:tcPr>
          <w:p>
            <w:pPr>
              <w:spacing w:after="0"/>
              <w:rPr>
                <w:sz w:val="20"/>
                <w:szCs w:val="20"/>
                <w:color w:val="auto"/>
              </w:rPr>
            </w:pPr>
            <w:r>
              <w:rPr>
                <w:rFonts w:ascii="Arial" w:cs="Arial" w:eastAsia="Arial" w:hAnsi="Arial"/>
                <w:sz w:val="16"/>
                <w:szCs w:val="16"/>
                <w:color w:val="auto"/>
                <w:w w:val="93"/>
              </w:rPr>
              <w:t>Product Development and Source Material report to be submitted via spreadsheet; Dose</w:t>
            </w: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560" w:type="dxa"/>
            <w:vAlign w:val="bottom"/>
            <w:tcBorders>
              <w:left w:val="single" w:sz="8" w:color="auto"/>
            </w:tcBorders>
            <w:gridSpan w:val="11"/>
          </w:tcPr>
          <w:p>
            <w:pPr>
              <w:ind w:left="160"/>
              <w:spacing w:after="0" w:line="159" w:lineRule="exact"/>
              <w:rPr>
                <w:sz w:val="20"/>
                <w:szCs w:val="20"/>
                <w:color w:val="auto"/>
              </w:rPr>
            </w:pPr>
            <w:r>
              <w:rPr>
                <w:rFonts w:ascii="Arial" w:cs="Arial" w:eastAsia="Arial" w:hAnsi="Arial"/>
                <w:sz w:val="16"/>
                <w:szCs w:val="16"/>
                <w:color w:val="auto"/>
                <w:w w:val="99"/>
              </w:rPr>
              <w:t>Tracking can be completed via spreadsheet or other format (e.g. XML or JSON) as agreed</w:t>
            </w: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880" w:type="dxa"/>
            <w:vAlign w:val="bottom"/>
            <w:tcBorders>
              <w:left w:val="single" w:sz="8" w:color="auto"/>
            </w:tcBorders>
            <w:gridSpan w:val="2"/>
            <w:vMerge w:val="restart"/>
          </w:tcPr>
          <w:p>
            <w:pPr>
              <w:ind w:left="160"/>
              <w:spacing w:after="0"/>
              <w:rPr>
                <w:sz w:val="20"/>
                <w:szCs w:val="20"/>
                <w:color w:val="auto"/>
              </w:rPr>
            </w:pPr>
            <w:r>
              <w:rPr>
                <w:rFonts w:ascii="Arial" w:cs="Arial" w:eastAsia="Arial" w:hAnsi="Arial"/>
                <w:sz w:val="16"/>
                <w:szCs w:val="16"/>
                <w:color w:val="auto"/>
                <w:w w:val="95"/>
              </w:rPr>
              <w:t>to by USG and company.</w:t>
            </w: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880" w:type="dxa"/>
            <w:vAlign w:val="bottom"/>
            <w:tcBorders>
              <w:left w:val="single" w:sz="8" w:color="auto"/>
            </w:tcBorders>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Borders>
              <w:lef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Borders>
              <w:lef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Pr>
          <w:p>
            <w:pPr>
              <w:ind w:left="20"/>
              <w:spacing w:after="0"/>
              <w:rPr>
                <w:sz w:val="20"/>
                <w:szCs w:val="20"/>
                <w:color w:val="auto"/>
              </w:rPr>
            </w:pPr>
            <w:r>
              <w:rPr>
                <w:rFonts w:ascii="Arial" w:cs="Arial" w:eastAsia="Arial" w:hAnsi="Arial"/>
                <w:sz w:val="9"/>
                <w:szCs w:val="9"/>
                <w:color w:val="auto"/>
              </w:rPr>
              <w:t>15. TOTAL</w:t>
            </w:r>
          </w:p>
        </w:tc>
        <w:tc>
          <w:tcPr>
            <w:tcW w:w="400" w:type="dxa"/>
            <w:vAlign w:val="bottom"/>
            <w:tcBorders>
              <w:right w:val="single" w:sz="8" w:color="auto"/>
            </w:tcBorders>
          </w:tcPr>
          <w:p>
            <w:pPr>
              <w:spacing w:after="0"/>
              <w:rPr>
                <w:sz w:val="11"/>
                <w:szCs w:val="11"/>
                <w:color w:val="auto"/>
              </w:rPr>
            </w:pPr>
          </w:p>
        </w:tc>
        <w:tc>
          <w:tcPr>
            <w:tcW w:w="280" w:type="dxa"/>
            <w:vAlign w:val="bottom"/>
            <w:vMerge w:val="restart"/>
          </w:tcPr>
          <w:p>
            <w:pPr>
              <w:spacing w:after="0"/>
              <w:rPr>
                <w:sz w:val="20"/>
                <w:szCs w:val="20"/>
                <w:color w:val="auto"/>
              </w:rPr>
            </w:pPr>
            <w:r>
              <w:rPr>
                <w:rFonts w:ascii="Arial" w:cs="Arial" w:eastAsia="Arial" w:hAnsi="Arial"/>
                <w:sz w:val="14"/>
                <w:szCs w:val="14"/>
                <w:color w:val="auto"/>
              </w:rPr>
              <w:t>2</w:t>
            </w:r>
          </w:p>
        </w:tc>
        <w:tc>
          <w:tcPr>
            <w:tcW w:w="180" w:type="dxa"/>
            <w:vAlign w:val="bottom"/>
            <w:tcBorders>
              <w:right w:val="single" w:sz="8" w:color="auto"/>
            </w:tcBorders>
          </w:tcPr>
          <w:p>
            <w:pPr>
              <w:spacing w:after="0"/>
              <w:rPr>
                <w:sz w:val="11"/>
                <w:szCs w:val="11"/>
                <w:color w:val="auto"/>
              </w:rPr>
            </w:pPr>
          </w:p>
        </w:tc>
        <w:tc>
          <w:tcPr>
            <w:tcW w:w="240" w:type="dxa"/>
            <w:vAlign w:val="bottom"/>
            <w:vMerge w:val="restart"/>
          </w:tcPr>
          <w:p>
            <w:pPr>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680" w:type="dxa"/>
            <w:vAlign w:val="bottom"/>
            <w:tcBorders>
              <w:left w:val="single" w:sz="8" w:color="auto"/>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G. PREPARED BY</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960" w:type="dxa"/>
            <w:vAlign w:val="bottom"/>
          </w:tcPr>
          <w:p>
            <w:pPr>
              <w:jc w:val="right"/>
              <w:ind w:right="208"/>
              <w:spacing w:after="0"/>
              <w:rPr>
                <w:sz w:val="20"/>
                <w:szCs w:val="20"/>
                <w:color w:val="auto"/>
              </w:rPr>
            </w:pPr>
            <w:r>
              <w:rPr>
                <w:rFonts w:ascii="Arial" w:cs="Arial" w:eastAsia="Arial" w:hAnsi="Arial"/>
                <w:sz w:val="13"/>
                <w:szCs w:val="13"/>
                <w:b w:val="1"/>
                <w:bCs w:val="1"/>
                <w:color w:val="auto"/>
              </w:rPr>
              <w:t>H. DATE</w:t>
            </w:r>
          </w:p>
        </w:tc>
        <w:tc>
          <w:tcPr>
            <w:tcW w:w="420" w:type="dxa"/>
            <w:vAlign w:val="bottom"/>
            <w:tcBorders>
              <w:right w:val="single" w:sz="8" w:color="auto"/>
            </w:tcBorders>
          </w:tcPr>
          <w:p>
            <w:pPr>
              <w:spacing w:after="0"/>
              <w:rPr>
                <w:sz w:val="15"/>
                <w:szCs w:val="15"/>
                <w:color w:val="auto"/>
              </w:rPr>
            </w:pPr>
          </w:p>
        </w:tc>
        <w:tc>
          <w:tcPr>
            <w:tcW w:w="1560" w:type="dxa"/>
            <w:vAlign w:val="bottom"/>
            <w:gridSpan w:val="3"/>
          </w:tcPr>
          <w:p>
            <w:pPr>
              <w:jc w:val="center"/>
              <w:ind w:left="188"/>
              <w:spacing w:after="0"/>
              <w:rPr>
                <w:sz w:val="20"/>
                <w:szCs w:val="20"/>
                <w:color w:val="auto"/>
              </w:rPr>
            </w:pPr>
            <w:r>
              <w:rPr>
                <w:rFonts w:ascii="Arial" w:cs="Arial" w:eastAsia="Arial" w:hAnsi="Arial"/>
                <w:sz w:val="13"/>
                <w:szCs w:val="13"/>
                <w:b w:val="1"/>
                <w:bCs w:val="1"/>
                <w:color w:val="auto"/>
                <w:w w:val="96"/>
              </w:rPr>
              <w:t>I. APPROVED BY</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J. DATE</w:t>
            </w: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80" w:type="dxa"/>
            <w:vAlign w:val="bottom"/>
            <w:tcBorders>
              <w:lef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vMerge w:val="restart"/>
          </w:tcPr>
          <w:p>
            <w:pPr>
              <w:ind w:left="380"/>
              <w:spacing w:after="0" w:line="97" w:lineRule="exact"/>
              <w:rPr>
                <w:sz w:val="20"/>
                <w:szCs w:val="20"/>
                <w:color w:val="auto"/>
              </w:rPr>
            </w:pPr>
            <w:r>
              <w:rPr>
                <w:rFonts w:ascii="Arial" w:cs="Arial" w:eastAsia="Arial" w:hAnsi="Arial"/>
                <w:sz w:val="9"/>
                <w:szCs w:val="9"/>
                <w:color w:val="auto"/>
              </w:rPr>
              <w:t>Digitally signed by</w:t>
            </w: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80" w:type="dxa"/>
            <w:vAlign w:val="bottom"/>
            <w:tcBorders>
              <w:lef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020" w:type="dxa"/>
            <w:vAlign w:val="bottom"/>
            <w:gridSpan w:val="2"/>
            <w:vMerge w:val="restart"/>
          </w:tcPr>
          <w:p>
            <w:pPr>
              <w:jc w:val="right"/>
              <w:ind w:right="680"/>
              <w:spacing w:after="0"/>
              <w:rPr>
                <w:sz w:val="20"/>
                <w:szCs w:val="20"/>
                <w:color w:val="auto"/>
              </w:rPr>
            </w:pPr>
            <w:r>
              <w:rPr>
                <w:rFonts w:ascii="Arial" w:cs="Arial" w:eastAsia="Arial" w:hAnsi="Arial"/>
                <w:sz w:val="20"/>
                <w:szCs w:val="20"/>
                <w:color w:val="auto"/>
              </w:rPr>
              <w:t>/s/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ind w:left="380"/>
              <w:spacing w:after="0"/>
              <w:rPr>
                <w:sz w:val="20"/>
                <w:szCs w:val="20"/>
                <w:color w:val="auto"/>
              </w:rPr>
            </w:pPr>
            <w:r>
              <w:rPr>
                <w:rFonts w:ascii="Arial" w:cs="Arial" w:eastAsia="Arial" w:hAnsi="Arial"/>
                <w:sz w:val="9"/>
                <w:szCs w:val="9"/>
                <w:color w:val="auto"/>
              </w:rPr>
              <w:t>Date: 2020.12.30</w:t>
            </w:r>
          </w:p>
        </w:tc>
        <w:tc>
          <w:tcPr>
            <w:tcW w:w="400" w:type="dxa"/>
            <w:vAlign w:val="bottom"/>
            <w:tcBorders>
              <w:right w:val="single" w:sz="8" w:color="auto"/>
            </w:tcBorders>
          </w:tcPr>
          <w:p>
            <w:pPr>
              <w:spacing w:after="0"/>
              <w:rPr>
                <w:sz w:val="11"/>
                <w:szCs w:val="11"/>
                <w:color w:val="auto"/>
              </w:rPr>
            </w:pPr>
          </w:p>
        </w:tc>
        <w:tc>
          <w:tcPr>
            <w:tcW w:w="700" w:type="dxa"/>
            <w:vAlign w:val="bottom"/>
            <w:gridSpan w:val="3"/>
            <w:vMerge w:val="restart"/>
          </w:tcPr>
          <w:p>
            <w:pPr>
              <w:spacing w:after="0"/>
              <w:rPr>
                <w:sz w:val="20"/>
                <w:szCs w:val="20"/>
                <w:color w:val="auto"/>
              </w:rPr>
            </w:pPr>
            <w:r>
              <w:rPr>
                <w:rFonts w:ascii="Arial" w:cs="Arial" w:eastAsia="Arial" w:hAnsi="Arial"/>
                <w:sz w:val="9"/>
                <w:szCs w:val="9"/>
                <w:color w:val="auto"/>
              </w:rPr>
              <w:t>15:41:58-05’00’</w:t>
            </w: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Borders>
              <w:lef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Borders>
              <w:lef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Borders>
              <w:left w:val="single" w:sz="8" w:color="auto"/>
            </w:tcBorders>
          </w:tcPr>
          <w:p>
            <w:pPr>
              <w:spacing w:after="0"/>
              <w:rPr>
                <w:sz w:val="14"/>
                <w:szCs w:val="14"/>
                <w:color w:val="auto"/>
              </w:rPr>
            </w:pPr>
          </w:p>
        </w:tc>
        <w:tc>
          <w:tcPr>
            <w:tcW w:w="2820" w:type="dxa"/>
            <w:vAlign w:val="bottom"/>
            <w:gridSpan w:val="4"/>
          </w:tcPr>
          <w:p>
            <w:pPr>
              <w:ind w:left="600"/>
              <w:spacing w:after="0"/>
              <w:rPr>
                <w:sz w:val="20"/>
                <w:szCs w:val="20"/>
                <w:color w:val="auto"/>
              </w:rPr>
            </w:pPr>
            <w:r>
              <w:rPr>
                <w:rFonts w:ascii="Arial" w:cs="Arial" w:eastAsia="Arial" w:hAnsi="Arial"/>
                <w:sz w:val="7"/>
                <w:szCs w:val="7"/>
                <w:color w:val="auto"/>
              </w:rPr>
              <w:t>Date 2020.12.31 09:08:45-05’00’</w:t>
            </w:r>
          </w:p>
        </w:tc>
        <w:tc>
          <w:tcPr>
            <w:tcW w:w="5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Borders>
              <w:left w:val="single" w:sz="8" w:color="auto"/>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81"/>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81"/>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172"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spacing w:after="0"/>
        <w:tabs>
          <w:tab w:leader="none" w:pos="2380" w:val="left"/>
          <w:tab w:leader="none" w:pos="5060" w:val="left"/>
        </w:tabs>
        <w:rPr>
          <w:sz w:val="20"/>
          <w:szCs w:val="20"/>
          <w:color w:val="auto"/>
        </w:rPr>
      </w:pPr>
      <w:r>
        <w:rPr>
          <w:rFonts w:ascii="Arial" w:cs="Arial" w:eastAsia="Arial" w:hAnsi="Arial"/>
          <w:sz w:val="16"/>
          <w:szCs w:val="16"/>
          <w:b w:val="1"/>
          <w:bCs w:val="1"/>
          <w:color w:val="auto"/>
        </w:rPr>
        <w:t>DD FORM 1423-1, FEB 2001</w:t>
      </w:r>
      <w:r>
        <w:rPr>
          <w:sz w:val="20"/>
          <w:szCs w:val="20"/>
          <w:color w:val="auto"/>
        </w:rPr>
        <w:tab/>
      </w:r>
      <w:r>
        <w:rPr>
          <w:rFonts w:ascii="Arial" w:cs="Arial" w:eastAsia="Arial" w:hAnsi="Arial"/>
          <w:sz w:val="14"/>
          <w:szCs w:val="14"/>
          <w:color w:val="080808"/>
        </w:rPr>
        <w:t>PREVIOUS EDITION MAY BE USED.</w:t>
      </w:r>
      <w:r>
        <w:rPr>
          <w:sz w:val="20"/>
          <w:szCs w:val="20"/>
          <w:color w:val="auto"/>
        </w:rPr>
        <w:tab/>
      </w:r>
      <w:r>
        <w:rPr>
          <w:rFonts w:ascii="Arial" w:cs="Arial" w:eastAsia="Arial" w:hAnsi="Arial"/>
          <w:sz w:val="11"/>
          <w:szCs w:val="11"/>
          <w:color w:val="090909"/>
        </w:rPr>
        <w:t xml:space="preserve">Page 11 </w:t>
      </w:r>
      <w:r>
        <w:rPr>
          <w:rFonts w:ascii="Arial" w:cs="Arial" w:eastAsia="Arial" w:hAnsi="Arial"/>
          <w:sz w:val="12"/>
          <w:szCs w:val="12"/>
          <w:color w:val="070707"/>
        </w:rPr>
        <w:t>of 32</w:t>
      </w:r>
      <w:r>
        <w:rPr>
          <w:rFonts w:ascii="Arial" w:cs="Arial" w:eastAsia="Arial" w:hAnsi="Arial"/>
          <w:sz w:val="11"/>
          <w:szCs w:val="11"/>
          <w:color w:val="090909"/>
        </w:rPr>
        <w:t xml:space="preserve"> </w:t>
      </w:r>
      <w:r>
        <w:rPr>
          <w:rFonts w:ascii="Arial" w:cs="Arial" w:eastAsia="Arial" w:hAnsi="Arial"/>
          <w:sz w:val="11"/>
          <w:szCs w:val="11"/>
          <w:color w:val="0B0B0B"/>
        </w:rPr>
        <w:t>Pages</w:t>
      </w:r>
    </w:p>
    <w:p>
      <w:pPr>
        <w:sectPr>
          <w:pgSz w:w="11900" w:h="16838" w:orient="portrait"/>
          <w:cols w:equalWidth="0" w:num="1">
            <w:col w:w="11160"/>
          </w:cols>
          <w:pgMar w:left="320" w:top="403" w:right="419" w:bottom="1440" w:gutter="0" w:footer="0" w:header="0"/>
          <w:type w:val="continuous"/>
        </w:sectPr>
      </w:pPr>
    </w:p>
    <w:p>
      <w:pPr>
        <w:spacing w:after="0" w:line="17" w:lineRule="exact"/>
        <w:rPr>
          <w:sz w:val="20"/>
          <w:szCs w:val="20"/>
          <w:color w:val="auto"/>
        </w:r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6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4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1880" w:type="dxa"/>
            <w:vAlign w:val="bottom"/>
            <w:vMerge w:val="restart"/>
          </w:tcPr>
          <w:p>
            <w:pPr>
              <w:ind w:left="1320"/>
              <w:spacing w:after="0"/>
              <w:rPr>
                <w:sz w:val="20"/>
                <w:szCs w:val="20"/>
                <w:color w:val="auto"/>
              </w:rPr>
            </w:pPr>
            <w:r>
              <w:rPr>
                <w:rFonts w:ascii="Arial" w:cs="Arial" w:eastAsia="Arial" w:hAnsi="Arial"/>
                <w:sz w:val="16"/>
                <w:szCs w:val="16"/>
                <w:color w:val="auto"/>
              </w:rPr>
              <w:t>A012</w:t>
            </w:r>
          </w:p>
        </w:tc>
        <w:tc>
          <w:tcPr>
            <w:tcW w:w="200" w:type="dxa"/>
            <w:vAlign w:val="bottom"/>
            <w:tcBorders>
              <w:right w:val="single" w:sz="8" w:color="auto"/>
            </w:tcBorders>
          </w:tcPr>
          <w:p>
            <w:pPr>
              <w:spacing w:after="0"/>
              <w:rPr>
                <w:sz w:val="23"/>
                <w:szCs w:val="23"/>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010101"/>
                <w:w w:val="94"/>
              </w:rPr>
              <w:t>Contractor Locations</w:t>
            </w: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60" w:type="dxa"/>
            <w:vAlign w:val="bottom"/>
            <w:gridSpan w:val="4"/>
          </w:tcPr>
          <w:p>
            <w:pPr>
              <w:jc w:val="center"/>
              <w:ind w:left="389"/>
              <w:spacing w:after="0"/>
              <w:rPr>
                <w:sz w:val="20"/>
                <w:szCs w:val="20"/>
                <w:color w:val="auto"/>
              </w:rPr>
            </w:pPr>
            <w:r>
              <w:rPr>
                <w:rFonts w:ascii="Arial" w:cs="Arial" w:eastAsia="Arial" w:hAnsi="Arial"/>
                <w:sz w:val="16"/>
                <w:szCs w:val="16"/>
                <w:color w:val="151515"/>
                <w:w w:val="90"/>
              </w:rPr>
              <w:t>contractor format acceptable</w:t>
            </w:r>
          </w:p>
        </w:tc>
        <w:tc>
          <w:tcPr>
            <w:tcW w:w="4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240" w:type="dxa"/>
            <w:vAlign w:val="bottom"/>
          </w:tcPr>
          <w:p>
            <w:pPr>
              <w:spacing w:after="0"/>
              <w:rPr>
                <w:sz w:val="10"/>
                <w:szCs w:val="10"/>
                <w:color w:val="auto"/>
              </w:rPr>
            </w:pPr>
          </w:p>
        </w:tc>
        <w:tc>
          <w:tcPr>
            <w:tcW w:w="156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240" w:type="dxa"/>
            <w:vAlign w:val="bottom"/>
          </w:tcPr>
          <w:p>
            <w:pPr>
              <w:spacing w:after="0"/>
              <w:rPr>
                <w:sz w:val="3"/>
                <w:szCs w:val="3"/>
                <w:color w:val="auto"/>
              </w:rPr>
            </w:pPr>
          </w:p>
        </w:tc>
        <w:tc>
          <w:tcPr>
            <w:tcW w:w="156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Borders>
              <w:right w:val="single" w:sz="8" w:color="auto"/>
            </w:tcBorders>
            <w:gridSpan w:val="2"/>
          </w:tcPr>
          <w:p>
            <w:pPr>
              <w:jc w:val="right"/>
              <w:ind w:right="717"/>
              <w:spacing w:after="0" w:line="102" w:lineRule="exact"/>
              <w:rPr>
                <w:sz w:val="20"/>
                <w:szCs w:val="20"/>
                <w:color w:val="auto"/>
              </w:rPr>
            </w:pPr>
            <w:r>
              <w:rPr>
                <w:rFonts w:ascii="Arial" w:cs="Arial" w:eastAsia="Arial" w:hAnsi="Arial"/>
                <w:sz w:val="10"/>
                <w:szCs w:val="10"/>
                <w:color w:val="auto"/>
                <w:w w:val="99"/>
              </w:rPr>
              <w:t>11. AS OF DATE</w:t>
            </w:r>
          </w:p>
        </w:tc>
        <w:tc>
          <w:tcPr>
            <w:tcW w:w="1980" w:type="dxa"/>
            <w:vAlign w:val="bottom"/>
            <w:gridSpan w:val="3"/>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8"/>
                <w:szCs w:val="8"/>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8"/>
                <w:szCs w:val="8"/>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48" w:lineRule="exact"/>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91" w:lineRule="exact"/>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032115"/>
                    </a:xfrm>
                    <a:prstGeom prst="rect">
                      <a:avLst/>
                    </a:prstGeom>
                    <a:noFill/>
                  </pic:spPr>
                </pic:pic>
              </a:graphicData>
            </a:graphic>
          </wp:anchor>
        </w:drawing>
        <w:t>The contractor shall submit detailed data regarding locations where work will be performed</w:t>
      </w:r>
    </w:p>
    <w:p>
      <w:pPr>
        <w:spacing w:after="0" w:line="5" w:lineRule="exact"/>
        <w:rPr>
          <w:sz w:val="20"/>
          <w:szCs w:val="20"/>
          <w:color w:val="auto"/>
        </w:rPr>
      </w:pPr>
    </w:p>
    <w:p>
      <w:pPr>
        <w:ind w:left="160" w:right="3380"/>
        <w:spacing w:after="0" w:line="257" w:lineRule="auto"/>
        <w:rPr>
          <w:sz w:val="20"/>
          <w:szCs w:val="20"/>
          <w:color w:val="auto"/>
        </w:rPr>
      </w:pPr>
      <w:r>
        <w:rPr>
          <w:rFonts w:ascii="Arial" w:cs="Arial" w:eastAsia="Arial" w:hAnsi="Arial"/>
          <w:sz w:val="16"/>
          <w:szCs w:val="16"/>
          <w:color w:val="auto"/>
        </w:rPr>
        <w:t>under this contract, including addresses, points of contact, and work performed per location, to include sub-awardees.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Contractor will submit Work Locations Report:</w:t>
      </w:r>
    </w:p>
    <w:p>
      <w:pPr>
        <w:spacing w:after="0" w:line="19" w:lineRule="exact"/>
        <w:rPr>
          <w:sz w:val="20"/>
          <w:szCs w:val="20"/>
          <w:color w:val="auto"/>
        </w:rPr>
      </w:pPr>
    </w:p>
    <w:p>
      <w:pPr>
        <w:ind w:left="680" w:hanging="511"/>
        <w:spacing w:after="0"/>
        <w:tabs>
          <w:tab w:leader="none" w:pos="6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2"/>
          <w:szCs w:val="12"/>
          <w:color w:val="auto"/>
        </w:rPr>
        <w:t>[* * *]</w:t>
      </w:r>
      <w:r>
        <w:rPr>
          <w:rFonts w:ascii="Arial" w:cs="Arial" w:eastAsia="Arial" w:hAnsi="Arial"/>
          <w:sz w:val="16"/>
          <w:szCs w:val="16"/>
          <w:color w:val="auto"/>
        </w:rPr>
        <w:t xml:space="preserve"> of Agreement award</w:t>
      </w:r>
    </w:p>
    <w:p>
      <w:pPr>
        <w:spacing w:after="0" w:line="5" w:lineRule="exact"/>
        <w:rPr>
          <w:rFonts w:ascii="Arial" w:cs="Arial" w:eastAsia="Arial" w:hAnsi="Arial"/>
          <w:sz w:val="16"/>
          <w:szCs w:val="16"/>
          <w:color w:val="auto"/>
        </w:rPr>
      </w:pPr>
    </w:p>
    <w:p>
      <w:pPr>
        <w:ind w:left="680" w:hanging="511"/>
        <w:spacing w:after="0"/>
        <w:tabs>
          <w:tab w:leader="none" w:pos="6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2"/>
          <w:szCs w:val="12"/>
          <w:color w:val="auto"/>
        </w:rPr>
        <w:t>[* * *]</w:t>
      </w:r>
      <w:r>
        <w:rPr>
          <w:rFonts w:ascii="Arial" w:cs="Arial" w:eastAsia="Arial" w:hAnsi="Arial"/>
          <w:sz w:val="16"/>
          <w:szCs w:val="16"/>
          <w:color w:val="auto"/>
        </w:rPr>
        <w:t xml:space="preserve"> after a substantive location or capabilities change</w:t>
      </w:r>
    </w:p>
    <w:p>
      <w:pPr>
        <w:spacing w:after="0" w:line="5" w:lineRule="exact"/>
        <w:rPr>
          <w:rFonts w:ascii="Arial" w:cs="Arial" w:eastAsia="Arial" w:hAnsi="Arial"/>
          <w:sz w:val="16"/>
          <w:szCs w:val="16"/>
          <w:color w:val="auto"/>
        </w:rPr>
      </w:pPr>
    </w:p>
    <w:p>
      <w:pPr>
        <w:ind w:left="160" w:right="3460" w:firstLine="9"/>
        <w:spacing w:after="0" w:line="305" w:lineRule="auto"/>
        <w:tabs>
          <w:tab w:leader="none" w:pos="675" w:val="left"/>
        </w:tabs>
        <w:numPr>
          <w:ilvl w:val="0"/>
          <w:numId w:val="182"/>
        </w:numPr>
        <w:rPr>
          <w:rFonts w:ascii="Arial" w:cs="Arial" w:eastAsia="Arial" w:hAnsi="Arial"/>
          <w:sz w:val="14"/>
          <w:szCs w:val="14"/>
          <w:color w:val="auto"/>
        </w:rPr>
      </w:pPr>
      <w:r>
        <w:rPr>
          <w:rFonts w:ascii="Arial" w:cs="Arial" w:eastAsia="Arial" w:hAnsi="Arial"/>
          <w:sz w:val="14"/>
          <w:szCs w:val="14"/>
          <w:color w:val="auto"/>
        </w:rPr>
        <w:t xml:space="preserve">Within </w:t>
      </w:r>
      <w:r>
        <w:rPr>
          <w:rFonts w:ascii="Arial" w:cs="Arial" w:eastAsia="Arial" w:hAnsi="Arial"/>
          <w:sz w:val="11"/>
          <w:szCs w:val="11"/>
          <w:color w:val="auto"/>
        </w:rPr>
        <w:t>[* * *]</w:t>
      </w:r>
      <w:r>
        <w:rPr>
          <w:rFonts w:ascii="Arial" w:cs="Arial" w:eastAsia="Arial" w:hAnsi="Arial"/>
          <w:sz w:val="14"/>
          <w:szCs w:val="14"/>
          <w:color w:val="auto"/>
        </w:rPr>
        <w:t xml:space="preserve"> of a substantive change if the work performed supports medical countermeasure development that addresses a threat that has been declared a Public Health Emergency by the HHS Secretary or a Public Health Emergency of International Concern (PHEIC) by the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15:41:32-05’00’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09:14:02-05’00’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12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83"/>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83"/>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1880" w:type="dxa"/>
            <w:vAlign w:val="bottom"/>
            <w:vMerge w:val="restart"/>
          </w:tcPr>
          <w:p>
            <w:pPr>
              <w:ind w:left="1320"/>
              <w:spacing w:after="0"/>
              <w:rPr>
                <w:sz w:val="20"/>
                <w:szCs w:val="20"/>
                <w:color w:val="auto"/>
              </w:rPr>
            </w:pPr>
            <w:r>
              <w:rPr>
                <w:rFonts w:ascii="Arial" w:cs="Arial" w:eastAsia="Arial" w:hAnsi="Arial"/>
                <w:sz w:val="16"/>
                <w:szCs w:val="16"/>
                <w:color w:val="auto"/>
              </w:rPr>
              <w:t>A013</w:t>
            </w:r>
          </w:p>
        </w:tc>
        <w:tc>
          <w:tcPr>
            <w:tcW w:w="200" w:type="dxa"/>
            <w:vAlign w:val="bottom"/>
            <w:tcBorders>
              <w:right w:val="single" w:sz="8" w:color="auto"/>
            </w:tcBorders>
          </w:tcPr>
          <w:p>
            <w:pPr>
              <w:spacing w:after="0"/>
              <w:rPr>
                <w:sz w:val="23"/>
                <w:szCs w:val="23"/>
                <w:color w:val="auto"/>
              </w:rPr>
            </w:pPr>
          </w:p>
        </w:tc>
        <w:tc>
          <w:tcPr>
            <w:tcW w:w="3040" w:type="dxa"/>
            <w:vAlign w:val="bottom"/>
            <w:gridSpan w:val="4"/>
          </w:tcPr>
          <w:p>
            <w:pPr>
              <w:ind w:left="60"/>
              <w:spacing w:after="0"/>
              <w:rPr>
                <w:sz w:val="20"/>
                <w:szCs w:val="20"/>
                <w:color w:val="auto"/>
              </w:rPr>
            </w:pPr>
            <w:r>
              <w:rPr>
                <w:rFonts w:ascii="Arial" w:cs="Arial" w:eastAsia="Arial" w:hAnsi="Arial"/>
                <w:sz w:val="16"/>
                <w:szCs w:val="16"/>
                <w:color w:val="010101"/>
              </w:rPr>
              <w:t>Pandemic Management Plan</w:t>
            </w:r>
          </w:p>
        </w:tc>
        <w:tc>
          <w:tcPr>
            <w:tcW w:w="13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131313"/>
                <w:w w:val="94"/>
              </w:rPr>
              <w:t>DI-TCSP-82040</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198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7"/>
                <w:szCs w:val="7"/>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right="332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032115"/>
                    </a:xfrm>
                    <a:prstGeom prst="rect">
                      <a:avLst/>
                    </a:prstGeom>
                    <a:noFill/>
                  </pic:spPr>
                </pic:pic>
              </a:graphicData>
            </a:graphic>
          </wp:anchor>
        </w:drawing>
        <w:t>A pandemic facility and/or operational management plan including change procedures from normal to pandemic operations contractor will prepare an operational plan to continue operations in the event of a declared pandemic emergency.</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Awardee will submit Pandemic Management Plan:</w:t>
      </w:r>
    </w:p>
    <w:p>
      <w:pPr>
        <w:spacing w:after="0" w:line="19" w:lineRule="exact"/>
        <w:rPr>
          <w:sz w:val="20"/>
          <w:szCs w:val="20"/>
          <w:color w:val="auto"/>
        </w:rPr>
      </w:pPr>
    </w:p>
    <w:p>
      <w:pPr>
        <w:ind w:left="680" w:hanging="511"/>
        <w:spacing w:after="0"/>
        <w:tabs>
          <w:tab w:leader="none" w:pos="6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Draft within </w:t>
      </w:r>
      <w:r>
        <w:rPr>
          <w:rFonts w:ascii="Arial" w:cs="Arial" w:eastAsia="Arial" w:hAnsi="Arial"/>
          <w:sz w:val="12"/>
          <w:szCs w:val="12"/>
          <w:color w:val="auto"/>
        </w:rPr>
        <w:t>[* * *]</w:t>
      </w:r>
      <w:r>
        <w:rPr>
          <w:rFonts w:ascii="Arial" w:cs="Arial" w:eastAsia="Arial" w:hAnsi="Arial"/>
          <w:sz w:val="16"/>
          <w:szCs w:val="16"/>
          <w:color w:val="auto"/>
        </w:rPr>
        <w:t xml:space="preserve"> of award</w:t>
      </w:r>
    </w:p>
    <w:p>
      <w:pPr>
        <w:spacing w:after="0" w:line="5" w:lineRule="exact"/>
        <w:rPr>
          <w:rFonts w:ascii="Arial" w:cs="Arial" w:eastAsia="Arial" w:hAnsi="Arial"/>
          <w:sz w:val="16"/>
          <w:szCs w:val="16"/>
          <w:color w:val="auto"/>
        </w:rPr>
      </w:pPr>
    </w:p>
    <w:p>
      <w:pPr>
        <w:ind w:left="680" w:hanging="511"/>
        <w:spacing w:after="0"/>
        <w:tabs>
          <w:tab w:leader="none" w:pos="6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Final within </w:t>
      </w:r>
      <w:r>
        <w:rPr>
          <w:rFonts w:ascii="Arial" w:cs="Arial" w:eastAsia="Arial" w:hAnsi="Arial"/>
          <w:sz w:val="12"/>
          <w:szCs w:val="12"/>
          <w:color w:val="auto"/>
        </w:rPr>
        <w:t>[* * *]</w:t>
      </w:r>
      <w:r>
        <w:rPr>
          <w:rFonts w:ascii="Arial" w:cs="Arial" w:eastAsia="Arial" w:hAnsi="Arial"/>
          <w:sz w:val="16"/>
          <w:szCs w:val="16"/>
          <w:color w:val="auto"/>
        </w:rPr>
        <w:t xml:space="preserve"> of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15:40:57-05’00’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09:19:49-05’00’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13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85"/>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85"/>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38" w:name="page139"/>
    <w:bookmarkEnd w:id="138"/>
    <w:tbl>
      <w:tblPr>
        <w:tblLayout w:type="fixed"/>
        <w:tblInd w:w="10" w:type="dxa"/>
        <w:tblCellMar>
          <w:top w:w="0" w:type="dxa"/>
          <w:left w:w="0" w:type="dxa"/>
          <w:bottom w:w="0" w:type="dxa"/>
          <w:right w:w="0" w:type="dxa"/>
        </w:tblCellMar>
      </w:tblPr>
      <w:tr>
        <w:trPr>
          <w:trHeight w:val="308"/>
        </w:trPr>
        <w:tc>
          <w:tcPr>
            <w:tcW w:w="680" w:type="dxa"/>
            <w:vAlign w:val="bottom"/>
            <w:tcBorders>
              <w:top w:val="single" w:sz="8" w:color="auto"/>
              <w:left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CONTRACT DATA REQUIREMENTS LIST</w:t>
            </w: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3"/>
          </w:tcPr>
          <w:p>
            <w:pPr>
              <w:ind w:left="660"/>
              <w:spacing w:after="0"/>
              <w:rPr>
                <w:sz w:val="20"/>
                <w:szCs w:val="20"/>
                <w:color w:val="auto"/>
              </w:rPr>
            </w:pPr>
            <w:r>
              <w:rPr>
                <w:rFonts w:ascii="Arial" w:cs="Arial" w:eastAsia="Arial" w:hAnsi="Arial"/>
                <w:sz w:val="13"/>
                <w:szCs w:val="13"/>
                <w:i w:val="1"/>
                <w:iCs w:val="1"/>
                <w:color w:val="auto"/>
              </w:rPr>
              <w:t>Form Approved</w:t>
            </w: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tcPr>
          <w:p>
            <w:pPr>
              <w:ind w:left="380"/>
              <w:spacing w:after="0"/>
              <w:rPr>
                <w:sz w:val="20"/>
                <w:szCs w:val="20"/>
                <w:color w:val="auto"/>
              </w:rPr>
            </w:pPr>
            <w:r>
              <w:rPr>
                <w:rFonts w:ascii="Arial" w:cs="Arial" w:eastAsia="Arial" w:hAnsi="Arial"/>
                <w:sz w:val="13"/>
                <w:szCs w:val="13"/>
                <w:i w:val="1"/>
                <w:iCs w:val="1"/>
                <w:color w:val="auto"/>
              </w:rPr>
              <w:t>(1 Data Item)</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3"/>
          </w:tcPr>
          <w:p>
            <w:pPr>
              <w:ind w:left="660"/>
              <w:spacing w:after="0"/>
              <w:rPr>
                <w:sz w:val="20"/>
                <w:szCs w:val="20"/>
                <w:color w:val="auto"/>
              </w:rPr>
            </w:pPr>
            <w:r>
              <w:rPr>
                <w:rFonts w:ascii="Arial" w:cs="Arial" w:eastAsia="Arial" w:hAnsi="Arial"/>
                <w:sz w:val="13"/>
                <w:szCs w:val="13"/>
                <w:i w:val="1"/>
                <w:iCs w:val="1"/>
                <w:color w:val="auto"/>
              </w:rPr>
              <w:t>OMB No. 0704-0188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left w:val="single" w:sz="8" w:color="auto"/>
              <w:bottom w:val="single" w:sz="8" w:color="auto"/>
            </w:tcBorders>
            <w:gridSpan w:val="13"/>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tcBorders>
              <w:left w:val="single" w:sz="8" w:color="auto"/>
            </w:tcBorders>
            <w:gridSpan w:val="13"/>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tcBorders>
              <w:left w:val="single" w:sz="8" w:color="auto"/>
            </w:tcBorders>
            <w:gridSpan w:val="13"/>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tcBorders>
              <w:left w:val="single" w:sz="8" w:color="auto"/>
            </w:tcBorders>
            <w:gridSpan w:val="12"/>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tcBorders>
              <w:left w:val="single" w:sz="8" w:color="auto"/>
            </w:tcBorders>
            <w:gridSpan w:val="13"/>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tcBorders>
              <w:left w:val="single" w:sz="8" w:color="auto"/>
            </w:tcBorders>
            <w:gridSpan w:val="13"/>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tcBorders>
              <w:left w:val="single" w:sz="8" w:color="auto"/>
            </w:tcBorders>
            <w:gridSpan w:val="5"/>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left w:val="single" w:sz="8" w:color="auto"/>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gridSpan w:val="4"/>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3"/>
          </w:tcPr>
          <w:p>
            <w:pPr>
              <w:jc w:val="right"/>
              <w:ind w:right="788"/>
              <w:spacing w:after="0"/>
              <w:rPr>
                <w:sz w:val="20"/>
                <w:szCs w:val="20"/>
                <w:color w:val="auto"/>
              </w:rPr>
            </w:pPr>
            <w:r>
              <w:rPr>
                <w:rFonts w:ascii="Arial" w:cs="Arial" w:eastAsia="Arial" w:hAnsi="Arial"/>
                <w:sz w:val="13"/>
                <w:szCs w:val="13"/>
                <w:b w:val="1"/>
                <w:bCs w:val="1"/>
                <w:color w:val="auto"/>
              </w:rPr>
              <w:t>B. EXHIBIT</w:t>
            </w:r>
          </w:p>
        </w:tc>
        <w:tc>
          <w:tcPr>
            <w:tcW w:w="4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0" w:type="dxa"/>
            <w:vAlign w:val="bottom"/>
            <w:tcBorders>
              <w:lef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9"/>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708"/>
              <w:spacing w:after="0"/>
              <w:rPr>
                <w:sz w:val="20"/>
                <w:szCs w:val="20"/>
                <w:color w:val="auto"/>
              </w:rPr>
            </w:pPr>
            <w:r>
              <w:rPr>
                <w:rFonts w:ascii="Arial" w:cs="Arial" w:eastAsia="Arial" w:hAnsi="Arial"/>
                <w:sz w:val="16"/>
                <w:szCs w:val="16"/>
                <w:color w:val="auto"/>
              </w:rPr>
              <w:t>A</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center"/>
              <w:ind w:left="726"/>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280" w:type="dxa"/>
            <w:vAlign w:val="bottom"/>
            <w:gridSpan w:val="2"/>
          </w:tcPr>
          <w:p>
            <w:pPr>
              <w:spacing w:after="0"/>
              <w:rPr>
                <w:sz w:val="20"/>
                <w:szCs w:val="20"/>
                <w:color w:val="auto"/>
              </w:rPr>
            </w:pPr>
            <w:r>
              <w:rPr>
                <w:rFonts w:ascii="Arial" w:cs="Arial" w:eastAsia="Arial" w:hAnsi="Arial"/>
                <w:sz w:val="9"/>
                <w:szCs w:val="9"/>
                <w:color w:val="auto"/>
              </w:rPr>
              <w:t>OTHER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880" w:type="dxa"/>
            <w:vAlign w:val="bottom"/>
            <w:tcBorders>
              <w:left w:val="single" w:sz="8" w:color="auto"/>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gridSpan w:val="2"/>
          </w:tcPr>
          <w:p>
            <w:pPr>
              <w:spacing w:after="0"/>
              <w:rPr>
                <w:sz w:val="10"/>
                <w:szCs w:val="10"/>
                <w:color w:val="auto"/>
              </w:rPr>
            </w:pPr>
          </w:p>
        </w:tc>
        <w:tc>
          <w:tcPr>
            <w:tcW w:w="1440" w:type="dxa"/>
            <w:vAlign w:val="bottom"/>
            <w:tcBorders>
              <w:bottom w:val="single" w:sz="8" w:color="auto"/>
            </w:tcBorders>
            <w:gridSpan w:val="4"/>
          </w:tcPr>
          <w:p>
            <w:pPr>
              <w:spacing w:after="0"/>
              <w:rPr>
                <w:sz w:val="10"/>
                <w:szCs w:val="10"/>
                <w:color w:val="auto"/>
              </w:rPr>
            </w:pPr>
          </w:p>
        </w:tc>
        <w:tc>
          <w:tcPr>
            <w:tcW w:w="1820" w:type="dxa"/>
            <w:vAlign w:val="bottom"/>
            <w:tcBorders>
              <w:bottom w:val="single" w:sz="8" w:color="auto"/>
            </w:tcBorders>
            <w:gridSpan w:val="3"/>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680" w:type="dxa"/>
            <w:vAlign w:val="bottom"/>
            <w:tcBorders>
              <w:left w:val="single" w:sz="8" w:color="auto"/>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3"/>
                <w:szCs w:val="13"/>
                <w:b w:val="1"/>
                <w:bCs w:val="1"/>
                <w:color w:val="auto"/>
              </w:rPr>
              <w:t>F. CONTRACTOR</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3"/>
          </w:tcPr>
          <w:p>
            <w:pPr>
              <w:jc w:val="right"/>
              <w:ind w:right="44"/>
              <w:spacing w:after="0"/>
              <w:rPr>
                <w:sz w:val="20"/>
                <w:szCs w:val="20"/>
                <w:color w:val="auto"/>
              </w:rPr>
            </w:pPr>
            <w:r>
              <w:rPr>
                <w:rFonts w:ascii="Arial" w:cs="Arial" w:eastAsia="Arial" w:hAnsi="Arial"/>
                <w:sz w:val="16"/>
                <w:szCs w:val="16"/>
                <w:color w:val="auto"/>
              </w:rPr>
              <w:t>Regeneron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680" w:type="dxa"/>
            <w:vAlign w:val="bottom"/>
            <w:tcBorders>
              <w:left w:val="single" w:sz="8" w:color="auto"/>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3"/>
          </w:tcPr>
          <w:p>
            <w:pPr>
              <w:ind w:left="20"/>
              <w:spacing w:after="0"/>
              <w:rPr>
                <w:sz w:val="20"/>
                <w:szCs w:val="20"/>
                <w:color w:val="auto"/>
              </w:rPr>
            </w:pPr>
            <w:r>
              <w:rPr>
                <w:rFonts w:ascii="Arial" w:cs="Arial" w:eastAsia="Arial" w:hAnsi="Arial"/>
                <w:sz w:val="10"/>
                <w:szCs w:val="10"/>
                <w:color w:val="auto"/>
              </w:rPr>
              <w:t>3. SUBTITLE</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tcBorders>
              <w:left w:val="single" w:sz="8" w:color="auto"/>
            </w:tcBorders>
            <w:gridSpan w:val="2"/>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680" w:type="dxa"/>
            <w:vAlign w:val="bottom"/>
            <w:tcBorders>
              <w:left w:val="single" w:sz="8" w:color="auto"/>
            </w:tcBorders>
          </w:tcPr>
          <w:p>
            <w:pPr>
              <w:spacing w:after="0"/>
              <w:rPr>
                <w:sz w:val="24"/>
                <w:szCs w:val="24"/>
                <w:color w:val="auto"/>
              </w:rPr>
            </w:pPr>
          </w:p>
        </w:tc>
        <w:tc>
          <w:tcPr>
            <w:tcW w:w="1200" w:type="dxa"/>
            <w:vAlign w:val="bottom"/>
          </w:tcPr>
          <w:p>
            <w:pPr>
              <w:ind w:left="640"/>
              <w:spacing w:after="0"/>
              <w:rPr>
                <w:sz w:val="20"/>
                <w:szCs w:val="20"/>
                <w:color w:val="auto"/>
              </w:rPr>
            </w:pPr>
            <w:r>
              <w:rPr>
                <w:rFonts w:ascii="Arial" w:cs="Arial" w:eastAsia="Arial" w:hAnsi="Arial"/>
                <w:sz w:val="16"/>
                <w:szCs w:val="16"/>
                <w:color w:val="auto"/>
              </w:rPr>
              <w:t>A014</w:t>
            </w:r>
          </w:p>
        </w:tc>
        <w:tc>
          <w:tcPr>
            <w:tcW w:w="200" w:type="dxa"/>
            <w:vAlign w:val="bottom"/>
            <w:tcBorders>
              <w:right w:val="single" w:sz="8" w:color="auto"/>
            </w:tcBorders>
          </w:tcPr>
          <w:p>
            <w:pPr>
              <w:spacing w:after="0"/>
              <w:rPr>
                <w:sz w:val="24"/>
                <w:szCs w:val="24"/>
                <w:color w:val="auto"/>
              </w:rPr>
            </w:pPr>
          </w:p>
        </w:tc>
        <w:tc>
          <w:tcPr>
            <w:tcW w:w="3080" w:type="dxa"/>
            <w:vAlign w:val="bottom"/>
            <w:gridSpan w:val="6"/>
          </w:tcPr>
          <w:p>
            <w:pPr>
              <w:ind w:left="60"/>
              <w:spacing w:after="0"/>
              <w:rPr>
                <w:sz w:val="20"/>
                <w:szCs w:val="20"/>
                <w:color w:val="auto"/>
              </w:rPr>
            </w:pPr>
            <w:r>
              <w:rPr>
                <w:rFonts w:ascii="Arial" w:cs="Arial" w:eastAsia="Arial" w:hAnsi="Arial"/>
                <w:sz w:val="14"/>
                <w:szCs w:val="14"/>
                <w:color w:val="020202"/>
              </w:rPr>
              <w:t xml:space="preserve">Supply </w:t>
            </w:r>
            <w:r>
              <w:rPr>
                <w:rFonts w:ascii="Arial" w:cs="Arial" w:eastAsia="Arial" w:hAnsi="Arial"/>
                <w:sz w:val="14"/>
                <w:szCs w:val="14"/>
                <w:color w:val="181818"/>
              </w:rPr>
              <w:t>Chain and Distribution</w:t>
            </w:r>
            <w:r>
              <w:rPr>
                <w:rFonts w:ascii="Arial" w:cs="Arial" w:eastAsia="Arial" w:hAnsi="Arial"/>
                <w:sz w:val="14"/>
                <w:szCs w:val="14"/>
                <w:color w:val="020202"/>
              </w:rPr>
              <w:t xml:space="preserve"> Tracking</w:t>
            </w:r>
          </w:p>
        </w:tc>
        <w:tc>
          <w:tcPr>
            <w:tcW w:w="38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5"/>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tcBorders>
              <w:left w:val="single" w:sz="8" w:color="auto"/>
            </w:tcBorders>
            <w:gridSpan w:val="3"/>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6"/>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0" w:type="dxa"/>
            <w:vAlign w:val="bottom"/>
          </w:tcPr>
          <w:p>
            <w:pPr>
              <w:ind w:left="80"/>
              <w:spacing w:after="0"/>
              <w:rPr>
                <w:sz w:val="20"/>
                <w:szCs w:val="20"/>
                <w:color w:val="auto"/>
              </w:rPr>
            </w:pPr>
            <w:r>
              <w:rPr>
                <w:rFonts w:ascii="Arial" w:cs="Arial" w:eastAsia="Arial" w:hAnsi="Arial"/>
                <w:sz w:val="9"/>
                <w:szCs w:val="9"/>
                <w:color w:val="auto"/>
              </w:rPr>
              <w:t>6. REQUIRING OFFICE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80" w:type="dxa"/>
            <w:vAlign w:val="bottom"/>
            <w:tcBorders>
              <w:left w:val="single" w:sz="8" w:color="auto"/>
            </w:tcBorders>
          </w:tcPr>
          <w:p>
            <w:pPr>
              <w:spacing w:after="0"/>
              <w:rPr>
                <w:sz w:val="18"/>
                <w:szCs w:val="18"/>
                <w:color w:val="auto"/>
              </w:rPr>
            </w:pPr>
          </w:p>
        </w:tc>
        <w:tc>
          <w:tcPr>
            <w:tcW w:w="2820" w:type="dxa"/>
            <w:vAlign w:val="bottom"/>
            <w:gridSpan w:val="4"/>
          </w:tcPr>
          <w:p>
            <w:pPr>
              <w:jc w:val="center"/>
              <w:ind w:right="180"/>
              <w:spacing w:after="0"/>
              <w:rPr>
                <w:sz w:val="20"/>
                <w:szCs w:val="20"/>
                <w:color w:val="auto"/>
              </w:rPr>
            </w:pPr>
            <w:r>
              <w:rPr>
                <w:rFonts w:ascii="Arial" w:cs="Arial" w:eastAsia="Arial" w:hAnsi="Arial"/>
                <w:sz w:val="16"/>
                <w:szCs w:val="16"/>
                <w:color w:val="131313"/>
                <w:w w:val="94"/>
              </w:rPr>
              <w:t>DI-TCSP-82040</w:t>
            </w:r>
          </w:p>
        </w:tc>
        <w:tc>
          <w:tcPr>
            <w:tcW w:w="5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gridSpan w:val="2"/>
          </w:tcPr>
          <w:p>
            <w:pPr>
              <w:jc w:val="right"/>
              <w:ind w:right="44"/>
              <w:spacing w:after="0"/>
              <w:rPr>
                <w:sz w:val="20"/>
                <w:szCs w:val="20"/>
                <w:color w:val="auto"/>
              </w:rPr>
            </w:pPr>
            <w:r>
              <w:rPr>
                <w:rFonts w:ascii="Arial" w:cs="Arial" w:eastAsia="Arial" w:hAnsi="Arial"/>
                <w:sz w:val="16"/>
                <w:szCs w:val="16"/>
                <w:color w:val="auto"/>
              </w:rPr>
              <w:t>BARDA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80" w:type="dxa"/>
            <w:vAlign w:val="bottom"/>
            <w:tcBorders>
              <w:left w:val="single" w:sz="8" w:color="auto"/>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680" w:type="dxa"/>
            <w:vAlign w:val="bottom"/>
            <w:tcBorders>
              <w:left w:val="single" w:sz="8" w:color="auto"/>
            </w:tcBorders>
          </w:tcPr>
          <w:p>
            <w:pPr>
              <w:spacing w:after="0"/>
              <w:rPr>
                <w:sz w:val="10"/>
                <w:szCs w:val="10"/>
                <w:color w:val="auto"/>
              </w:rPr>
            </w:pPr>
          </w:p>
        </w:tc>
        <w:tc>
          <w:tcPr>
            <w:tcW w:w="1200" w:type="dxa"/>
            <w:vAlign w:val="bottom"/>
            <w:vMerge w:val="restart"/>
          </w:tcPr>
          <w:p>
            <w:pPr>
              <w:ind w:left="66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3"/>
            <w:vMerge w:val="restart"/>
          </w:tcPr>
          <w:p>
            <w:pPr>
              <w:jc w:val="right"/>
              <w:ind w:right="708"/>
              <w:spacing w:after="0"/>
              <w:rPr>
                <w:sz w:val="20"/>
                <w:szCs w:val="20"/>
                <w:color w:val="auto"/>
              </w:rPr>
            </w:pPr>
            <w:r>
              <w:rPr>
                <w:rFonts w:ascii="Arial" w:cs="Arial" w:eastAsia="Arial" w:hAnsi="Arial"/>
                <w:sz w:val="9"/>
                <w:szCs w:val="9"/>
                <w:color w:val="auto"/>
              </w:rPr>
              <w:t>10. FREQUENCY</w:t>
            </w:r>
          </w:p>
        </w:tc>
        <w:tc>
          <w:tcPr>
            <w:tcW w:w="40" w:type="dxa"/>
            <w:vAlign w:val="bottom"/>
          </w:tcPr>
          <w:p>
            <w:pPr>
              <w:spacing w:after="0"/>
              <w:rPr>
                <w:sz w:val="10"/>
                <w:szCs w:val="10"/>
                <w:color w:val="auto"/>
              </w:rPr>
            </w:pPr>
          </w:p>
        </w:tc>
        <w:tc>
          <w:tcPr>
            <w:tcW w:w="1940" w:type="dxa"/>
            <w:vAlign w:val="bottom"/>
            <w:gridSpan w:val="4"/>
            <w:vMerge w:val="restart"/>
          </w:tcPr>
          <w:p>
            <w:pPr>
              <w:ind w:left="40"/>
              <w:spacing w:after="0"/>
              <w:rPr>
                <w:sz w:val="20"/>
                <w:szCs w:val="20"/>
                <w:color w:val="auto"/>
              </w:rPr>
            </w:pPr>
            <w:r>
              <w:rPr>
                <w:rFonts w:ascii="Arial" w:cs="Arial" w:eastAsia="Arial" w:hAnsi="Arial"/>
                <w:sz w:val="9"/>
                <w:szCs w:val="9"/>
                <w:color w:val="auto"/>
              </w:rPr>
              <w:t>12. DATE OF FIRST SUBMISSION</w:t>
            </w:r>
          </w:p>
        </w:tc>
        <w:tc>
          <w:tcPr>
            <w:tcW w:w="80" w:type="dxa"/>
            <w:vAlign w:val="bottom"/>
            <w:tcBorders>
              <w:right w:val="single" w:sz="8" w:color="auto"/>
            </w:tcBorders>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0"/>
                <w:szCs w:val="10"/>
                <w:color w:val="auto"/>
              </w:rPr>
              <w:t>14.  DISTRIBUTION</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80" w:type="dxa"/>
            <w:vAlign w:val="bottom"/>
            <w:tcBorders>
              <w:left w:val="single" w:sz="8" w:color="auto"/>
            </w:tcBorders>
            <w:vMerge w:val="restart"/>
          </w:tcPr>
          <w:p>
            <w:pPr>
              <w:ind w:left="40"/>
              <w:spacing w:after="0"/>
              <w:rPr>
                <w:sz w:val="20"/>
                <w:szCs w:val="20"/>
                <w:color w:val="auto"/>
              </w:rPr>
            </w:pPr>
            <w:r>
              <w:rPr>
                <w:rFonts w:ascii="Arial" w:cs="Arial" w:eastAsia="Arial" w:hAnsi="Arial"/>
                <w:sz w:val="9"/>
                <w:szCs w:val="9"/>
                <w:b w:val="1"/>
                <w:bCs w:val="1"/>
                <w:color w:val="auto"/>
                <w:w w:val="99"/>
              </w:rPr>
              <w:t>7</w:t>
            </w:r>
            <w:r>
              <w:rPr>
                <w:rFonts w:ascii="Arial" w:cs="Arial" w:eastAsia="Arial" w:hAnsi="Arial"/>
                <w:sz w:val="9"/>
                <w:szCs w:val="9"/>
                <w:color w:val="auto"/>
                <w:w w:val="99"/>
              </w:rPr>
              <w:t>. DD 250 REQ</w:t>
            </w:r>
          </w:p>
        </w:tc>
        <w:tc>
          <w:tcPr>
            <w:tcW w:w="1200" w:type="dxa"/>
            <w:vAlign w:val="bottom"/>
            <w:vMerge w:val="continue"/>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5"/>
                <w:szCs w:val="5"/>
                <w:color w:val="auto"/>
              </w:rPr>
            </w:pPr>
          </w:p>
        </w:tc>
        <w:tc>
          <w:tcPr>
            <w:tcW w:w="1620" w:type="dxa"/>
            <w:vAlign w:val="bottom"/>
            <w:tcBorders>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680" w:type="dxa"/>
            <w:vAlign w:val="bottom"/>
            <w:tcBorders>
              <w:left w:val="single" w:sz="8" w:color="auto"/>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Borders>
              <w:right w:val="single" w:sz="8" w:color="auto"/>
            </w:tcBorders>
            <w:gridSpan w:val="3"/>
            <w:vMerge w:val="restart"/>
          </w:tcPr>
          <w:p>
            <w:pPr>
              <w:jc w:val="right"/>
              <w:ind w:right="388"/>
              <w:spacing w:after="0"/>
              <w:rPr>
                <w:sz w:val="20"/>
                <w:szCs w:val="20"/>
                <w:color w:val="auto"/>
              </w:rPr>
            </w:pPr>
            <w:r>
              <w:rPr>
                <w:rFonts w:ascii="Arial" w:cs="Arial" w:eastAsia="Arial" w:hAnsi="Arial"/>
                <w:sz w:val="16"/>
                <w:szCs w:val="16"/>
                <w:color w:val="auto"/>
              </w:rPr>
              <w:t>see remarks</w:t>
            </w: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60" w:type="dxa"/>
            <w:vAlign w:val="bottom"/>
            <w:gridSpan w:val="3"/>
            <w:vMerge w:val="restart"/>
          </w:tcPr>
          <w:p>
            <w:pPr>
              <w:ind w:left="340"/>
              <w:spacing w:after="0"/>
              <w:rPr>
                <w:sz w:val="20"/>
                <w:szCs w:val="20"/>
                <w:color w:val="auto"/>
              </w:rPr>
            </w:pPr>
            <w:r>
              <w:rPr>
                <w:rFonts w:ascii="Arial" w:cs="Arial" w:eastAsia="Arial" w:hAnsi="Arial"/>
                <w:sz w:val="16"/>
                <w:szCs w:val="16"/>
                <w:color w:val="auto"/>
              </w:rPr>
              <w:t>see remarks</w:t>
            </w:r>
          </w:p>
        </w:tc>
        <w:tc>
          <w:tcPr>
            <w:tcW w:w="8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680" w:type="dxa"/>
            <w:vAlign w:val="bottom"/>
            <w:tcBorders>
              <w:left w:val="single" w:sz="8" w:color="auto"/>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Borders>
              <w:right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680" w:type="dxa"/>
            <w:vAlign w:val="bottom"/>
            <w:tcBorders>
              <w:lef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Borders>
              <w:right w:val="single" w:sz="8" w:color="auto"/>
            </w:tcBorders>
            <w:gridSpan w:val="4"/>
            <w:vMerge w:val="restart"/>
          </w:tcPr>
          <w:p>
            <w:pPr>
              <w:jc w:val="right"/>
              <w:ind w:right="459"/>
              <w:spacing w:after="0"/>
              <w:rPr>
                <w:sz w:val="20"/>
                <w:szCs w:val="20"/>
                <w:color w:val="auto"/>
              </w:rPr>
            </w:pPr>
            <w:r>
              <w:rPr>
                <w:rFonts w:ascii="Arial" w:cs="Arial" w:eastAsia="Arial" w:hAnsi="Arial"/>
                <w:sz w:val="10"/>
                <w:szCs w:val="10"/>
                <w:color w:val="auto"/>
              </w:rPr>
              <w:t>b. COPIES</w:t>
            </w:r>
          </w:p>
        </w:tc>
        <w:tc>
          <w:tcPr>
            <w:tcW w:w="0" w:type="dxa"/>
            <w:vAlign w:val="bottom"/>
          </w:tcPr>
          <w:p>
            <w:pPr>
              <w:spacing w:after="0"/>
              <w:rPr>
                <w:sz w:val="1"/>
                <w:szCs w:val="1"/>
                <w:color w:val="auto"/>
              </w:rPr>
            </w:pPr>
          </w:p>
        </w:tc>
      </w:tr>
      <w:tr>
        <w:trPr>
          <w:trHeight w:val="75"/>
        </w:trPr>
        <w:tc>
          <w:tcPr>
            <w:tcW w:w="680" w:type="dxa"/>
            <w:vAlign w:val="bottom"/>
            <w:tcBorders>
              <w:lef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Borders>
              <w:right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80" w:type="dxa"/>
            <w:vAlign w:val="bottom"/>
            <w:tcBorders>
              <w:left w:val="single" w:sz="8" w:color="auto"/>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60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80" w:type="dxa"/>
            <w:vAlign w:val="bottom"/>
            <w:tcBorders>
              <w:left w:val="single" w:sz="8" w:color="auto"/>
            </w:tcBorders>
          </w:tcPr>
          <w:p>
            <w:pPr>
              <w:spacing w:after="0"/>
              <w:rPr>
                <w:sz w:val="8"/>
                <w:szCs w:val="8"/>
                <w:color w:val="auto"/>
              </w:rPr>
            </w:pPr>
          </w:p>
        </w:tc>
        <w:tc>
          <w:tcPr>
            <w:tcW w:w="1200" w:type="dxa"/>
            <w:vAlign w:val="bottom"/>
            <w:vMerge w:val="restart"/>
          </w:tcPr>
          <w:p>
            <w:pPr>
              <w:ind w:left="66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3"/>
          </w:tcPr>
          <w:p>
            <w:pPr>
              <w:jc w:val="right"/>
              <w:ind w:right="708"/>
              <w:spacing w:after="0" w:line="102" w:lineRule="exact"/>
              <w:rPr>
                <w:sz w:val="20"/>
                <w:szCs w:val="20"/>
                <w:color w:val="auto"/>
              </w:rPr>
            </w:pPr>
            <w:r>
              <w:rPr>
                <w:rFonts w:ascii="Arial" w:cs="Arial" w:eastAsia="Arial" w:hAnsi="Arial"/>
                <w:sz w:val="10"/>
                <w:szCs w:val="10"/>
                <w:color w:val="auto"/>
              </w:rPr>
              <w:t>11. AS OF DATE</w:t>
            </w:r>
          </w:p>
        </w:tc>
        <w:tc>
          <w:tcPr>
            <w:tcW w:w="40" w:type="dxa"/>
            <w:vAlign w:val="bottom"/>
          </w:tcPr>
          <w:p>
            <w:pPr>
              <w:spacing w:after="0"/>
              <w:rPr>
                <w:sz w:val="8"/>
                <w:szCs w:val="8"/>
                <w:color w:val="auto"/>
              </w:rPr>
            </w:pPr>
          </w:p>
        </w:tc>
        <w:tc>
          <w:tcPr>
            <w:tcW w:w="1940" w:type="dxa"/>
            <w:vAlign w:val="bottom"/>
            <w:gridSpan w:val="4"/>
          </w:tcPr>
          <w:p>
            <w:pPr>
              <w:ind w:left="10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Borders>
              <w:right w:val="single" w:sz="8" w:color="auto"/>
            </w:tcBorders>
          </w:tcPr>
          <w:p>
            <w:pPr>
              <w:spacing w:after="0"/>
              <w:rPr>
                <w:sz w:val="8"/>
                <w:szCs w:val="8"/>
                <w:color w:val="auto"/>
              </w:rPr>
            </w:pPr>
          </w:p>
        </w:tc>
        <w:tc>
          <w:tcPr>
            <w:tcW w:w="1200" w:type="dxa"/>
            <w:vAlign w:val="bottom"/>
            <w:vMerge w:val="restart"/>
          </w:tcPr>
          <w:p>
            <w:pPr>
              <w:ind w:left="460"/>
              <w:spacing w:after="0"/>
              <w:rPr>
                <w:sz w:val="20"/>
                <w:szCs w:val="20"/>
                <w:color w:val="auto"/>
              </w:rPr>
            </w:pPr>
            <w:r>
              <w:rPr>
                <w:rFonts w:ascii="Arial" w:cs="Arial" w:eastAsia="Arial" w:hAnsi="Arial"/>
                <w:sz w:val="10"/>
                <w:szCs w:val="10"/>
                <w:color w:val="auto"/>
                <w:w w:val="98"/>
              </w:rPr>
              <w:t>a. ADDRESSEE</w:t>
            </w:r>
          </w:p>
        </w:tc>
        <w:tc>
          <w:tcPr>
            <w:tcW w:w="4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right w:val="single" w:sz="8" w:color="auto"/>
            </w:tcBorders>
            <w:gridSpan w:val="2"/>
            <w:vMerge w:val="restart"/>
          </w:tcPr>
          <w:p>
            <w:pPr>
              <w:jc w:val="right"/>
              <w:ind w:right="399"/>
              <w:spacing w:after="0"/>
              <w:rPr>
                <w:sz w:val="20"/>
                <w:szCs w:val="20"/>
                <w:color w:val="auto"/>
              </w:rPr>
            </w:pPr>
            <w:r>
              <w:rPr>
                <w:rFonts w:ascii="Arial" w:cs="Arial" w:eastAsia="Arial" w:hAnsi="Arial"/>
                <w:sz w:val="10"/>
                <w:szCs w:val="10"/>
                <w:color w:val="auto"/>
              </w:rPr>
              <w:t>Final</w:t>
            </w:r>
          </w:p>
        </w:tc>
        <w:tc>
          <w:tcPr>
            <w:tcW w:w="0" w:type="dxa"/>
            <w:vAlign w:val="bottom"/>
          </w:tcPr>
          <w:p>
            <w:pPr>
              <w:spacing w:after="0"/>
              <w:rPr>
                <w:sz w:val="1"/>
                <w:szCs w:val="1"/>
                <w:color w:val="auto"/>
              </w:rPr>
            </w:pPr>
          </w:p>
        </w:tc>
      </w:tr>
      <w:tr>
        <w:trPr>
          <w:trHeight w:val="82"/>
        </w:trPr>
        <w:tc>
          <w:tcPr>
            <w:tcW w:w="680" w:type="dxa"/>
            <w:vAlign w:val="bottom"/>
            <w:tcBorders>
              <w:left w:val="single" w:sz="8" w:color="auto"/>
            </w:tcBorders>
            <w:vMerge w:val="restart"/>
          </w:tcPr>
          <w:p>
            <w:pPr>
              <w:ind w:left="40"/>
              <w:spacing w:after="0"/>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1200" w:type="dxa"/>
            <w:vAlign w:val="bottom"/>
            <w:vMerge w:val="continue"/>
          </w:tcPr>
          <w:p>
            <w:pPr>
              <w:spacing w:after="0"/>
              <w:rPr>
                <w:sz w:val="7"/>
                <w:szCs w:val="7"/>
                <w:color w:val="auto"/>
              </w:rPr>
            </w:pPr>
          </w:p>
        </w:tc>
        <w:tc>
          <w:tcPr>
            <w:tcW w:w="2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60" w:type="dxa"/>
            <w:vAlign w:val="bottom"/>
            <w:gridSpan w:val="3"/>
            <w:vMerge w:val="restart"/>
          </w:tcPr>
          <w:p>
            <w:pPr>
              <w:ind w:left="340"/>
              <w:spacing w:after="0" w:line="162" w:lineRule="exact"/>
              <w:rPr>
                <w:sz w:val="20"/>
                <w:szCs w:val="20"/>
                <w:color w:val="auto"/>
              </w:rPr>
            </w:pPr>
            <w:r>
              <w:rPr>
                <w:rFonts w:ascii="Arial" w:cs="Arial" w:eastAsia="Arial" w:hAnsi="Arial"/>
                <w:sz w:val="16"/>
                <w:szCs w:val="16"/>
                <w:color w:val="auto"/>
              </w:rPr>
              <w:t>see remarks</w:t>
            </w:r>
          </w:p>
        </w:tc>
        <w:tc>
          <w:tcPr>
            <w:tcW w:w="80" w:type="dxa"/>
            <w:vAlign w:val="bottom"/>
            <w:tcBorders>
              <w:right w:val="single" w:sz="8" w:color="auto"/>
            </w:tcBorders>
          </w:tcPr>
          <w:p>
            <w:pPr>
              <w:spacing w:after="0"/>
              <w:rPr>
                <w:sz w:val="7"/>
                <w:szCs w:val="7"/>
                <w:color w:val="auto"/>
              </w:rPr>
            </w:pPr>
          </w:p>
        </w:tc>
        <w:tc>
          <w:tcPr>
            <w:tcW w:w="1200" w:type="dxa"/>
            <w:vAlign w:val="bottom"/>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680" w:type="dxa"/>
            <w:vAlign w:val="bottom"/>
            <w:tcBorders>
              <w:left w:val="single" w:sz="8" w:color="auto"/>
            </w:tcBorders>
            <w:vMerge w:val="continue"/>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80" w:type="dxa"/>
            <w:vAlign w:val="bottom"/>
            <w:vMerge w:val="restart"/>
          </w:tcPr>
          <w:p>
            <w:pPr>
              <w:spacing w:after="0"/>
              <w:rPr>
                <w:sz w:val="20"/>
                <w:szCs w:val="20"/>
                <w:color w:val="auto"/>
              </w:rPr>
            </w:pPr>
            <w:r>
              <w:rPr>
                <w:rFonts w:ascii="Arial" w:cs="Arial" w:eastAsia="Arial" w:hAnsi="Arial"/>
                <w:sz w:val="9"/>
                <w:szCs w:val="9"/>
                <w:color w:val="auto"/>
              </w:rPr>
              <w:t>Draft</w:t>
            </w:r>
          </w:p>
        </w:tc>
        <w:tc>
          <w:tcPr>
            <w:tcW w:w="18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80" w:type="dxa"/>
            <w:vAlign w:val="bottom"/>
            <w:tcBorders>
              <w:lef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8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0"/>
                <w:szCs w:val="10"/>
                <w:color w:val="auto"/>
              </w:rPr>
              <w:t>Reg</w:t>
            </w:r>
          </w:p>
        </w:tc>
        <w:tc>
          <w:tcPr>
            <w:tcW w:w="22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680" w:type="dxa"/>
            <w:vAlign w:val="bottom"/>
            <w:tcBorders>
              <w:lef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left w:val="single" w:sz="8" w:color="auto"/>
              <w:bottom w:val="single" w:sz="8" w:color="auto"/>
            </w:tcBorders>
            <w:gridSpan w:val="2"/>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Pr>
          <w:p>
            <w:pPr>
              <w:ind w:left="60"/>
              <w:spacing w:after="0" w:line="159" w:lineRule="exact"/>
              <w:rPr>
                <w:sz w:val="20"/>
                <w:szCs w:val="20"/>
                <w:color w:val="auto"/>
              </w:rPr>
            </w:pPr>
            <w:r>
              <w:rPr>
                <w:rFonts w:ascii="Arial" w:cs="Arial" w:eastAsia="Arial" w:hAnsi="Arial"/>
                <w:sz w:val="14"/>
                <w:szCs w:val="14"/>
                <w:color w:val="auto"/>
              </w:rPr>
              <w:t>BARDA</w:t>
            </w:r>
          </w:p>
        </w:tc>
        <w:tc>
          <w:tcPr>
            <w:tcW w:w="4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6560" w:type="dxa"/>
            <w:vAlign w:val="bottom"/>
            <w:tcBorders>
              <w:left w:val="single" w:sz="8" w:color="auto"/>
            </w:tcBorders>
            <w:gridSpan w:val="12"/>
            <w:vMerge w:val="restart"/>
          </w:tcPr>
          <w:p>
            <w:pPr>
              <w:ind w:left="160"/>
              <w:spacing w:after="0"/>
              <w:rPr>
                <w:sz w:val="20"/>
                <w:szCs w:val="20"/>
                <w:color w:val="auto"/>
              </w:rPr>
            </w:pPr>
            <w:r>
              <w:rPr>
                <w:rFonts w:ascii="Arial" w:cs="Arial" w:eastAsia="Arial" w:hAnsi="Arial"/>
                <w:sz w:val="16"/>
                <w:szCs w:val="16"/>
                <w:color w:val="2A2A2A"/>
              </w:rPr>
              <w:t>Distribution Concept of Operations. The contractor shall distribute product at upon</w:t>
            </w: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560" w:type="dxa"/>
            <w:vAlign w:val="bottom"/>
            <w:tcBorders>
              <w:left w:val="single" w:sz="8" w:color="auto"/>
            </w:tcBorders>
            <w:gridSpan w:val="12"/>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JPEO CBRND</w:t>
            </w:r>
          </w:p>
        </w:tc>
        <w:tc>
          <w:tcPr>
            <w:tcW w:w="400" w:type="dxa"/>
            <w:vAlign w:val="bottom"/>
            <w:tcBorders>
              <w:righ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6560" w:type="dxa"/>
            <w:vAlign w:val="bottom"/>
            <w:tcBorders>
              <w:left w:val="single" w:sz="8" w:color="auto"/>
            </w:tcBorders>
            <w:gridSpan w:val="12"/>
            <w:vMerge w:val="restart"/>
          </w:tcPr>
          <w:p>
            <w:pPr>
              <w:ind w:left="160"/>
              <w:spacing w:after="0"/>
              <w:rPr>
                <w:sz w:val="20"/>
                <w:szCs w:val="20"/>
                <w:color w:val="auto"/>
              </w:rPr>
            </w:pPr>
            <w:r>
              <w:rPr>
                <w:rFonts w:ascii="Arial" w:cs="Arial" w:eastAsia="Arial" w:hAnsi="Arial"/>
                <w:sz w:val="16"/>
                <w:szCs w:val="16"/>
                <w:color w:val="2A2A2A"/>
              </w:rPr>
              <w:t>Government direction and pursuant to the Government's allocation determinations.</w:t>
            </w: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6560" w:type="dxa"/>
            <w:vAlign w:val="bottom"/>
            <w:tcBorders>
              <w:left w:val="single" w:sz="8" w:color="auto"/>
            </w:tcBorders>
            <w:gridSpan w:val="12"/>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6560" w:type="dxa"/>
            <w:vAlign w:val="bottom"/>
            <w:tcBorders>
              <w:left w:val="single" w:sz="8" w:color="auto"/>
            </w:tcBorders>
            <w:gridSpan w:val="12"/>
          </w:tcPr>
          <w:p>
            <w:pPr>
              <w:ind w:left="160"/>
              <w:spacing w:after="0" w:line="138" w:lineRule="exact"/>
              <w:rPr>
                <w:sz w:val="20"/>
                <w:szCs w:val="20"/>
                <w:color w:val="auto"/>
              </w:rPr>
            </w:pPr>
            <w:r>
              <w:rPr>
                <w:rFonts w:ascii="Arial" w:cs="Arial" w:eastAsia="Arial" w:hAnsi="Arial"/>
                <w:sz w:val="16"/>
                <w:szCs w:val="16"/>
                <w:color w:val="2A2A2A"/>
                <w:w w:val="94"/>
              </w:rPr>
              <w:t>BARDA, and MCM Manufacturers play an important role in the distribution of therapeutics to the</w:t>
            </w: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100" w:type="dxa"/>
            <w:vAlign w:val="bottom"/>
            <w:tcBorders>
              <w:left w:val="single" w:sz="8" w:color="auto"/>
            </w:tcBorders>
            <w:gridSpan w:val="13"/>
          </w:tcPr>
          <w:p>
            <w:pPr>
              <w:ind w:left="160"/>
              <w:spacing w:after="0"/>
              <w:rPr>
                <w:sz w:val="20"/>
                <w:szCs w:val="20"/>
                <w:color w:val="auto"/>
              </w:rPr>
            </w:pPr>
            <w:r>
              <w:rPr>
                <w:rFonts w:ascii="Arial" w:cs="Arial" w:eastAsia="Arial" w:hAnsi="Arial"/>
                <w:sz w:val="16"/>
                <w:szCs w:val="16"/>
                <w:color w:val="2A2A2A"/>
                <w:w w:val="94"/>
              </w:rPr>
              <w:t>American people under a nationwide response. BARDA will work with the manufacturer to monitor what</w:t>
            </w: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160" w:type="dxa"/>
            <w:vAlign w:val="bottom"/>
            <w:tcBorders>
              <w:left w:val="single" w:sz="8" w:color="auto"/>
            </w:tcBorders>
            <w:gridSpan w:val="9"/>
          </w:tcPr>
          <w:p>
            <w:pPr>
              <w:ind w:left="160"/>
              <w:spacing w:after="0" w:line="173" w:lineRule="exact"/>
              <w:rPr>
                <w:sz w:val="20"/>
                <w:szCs w:val="20"/>
                <w:color w:val="auto"/>
              </w:rPr>
            </w:pPr>
            <w:r>
              <w:rPr>
                <w:rFonts w:ascii="Arial" w:cs="Arial" w:eastAsia="Arial" w:hAnsi="Arial"/>
                <w:sz w:val="16"/>
                <w:szCs w:val="16"/>
                <w:color w:val="2A2A2A"/>
              </w:rPr>
              <w:t>is in the manufacturing pipeline using the enclosed dose</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60" w:type="dxa"/>
            <w:vAlign w:val="bottom"/>
            <w:tcBorders>
              <w:left w:val="single" w:sz="8" w:color="auto"/>
            </w:tcBorders>
            <w:gridSpan w:val="12"/>
            <w:vMerge w:val="restart"/>
          </w:tcPr>
          <w:p>
            <w:pPr>
              <w:ind w:left="160"/>
              <w:spacing w:after="0"/>
              <w:rPr>
                <w:sz w:val="20"/>
                <w:szCs w:val="20"/>
                <w:color w:val="auto"/>
              </w:rPr>
            </w:pPr>
            <w:r>
              <w:rPr>
                <w:rFonts w:ascii="Arial" w:cs="Arial" w:eastAsia="Arial" w:hAnsi="Arial"/>
                <w:sz w:val="16"/>
                <w:szCs w:val="16"/>
                <w:color w:val="2A2A2A"/>
              </w:rPr>
              <w:t>tracking templates (see above). Awardee will relay final drug product information as it is</w:t>
            </w: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560" w:type="dxa"/>
            <w:vAlign w:val="bottom"/>
            <w:tcBorders>
              <w:left w:val="single" w:sz="8" w:color="auto"/>
            </w:tcBorders>
            <w:gridSpan w:val="1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560" w:type="dxa"/>
            <w:vAlign w:val="bottom"/>
            <w:tcBorders>
              <w:left w:val="single" w:sz="8" w:color="auto"/>
            </w:tcBorders>
            <w:gridSpan w:val="12"/>
            <w:vMerge w:val="restart"/>
          </w:tcPr>
          <w:p>
            <w:pPr>
              <w:ind w:left="160"/>
              <w:spacing w:after="0"/>
              <w:rPr>
                <w:sz w:val="20"/>
                <w:szCs w:val="20"/>
                <w:color w:val="auto"/>
              </w:rPr>
            </w:pPr>
            <w:r>
              <w:rPr>
                <w:rFonts w:ascii="Arial" w:cs="Arial" w:eastAsia="Arial" w:hAnsi="Arial"/>
                <w:sz w:val="16"/>
                <w:szCs w:val="16"/>
                <w:color w:val="2A2A2A"/>
              </w:rPr>
              <w:t>being released to the BARDA/ ASPR for allocation and ordering by state public health</w:t>
            </w: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6560" w:type="dxa"/>
            <w:vAlign w:val="bottom"/>
            <w:tcBorders>
              <w:left w:val="single" w:sz="8" w:color="auto"/>
            </w:tcBorders>
            <w:gridSpan w:val="12"/>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6560" w:type="dxa"/>
            <w:vAlign w:val="bottom"/>
            <w:tcBorders>
              <w:left w:val="single" w:sz="8" w:color="auto"/>
            </w:tcBorders>
            <w:gridSpan w:val="12"/>
            <w:vMerge w:val="restart"/>
          </w:tcPr>
          <w:p>
            <w:pPr>
              <w:ind w:left="160"/>
              <w:spacing w:after="0"/>
              <w:rPr>
                <w:sz w:val="20"/>
                <w:szCs w:val="20"/>
                <w:color w:val="auto"/>
              </w:rPr>
            </w:pPr>
            <w:r>
              <w:rPr>
                <w:rFonts w:ascii="Arial" w:cs="Arial" w:eastAsia="Arial" w:hAnsi="Arial"/>
                <w:sz w:val="16"/>
                <w:szCs w:val="16"/>
                <w:color w:val="2A2A2A"/>
              </w:rPr>
              <w:t>departments. This information will be returned to BARDA, the awardee and distributor.</w:t>
            </w:r>
          </w:p>
        </w:tc>
        <w:tc>
          <w:tcPr>
            <w:tcW w:w="5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6560" w:type="dxa"/>
            <w:vAlign w:val="bottom"/>
            <w:tcBorders>
              <w:left w:val="single" w:sz="8" w:color="auto"/>
            </w:tcBorders>
            <w:gridSpan w:val="12"/>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560" w:type="dxa"/>
            <w:vAlign w:val="bottom"/>
            <w:tcBorders>
              <w:left w:val="single" w:sz="8" w:color="auto"/>
            </w:tcBorders>
            <w:gridSpan w:val="12"/>
            <w:vMerge w:val="restart"/>
          </w:tcPr>
          <w:p>
            <w:pPr>
              <w:ind w:left="160"/>
              <w:spacing w:after="0"/>
              <w:rPr>
                <w:sz w:val="20"/>
                <w:szCs w:val="20"/>
                <w:color w:val="auto"/>
              </w:rPr>
            </w:pPr>
            <w:r>
              <w:rPr>
                <w:rFonts w:ascii="Arial" w:cs="Arial" w:eastAsia="Arial" w:hAnsi="Arial"/>
                <w:sz w:val="16"/>
                <w:szCs w:val="16"/>
                <w:color w:val="2A2A2A"/>
              </w:rPr>
              <w:t>Distributors will use that information to ship therapeutics in bulk to sites of administration/</w:t>
            </w: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6560" w:type="dxa"/>
            <w:vAlign w:val="bottom"/>
            <w:tcBorders>
              <w:left w:val="single" w:sz="8" w:color="auto"/>
            </w:tcBorders>
            <w:gridSpan w:val="12"/>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880" w:type="dxa"/>
            <w:vAlign w:val="bottom"/>
            <w:tcBorders>
              <w:left w:val="single" w:sz="8" w:color="auto"/>
            </w:tcBorders>
            <w:gridSpan w:val="2"/>
            <w:vMerge w:val="restart"/>
          </w:tcPr>
          <w:p>
            <w:pPr>
              <w:ind w:left="160"/>
              <w:spacing w:after="0"/>
              <w:rPr>
                <w:sz w:val="20"/>
                <w:szCs w:val="20"/>
                <w:color w:val="auto"/>
              </w:rPr>
            </w:pPr>
            <w:r>
              <w:rPr>
                <w:rFonts w:ascii="Arial" w:cs="Arial" w:eastAsia="Arial" w:hAnsi="Arial"/>
                <w:sz w:val="16"/>
                <w:szCs w:val="16"/>
                <w:color w:val="2A2A2A"/>
              </w:rPr>
              <w:t>end user.</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880" w:type="dxa"/>
            <w:vAlign w:val="bottom"/>
            <w:tcBorders>
              <w:lef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6560" w:type="dxa"/>
            <w:vAlign w:val="bottom"/>
            <w:tcBorders>
              <w:left w:val="single" w:sz="8" w:color="auto"/>
            </w:tcBorders>
            <w:gridSpan w:val="12"/>
            <w:vMerge w:val="restart"/>
          </w:tcPr>
          <w:p>
            <w:pPr>
              <w:ind w:left="160"/>
              <w:spacing w:after="0"/>
              <w:rPr>
                <w:sz w:val="20"/>
                <w:szCs w:val="20"/>
                <w:color w:val="auto"/>
              </w:rPr>
            </w:pPr>
            <w:r>
              <w:rPr>
                <w:rFonts w:ascii="Arial" w:cs="Arial" w:eastAsia="Arial" w:hAnsi="Arial"/>
                <w:sz w:val="16"/>
                <w:szCs w:val="16"/>
                <w:color w:val="2A2A2A"/>
              </w:rPr>
              <w:t>Provide the following information in order to coordinate the movement and delivery of</w:t>
            </w: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tcBorders>
              <w:left w:val="single" w:sz="8" w:color="auto"/>
            </w:tcBorders>
            <w:gridSpan w:val="12"/>
            <w:vMerge w:val="continue"/>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6560" w:type="dxa"/>
            <w:vAlign w:val="bottom"/>
            <w:tcBorders>
              <w:left w:val="single" w:sz="8" w:color="auto"/>
            </w:tcBorders>
            <w:gridSpan w:val="12"/>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5160" w:type="dxa"/>
            <w:vAlign w:val="bottom"/>
            <w:tcBorders>
              <w:left w:val="single" w:sz="8" w:color="auto"/>
            </w:tcBorders>
            <w:gridSpan w:val="9"/>
          </w:tcPr>
          <w:p>
            <w:pPr>
              <w:ind w:left="160"/>
              <w:spacing w:after="0" w:line="138" w:lineRule="exact"/>
              <w:rPr>
                <w:sz w:val="20"/>
                <w:szCs w:val="20"/>
                <w:color w:val="auto"/>
              </w:rPr>
            </w:pPr>
            <w:r>
              <w:rPr>
                <w:rFonts w:ascii="Arial" w:cs="Arial" w:eastAsia="Arial" w:hAnsi="Arial"/>
                <w:sz w:val="16"/>
                <w:szCs w:val="16"/>
                <w:color w:val="2A2A2A"/>
                <w:w w:val="99"/>
              </w:rPr>
              <w:t>antibody from manufacturing locations sites of administration/end user:</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2A2A2A"/>
              </w:rPr>
              <w:t>•</w:t>
            </w:r>
          </w:p>
        </w:tc>
        <w:tc>
          <w:tcPr>
            <w:tcW w:w="6420" w:type="dxa"/>
            <w:vAlign w:val="bottom"/>
            <w:gridSpan w:val="12"/>
          </w:tcPr>
          <w:p>
            <w:pPr>
              <w:spacing w:after="0"/>
              <w:rPr>
                <w:sz w:val="20"/>
                <w:szCs w:val="20"/>
                <w:color w:val="auto"/>
              </w:rPr>
            </w:pPr>
            <w:r>
              <w:rPr>
                <w:rFonts w:ascii="Arial" w:cs="Arial" w:eastAsia="Arial" w:hAnsi="Arial"/>
                <w:sz w:val="16"/>
                <w:szCs w:val="16"/>
                <w:color w:val="2A2A2A"/>
                <w:w w:val="93"/>
              </w:rPr>
              <w:t>Provide Points of Contact information (name, title, phone, email) for manufacturing / supply chain</w:t>
            </w: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160" w:type="dxa"/>
            <w:vAlign w:val="bottom"/>
            <w:tcBorders>
              <w:left w:val="single" w:sz="8" w:color="auto"/>
            </w:tcBorders>
            <w:gridSpan w:val="9"/>
          </w:tcPr>
          <w:p>
            <w:pPr>
              <w:ind w:left="160"/>
              <w:spacing w:after="0" w:line="173" w:lineRule="exact"/>
              <w:rPr>
                <w:sz w:val="20"/>
                <w:szCs w:val="20"/>
                <w:color w:val="auto"/>
              </w:rPr>
            </w:pPr>
            <w:r>
              <w:rPr>
                <w:rFonts w:ascii="Arial" w:cs="Arial" w:eastAsia="Arial" w:hAnsi="Arial"/>
                <w:sz w:val="16"/>
                <w:szCs w:val="16"/>
                <w:color w:val="2A2A2A"/>
                <w:w w:val="93"/>
              </w:rPr>
              <w:t>personnel for each manufacturing, CMO, storage and distribution locations:</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2A2A2A"/>
              </w:rPr>
              <w:t>•</w:t>
            </w:r>
          </w:p>
        </w:tc>
        <w:tc>
          <w:tcPr>
            <w:tcW w:w="5880" w:type="dxa"/>
            <w:vAlign w:val="bottom"/>
            <w:gridSpan w:val="11"/>
            <w:vMerge w:val="restart"/>
          </w:tcPr>
          <w:p>
            <w:pPr>
              <w:spacing w:after="0"/>
              <w:rPr>
                <w:sz w:val="20"/>
                <w:szCs w:val="20"/>
                <w:color w:val="auto"/>
              </w:rPr>
            </w:pPr>
            <w:r>
              <w:rPr>
                <w:rFonts w:ascii="Arial" w:cs="Arial" w:eastAsia="Arial" w:hAnsi="Arial"/>
                <w:sz w:val="16"/>
                <w:szCs w:val="16"/>
                <w:color w:val="auto"/>
              </w:rPr>
              <w:t xml:space="preserve">Head </w:t>
            </w:r>
            <w:r>
              <w:rPr>
                <w:rFonts w:ascii="Arial" w:cs="Arial" w:eastAsia="Arial" w:hAnsi="Arial"/>
                <w:sz w:val="16"/>
                <w:szCs w:val="16"/>
                <w:color w:val="2A2A2A"/>
              </w:rPr>
              <w:t>of Manufacturing• Production Planning• Logistics• Distribution• Labeling</w:t>
            </w: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80" w:type="dxa"/>
            <w:vAlign w:val="bottom"/>
            <w:tcBorders>
              <w:left w:val="single" w:sz="8" w:color="auto"/>
            </w:tcBorders>
            <w:vMerge w:val="continue"/>
          </w:tcPr>
          <w:p>
            <w:pPr>
              <w:spacing w:after="0"/>
              <w:rPr>
                <w:sz w:val="12"/>
                <w:szCs w:val="12"/>
                <w:color w:val="auto"/>
              </w:rPr>
            </w:pPr>
          </w:p>
        </w:tc>
        <w:tc>
          <w:tcPr>
            <w:tcW w:w="5880" w:type="dxa"/>
            <w:vAlign w:val="bottom"/>
            <w:gridSpan w:val="11"/>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2A2A2A"/>
              </w:rPr>
              <w:t>•</w:t>
            </w:r>
          </w:p>
        </w:tc>
        <w:tc>
          <w:tcPr>
            <w:tcW w:w="5880" w:type="dxa"/>
            <w:vAlign w:val="bottom"/>
            <w:gridSpan w:val="11"/>
            <w:vMerge w:val="restart"/>
          </w:tcPr>
          <w:p>
            <w:pPr>
              <w:spacing w:after="0"/>
              <w:rPr>
                <w:sz w:val="20"/>
                <w:szCs w:val="20"/>
                <w:color w:val="auto"/>
              </w:rPr>
            </w:pPr>
            <w:r>
              <w:rPr>
                <w:rFonts w:ascii="Arial" w:cs="Arial" w:eastAsia="Arial" w:hAnsi="Arial"/>
                <w:sz w:val="16"/>
                <w:szCs w:val="16"/>
                <w:color w:val="auto"/>
                <w:w w:val="91"/>
              </w:rPr>
              <w:t xml:space="preserve">Provide </w:t>
            </w:r>
            <w:r>
              <w:rPr>
                <w:rFonts w:ascii="Arial" w:cs="Arial" w:eastAsia="Arial" w:hAnsi="Arial"/>
                <w:sz w:val="16"/>
                <w:szCs w:val="16"/>
                <w:color w:val="2A2A2A"/>
                <w:w w:val="91"/>
              </w:rPr>
              <w:t>therapeutic labeling, packaging and distribution information as soon as it becomes</w:t>
            </w: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680" w:type="dxa"/>
            <w:vAlign w:val="bottom"/>
            <w:tcBorders>
              <w:left w:val="single" w:sz="8" w:color="auto"/>
            </w:tcBorders>
            <w:vMerge w:val="continue"/>
          </w:tcPr>
          <w:p>
            <w:pPr>
              <w:spacing w:after="0"/>
              <w:rPr>
                <w:sz w:val="10"/>
                <w:szCs w:val="10"/>
                <w:color w:val="auto"/>
              </w:rPr>
            </w:pPr>
          </w:p>
        </w:tc>
        <w:tc>
          <w:tcPr>
            <w:tcW w:w="5880" w:type="dxa"/>
            <w:vAlign w:val="bottom"/>
            <w:gridSpan w:val="11"/>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500" w:type="dxa"/>
            <w:vAlign w:val="bottom"/>
            <w:tcBorders>
              <w:left w:val="single" w:sz="8" w:color="auto"/>
            </w:tcBorders>
            <w:gridSpan w:val="5"/>
            <w:vMerge w:val="restart"/>
          </w:tcPr>
          <w:p>
            <w:pPr>
              <w:ind w:left="160"/>
              <w:spacing w:after="0"/>
              <w:rPr>
                <w:sz w:val="20"/>
                <w:szCs w:val="20"/>
                <w:color w:val="auto"/>
              </w:rPr>
            </w:pPr>
            <w:r>
              <w:rPr>
                <w:rFonts w:ascii="Arial" w:cs="Arial" w:eastAsia="Arial" w:hAnsi="Arial"/>
                <w:sz w:val="16"/>
                <w:szCs w:val="16"/>
                <w:color w:val="2A2A2A"/>
              </w:rPr>
              <w:t>available. At a minimum, include the following:</w:t>
            </w: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auto"/>
            </w:tcBorders>
            <w:gridSpan w:val="5"/>
            <w:vMerge w:val="continue"/>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2A2A2A"/>
              </w:rPr>
              <w:t>•</w:t>
            </w:r>
          </w:p>
        </w:tc>
        <w:tc>
          <w:tcPr>
            <w:tcW w:w="6420" w:type="dxa"/>
            <w:vAlign w:val="bottom"/>
            <w:gridSpan w:val="12"/>
            <w:vMerge w:val="restart"/>
          </w:tcPr>
          <w:p>
            <w:pPr>
              <w:spacing w:after="0"/>
              <w:rPr>
                <w:sz w:val="20"/>
                <w:szCs w:val="20"/>
                <w:color w:val="auto"/>
              </w:rPr>
            </w:pPr>
            <w:r>
              <w:rPr>
                <w:rFonts w:ascii="Arial" w:cs="Arial" w:eastAsia="Arial" w:hAnsi="Arial"/>
                <w:sz w:val="16"/>
                <w:szCs w:val="16"/>
                <w:color w:val="auto"/>
                <w:w w:val="93"/>
              </w:rPr>
              <w:t xml:space="preserve">Primary </w:t>
            </w:r>
            <w:r>
              <w:rPr>
                <w:rFonts w:ascii="Arial" w:cs="Arial" w:eastAsia="Arial" w:hAnsi="Arial"/>
                <w:sz w:val="16"/>
                <w:szCs w:val="16"/>
                <w:color w:val="2A2A2A"/>
                <w:w w:val="93"/>
              </w:rPr>
              <w:t>Container Information• Number of doses per primary container• Unit of Sale carton, box,</w:t>
            </w:r>
          </w:p>
        </w:tc>
        <w:tc>
          <w:tcPr>
            <w:tcW w:w="8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680" w:type="dxa"/>
            <w:vAlign w:val="bottom"/>
            <w:tcBorders>
              <w:left w:val="single" w:sz="8" w:color="auto"/>
            </w:tcBorders>
            <w:vMerge w:val="continue"/>
          </w:tcPr>
          <w:p>
            <w:pPr>
              <w:spacing w:after="0"/>
              <w:rPr>
                <w:sz w:val="5"/>
                <w:szCs w:val="5"/>
                <w:color w:val="auto"/>
              </w:rPr>
            </w:pPr>
          </w:p>
        </w:tc>
        <w:tc>
          <w:tcPr>
            <w:tcW w:w="6420" w:type="dxa"/>
            <w:vAlign w:val="bottom"/>
            <w:gridSpan w:val="12"/>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7100" w:type="dxa"/>
            <w:vAlign w:val="bottom"/>
            <w:tcBorders>
              <w:left w:val="single" w:sz="8" w:color="auto"/>
            </w:tcBorders>
            <w:gridSpan w:val="13"/>
            <w:vMerge w:val="restart"/>
          </w:tcPr>
          <w:p>
            <w:pPr>
              <w:ind w:left="160"/>
              <w:spacing w:after="0"/>
              <w:rPr>
                <w:sz w:val="20"/>
                <w:szCs w:val="20"/>
                <w:color w:val="auto"/>
              </w:rPr>
            </w:pPr>
            <w:r>
              <w:rPr>
                <w:rFonts w:ascii="Arial" w:cs="Arial" w:eastAsia="Arial" w:hAnsi="Arial"/>
                <w:sz w:val="16"/>
                <w:szCs w:val="16"/>
                <w:color w:val="2A2A2A"/>
                <w:w w:val="97"/>
              </w:rPr>
              <w:t>package, other)• Quantity per Unit of Sale• National Drug Code (NDC) or NDC-like code under EUA•</w:t>
            </w:r>
          </w:p>
        </w:tc>
        <w:tc>
          <w:tcPr>
            <w:tcW w:w="80" w:type="dxa"/>
            <w:vAlign w:val="bottom"/>
            <w:tcBorders>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100" w:type="dxa"/>
            <w:vAlign w:val="bottom"/>
            <w:tcBorders>
              <w:left w:val="single" w:sz="8" w:color="auto"/>
            </w:tcBorders>
            <w:gridSpan w:val="13"/>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5160" w:type="dxa"/>
            <w:vAlign w:val="bottom"/>
            <w:tcBorders>
              <w:left w:val="single" w:sz="8" w:color="auto"/>
            </w:tcBorders>
            <w:gridSpan w:val="9"/>
          </w:tcPr>
          <w:p>
            <w:pPr>
              <w:ind w:left="160"/>
              <w:spacing w:after="0" w:line="138" w:lineRule="exact"/>
              <w:rPr>
                <w:sz w:val="20"/>
                <w:szCs w:val="20"/>
                <w:color w:val="auto"/>
              </w:rPr>
            </w:pPr>
            <w:r>
              <w:rPr>
                <w:rFonts w:ascii="Arial" w:cs="Arial" w:eastAsia="Arial" w:hAnsi="Arial"/>
                <w:sz w:val="16"/>
                <w:szCs w:val="16"/>
                <w:color w:val="2A2A2A"/>
              </w:rPr>
              <w:t>Unit of Sale dimensions (H,W, L)• Unit of Sale weight</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68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2A2A2A"/>
              </w:rPr>
              <w:t>•</w:t>
            </w:r>
          </w:p>
        </w:tc>
        <w:tc>
          <w:tcPr>
            <w:tcW w:w="5880" w:type="dxa"/>
            <w:vAlign w:val="bottom"/>
            <w:gridSpan w:val="11"/>
          </w:tcPr>
          <w:p>
            <w:pPr>
              <w:spacing w:after="0"/>
              <w:rPr>
                <w:sz w:val="20"/>
                <w:szCs w:val="20"/>
                <w:color w:val="auto"/>
              </w:rPr>
            </w:pPr>
            <w:r>
              <w:rPr>
                <w:rFonts w:ascii="Arial" w:cs="Arial" w:eastAsia="Arial" w:hAnsi="Arial"/>
                <w:sz w:val="16"/>
                <w:szCs w:val="16"/>
                <w:color w:val="auto"/>
                <w:w w:val="94"/>
              </w:rPr>
              <w:t xml:space="preserve">Intermediate </w:t>
            </w:r>
            <w:r>
              <w:rPr>
                <w:rFonts w:ascii="Arial" w:cs="Arial" w:eastAsia="Arial" w:hAnsi="Arial"/>
                <w:sz w:val="16"/>
                <w:szCs w:val="16"/>
                <w:color w:val="2A2A2A"/>
                <w:w w:val="94"/>
              </w:rPr>
              <w:t>Package• Intermediate Package dimensions• Intermediate Package weight</w:t>
            </w: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2A2A2A"/>
              </w:rPr>
              <w:t>•</w:t>
            </w:r>
          </w:p>
        </w:tc>
        <w:tc>
          <w:tcPr>
            <w:tcW w:w="5880" w:type="dxa"/>
            <w:vAlign w:val="bottom"/>
            <w:gridSpan w:val="11"/>
            <w:vMerge w:val="restart"/>
          </w:tcPr>
          <w:p>
            <w:pPr>
              <w:spacing w:after="0"/>
              <w:rPr>
                <w:sz w:val="20"/>
                <w:szCs w:val="20"/>
                <w:color w:val="auto"/>
              </w:rPr>
            </w:pPr>
            <w:r>
              <w:rPr>
                <w:rFonts w:ascii="Arial" w:cs="Arial" w:eastAsia="Arial" w:hAnsi="Arial"/>
                <w:sz w:val="16"/>
                <w:szCs w:val="16"/>
                <w:color w:val="auto"/>
              </w:rPr>
              <w:t xml:space="preserve">Quantity </w:t>
            </w:r>
            <w:r>
              <w:rPr>
                <w:rFonts w:ascii="Arial" w:cs="Arial" w:eastAsia="Arial" w:hAnsi="Arial"/>
                <w:sz w:val="16"/>
                <w:szCs w:val="16"/>
                <w:color w:val="2A2A2A"/>
              </w:rPr>
              <w:t>Unit of Sale per pallet• Storage Requirements• Stability Information</w:t>
            </w:r>
          </w:p>
        </w:tc>
        <w:tc>
          <w:tcPr>
            <w:tcW w:w="5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680" w:type="dxa"/>
            <w:vAlign w:val="bottom"/>
            <w:tcBorders>
              <w:left w:val="single" w:sz="8" w:color="auto"/>
            </w:tcBorders>
            <w:vMerge w:val="continue"/>
          </w:tcPr>
          <w:p>
            <w:pPr>
              <w:spacing w:after="0"/>
              <w:rPr>
                <w:sz w:val="12"/>
                <w:szCs w:val="12"/>
                <w:color w:val="auto"/>
              </w:rPr>
            </w:pPr>
          </w:p>
        </w:tc>
        <w:tc>
          <w:tcPr>
            <w:tcW w:w="5880" w:type="dxa"/>
            <w:vAlign w:val="bottom"/>
            <w:gridSpan w:val="11"/>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80" w:type="dxa"/>
            <w:vAlign w:val="bottom"/>
            <w:tcBorders>
              <w:left w:val="single" w:sz="8" w:color="auto"/>
            </w:tcBorders>
            <w:vMerge w:val="restart"/>
          </w:tcPr>
          <w:p>
            <w:pPr>
              <w:ind w:left="160"/>
              <w:spacing w:after="0" w:line="222" w:lineRule="exact"/>
              <w:rPr>
                <w:sz w:val="20"/>
                <w:szCs w:val="20"/>
                <w:color w:val="auto"/>
              </w:rPr>
            </w:pPr>
            <w:r>
              <w:rPr>
                <w:rFonts w:ascii="Courier New" w:cs="Courier New" w:eastAsia="Courier New" w:hAnsi="Courier New"/>
                <w:sz w:val="20"/>
                <w:szCs w:val="20"/>
                <w:color w:val="auto"/>
              </w:rPr>
              <w:t>•</w:t>
            </w:r>
          </w:p>
        </w:tc>
        <w:tc>
          <w:tcPr>
            <w:tcW w:w="4480" w:type="dxa"/>
            <w:vAlign w:val="bottom"/>
            <w:gridSpan w:val="8"/>
            <w:vMerge w:val="restart"/>
          </w:tcPr>
          <w:p>
            <w:pPr>
              <w:spacing w:after="0"/>
              <w:rPr>
                <w:sz w:val="20"/>
                <w:szCs w:val="20"/>
                <w:color w:val="auto"/>
              </w:rPr>
            </w:pPr>
            <w:r>
              <w:rPr>
                <w:rFonts w:ascii="Arial" w:cs="Arial" w:eastAsia="Arial" w:hAnsi="Arial"/>
                <w:sz w:val="16"/>
                <w:szCs w:val="16"/>
                <w:color w:val="2A2A2A"/>
                <w:w w:val="92"/>
              </w:rPr>
              <w:t>Obtain concurrence on planned shipment protocols prior to transport</w:t>
            </w: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80" w:type="dxa"/>
            <w:vAlign w:val="bottom"/>
            <w:tcBorders>
              <w:left w:val="single" w:sz="8" w:color="auto"/>
            </w:tcBorders>
            <w:vMerge w:val="continue"/>
          </w:tcPr>
          <w:p>
            <w:pPr>
              <w:spacing w:after="0"/>
              <w:rPr>
                <w:sz w:val="9"/>
                <w:szCs w:val="9"/>
                <w:color w:val="auto"/>
              </w:rPr>
            </w:pPr>
          </w:p>
        </w:tc>
        <w:tc>
          <w:tcPr>
            <w:tcW w:w="4480" w:type="dxa"/>
            <w:vAlign w:val="bottom"/>
            <w:gridSpan w:val="8"/>
            <w:vMerge w:val="continue"/>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2A2A2A"/>
              </w:rPr>
              <w:t>•</w:t>
            </w:r>
          </w:p>
        </w:tc>
        <w:tc>
          <w:tcPr>
            <w:tcW w:w="6420" w:type="dxa"/>
            <w:vAlign w:val="bottom"/>
            <w:gridSpan w:val="12"/>
            <w:vMerge w:val="restart"/>
          </w:tcPr>
          <w:p>
            <w:pPr>
              <w:spacing w:after="0"/>
              <w:rPr>
                <w:sz w:val="20"/>
                <w:szCs w:val="20"/>
                <w:color w:val="auto"/>
              </w:rPr>
            </w:pPr>
            <w:r>
              <w:rPr>
                <w:rFonts w:ascii="Arial" w:cs="Arial" w:eastAsia="Arial" w:hAnsi="Arial"/>
                <w:sz w:val="16"/>
                <w:szCs w:val="16"/>
                <w:color w:val="2A2A2A"/>
                <w:w w:val="95"/>
              </w:rPr>
              <w:t>If therapeutic will require ultra-cold storage temperatures at the designated distribution centers,</w:t>
            </w:r>
          </w:p>
        </w:tc>
        <w:tc>
          <w:tcPr>
            <w:tcW w:w="80" w:type="dxa"/>
            <w:vAlign w:val="bottom"/>
            <w:tcBorders>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tcBorders>
              <w:left w:val="single" w:sz="8" w:color="auto"/>
            </w:tcBorders>
            <w:vMerge w:val="continue"/>
          </w:tcPr>
          <w:p>
            <w:pPr>
              <w:spacing w:after="0"/>
              <w:rPr>
                <w:sz w:val="3"/>
                <w:szCs w:val="3"/>
                <w:color w:val="auto"/>
              </w:rPr>
            </w:pPr>
          </w:p>
        </w:tc>
        <w:tc>
          <w:tcPr>
            <w:tcW w:w="6420" w:type="dxa"/>
            <w:vAlign w:val="bottom"/>
            <w:gridSpan w:val="12"/>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7100" w:type="dxa"/>
            <w:vAlign w:val="bottom"/>
            <w:tcBorders>
              <w:left w:val="single" w:sz="8" w:color="auto"/>
            </w:tcBorders>
            <w:gridSpan w:val="13"/>
          </w:tcPr>
          <w:p>
            <w:pPr>
              <w:ind w:left="160"/>
              <w:spacing w:after="0" w:line="138" w:lineRule="exact"/>
              <w:rPr>
                <w:sz w:val="20"/>
                <w:szCs w:val="20"/>
                <w:color w:val="auto"/>
              </w:rPr>
            </w:pPr>
            <w:r>
              <w:rPr>
                <w:rFonts w:ascii="Arial" w:cs="Arial" w:eastAsia="Arial" w:hAnsi="Arial"/>
                <w:sz w:val="16"/>
                <w:szCs w:val="16"/>
                <w:color w:val="2A2A2A"/>
                <w:w w:val="97"/>
              </w:rPr>
              <w:t>products should be packaged in 10-dose units to facilitate pick/pack process and reduce exposure of</w:t>
            </w:r>
          </w:p>
        </w:tc>
        <w:tc>
          <w:tcPr>
            <w:tcW w:w="80" w:type="dxa"/>
            <w:vAlign w:val="bottom"/>
            <w:tcBorders>
              <w:right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tcBorders>
              <w:left w:val="single" w:sz="8" w:color="auto"/>
            </w:tcBorders>
            <w:gridSpan w:val="5"/>
          </w:tcPr>
          <w:p>
            <w:pPr>
              <w:ind w:left="160"/>
              <w:spacing w:after="0"/>
              <w:rPr>
                <w:sz w:val="20"/>
                <w:szCs w:val="20"/>
                <w:color w:val="auto"/>
              </w:rPr>
            </w:pPr>
            <w:r>
              <w:rPr>
                <w:rFonts w:ascii="Arial" w:cs="Arial" w:eastAsia="Arial" w:hAnsi="Arial"/>
                <w:sz w:val="16"/>
                <w:szCs w:val="16"/>
                <w:color w:val="2A2A2A"/>
              </w:rPr>
              <w:t>workers to ultra-cold temperatures.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80" w:type="dxa"/>
            <w:vAlign w:val="bottom"/>
            <w:tcBorders>
              <w:left w:val="single" w:sz="8" w:color="auto"/>
            </w:tcBorders>
          </w:tcPr>
          <w:p>
            <w:pPr>
              <w:ind w:left="160"/>
              <w:spacing w:after="0" w:line="173" w:lineRule="exact"/>
              <w:rPr>
                <w:sz w:val="20"/>
                <w:szCs w:val="20"/>
                <w:color w:val="auto"/>
              </w:rPr>
            </w:pPr>
            <w:r>
              <w:rPr>
                <w:rFonts w:ascii="Arial" w:cs="Arial" w:eastAsia="Arial" w:hAnsi="Arial"/>
                <w:sz w:val="16"/>
                <w:szCs w:val="16"/>
                <w:color w:val="2A2A2A"/>
              </w:rPr>
              <w:t>•</w:t>
            </w:r>
          </w:p>
        </w:tc>
        <w:tc>
          <w:tcPr>
            <w:tcW w:w="5880" w:type="dxa"/>
            <w:vAlign w:val="bottom"/>
            <w:gridSpan w:val="11"/>
          </w:tcPr>
          <w:p>
            <w:pPr>
              <w:spacing w:after="0" w:line="173" w:lineRule="exact"/>
              <w:rPr>
                <w:sz w:val="20"/>
                <w:szCs w:val="20"/>
                <w:color w:val="auto"/>
              </w:rPr>
            </w:pPr>
            <w:r>
              <w:rPr>
                <w:rFonts w:ascii="Arial" w:cs="Arial" w:eastAsia="Arial" w:hAnsi="Arial"/>
                <w:sz w:val="16"/>
                <w:szCs w:val="16"/>
                <w:color w:val="auto"/>
              </w:rPr>
              <w:t xml:space="preserve">Include </w:t>
            </w:r>
            <w:r>
              <w:rPr>
                <w:rFonts w:ascii="Arial" w:cs="Arial" w:eastAsia="Arial" w:hAnsi="Arial"/>
                <w:sz w:val="16"/>
                <w:szCs w:val="16"/>
                <w:color w:val="2A2A2A"/>
              </w:rPr>
              <w:t>the following DSCSA data elements, TI, TH and TS in packing lists.</w:t>
            </w: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2A2A2A"/>
              </w:rPr>
              <w:t>•</w:t>
            </w:r>
          </w:p>
        </w:tc>
        <w:tc>
          <w:tcPr>
            <w:tcW w:w="4480" w:type="dxa"/>
            <w:vAlign w:val="bottom"/>
            <w:gridSpan w:val="8"/>
            <w:vMerge w:val="restart"/>
          </w:tcPr>
          <w:p>
            <w:pPr>
              <w:spacing w:after="0"/>
              <w:rPr>
                <w:sz w:val="20"/>
                <w:szCs w:val="20"/>
                <w:color w:val="auto"/>
              </w:rPr>
            </w:pPr>
            <w:r>
              <w:rPr>
                <w:rFonts w:ascii="Arial" w:cs="Arial" w:eastAsia="Arial" w:hAnsi="Arial"/>
                <w:sz w:val="16"/>
                <w:szCs w:val="16"/>
                <w:color w:val="auto"/>
                <w:w w:val="94"/>
              </w:rPr>
              <w:t xml:space="preserve">Include </w:t>
            </w:r>
            <w:r>
              <w:rPr>
                <w:rFonts w:ascii="Arial" w:cs="Arial" w:eastAsia="Arial" w:hAnsi="Arial"/>
                <w:sz w:val="16"/>
                <w:szCs w:val="16"/>
                <w:color w:val="2A2A2A"/>
                <w:w w:val="94"/>
              </w:rPr>
              <w:t>the Agreement number on the packing list for all shipments</w:t>
            </w: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80" w:type="dxa"/>
            <w:vAlign w:val="bottom"/>
            <w:tcBorders>
              <w:left w:val="single" w:sz="8" w:color="auto"/>
            </w:tcBorders>
            <w:vMerge w:val="continue"/>
          </w:tcPr>
          <w:p>
            <w:pPr>
              <w:spacing w:after="0"/>
              <w:rPr>
                <w:sz w:val="12"/>
                <w:szCs w:val="12"/>
                <w:color w:val="auto"/>
              </w:rPr>
            </w:pPr>
          </w:p>
        </w:tc>
        <w:tc>
          <w:tcPr>
            <w:tcW w:w="4480" w:type="dxa"/>
            <w:vAlign w:val="bottom"/>
            <w:gridSpan w:val="8"/>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2A2A2A"/>
              </w:rPr>
              <w:t>•</w:t>
            </w:r>
          </w:p>
        </w:tc>
        <w:tc>
          <w:tcPr>
            <w:tcW w:w="6420" w:type="dxa"/>
            <w:vAlign w:val="bottom"/>
            <w:gridSpan w:val="12"/>
            <w:vMerge w:val="restart"/>
          </w:tcPr>
          <w:p>
            <w:pPr>
              <w:spacing w:after="0"/>
              <w:rPr>
                <w:sz w:val="20"/>
                <w:szCs w:val="20"/>
                <w:color w:val="auto"/>
              </w:rPr>
            </w:pPr>
            <w:r>
              <w:rPr>
                <w:rFonts w:ascii="Arial" w:cs="Arial" w:eastAsia="Arial" w:hAnsi="Arial"/>
                <w:sz w:val="16"/>
                <w:szCs w:val="16"/>
                <w:color w:val="auto"/>
                <w:w w:val="98"/>
              </w:rPr>
              <w:t xml:space="preserve">Include </w:t>
            </w:r>
            <w:r>
              <w:rPr>
                <w:rFonts w:ascii="Arial" w:cs="Arial" w:eastAsia="Arial" w:hAnsi="Arial"/>
                <w:sz w:val="16"/>
                <w:szCs w:val="16"/>
                <w:color w:val="2A2A2A"/>
                <w:w w:val="98"/>
              </w:rPr>
              <w:t>a copy of the MSDS (with QR code) in the packing list envelope with each shipment.</w:t>
            </w:r>
          </w:p>
        </w:tc>
        <w:tc>
          <w:tcPr>
            <w:tcW w:w="80" w:type="dxa"/>
            <w:vAlign w:val="bottom"/>
            <w:tcBorders>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680" w:type="dxa"/>
            <w:vAlign w:val="bottom"/>
            <w:tcBorders>
              <w:left w:val="single" w:sz="8" w:color="auto"/>
            </w:tcBorders>
            <w:vMerge w:val="continue"/>
          </w:tcPr>
          <w:p>
            <w:pPr>
              <w:spacing w:after="0"/>
              <w:rPr>
                <w:sz w:val="10"/>
                <w:szCs w:val="10"/>
                <w:color w:val="auto"/>
              </w:rPr>
            </w:pPr>
          </w:p>
        </w:tc>
        <w:tc>
          <w:tcPr>
            <w:tcW w:w="6420" w:type="dxa"/>
            <w:vAlign w:val="bottom"/>
            <w:gridSpan w:val="12"/>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2A2A2A"/>
              </w:rPr>
              <w:t>•</w:t>
            </w:r>
          </w:p>
        </w:tc>
        <w:tc>
          <w:tcPr>
            <w:tcW w:w="6420" w:type="dxa"/>
            <w:vAlign w:val="bottom"/>
            <w:gridSpan w:val="12"/>
            <w:vMerge w:val="restart"/>
          </w:tcPr>
          <w:p>
            <w:pPr>
              <w:spacing w:after="0"/>
              <w:rPr>
                <w:sz w:val="20"/>
                <w:szCs w:val="20"/>
                <w:color w:val="auto"/>
              </w:rPr>
            </w:pPr>
            <w:r>
              <w:rPr>
                <w:rFonts w:ascii="Arial" w:cs="Arial" w:eastAsia="Arial" w:hAnsi="Arial"/>
                <w:sz w:val="16"/>
                <w:szCs w:val="16"/>
                <w:color w:val="auto"/>
                <w:w w:val="96"/>
              </w:rPr>
              <w:t xml:space="preserve">Send </w:t>
            </w:r>
            <w:r>
              <w:rPr>
                <w:rFonts w:ascii="Arial" w:cs="Arial" w:eastAsia="Arial" w:hAnsi="Arial"/>
                <w:sz w:val="16"/>
                <w:szCs w:val="16"/>
                <w:color w:val="2A2A2A"/>
                <w:w w:val="96"/>
              </w:rPr>
              <w:t>EDI 856 Advanced Shipment Notice for all products shipped to a USG directed location.</w:t>
            </w:r>
          </w:p>
        </w:tc>
        <w:tc>
          <w:tcPr>
            <w:tcW w:w="80" w:type="dxa"/>
            <w:vAlign w:val="bottom"/>
            <w:tcBorders>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80" w:type="dxa"/>
            <w:vAlign w:val="bottom"/>
            <w:tcBorders>
              <w:left w:val="single" w:sz="8" w:color="auto"/>
            </w:tcBorders>
            <w:vMerge w:val="continue"/>
          </w:tcPr>
          <w:p>
            <w:pPr>
              <w:spacing w:after="0"/>
              <w:rPr>
                <w:sz w:val="9"/>
                <w:szCs w:val="9"/>
                <w:color w:val="auto"/>
              </w:rPr>
            </w:pPr>
          </w:p>
        </w:tc>
        <w:tc>
          <w:tcPr>
            <w:tcW w:w="6420" w:type="dxa"/>
            <w:vAlign w:val="bottom"/>
            <w:gridSpan w:val="1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7180" w:type="dxa"/>
            <w:vAlign w:val="bottom"/>
            <w:tcBorders>
              <w:left w:val="single" w:sz="8" w:color="auto"/>
              <w:right w:val="single" w:sz="8" w:color="auto"/>
            </w:tcBorders>
            <w:gridSpan w:val="14"/>
            <w:vMerge w:val="restart"/>
          </w:tcPr>
          <w:p>
            <w:pPr>
              <w:ind w:left="160"/>
              <w:spacing w:after="0"/>
              <w:rPr>
                <w:sz w:val="20"/>
                <w:szCs w:val="20"/>
                <w:color w:val="auto"/>
              </w:rPr>
            </w:pPr>
            <w:r>
              <w:rPr>
                <w:rFonts w:ascii="Arial" w:cs="Arial" w:eastAsia="Arial" w:hAnsi="Arial"/>
                <w:sz w:val="16"/>
                <w:szCs w:val="16"/>
                <w:color w:val="2A2A2A"/>
                <w:w w:val="92"/>
              </w:rPr>
              <w:t>Send electronic/scanned copies of all bulk shipment related documents to the AOR for three-way matching</w:t>
            </w:r>
          </w:p>
        </w:tc>
        <w:tc>
          <w:tcPr>
            <w:tcW w:w="12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7180" w:type="dxa"/>
            <w:vAlign w:val="bottom"/>
            <w:tcBorders>
              <w:left w:val="single" w:sz="8" w:color="auto"/>
              <w:right w:val="single" w:sz="8" w:color="auto"/>
            </w:tcBorders>
            <w:gridSpan w:val="14"/>
            <w:vMerge w:val="continue"/>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80" w:type="dxa"/>
            <w:vAlign w:val="bottom"/>
            <w:tcBorders>
              <w:left w:val="single" w:sz="8" w:color="auto"/>
            </w:tcBorders>
            <w:gridSpan w:val="3"/>
            <w:vMerge w:val="restart"/>
          </w:tcPr>
          <w:p>
            <w:pPr>
              <w:ind w:left="160"/>
              <w:spacing w:after="0"/>
              <w:rPr>
                <w:sz w:val="20"/>
                <w:szCs w:val="20"/>
                <w:color w:val="auto"/>
              </w:rPr>
            </w:pPr>
            <w:r>
              <w:rPr>
                <w:rFonts w:ascii="Arial" w:cs="Arial" w:eastAsia="Arial" w:hAnsi="Arial"/>
                <w:sz w:val="16"/>
                <w:szCs w:val="16"/>
                <w:color w:val="2A2A2A"/>
                <w:w w:val="93"/>
              </w:rPr>
              <w:t>on the day shipment occurs.</w:t>
            </w: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80" w:type="dxa"/>
            <w:vAlign w:val="bottom"/>
            <w:tcBorders>
              <w:left w:val="single" w:sz="8" w:color="auto"/>
            </w:tcBorders>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Borders>
              <w:lef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Pr>
          <w:p>
            <w:pPr>
              <w:ind w:left="20"/>
              <w:spacing w:after="0"/>
              <w:rPr>
                <w:sz w:val="20"/>
                <w:szCs w:val="20"/>
                <w:color w:val="auto"/>
              </w:rPr>
            </w:pPr>
            <w:r>
              <w:rPr>
                <w:rFonts w:ascii="Arial" w:cs="Arial" w:eastAsia="Arial" w:hAnsi="Arial"/>
                <w:sz w:val="9"/>
                <w:szCs w:val="9"/>
                <w:color w:val="auto"/>
              </w:rPr>
              <w:t>15. TOTAL</w:t>
            </w:r>
          </w:p>
        </w:tc>
        <w:tc>
          <w:tcPr>
            <w:tcW w:w="400" w:type="dxa"/>
            <w:vAlign w:val="bottom"/>
            <w:tcBorders>
              <w:right w:val="single" w:sz="8" w:color="auto"/>
            </w:tcBorders>
          </w:tcPr>
          <w:p>
            <w:pPr>
              <w:spacing w:after="0"/>
              <w:rPr>
                <w:sz w:val="11"/>
                <w:szCs w:val="11"/>
                <w:color w:val="auto"/>
              </w:rPr>
            </w:pPr>
          </w:p>
        </w:tc>
        <w:tc>
          <w:tcPr>
            <w:tcW w:w="280" w:type="dxa"/>
            <w:vAlign w:val="bottom"/>
            <w:vMerge w:val="restart"/>
          </w:tcPr>
          <w:p>
            <w:pPr>
              <w:spacing w:after="0"/>
              <w:rPr>
                <w:sz w:val="20"/>
                <w:szCs w:val="20"/>
                <w:color w:val="auto"/>
              </w:rPr>
            </w:pPr>
            <w:r>
              <w:rPr>
                <w:rFonts w:ascii="Arial" w:cs="Arial" w:eastAsia="Arial" w:hAnsi="Arial"/>
                <w:sz w:val="14"/>
                <w:szCs w:val="14"/>
                <w:color w:val="auto"/>
              </w:rPr>
              <w:t>2</w:t>
            </w:r>
          </w:p>
        </w:tc>
        <w:tc>
          <w:tcPr>
            <w:tcW w:w="180" w:type="dxa"/>
            <w:vAlign w:val="bottom"/>
            <w:tcBorders>
              <w:right w:val="single" w:sz="8" w:color="auto"/>
            </w:tcBorders>
          </w:tcPr>
          <w:p>
            <w:pPr>
              <w:spacing w:after="0"/>
              <w:rPr>
                <w:sz w:val="11"/>
                <w:szCs w:val="11"/>
                <w:color w:val="auto"/>
              </w:rPr>
            </w:pPr>
          </w:p>
        </w:tc>
        <w:tc>
          <w:tcPr>
            <w:tcW w:w="240" w:type="dxa"/>
            <w:vAlign w:val="bottom"/>
            <w:vMerge w:val="restart"/>
          </w:tcPr>
          <w:p>
            <w:pPr>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680" w:type="dxa"/>
            <w:vAlign w:val="bottom"/>
            <w:tcBorders>
              <w:left w:val="single" w:sz="8" w:color="auto"/>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G. PREPARED BY</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H. DATE</w:t>
            </w:r>
          </w:p>
        </w:tc>
        <w:tc>
          <w:tcPr>
            <w:tcW w:w="380" w:type="dxa"/>
            <w:vAlign w:val="bottom"/>
            <w:tcBorders>
              <w:right w:val="single" w:sz="8" w:color="auto"/>
            </w:tcBorders>
          </w:tcPr>
          <w:p>
            <w:pPr>
              <w:spacing w:after="0"/>
              <w:rPr>
                <w:sz w:val="15"/>
                <w:szCs w:val="15"/>
                <w:color w:val="auto"/>
              </w:rPr>
            </w:pPr>
          </w:p>
        </w:tc>
        <w:tc>
          <w:tcPr>
            <w:tcW w:w="1560" w:type="dxa"/>
            <w:vAlign w:val="bottom"/>
            <w:gridSpan w:val="3"/>
          </w:tcPr>
          <w:p>
            <w:pPr>
              <w:jc w:val="center"/>
              <w:ind w:left="186"/>
              <w:spacing w:after="0"/>
              <w:rPr>
                <w:sz w:val="20"/>
                <w:szCs w:val="20"/>
                <w:color w:val="auto"/>
              </w:rPr>
            </w:pPr>
            <w:r>
              <w:rPr>
                <w:rFonts w:ascii="Arial" w:cs="Arial" w:eastAsia="Arial" w:hAnsi="Arial"/>
                <w:sz w:val="13"/>
                <w:szCs w:val="13"/>
                <w:b w:val="1"/>
                <w:bCs w:val="1"/>
                <w:color w:val="auto"/>
                <w:w w:val="96"/>
              </w:rPr>
              <w:t>I. APPROVED BY</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J. DATE</w:t>
            </w: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80" w:type="dxa"/>
            <w:vAlign w:val="bottom"/>
            <w:tcBorders>
              <w:lef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vMerge w:val="restart"/>
          </w:tcPr>
          <w:p>
            <w:pPr>
              <w:ind w:left="380"/>
              <w:spacing w:after="0" w:line="97" w:lineRule="exact"/>
              <w:rPr>
                <w:sz w:val="20"/>
                <w:szCs w:val="20"/>
                <w:color w:val="auto"/>
              </w:rPr>
            </w:pPr>
            <w:r>
              <w:rPr>
                <w:rFonts w:ascii="Arial" w:cs="Arial" w:eastAsia="Arial" w:hAnsi="Arial"/>
                <w:sz w:val="9"/>
                <w:szCs w:val="9"/>
                <w:color w:val="auto"/>
              </w:rPr>
              <w:t>Digitally signed by</w:t>
            </w: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80" w:type="dxa"/>
            <w:vAlign w:val="bottom"/>
            <w:tcBorders>
              <w:lef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020" w:type="dxa"/>
            <w:vAlign w:val="bottom"/>
            <w:gridSpan w:val="2"/>
            <w:vMerge w:val="restart"/>
          </w:tcPr>
          <w:p>
            <w:pPr>
              <w:jc w:val="right"/>
              <w:ind w:right="680"/>
              <w:spacing w:after="0"/>
              <w:rPr>
                <w:sz w:val="20"/>
                <w:szCs w:val="20"/>
                <w:color w:val="auto"/>
              </w:rPr>
            </w:pPr>
            <w:r>
              <w:rPr>
                <w:rFonts w:ascii="Arial" w:cs="Arial" w:eastAsia="Arial" w:hAnsi="Arial"/>
                <w:sz w:val="20"/>
                <w:szCs w:val="20"/>
                <w:color w:val="auto"/>
              </w:rPr>
              <w:t>/s/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ind w:left="380"/>
              <w:spacing w:after="0"/>
              <w:rPr>
                <w:sz w:val="20"/>
                <w:szCs w:val="20"/>
                <w:color w:val="auto"/>
              </w:rPr>
            </w:pPr>
            <w:r>
              <w:rPr>
                <w:rFonts w:ascii="Arial" w:cs="Arial" w:eastAsia="Arial" w:hAnsi="Arial"/>
                <w:sz w:val="9"/>
                <w:szCs w:val="9"/>
                <w:color w:val="auto"/>
              </w:rPr>
              <w:t>Date: 2020.12.30</w:t>
            </w:r>
          </w:p>
        </w:tc>
        <w:tc>
          <w:tcPr>
            <w:tcW w:w="400" w:type="dxa"/>
            <w:vAlign w:val="bottom"/>
            <w:tcBorders>
              <w:right w:val="single" w:sz="8" w:color="auto"/>
            </w:tcBorders>
          </w:tcPr>
          <w:p>
            <w:pPr>
              <w:spacing w:after="0"/>
              <w:rPr>
                <w:sz w:val="11"/>
                <w:szCs w:val="11"/>
                <w:color w:val="auto"/>
              </w:rPr>
            </w:pPr>
          </w:p>
        </w:tc>
        <w:tc>
          <w:tcPr>
            <w:tcW w:w="700" w:type="dxa"/>
            <w:vAlign w:val="bottom"/>
            <w:gridSpan w:val="3"/>
            <w:vMerge w:val="restart"/>
          </w:tcPr>
          <w:p>
            <w:pPr>
              <w:spacing w:after="0"/>
              <w:rPr>
                <w:sz w:val="20"/>
                <w:szCs w:val="20"/>
                <w:color w:val="auto"/>
              </w:rPr>
            </w:pPr>
            <w:r>
              <w:rPr>
                <w:rFonts w:ascii="Arial" w:cs="Arial" w:eastAsia="Arial" w:hAnsi="Arial"/>
                <w:sz w:val="9"/>
                <w:szCs w:val="9"/>
                <w:color w:val="auto"/>
              </w:rPr>
              <w:t>15:40:22-05’00’</w:t>
            </w: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Borders>
              <w:lef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Borders>
              <w:lef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Borders>
              <w:left w:val="single" w:sz="8" w:color="auto"/>
            </w:tcBorders>
          </w:tcPr>
          <w:p>
            <w:pPr>
              <w:spacing w:after="0"/>
              <w:rPr>
                <w:sz w:val="14"/>
                <w:szCs w:val="14"/>
                <w:color w:val="auto"/>
              </w:rPr>
            </w:pPr>
          </w:p>
        </w:tc>
        <w:tc>
          <w:tcPr>
            <w:tcW w:w="2820" w:type="dxa"/>
            <w:vAlign w:val="bottom"/>
            <w:gridSpan w:val="4"/>
          </w:tcPr>
          <w:p>
            <w:pPr>
              <w:ind w:left="600"/>
              <w:spacing w:after="0"/>
              <w:rPr>
                <w:sz w:val="20"/>
                <w:szCs w:val="20"/>
                <w:color w:val="auto"/>
              </w:rPr>
            </w:pPr>
            <w:r>
              <w:rPr>
                <w:rFonts w:ascii="Arial" w:cs="Arial" w:eastAsia="Arial" w:hAnsi="Arial"/>
                <w:sz w:val="7"/>
                <w:szCs w:val="7"/>
                <w:color w:val="auto"/>
              </w:rPr>
              <w:t>Date 2020.12.31 09:26:31-05’00’</w:t>
            </w:r>
          </w:p>
        </w:tc>
        <w:tc>
          <w:tcPr>
            <w:tcW w:w="5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Borders>
              <w:left w:val="single" w:sz="8" w:color="auto"/>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1" w:hanging="161"/>
        <w:spacing w:after="0"/>
        <w:tabs>
          <w:tab w:leader="none" w:pos="161" w:val="left"/>
        </w:tabs>
        <w:numPr>
          <w:ilvl w:val="0"/>
          <w:numId w:val="186"/>
        </w:numPr>
        <w:rPr>
          <w:rFonts w:ascii="Arial" w:cs="Arial" w:eastAsia="Arial" w:hAnsi="Arial"/>
          <w:sz w:val="9"/>
          <w:szCs w:val="9"/>
          <w:color w:val="auto"/>
        </w:rPr>
      </w:pPr>
      <w:r>
        <w:rPr>
          <w:rFonts w:ascii="Arial" w:cs="Arial" w:eastAsia="Arial" w:hAnsi="Arial"/>
          <w:sz w:val="9"/>
          <w:szCs w:val="9"/>
          <w:color w:val="auto"/>
        </w:rPr>
        <w:t>PRICE GROUP</w:t>
      </w:r>
    </w:p>
    <w:p>
      <w:pPr>
        <w:spacing w:after="0" w:line="200" w:lineRule="exact"/>
        <w:rPr>
          <w:rFonts w:ascii="Arial" w:cs="Arial" w:eastAsia="Arial" w:hAnsi="Arial"/>
          <w:sz w:val="9"/>
          <w:szCs w:val="9"/>
          <w:color w:val="auto"/>
        </w:rPr>
      </w:pPr>
    </w:p>
    <w:p>
      <w:pPr>
        <w:spacing w:after="0" w:line="371"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86"/>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-603250</wp:posOffset>
            </wp:positionV>
            <wp:extent cx="626110" cy="7289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9605"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spacing w:after="0"/>
        <w:tabs>
          <w:tab w:leader="none" w:pos="2380" w:val="left"/>
          <w:tab w:leader="none" w:pos="5060" w:val="left"/>
        </w:tabs>
        <w:rPr>
          <w:sz w:val="20"/>
          <w:szCs w:val="20"/>
          <w:color w:val="auto"/>
        </w:rPr>
      </w:pPr>
      <w:r>
        <w:rPr>
          <w:rFonts w:ascii="Arial" w:cs="Arial" w:eastAsia="Arial" w:hAnsi="Arial"/>
          <w:sz w:val="16"/>
          <w:szCs w:val="16"/>
          <w:b w:val="1"/>
          <w:bCs w:val="1"/>
          <w:color w:val="auto"/>
        </w:rPr>
        <w:t>DD FORM 1423-1, FEB 2001</w:t>
      </w:r>
      <w:r>
        <w:rPr>
          <w:sz w:val="20"/>
          <w:szCs w:val="20"/>
          <w:color w:val="auto"/>
        </w:rPr>
        <w:tab/>
      </w:r>
      <w:r>
        <w:rPr>
          <w:rFonts w:ascii="Arial" w:cs="Arial" w:eastAsia="Arial" w:hAnsi="Arial"/>
          <w:sz w:val="14"/>
          <w:szCs w:val="14"/>
          <w:color w:val="080808"/>
        </w:rPr>
        <w:t>PREVIOUS EDITION MAY BE USED.</w:t>
      </w:r>
      <w:r>
        <w:rPr>
          <w:sz w:val="20"/>
          <w:szCs w:val="20"/>
          <w:color w:val="auto"/>
        </w:rPr>
        <w:tab/>
      </w:r>
      <w:r>
        <w:rPr>
          <w:rFonts w:ascii="Arial" w:cs="Arial" w:eastAsia="Arial" w:hAnsi="Arial"/>
          <w:sz w:val="11"/>
          <w:szCs w:val="11"/>
          <w:color w:val="090909"/>
        </w:rPr>
        <w:t xml:space="preserve">Page 14 </w:t>
      </w:r>
      <w:r>
        <w:rPr>
          <w:rFonts w:ascii="Arial" w:cs="Arial" w:eastAsia="Arial" w:hAnsi="Arial"/>
          <w:sz w:val="12"/>
          <w:szCs w:val="12"/>
          <w:color w:val="070707"/>
        </w:rPr>
        <w:t>of 32</w:t>
      </w:r>
      <w:r>
        <w:rPr>
          <w:rFonts w:ascii="Arial" w:cs="Arial" w:eastAsia="Arial" w:hAnsi="Arial"/>
          <w:sz w:val="11"/>
          <w:szCs w:val="11"/>
          <w:color w:val="090909"/>
        </w:rPr>
        <w:t xml:space="preserve"> </w:t>
      </w:r>
      <w:r>
        <w:rPr>
          <w:rFonts w:ascii="Arial" w:cs="Arial" w:eastAsia="Arial" w:hAnsi="Arial"/>
          <w:sz w:val="11"/>
          <w:szCs w:val="11"/>
          <w:color w:val="0B0B0B"/>
        </w:rPr>
        <w:t>Pages</w:t>
      </w:r>
    </w:p>
    <w:p>
      <w:pPr>
        <w:sectPr>
          <w:pgSz w:w="11900" w:h="16838" w:orient="portrait"/>
          <w:cols w:equalWidth="0" w:num="1">
            <w:col w:w="11160"/>
          </w:cols>
          <w:pgMar w:left="320" w:top="403" w:right="419" w:bottom="1440" w:gutter="0" w:footer="0" w:header="0"/>
          <w:type w:val="continuous"/>
        </w:sectPr>
      </w:pPr>
    </w:p>
    <w:p>
      <w:pPr>
        <w:spacing w:after="0" w:line="117" w:lineRule="exact"/>
        <w:rPr>
          <w:sz w:val="20"/>
          <w:szCs w:val="20"/>
          <w:color w:val="auto"/>
        </w:r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9"/>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A015</w:t>
            </w:r>
          </w:p>
        </w:tc>
        <w:tc>
          <w:tcPr>
            <w:tcW w:w="20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181818"/>
              </w:rPr>
              <w:t xml:space="preserve">Distribution </w:t>
            </w:r>
            <w:r>
              <w:rPr>
                <w:rFonts w:ascii="Arial" w:cs="Arial" w:eastAsia="Arial" w:hAnsi="Arial"/>
                <w:sz w:val="14"/>
                <w:szCs w:val="14"/>
                <w:color w:val="020202"/>
              </w:rPr>
              <w:t>Plan</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0"/>
              <w:spacing w:after="0"/>
              <w:rPr>
                <w:sz w:val="20"/>
                <w:szCs w:val="20"/>
                <w:color w:val="auto"/>
              </w:rPr>
            </w:pPr>
            <w:r>
              <w:rPr>
                <w:rFonts w:ascii="Arial" w:cs="Arial" w:eastAsia="Arial" w:hAnsi="Arial"/>
                <w:sz w:val="16"/>
                <w:szCs w:val="16"/>
                <w:color w:val="131313"/>
                <w:w w:val="94"/>
              </w:rPr>
              <w:t>DI-TCSP-82040</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198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7"/>
                <w:szCs w:val="7"/>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560" w:type="dxa"/>
            <w:vAlign w:val="bottom"/>
            <w:gridSpan w:val="8"/>
            <w:vMerge w:val="restart"/>
          </w:tcPr>
          <w:p>
            <w:pPr>
              <w:ind w:left="160"/>
              <w:spacing w:after="0"/>
              <w:rPr>
                <w:sz w:val="20"/>
                <w:szCs w:val="20"/>
                <w:color w:val="auto"/>
              </w:rPr>
            </w:pPr>
            <w:r>
              <w:rPr>
                <w:rFonts w:ascii="Arial" w:cs="Arial" w:eastAsia="Arial" w:hAnsi="Arial"/>
                <w:sz w:val="16"/>
                <w:szCs w:val="16"/>
                <w:color w:val="auto"/>
              </w:rPr>
              <w:t>This plan shall describe the Awardee's process to distribute (according to Government</w:t>
            </w: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6560" w:type="dxa"/>
            <w:vAlign w:val="bottom"/>
            <w:gridSpan w:val="8"/>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7100" w:type="dxa"/>
            <w:vAlign w:val="bottom"/>
            <w:gridSpan w:val="9"/>
            <w:vMerge w:val="restart"/>
          </w:tcPr>
          <w:p>
            <w:pPr>
              <w:ind w:left="160"/>
              <w:spacing w:after="0"/>
              <w:rPr>
                <w:sz w:val="20"/>
                <w:szCs w:val="20"/>
                <w:color w:val="auto"/>
              </w:rPr>
            </w:pPr>
            <w:r>
              <w:rPr>
                <w:rFonts w:ascii="Arial" w:cs="Arial" w:eastAsia="Arial" w:hAnsi="Arial"/>
                <w:sz w:val="16"/>
                <w:szCs w:val="16"/>
                <w:color w:val="auto"/>
                <w:w w:val="99"/>
              </w:rPr>
              <w:t>directed allocation) EUA-or BLA-approved product to point of care facilities, necessary to meet the</w:t>
            </w:r>
          </w:p>
        </w:tc>
        <w:tc>
          <w:tcPr>
            <w:tcW w:w="80" w:type="dxa"/>
            <w:vAlign w:val="bottom"/>
          </w:tcPr>
          <w:p>
            <w:pPr>
              <w:spacing w:after="0"/>
              <w:rPr>
                <w:sz w:val="7"/>
                <w:szCs w:val="7"/>
                <w:color w:val="auto"/>
              </w:rPr>
            </w:pPr>
          </w:p>
        </w:tc>
        <w:tc>
          <w:tcPr>
            <w:tcW w:w="1880" w:type="dxa"/>
            <w:vAlign w:val="bottom"/>
            <w:tcBorders>
              <w:bottom w:val="single" w:sz="8" w:color="auto"/>
            </w:tcBorders>
            <w:gridSpan w:val="2"/>
            <w:vMerge w:val="continue"/>
          </w:tcPr>
          <w:p>
            <w:pPr>
              <w:spacing w:after="0"/>
              <w:rPr>
                <w:sz w:val="7"/>
                <w:szCs w:val="7"/>
                <w:color w:val="auto"/>
              </w:rPr>
            </w:pPr>
          </w:p>
        </w:tc>
        <w:tc>
          <w:tcPr>
            <w:tcW w:w="16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710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7100" w:type="dxa"/>
            <w:vAlign w:val="bottom"/>
            <w:gridSpan w:val="9"/>
            <w:vMerge w:val="restart"/>
          </w:tcPr>
          <w:p>
            <w:pPr>
              <w:ind w:left="160"/>
              <w:spacing w:after="0"/>
              <w:rPr>
                <w:sz w:val="20"/>
                <w:szCs w:val="20"/>
                <w:color w:val="auto"/>
              </w:rPr>
            </w:pPr>
            <w:r>
              <w:rPr>
                <w:rFonts w:ascii="Arial" w:cs="Arial" w:eastAsia="Arial" w:hAnsi="Arial"/>
                <w:sz w:val="16"/>
                <w:szCs w:val="16"/>
                <w:color w:val="auto"/>
                <w:w w:val="98"/>
              </w:rPr>
              <w:t>Government's need for administration. The plan shall comply with applicable provisions of the Drug</w:t>
            </w:r>
          </w:p>
        </w:tc>
        <w:tc>
          <w:tcPr>
            <w:tcW w:w="8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71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7100" w:type="dxa"/>
            <w:vAlign w:val="bottom"/>
            <w:gridSpan w:val="9"/>
          </w:tcPr>
          <w:p>
            <w:pPr>
              <w:ind w:left="160"/>
              <w:spacing w:after="0" w:line="138" w:lineRule="exact"/>
              <w:rPr>
                <w:sz w:val="20"/>
                <w:szCs w:val="20"/>
                <w:color w:val="auto"/>
              </w:rPr>
            </w:pPr>
            <w:r>
              <w:rPr>
                <w:rFonts w:ascii="Arial" w:cs="Arial" w:eastAsia="Arial" w:hAnsi="Arial"/>
                <w:sz w:val="16"/>
                <w:szCs w:val="16"/>
                <w:color w:val="auto"/>
                <w:w w:val="93"/>
              </w:rPr>
              <w:t>Supply Chain Security Act (DSCSA), Sections 581-585 of PL 113-54 (Nov 27, 2013), taking into account</w:t>
            </w:r>
          </w:p>
        </w:tc>
        <w:tc>
          <w:tcPr>
            <w:tcW w:w="8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100" w:type="dxa"/>
            <w:vAlign w:val="bottom"/>
            <w:gridSpan w:val="9"/>
          </w:tcPr>
          <w:p>
            <w:pPr>
              <w:ind w:left="160"/>
              <w:spacing w:after="0" w:line="169" w:lineRule="exact"/>
              <w:rPr>
                <w:sz w:val="20"/>
                <w:szCs w:val="20"/>
                <w:color w:val="auto"/>
              </w:rPr>
            </w:pPr>
            <w:r>
              <w:rPr>
                <w:rFonts w:ascii="Arial" w:cs="Arial" w:eastAsia="Arial" w:hAnsi="Arial"/>
                <w:sz w:val="16"/>
                <w:szCs w:val="16"/>
                <w:color w:val="auto"/>
                <w:w w:val="93"/>
              </w:rPr>
              <w:t>FDA's regular guidance for the COVID-19 public health response. The plan may include details regarding</w:t>
            </w:r>
          </w:p>
        </w:tc>
        <w:tc>
          <w:tcPr>
            <w:tcW w:w="8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20" w:type="dxa"/>
            <w:vAlign w:val="bottom"/>
            <w:gridSpan w:val="6"/>
          </w:tcPr>
          <w:p>
            <w:pPr>
              <w:ind w:left="160"/>
              <w:spacing w:after="0"/>
              <w:rPr>
                <w:sz w:val="20"/>
                <w:szCs w:val="20"/>
                <w:color w:val="auto"/>
              </w:rPr>
            </w:pPr>
            <w:r>
              <w:rPr>
                <w:rFonts w:ascii="Arial" w:cs="Arial" w:eastAsia="Arial" w:hAnsi="Arial"/>
                <w:sz w:val="16"/>
                <w:szCs w:val="16"/>
                <w:color w:val="auto"/>
              </w:rPr>
              <w:t>storage and quality assurance of product prior to allocation.</w:t>
            </w: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vMerge w:val="restart"/>
          </w:tcPr>
          <w:p>
            <w:pPr>
              <w:ind w:left="160"/>
              <w:spacing w:after="0"/>
              <w:rPr>
                <w:sz w:val="20"/>
                <w:szCs w:val="20"/>
                <w:color w:val="auto"/>
              </w:rPr>
            </w:pPr>
            <w:r>
              <w:rPr>
                <w:rFonts w:ascii="Arial" w:cs="Arial" w:eastAsia="Arial" w:hAnsi="Arial"/>
                <w:sz w:val="16"/>
                <w:szCs w:val="16"/>
                <w:color w:val="auto"/>
              </w:rPr>
              <w:t xml:space="preserve">- Within </w:t>
            </w:r>
            <w:r>
              <w:rPr>
                <w:rFonts w:ascii="Arial" w:cs="Arial" w:eastAsia="Arial" w:hAnsi="Arial"/>
                <w:sz w:val="14"/>
                <w:szCs w:val="14"/>
                <w:color w:val="2A2A2A"/>
              </w:rPr>
              <w:t>[* * *]</w:t>
            </w:r>
            <w:r>
              <w:rPr>
                <w:rFonts w:ascii="Arial" w:cs="Arial" w:eastAsia="Arial" w:hAnsi="Arial"/>
                <w:sz w:val="16"/>
                <w:szCs w:val="16"/>
                <w:color w:val="auto"/>
              </w:rPr>
              <w:t xml:space="preserve"> of award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03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15:38:18-05’00’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09:36:19-05’00’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15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87"/>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87"/>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9"/>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A016</w:t>
            </w:r>
          </w:p>
        </w:tc>
        <w:tc>
          <w:tcPr>
            <w:tcW w:w="200" w:type="dxa"/>
            <w:vAlign w:val="bottom"/>
            <w:tcBorders>
              <w:right w:val="single" w:sz="8" w:color="auto"/>
            </w:tcBorders>
          </w:tcPr>
          <w:p>
            <w:pPr>
              <w:spacing w:after="0"/>
              <w:rPr>
                <w:sz w:val="24"/>
                <w:szCs w:val="24"/>
                <w:color w:val="auto"/>
              </w:rPr>
            </w:pPr>
          </w:p>
        </w:tc>
        <w:tc>
          <w:tcPr>
            <w:tcW w:w="3040" w:type="dxa"/>
            <w:vAlign w:val="bottom"/>
            <w:gridSpan w:val="4"/>
          </w:tcPr>
          <w:p>
            <w:pPr>
              <w:ind w:left="60"/>
              <w:spacing w:after="0"/>
              <w:rPr>
                <w:sz w:val="20"/>
                <w:szCs w:val="20"/>
                <w:color w:val="auto"/>
              </w:rPr>
            </w:pPr>
            <w:r>
              <w:rPr>
                <w:rFonts w:ascii="Arial" w:cs="Arial" w:eastAsia="Arial" w:hAnsi="Arial"/>
                <w:sz w:val="14"/>
                <w:szCs w:val="14"/>
                <w:color w:val="181818"/>
              </w:rPr>
              <w:t>Manufacturing Development Plan</w:t>
            </w: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0"/>
              <w:spacing w:after="0"/>
              <w:rPr>
                <w:sz w:val="20"/>
                <w:szCs w:val="20"/>
                <w:color w:val="auto"/>
              </w:rPr>
            </w:pPr>
            <w:r>
              <w:rPr>
                <w:rFonts w:ascii="Arial" w:cs="Arial" w:eastAsia="Arial" w:hAnsi="Arial"/>
                <w:sz w:val="16"/>
                <w:szCs w:val="16"/>
                <w:color w:val="131313"/>
                <w:w w:val="94"/>
              </w:rPr>
              <w:t>DI-TCSP-82040</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2"/>
          </w:tcPr>
          <w:p>
            <w:pPr>
              <w:jc w:val="right"/>
              <w:ind w:right="717"/>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3"/>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8"/>
                <w:szCs w:val="8"/>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8"/>
                <w:szCs w:val="8"/>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48" w:lineRule="exact"/>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91" w:lineRule="exact"/>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100" w:type="dxa"/>
            <w:vAlign w:val="bottom"/>
            <w:gridSpan w:val="9"/>
            <w:vMerge w:val="restart"/>
          </w:tcPr>
          <w:p>
            <w:pPr>
              <w:ind w:left="160"/>
              <w:spacing w:after="0"/>
              <w:rPr>
                <w:sz w:val="20"/>
                <w:szCs w:val="20"/>
                <w:color w:val="auto"/>
              </w:rPr>
            </w:pPr>
            <w:r>
              <w:rPr>
                <w:rFonts w:ascii="Arial" w:cs="Arial" w:eastAsia="Arial" w:hAnsi="Arial"/>
                <w:sz w:val="16"/>
                <w:szCs w:val="16"/>
                <w:color w:val="auto"/>
                <w:w w:val="93"/>
              </w:rPr>
              <w:t>For products that have received EUA authorization, the plan shall describe any planned improvements to</w:t>
            </w:r>
          </w:p>
        </w:tc>
        <w:tc>
          <w:tcPr>
            <w:tcW w:w="8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710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7100" w:type="dxa"/>
            <w:vAlign w:val="bottom"/>
            <w:gridSpan w:val="9"/>
            <w:vMerge w:val="restart"/>
          </w:tcPr>
          <w:p>
            <w:pPr>
              <w:ind w:left="160"/>
              <w:spacing w:after="0"/>
              <w:rPr>
                <w:sz w:val="20"/>
                <w:szCs w:val="20"/>
                <w:color w:val="auto"/>
              </w:rPr>
            </w:pPr>
            <w:r>
              <w:rPr>
                <w:rFonts w:ascii="Arial" w:cs="Arial" w:eastAsia="Arial" w:hAnsi="Arial"/>
                <w:sz w:val="16"/>
                <w:szCs w:val="16"/>
                <w:color w:val="auto"/>
                <w:w w:val="95"/>
              </w:rPr>
              <w:t>the manufacturing process, formulation, administration, or presentation of the product, including but not</w:t>
            </w:r>
          </w:p>
        </w:tc>
        <w:tc>
          <w:tcPr>
            <w:tcW w:w="80" w:type="dxa"/>
            <w:vAlign w:val="bottom"/>
          </w:tcPr>
          <w:p>
            <w:pPr>
              <w:spacing w:after="0"/>
              <w:rPr>
                <w:sz w:val="7"/>
                <w:szCs w:val="7"/>
                <w:color w:val="auto"/>
              </w:rPr>
            </w:pPr>
          </w:p>
        </w:tc>
        <w:tc>
          <w:tcPr>
            <w:tcW w:w="1880" w:type="dxa"/>
            <w:vAlign w:val="bottom"/>
            <w:tcBorders>
              <w:bottom w:val="single" w:sz="8" w:color="auto"/>
            </w:tcBorders>
            <w:gridSpan w:val="2"/>
            <w:vMerge w:val="continue"/>
          </w:tcPr>
          <w:p>
            <w:pPr>
              <w:spacing w:after="0"/>
              <w:rPr>
                <w:sz w:val="7"/>
                <w:szCs w:val="7"/>
                <w:color w:val="auto"/>
              </w:rPr>
            </w:pPr>
          </w:p>
        </w:tc>
        <w:tc>
          <w:tcPr>
            <w:tcW w:w="16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710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7100" w:type="dxa"/>
            <w:vAlign w:val="bottom"/>
            <w:gridSpan w:val="9"/>
            <w:vMerge w:val="restart"/>
          </w:tcPr>
          <w:p>
            <w:pPr>
              <w:ind w:left="160"/>
              <w:spacing w:after="0"/>
              <w:rPr>
                <w:sz w:val="20"/>
                <w:szCs w:val="20"/>
                <w:color w:val="auto"/>
              </w:rPr>
            </w:pPr>
            <w:r>
              <w:rPr>
                <w:rFonts w:ascii="Arial" w:cs="Arial" w:eastAsia="Arial" w:hAnsi="Arial"/>
                <w:sz w:val="16"/>
                <w:szCs w:val="16"/>
                <w:color w:val="auto"/>
                <w:w w:val="93"/>
              </w:rPr>
              <w:t>limited to dosing, stability, route of administration, changes to the label, or packaging improvements. Plan</w:t>
            </w:r>
          </w:p>
        </w:tc>
        <w:tc>
          <w:tcPr>
            <w:tcW w:w="8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71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7100" w:type="dxa"/>
            <w:vAlign w:val="bottom"/>
            <w:gridSpan w:val="9"/>
          </w:tcPr>
          <w:p>
            <w:pPr>
              <w:ind w:left="160"/>
              <w:spacing w:after="0" w:line="138" w:lineRule="exact"/>
              <w:rPr>
                <w:sz w:val="20"/>
                <w:szCs w:val="20"/>
                <w:color w:val="auto"/>
              </w:rPr>
            </w:pPr>
            <w:r>
              <w:rPr>
                <w:rFonts w:ascii="Arial" w:cs="Arial" w:eastAsia="Arial" w:hAnsi="Arial"/>
                <w:sz w:val="16"/>
                <w:szCs w:val="16"/>
                <w:color w:val="auto"/>
                <w:w w:val="90"/>
              </w:rPr>
              <w:t>shall cover the length of the period of performance and may be updated as needed at regular intervals to be</w:t>
            </w:r>
          </w:p>
        </w:tc>
        <w:tc>
          <w:tcPr>
            <w:tcW w:w="8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100" w:type="dxa"/>
            <w:vAlign w:val="bottom"/>
            <w:gridSpan w:val="9"/>
          </w:tcPr>
          <w:p>
            <w:pPr>
              <w:ind w:left="160"/>
              <w:spacing w:after="0" w:line="169" w:lineRule="exact"/>
              <w:rPr>
                <w:sz w:val="20"/>
                <w:szCs w:val="20"/>
                <w:color w:val="auto"/>
              </w:rPr>
            </w:pPr>
            <w:r>
              <w:rPr>
                <w:rFonts w:ascii="Arial" w:cs="Arial" w:eastAsia="Arial" w:hAnsi="Arial"/>
                <w:sz w:val="16"/>
                <w:szCs w:val="16"/>
                <w:color w:val="auto"/>
                <w:w w:val="91"/>
              </w:rPr>
              <w:t>established by AOR. For clarity, the agreement is not for research, development or experimental work and,</w:t>
            </w:r>
          </w:p>
        </w:tc>
        <w:tc>
          <w:tcPr>
            <w:tcW w:w="8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00" w:type="dxa"/>
            <w:vAlign w:val="bottom"/>
            <w:gridSpan w:val="9"/>
          </w:tcPr>
          <w:p>
            <w:pPr>
              <w:ind w:left="160"/>
              <w:spacing w:after="0"/>
              <w:rPr>
                <w:sz w:val="20"/>
                <w:szCs w:val="20"/>
                <w:color w:val="auto"/>
              </w:rPr>
            </w:pPr>
            <w:r>
              <w:rPr>
                <w:rFonts w:ascii="Arial" w:cs="Arial" w:eastAsia="Arial" w:hAnsi="Arial"/>
                <w:sz w:val="16"/>
                <w:szCs w:val="16"/>
                <w:color w:val="auto"/>
                <w:w w:val="94"/>
              </w:rPr>
              <w:t>therefore, the activities described in the plan are being performed outside of the agreement. Plan will be</w:t>
            </w:r>
          </w:p>
        </w:tc>
        <w:tc>
          <w:tcPr>
            <w:tcW w:w="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60" w:type="dxa"/>
            <w:vAlign w:val="bottom"/>
            <w:gridSpan w:val="8"/>
          </w:tcPr>
          <w:p>
            <w:pPr>
              <w:ind w:left="160"/>
              <w:spacing w:after="0"/>
              <w:rPr>
                <w:sz w:val="20"/>
                <w:szCs w:val="20"/>
                <w:color w:val="auto"/>
              </w:rPr>
            </w:pPr>
            <w:r>
              <w:rPr>
                <w:rFonts w:ascii="Arial" w:cs="Arial" w:eastAsia="Arial" w:hAnsi="Arial"/>
                <w:sz w:val="16"/>
                <w:szCs w:val="16"/>
                <w:color w:val="auto"/>
              </w:rPr>
              <w:t xml:space="preserve">delivered electronically within </w:t>
            </w:r>
            <w:r>
              <w:rPr>
                <w:rFonts w:ascii="Arial" w:cs="Arial" w:eastAsia="Arial" w:hAnsi="Arial"/>
                <w:sz w:val="14"/>
                <w:szCs w:val="14"/>
                <w:color w:val="2A2A2A"/>
              </w:rPr>
              <w:t>[* * *]</w:t>
            </w:r>
            <w:r>
              <w:rPr>
                <w:rFonts w:ascii="Arial" w:cs="Arial" w:eastAsia="Arial" w:hAnsi="Arial"/>
                <w:sz w:val="16"/>
                <w:szCs w:val="16"/>
                <w:color w:val="auto"/>
              </w:rPr>
              <w:t xml:space="preserve"> of the Agreement award to the AOR and AO.</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03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2021.01.07</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14:09:56-05’00’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2021.01.07 14:43:16-05’00’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16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88"/>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88"/>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9"/>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A017</w:t>
            </w:r>
          </w:p>
        </w:tc>
        <w:tc>
          <w:tcPr>
            <w:tcW w:w="200" w:type="dxa"/>
            <w:vAlign w:val="bottom"/>
            <w:tcBorders>
              <w:right w:val="single" w:sz="8" w:color="auto"/>
            </w:tcBorders>
          </w:tcPr>
          <w:p>
            <w:pPr>
              <w:spacing w:after="0"/>
              <w:rPr>
                <w:sz w:val="24"/>
                <w:szCs w:val="24"/>
                <w:color w:val="auto"/>
              </w:rPr>
            </w:pPr>
          </w:p>
        </w:tc>
        <w:tc>
          <w:tcPr>
            <w:tcW w:w="3040" w:type="dxa"/>
            <w:vAlign w:val="bottom"/>
            <w:gridSpan w:val="4"/>
          </w:tcPr>
          <w:p>
            <w:pPr>
              <w:ind w:left="60"/>
              <w:spacing w:after="0"/>
              <w:rPr>
                <w:sz w:val="20"/>
                <w:szCs w:val="20"/>
                <w:color w:val="auto"/>
              </w:rPr>
            </w:pPr>
            <w:r>
              <w:rPr>
                <w:rFonts w:ascii="Arial" w:cs="Arial" w:eastAsia="Arial" w:hAnsi="Arial"/>
                <w:sz w:val="14"/>
                <w:szCs w:val="14"/>
                <w:color w:val="141414"/>
              </w:rPr>
              <w:t>Quality Management Plan</w:t>
            </w: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1"/>
              <w:spacing w:after="0"/>
              <w:rPr>
                <w:sz w:val="20"/>
                <w:szCs w:val="20"/>
                <w:color w:val="auto"/>
              </w:rPr>
            </w:pPr>
            <w:r>
              <w:rPr>
                <w:rFonts w:ascii="Arial" w:cs="Arial" w:eastAsia="Arial" w:hAnsi="Arial"/>
                <w:sz w:val="16"/>
                <w:szCs w:val="16"/>
                <w:color w:val="131313"/>
                <w:w w:val="94"/>
              </w:rPr>
              <w:t>DI-TCSP-82040</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198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7"/>
                <w:szCs w:val="7"/>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560" w:type="dxa"/>
            <w:vAlign w:val="bottom"/>
            <w:gridSpan w:val="8"/>
            <w:vMerge w:val="restart"/>
          </w:tcPr>
          <w:p>
            <w:pPr>
              <w:ind w:left="160"/>
              <w:spacing w:after="0"/>
              <w:rPr>
                <w:sz w:val="20"/>
                <w:szCs w:val="20"/>
                <w:color w:val="auto"/>
              </w:rPr>
            </w:pPr>
            <w:r>
              <w:rPr>
                <w:rFonts w:ascii="Arial" w:cs="Arial" w:eastAsia="Arial" w:hAnsi="Arial"/>
                <w:sz w:val="16"/>
                <w:szCs w:val="16"/>
                <w:color w:val="auto"/>
              </w:rPr>
              <w:t>Plan may include, but is not limited to the quality policy and objectives, management</w:t>
            </w: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6560" w:type="dxa"/>
            <w:vAlign w:val="bottom"/>
            <w:gridSpan w:val="8"/>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6560" w:type="dxa"/>
            <w:vAlign w:val="bottom"/>
            <w:gridSpan w:val="8"/>
            <w:vMerge w:val="restart"/>
          </w:tcPr>
          <w:p>
            <w:pPr>
              <w:ind w:left="160"/>
              <w:spacing w:after="0"/>
              <w:rPr>
                <w:sz w:val="20"/>
                <w:szCs w:val="20"/>
                <w:color w:val="auto"/>
              </w:rPr>
            </w:pPr>
            <w:r>
              <w:rPr>
                <w:rFonts w:ascii="Arial" w:cs="Arial" w:eastAsia="Arial" w:hAnsi="Arial"/>
                <w:sz w:val="16"/>
                <w:szCs w:val="16"/>
                <w:color w:val="auto"/>
              </w:rPr>
              <w:t>review, competencies and training, process document control, feedback, evaluation,</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80" w:type="dxa"/>
            <w:vAlign w:val="bottom"/>
            <w:tcBorders>
              <w:bottom w:val="single" w:sz="8" w:color="auto"/>
            </w:tcBorders>
            <w:gridSpan w:val="2"/>
            <w:vMerge w:val="continue"/>
          </w:tcPr>
          <w:p>
            <w:pPr>
              <w:spacing w:after="0"/>
              <w:rPr>
                <w:sz w:val="7"/>
                <w:szCs w:val="7"/>
                <w:color w:val="auto"/>
              </w:rPr>
            </w:pPr>
          </w:p>
        </w:tc>
        <w:tc>
          <w:tcPr>
            <w:tcW w:w="16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60" w:type="dxa"/>
            <w:vAlign w:val="bottom"/>
            <w:gridSpan w:val="8"/>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6560" w:type="dxa"/>
            <w:vAlign w:val="bottom"/>
            <w:gridSpan w:val="8"/>
            <w:vMerge w:val="restart"/>
          </w:tcPr>
          <w:p>
            <w:pPr>
              <w:ind w:left="160"/>
              <w:spacing w:after="0"/>
              <w:rPr>
                <w:sz w:val="20"/>
                <w:szCs w:val="20"/>
                <w:color w:val="auto"/>
              </w:rPr>
            </w:pPr>
            <w:r>
              <w:rPr>
                <w:rFonts w:ascii="Arial" w:cs="Arial" w:eastAsia="Arial" w:hAnsi="Arial"/>
                <w:sz w:val="16"/>
                <w:szCs w:val="16"/>
                <w:color w:val="auto"/>
              </w:rPr>
              <w:t>corrective action and preventive action, process improvement, measurement, and data</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6560" w:type="dxa"/>
            <w:vAlign w:val="bottom"/>
            <w:gridSpan w:val="8"/>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60" w:type="dxa"/>
            <w:vAlign w:val="bottom"/>
            <w:gridSpan w:val="8"/>
          </w:tcPr>
          <w:p>
            <w:pPr>
              <w:ind w:left="160"/>
              <w:spacing w:after="0" w:line="138" w:lineRule="exact"/>
              <w:rPr>
                <w:sz w:val="20"/>
                <w:szCs w:val="20"/>
                <w:color w:val="auto"/>
              </w:rPr>
            </w:pPr>
            <w:r>
              <w:rPr>
                <w:rFonts w:ascii="Arial" w:cs="Arial" w:eastAsia="Arial" w:hAnsi="Arial"/>
                <w:sz w:val="16"/>
                <w:szCs w:val="16"/>
                <w:color w:val="auto"/>
              </w:rPr>
              <w:t>analysis processes. The framework is normally divided into infrastructure, senior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560" w:type="dxa"/>
            <w:vAlign w:val="bottom"/>
            <w:gridSpan w:val="8"/>
          </w:tcPr>
          <w:p>
            <w:pPr>
              <w:ind w:left="160"/>
              <w:spacing w:after="0" w:line="169" w:lineRule="exact"/>
              <w:rPr>
                <w:sz w:val="20"/>
                <w:szCs w:val="20"/>
                <w:color w:val="auto"/>
              </w:rPr>
            </w:pPr>
            <w:r>
              <w:rPr>
                <w:rFonts w:ascii="Arial" w:cs="Arial" w:eastAsia="Arial" w:hAnsi="Arial"/>
                <w:sz w:val="16"/>
                <w:szCs w:val="16"/>
                <w:color w:val="auto"/>
              </w:rPr>
              <w:t>management responsibility, resource management, lifecycle management, and quality</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00" w:type="dxa"/>
            <w:vAlign w:val="bottom"/>
            <w:gridSpan w:val="4"/>
          </w:tcPr>
          <w:p>
            <w:pPr>
              <w:ind w:left="160"/>
              <w:spacing w:after="0"/>
              <w:rPr>
                <w:sz w:val="20"/>
                <w:szCs w:val="20"/>
                <w:color w:val="auto"/>
              </w:rPr>
            </w:pPr>
            <w:r>
              <w:rPr>
                <w:rFonts w:ascii="Arial" w:cs="Arial" w:eastAsia="Arial" w:hAnsi="Arial"/>
                <w:sz w:val="16"/>
                <w:szCs w:val="16"/>
                <w:color w:val="auto"/>
              </w:rPr>
              <w:t>management system evaluation</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72263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929130" cy="72263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72263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7226300"/>
                    </a:xfrm>
                    <a:prstGeom prst="rect">
                      <a:avLst/>
                    </a:prstGeom>
                    <a:noFill/>
                  </pic:spPr>
                </pic:pic>
              </a:graphicData>
            </a:graphic>
          </wp:anchor>
        </w:drawing>
      </w:r>
    </w:p>
    <w:p>
      <w:pPr>
        <w:ind w:left="680" w:hanging="511"/>
        <w:spacing w:after="0"/>
        <w:tabs>
          <w:tab w:leader="none" w:pos="6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Plan will be delivered electronically within </w:t>
      </w:r>
      <w:r>
        <w:rPr>
          <w:rFonts w:ascii="Arial" w:cs="Arial" w:eastAsia="Arial" w:hAnsi="Arial"/>
          <w:sz w:val="14"/>
          <w:szCs w:val="14"/>
          <w:color w:val="2A2A2A"/>
        </w:rPr>
        <w:t>[* * *]</w:t>
      </w:r>
      <w:r>
        <w:rPr>
          <w:rFonts w:ascii="Arial" w:cs="Arial" w:eastAsia="Arial" w:hAnsi="Arial"/>
          <w:sz w:val="16"/>
          <w:szCs w:val="16"/>
          <w:color w:val="auto"/>
        </w:rPr>
        <w:t xml:space="preserve"> of Agreement award to the AO and AOR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15:37:27-05’00’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09:59:19-05’00’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17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80"/>
        <w:spacing w:after="0"/>
        <w:rPr>
          <w:sz w:val="20"/>
          <w:szCs w:val="20"/>
          <w:color w:val="auto"/>
        </w:rPr>
      </w:pPr>
      <w:r>
        <w:rPr>
          <w:rFonts w:ascii="Arial" w:cs="Arial" w:eastAsia="Arial" w:hAnsi="Arial"/>
          <w:sz w:val="11"/>
          <w:szCs w:val="11"/>
          <w:color w:val="252525"/>
        </w:rPr>
        <w:t>Adobe Professional 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90"/>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90"/>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ectPr>
          <w:pgSz w:w="11900" w:h="16838" w:orient="portrait"/>
          <w:cols w:equalWidth="0" w:num="2">
            <w:col w:w="10200" w:space="99"/>
            <w:col w:w="861"/>
          </w:cols>
          <w:pgMar w:left="320" w:top="403" w:right="4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9"/>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A018</w:t>
            </w:r>
          </w:p>
        </w:tc>
        <w:tc>
          <w:tcPr>
            <w:tcW w:w="20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141414"/>
              </w:rPr>
              <w:t>Quality Agreement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010101"/>
                <w:w w:val="90"/>
              </w:rPr>
              <w:t xml:space="preserve">contractor </w:t>
            </w:r>
            <w:r>
              <w:rPr>
                <w:rFonts w:ascii="Arial" w:cs="Arial" w:eastAsia="Arial" w:hAnsi="Arial"/>
                <w:sz w:val="16"/>
                <w:szCs w:val="16"/>
                <w:color w:val="131313"/>
                <w:w w:val="90"/>
              </w:rPr>
              <w:t>format acceptable</w:t>
            </w:r>
          </w:p>
        </w:tc>
        <w:tc>
          <w:tcPr>
            <w:tcW w:w="50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2"/>
          </w:tcPr>
          <w:p>
            <w:pPr>
              <w:jc w:val="right"/>
              <w:ind w:right="717"/>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3"/>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8"/>
                <w:szCs w:val="8"/>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8"/>
                <w:szCs w:val="8"/>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41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29130" cy="804100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41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041005"/>
                    </a:xfrm>
                    <a:prstGeom prst="rect">
                      <a:avLst/>
                    </a:prstGeom>
                    <a:noFill/>
                  </pic:spPr>
                </pic:pic>
              </a:graphicData>
            </a:graphic>
          </wp:anchor>
        </w:drawing>
        <w:t>Agreement will determine the conditions of acceptance by the USG of the purchased</w:t>
      </w:r>
    </w:p>
    <w:p>
      <w:pPr>
        <w:spacing w:after="0" w:line="5" w:lineRule="exact"/>
        <w:rPr>
          <w:sz w:val="20"/>
          <w:szCs w:val="20"/>
          <w:color w:val="auto"/>
        </w:rPr>
      </w:pPr>
    </w:p>
    <w:p>
      <w:pPr>
        <w:ind w:left="160" w:right="3180"/>
        <w:spacing w:after="0" w:line="246" w:lineRule="auto"/>
        <w:rPr>
          <w:sz w:val="20"/>
          <w:szCs w:val="20"/>
          <w:color w:val="auto"/>
        </w:rPr>
      </w:pPr>
      <w:r>
        <w:rPr>
          <w:rFonts w:ascii="Arial" w:cs="Arial" w:eastAsia="Arial" w:hAnsi="Arial"/>
          <w:sz w:val="16"/>
          <w:szCs w:val="16"/>
          <w:color w:val="auto"/>
        </w:rPr>
        <w:t xml:space="preserve">product. No product will be accepted by the USG until a quality agreement is in place. Agreement will be signed by the USG and the manufacturer within </w:t>
      </w:r>
      <w:r>
        <w:rPr>
          <w:rFonts w:ascii="Arial" w:cs="Arial" w:eastAsia="Arial" w:hAnsi="Arial"/>
          <w:sz w:val="14"/>
          <w:szCs w:val="14"/>
          <w:color w:val="2A2A2A"/>
        </w:rPr>
        <w:t>[* * *]</w:t>
      </w:r>
      <w:r>
        <w:rPr>
          <w:rFonts w:ascii="Arial" w:cs="Arial" w:eastAsia="Arial" w:hAnsi="Arial"/>
          <w:sz w:val="16"/>
          <w:szCs w:val="16"/>
          <w:color w:val="auto"/>
        </w:rPr>
        <w:t xml:space="preserve"> of Agreement award</w:t>
      </w:r>
    </w:p>
    <w:p>
      <w:pPr>
        <w:spacing w:after="0" w:line="1" w:lineRule="exact"/>
        <w:rPr>
          <w:sz w:val="20"/>
          <w:szCs w:val="20"/>
          <w:color w:val="auto"/>
        </w:rPr>
      </w:pPr>
    </w:p>
    <w:p>
      <w:pPr>
        <w:ind w:left="680" w:hanging="511"/>
        <w:spacing w:after="0"/>
        <w:tabs>
          <w:tab w:leader="none" w:pos="6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Agreement will be delivered electronically to the AO and AOR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15:37:04-05’00’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10:18:55-05’00’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18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92"/>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92"/>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88"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A019</w:t>
            </w:r>
          </w:p>
        </w:tc>
        <w:tc>
          <w:tcPr>
            <w:tcW w:w="2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color w:val="010101"/>
              </w:rPr>
              <w:t>Rel</w:t>
            </w:r>
            <w:r>
              <w:rPr>
                <w:rFonts w:ascii="Arial" w:cs="Arial" w:eastAsia="Arial" w:hAnsi="Arial"/>
                <w:sz w:val="16"/>
                <w:szCs w:val="16"/>
                <w:color w:val="282828"/>
              </w:rPr>
              <w:t>ea</w:t>
            </w:r>
            <w:r>
              <w:rPr>
                <w:rFonts w:ascii="Arial" w:cs="Arial" w:eastAsia="Arial" w:hAnsi="Arial"/>
                <w:sz w:val="16"/>
                <w:szCs w:val="16"/>
                <w:color w:val="010101"/>
              </w:rPr>
              <w:t xml:space="preserve">se </w:t>
            </w:r>
            <w:r>
              <w:rPr>
                <w:rFonts w:ascii="Arial" w:cs="Arial" w:eastAsia="Arial" w:hAnsi="Arial"/>
                <w:sz w:val="16"/>
                <w:szCs w:val="16"/>
                <w:color w:val="131313"/>
              </w:rPr>
              <w:t>documentation</w:t>
            </w:r>
            <w:r>
              <w:rPr>
                <w:rFonts w:ascii="Arial" w:cs="Arial" w:eastAsia="Arial" w:hAnsi="Arial"/>
                <w:sz w:val="16"/>
                <w:szCs w:val="16"/>
                <w:color w:val="010101"/>
              </w:rPr>
              <w:t xml:space="preserve"> for </w:t>
            </w:r>
            <w:r>
              <w:rPr>
                <w:rFonts w:ascii="Arial" w:cs="Arial" w:eastAsia="Arial" w:hAnsi="Arial"/>
                <w:sz w:val="16"/>
                <w:szCs w:val="16"/>
                <w:color w:val="131313"/>
              </w:rPr>
              <w:t>doses to</w:t>
            </w:r>
            <w:r>
              <w:rPr>
                <w:rFonts w:ascii="Arial" w:cs="Arial" w:eastAsia="Arial" w:hAnsi="Arial"/>
                <w:sz w:val="16"/>
                <w:szCs w:val="16"/>
                <w:color w:val="010101"/>
              </w:rPr>
              <w:t xml:space="preserve"> </w:t>
            </w:r>
            <w:r>
              <w:rPr>
                <w:rFonts w:ascii="Arial" w:cs="Arial" w:eastAsia="Arial" w:hAnsi="Arial"/>
                <w:sz w:val="14"/>
                <w:szCs w:val="14"/>
                <w:color w:val="131313"/>
              </w:rPr>
              <w:t>be</w:t>
            </w:r>
            <w:r>
              <w:rPr>
                <w:rFonts w:ascii="Arial" w:cs="Arial" w:eastAsia="Arial" w:hAnsi="Arial"/>
                <w:sz w:val="16"/>
                <w:szCs w:val="16"/>
                <w:color w:val="010101"/>
              </w:rPr>
              <w:t xml:space="preserve"> </w:t>
            </w:r>
            <w:r>
              <w:rPr>
                <w:rFonts w:ascii="Arial" w:cs="Arial" w:eastAsia="Arial" w:hAnsi="Arial"/>
                <w:sz w:val="16"/>
                <w:szCs w:val="16"/>
                <w:color w:val="131313"/>
              </w:rPr>
              <w:t>delivered</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00" w:type="dxa"/>
            <w:vAlign w:val="bottom"/>
            <w:gridSpan w:val="4"/>
          </w:tcPr>
          <w:p>
            <w:pPr>
              <w:jc w:val="center"/>
              <w:ind w:left="446"/>
              <w:spacing w:after="0"/>
              <w:rPr>
                <w:sz w:val="20"/>
                <w:szCs w:val="20"/>
                <w:color w:val="auto"/>
              </w:rPr>
            </w:pPr>
            <w:r>
              <w:rPr>
                <w:rFonts w:ascii="Arial" w:cs="Arial" w:eastAsia="Arial" w:hAnsi="Arial"/>
                <w:sz w:val="16"/>
                <w:szCs w:val="16"/>
                <w:color w:val="010101"/>
                <w:w w:val="90"/>
              </w:rPr>
              <w:t xml:space="preserve">contractor </w:t>
            </w:r>
            <w:r>
              <w:rPr>
                <w:rFonts w:ascii="Arial" w:cs="Arial" w:eastAsia="Arial" w:hAnsi="Arial"/>
                <w:sz w:val="16"/>
                <w:szCs w:val="16"/>
                <w:color w:val="131313"/>
                <w:w w:val="90"/>
              </w:rPr>
              <w:t>format acceptable</w:t>
            </w:r>
          </w:p>
        </w:tc>
        <w:tc>
          <w:tcPr>
            <w:tcW w:w="50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2"/>
          </w:tcPr>
          <w:p>
            <w:pPr>
              <w:jc w:val="right"/>
              <w:ind w:right="717"/>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3"/>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8"/>
                <w:szCs w:val="8"/>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8"/>
                <w:szCs w:val="8"/>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80" w:type="dxa"/>
            <w:vAlign w:val="bottom"/>
            <w:vMerge w:val="restart"/>
          </w:tcPr>
          <w:p>
            <w:pPr>
              <w:ind w:left="160"/>
              <w:spacing w:after="0"/>
              <w:rPr>
                <w:sz w:val="20"/>
                <w:szCs w:val="20"/>
                <w:color w:val="auto"/>
              </w:rPr>
            </w:pPr>
            <w:r>
              <w:rPr>
                <w:rFonts w:ascii="Arial" w:cs="Arial" w:eastAsia="Arial" w:hAnsi="Arial"/>
                <w:sz w:val="16"/>
                <w:szCs w:val="16"/>
                <w:color w:val="auto"/>
              </w:rPr>
              <w:t>Certificate of Analysis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880" w:type="dxa"/>
            <w:vAlign w:val="bottom"/>
            <w:vMerge w:val="restart"/>
          </w:tcPr>
          <w:p>
            <w:pPr>
              <w:ind w:left="160"/>
              <w:spacing w:after="0"/>
              <w:rPr>
                <w:sz w:val="20"/>
                <w:szCs w:val="20"/>
                <w:color w:val="auto"/>
              </w:rPr>
            </w:pPr>
            <w:r>
              <w:rPr>
                <w:rFonts w:ascii="Arial" w:cs="Arial" w:eastAsia="Arial" w:hAnsi="Arial"/>
                <w:sz w:val="16"/>
                <w:szCs w:val="16"/>
                <w:color w:val="auto"/>
                <w:w w:val="95"/>
              </w:rPr>
              <w:t>Certificate of Compliance</w:t>
            </w: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680" w:hanging="511"/>
        <w:spacing w:after="0"/>
        <w:tabs>
          <w:tab w:leader="none" w:pos="6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410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929130" cy="804100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410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041005"/>
                    </a:xfrm>
                    <a:prstGeom prst="rect">
                      <a:avLst/>
                    </a:prstGeom>
                    <a:noFill/>
                  </pic:spPr>
                </pic:pic>
              </a:graphicData>
            </a:graphic>
          </wp:anchor>
        </w:drawing>
        <w:t>as soon as practicable, prior to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15:36:05-05’00’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10:27:13-05’00’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19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94"/>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94"/>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88"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9"/>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A020</w:t>
            </w:r>
          </w:p>
        </w:tc>
        <w:tc>
          <w:tcPr>
            <w:tcW w:w="200" w:type="dxa"/>
            <w:vAlign w:val="bottom"/>
            <w:tcBorders>
              <w:right w:val="single" w:sz="8" w:color="auto"/>
            </w:tcBorders>
          </w:tcPr>
          <w:p>
            <w:pPr>
              <w:spacing w:after="0"/>
              <w:rPr>
                <w:sz w:val="24"/>
                <w:szCs w:val="24"/>
                <w:color w:val="auto"/>
              </w:rPr>
            </w:pPr>
          </w:p>
        </w:tc>
        <w:tc>
          <w:tcPr>
            <w:tcW w:w="3040" w:type="dxa"/>
            <w:vAlign w:val="bottom"/>
            <w:gridSpan w:val="4"/>
          </w:tcPr>
          <w:p>
            <w:pPr>
              <w:ind w:left="60"/>
              <w:spacing w:after="0"/>
              <w:rPr>
                <w:sz w:val="20"/>
                <w:szCs w:val="20"/>
                <w:color w:val="auto"/>
              </w:rPr>
            </w:pPr>
            <w:r>
              <w:rPr>
                <w:rFonts w:ascii="Arial" w:cs="Arial" w:eastAsia="Arial" w:hAnsi="Arial"/>
                <w:sz w:val="14"/>
                <w:szCs w:val="14"/>
                <w:color w:val="131313"/>
              </w:rPr>
              <w:t xml:space="preserve">Manufacturing and </w:t>
            </w:r>
            <w:r>
              <w:rPr>
                <w:rFonts w:ascii="Arial" w:cs="Arial" w:eastAsia="Arial" w:hAnsi="Arial"/>
                <w:sz w:val="14"/>
                <w:szCs w:val="14"/>
                <w:color w:val="010101"/>
              </w:rPr>
              <w:t>Distribution</w:t>
            </w:r>
            <w:r>
              <w:rPr>
                <w:rFonts w:ascii="Arial" w:cs="Arial" w:eastAsia="Arial" w:hAnsi="Arial"/>
                <w:sz w:val="14"/>
                <w:szCs w:val="14"/>
                <w:color w:val="131313"/>
              </w:rPr>
              <w:t xml:space="preserve"> Records</w:t>
            </w: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010101"/>
                <w:w w:val="90"/>
              </w:rPr>
              <w:t xml:space="preserve">contractor </w:t>
            </w:r>
            <w:r>
              <w:rPr>
                <w:rFonts w:ascii="Arial" w:cs="Arial" w:eastAsia="Arial" w:hAnsi="Arial"/>
                <w:sz w:val="16"/>
                <w:szCs w:val="16"/>
                <w:color w:val="131313"/>
                <w:w w:val="90"/>
              </w:rPr>
              <w:t>format acceptable</w:t>
            </w:r>
          </w:p>
        </w:tc>
        <w:tc>
          <w:tcPr>
            <w:tcW w:w="50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2"/>
          </w:tcPr>
          <w:p>
            <w:pPr>
              <w:jc w:val="right"/>
              <w:ind w:right="717"/>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3"/>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8"/>
                <w:szCs w:val="8"/>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8"/>
                <w:szCs w:val="8"/>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right="3180" w:firstLine="9"/>
        <w:spacing w:after="0" w:line="290" w:lineRule="auto"/>
        <w:tabs>
          <w:tab w:leader="none" w:pos="389" w:val="left"/>
        </w:tabs>
        <w:numPr>
          <w:ilvl w:val="0"/>
          <w:numId w:val="19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41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929130" cy="804100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410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041005"/>
                    </a:xfrm>
                    <a:prstGeom prst="rect">
                      <a:avLst/>
                    </a:prstGeom>
                    <a:noFill/>
                  </pic:spPr>
                </pic:pic>
              </a:graphicData>
            </a:graphic>
          </wp:anchor>
        </w:drawing>
        <w:t>Certificate of Analysis; (2) Certificate of Conformance/Compliance; and (3) a sample label and carton from production run for drug substance and drug product will be delivered in a timely manner.</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Documentation to be reviewed by USG and comments adjudicated prior to dose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70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w w:val="90"/>
              </w:rPr>
              <w:t>J. DATE</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15:35:41-05’00’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10:35:48-05’00’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20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96"/>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96"/>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88"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45" w:name="page146"/>
    <w:bookmarkEnd w:id="145"/>
    <w:tbl>
      <w:tblPr>
        <w:tblLayout w:type="fixed"/>
        <w:tblInd w:w="10" w:type="dxa"/>
        <w:tblCellMar>
          <w:top w:w="0" w:type="dxa"/>
          <w:left w:w="0" w:type="dxa"/>
          <w:bottom w:w="0" w:type="dxa"/>
          <w:right w:w="0" w:type="dxa"/>
        </w:tblCellMar>
      </w:tblPr>
      <w:tr>
        <w:trPr>
          <w:trHeight w:val="308"/>
        </w:trPr>
        <w:tc>
          <w:tcPr>
            <w:tcW w:w="1880" w:type="dxa"/>
            <w:vAlign w:val="bottom"/>
            <w:tcBorders>
              <w:top w:val="single" w:sz="8" w:color="auto"/>
              <w:lef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CONTRACT DATA REQUIREMENTS LIST</w:t>
            </w: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3"/>
          </w:tcPr>
          <w:p>
            <w:pPr>
              <w:ind w:left="660"/>
              <w:spacing w:after="0"/>
              <w:rPr>
                <w:sz w:val="20"/>
                <w:szCs w:val="20"/>
                <w:color w:val="auto"/>
              </w:rPr>
            </w:pPr>
            <w:r>
              <w:rPr>
                <w:rFonts w:ascii="Arial" w:cs="Arial" w:eastAsia="Arial" w:hAnsi="Arial"/>
                <w:sz w:val="13"/>
                <w:szCs w:val="13"/>
                <w:i w:val="1"/>
                <w:iCs w:val="1"/>
                <w:color w:val="auto"/>
              </w:rPr>
              <w:t>Form Approved</w:t>
            </w: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jc w:val="right"/>
              <w:ind w:right="428"/>
              <w:spacing w:after="0"/>
              <w:rPr>
                <w:sz w:val="20"/>
                <w:szCs w:val="20"/>
                <w:color w:val="auto"/>
              </w:rPr>
            </w:pPr>
            <w:r>
              <w:rPr>
                <w:rFonts w:ascii="Arial" w:cs="Arial" w:eastAsia="Arial" w:hAnsi="Arial"/>
                <w:sz w:val="13"/>
                <w:szCs w:val="13"/>
                <w:i w:val="1"/>
                <w:iCs w:val="1"/>
                <w:color w:val="auto"/>
              </w:rPr>
              <w:t>(1 Data Item)</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880" w:type="dxa"/>
            <w:vAlign w:val="bottom"/>
            <w:gridSpan w:val="3"/>
          </w:tcPr>
          <w:p>
            <w:pPr>
              <w:ind w:left="660"/>
              <w:spacing w:after="0"/>
              <w:rPr>
                <w:sz w:val="20"/>
                <w:szCs w:val="20"/>
                <w:color w:val="auto"/>
              </w:rPr>
            </w:pPr>
            <w:r>
              <w:rPr>
                <w:rFonts w:ascii="Arial" w:cs="Arial" w:eastAsia="Arial" w:hAnsi="Arial"/>
                <w:sz w:val="13"/>
                <w:szCs w:val="13"/>
                <w:i w:val="1"/>
                <w:iCs w:val="1"/>
                <w:color w:val="auto"/>
              </w:rPr>
              <w:t>OMB No. 0704-0188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80" w:type="dxa"/>
            <w:vAlign w:val="bottom"/>
            <w:tcBorders>
              <w:left w:val="single" w:sz="8" w:color="auto"/>
              <w:bottom w:val="single" w:sz="8" w:color="auto"/>
              <w:right w:val="single" w:sz="8" w:color="auto"/>
            </w:tcBorders>
            <w:gridSpan w:val="11"/>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180" w:type="dxa"/>
            <w:vAlign w:val="bottom"/>
            <w:tcBorders>
              <w:left w:val="single" w:sz="8" w:color="auto"/>
            </w:tcBorders>
            <w:gridSpan w:val="11"/>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80" w:type="dxa"/>
            <w:vAlign w:val="bottom"/>
            <w:tcBorders>
              <w:left w:val="single" w:sz="8" w:color="auto"/>
            </w:tcBorders>
            <w:gridSpan w:val="11"/>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tcBorders>
              <w:left w:val="single" w:sz="8" w:color="auto"/>
            </w:tcBorders>
            <w:gridSpan w:val="10"/>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80" w:type="dxa"/>
            <w:vAlign w:val="bottom"/>
            <w:tcBorders>
              <w:left w:val="single" w:sz="8" w:color="auto"/>
            </w:tcBorders>
            <w:gridSpan w:val="11"/>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80" w:type="dxa"/>
            <w:vAlign w:val="bottom"/>
            <w:tcBorders>
              <w:left w:val="single" w:sz="8" w:color="auto"/>
            </w:tcBorders>
            <w:gridSpan w:val="11"/>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tcBorders>
              <w:left w:val="single" w:sz="8" w:color="auto"/>
            </w:tcBorders>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Borders>
              <w:left w:val="single" w:sz="8" w:color="auto"/>
            </w:tcBorders>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3"/>
          </w:tcPr>
          <w:p>
            <w:pPr>
              <w:jc w:val="right"/>
              <w:ind w:right="788"/>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3"/>
          </w:tcPr>
          <w:p>
            <w:pPr>
              <w:ind w:left="80"/>
              <w:spacing w:after="0"/>
              <w:rPr>
                <w:sz w:val="20"/>
                <w:szCs w:val="20"/>
                <w:color w:val="auto"/>
              </w:rPr>
            </w:pPr>
            <w:r>
              <w:rPr>
                <w:rFonts w:ascii="Arial" w:cs="Arial" w:eastAsia="Arial" w:hAnsi="Arial"/>
                <w:sz w:val="13"/>
                <w:szCs w:val="13"/>
                <w:b w:val="1"/>
                <w:bCs w:val="1"/>
                <w:color w:val="auto"/>
              </w:rPr>
              <w:t>C. CATEGORY:</w:t>
            </w: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tcBorders>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708"/>
              <w:spacing w:after="0"/>
              <w:rPr>
                <w:sz w:val="20"/>
                <w:szCs w:val="20"/>
                <w:color w:val="auto"/>
              </w:rPr>
            </w:pPr>
            <w:r>
              <w:rPr>
                <w:rFonts w:ascii="Arial" w:cs="Arial" w:eastAsia="Arial" w:hAnsi="Arial"/>
                <w:sz w:val="16"/>
                <w:szCs w:val="16"/>
                <w:color w:val="auto"/>
              </w:rPr>
              <w:t>A</w:t>
            </w:r>
          </w:p>
        </w:tc>
        <w:tc>
          <w:tcPr>
            <w:tcW w:w="420" w:type="dxa"/>
            <w:vAlign w:val="bottom"/>
          </w:tcPr>
          <w:p>
            <w:pPr>
              <w:spacing w:after="0"/>
              <w:rPr>
                <w:sz w:val="19"/>
                <w:szCs w:val="19"/>
                <w:color w:val="auto"/>
              </w:rPr>
            </w:pPr>
          </w:p>
        </w:tc>
        <w:tc>
          <w:tcPr>
            <w:tcW w:w="1020" w:type="dxa"/>
            <w:vAlign w:val="bottom"/>
            <w:gridSpan w:val="2"/>
          </w:tcPr>
          <w:p>
            <w:pPr>
              <w:jc w:val="center"/>
              <w:ind w:left="728"/>
              <w:spacing w:after="0"/>
              <w:rPr>
                <w:sz w:val="20"/>
                <w:szCs w:val="20"/>
                <w:color w:val="auto"/>
              </w:rPr>
            </w:pPr>
            <w:r>
              <w:rPr>
                <w:rFonts w:ascii="Arial" w:cs="Arial" w:eastAsia="Arial" w:hAnsi="Arial"/>
                <w:sz w:val="9"/>
                <w:szCs w:val="9"/>
                <w:color w:val="auto"/>
                <w:w w:val="99"/>
              </w:rPr>
              <w:t>TDP</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  OTHER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88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gridSpan w:val="2"/>
          </w:tcPr>
          <w:p>
            <w:pPr>
              <w:spacing w:after="0"/>
              <w:rPr>
                <w:sz w:val="10"/>
                <w:szCs w:val="10"/>
                <w:color w:val="auto"/>
              </w:rPr>
            </w:pPr>
          </w:p>
        </w:tc>
        <w:tc>
          <w:tcPr>
            <w:tcW w:w="1440" w:type="dxa"/>
            <w:vAlign w:val="bottom"/>
            <w:tcBorders>
              <w:bottom w:val="single" w:sz="8" w:color="auto"/>
            </w:tcBorders>
            <w:gridSpan w:val="3"/>
          </w:tcPr>
          <w:p>
            <w:pPr>
              <w:spacing w:after="0"/>
              <w:rPr>
                <w:sz w:val="10"/>
                <w:szCs w:val="10"/>
                <w:color w:val="auto"/>
              </w:rPr>
            </w:pPr>
          </w:p>
        </w:tc>
        <w:tc>
          <w:tcPr>
            <w:tcW w:w="1820" w:type="dxa"/>
            <w:vAlign w:val="bottom"/>
            <w:tcBorders>
              <w:bottom w:val="single" w:sz="8" w:color="auto"/>
            </w:tcBorders>
            <w:gridSpan w:val="2"/>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8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Borders>
              <w:left w:val="single" w:sz="8" w:color="auto"/>
            </w:tcBorders>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F. CONTRACTOR</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80" w:type="dxa"/>
            <w:vAlign w:val="bottom"/>
            <w:gridSpan w:val="3"/>
          </w:tcPr>
          <w:p>
            <w:pPr>
              <w:jc w:val="right"/>
              <w:ind w:right="44"/>
              <w:spacing w:after="0"/>
              <w:rPr>
                <w:sz w:val="20"/>
                <w:szCs w:val="20"/>
                <w:color w:val="auto"/>
              </w:rPr>
            </w:pPr>
            <w:r>
              <w:rPr>
                <w:rFonts w:ascii="Arial" w:cs="Arial" w:eastAsia="Arial" w:hAnsi="Arial"/>
                <w:sz w:val="16"/>
                <w:szCs w:val="16"/>
                <w:color w:val="auto"/>
              </w:rPr>
              <w:t>Regeneron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tcBorders>
              <w:left w:val="single" w:sz="8" w:color="auto"/>
            </w:tcBorders>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w w:val="94"/>
              </w:rPr>
              <w:t>3. SUBTITLE</w:t>
            </w: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tcBorders>
              <w:left w:val="single" w:sz="8" w:color="auto"/>
            </w:tcBorders>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Borders>
              <w:left w:val="single" w:sz="8" w:color="auto"/>
            </w:tcBorders>
          </w:tcPr>
          <w:p>
            <w:pPr>
              <w:ind w:left="1320"/>
              <w:spacing w:after="0"/>
              <w:rPr>
                <w:sz w:val="20"/>
                <w:szCs w:val="20"/>
                <w:color w:val="auto"/>
              </w:rPr>
            </w:pPr>
            <w:r>
              <w:rPr>
                <w:rFonts w:ascii="Arial" w:cs="Arial" w:eastAsia="Arial" w:hAnsi="Arial"/>
                <w:sz w:val="16"/>
                <w:szCs w:val="16"/>
                <w:color w:val="auto"/>
              </w:rPr>
              <w:t>A021</w:t>
            </w:r>
          </w:p>
        </w:tc>
        <w:tc>
          <w:tcPr>
            <w:tcW w:w="20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131313"/>
              </w:rPr>
              <w:t>Security Plan</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4"/>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tcBorders>
              <w:left w:val="single" w:sz="8" w:color="auto"/>
            </w:tcBorders>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5"/>
          </w:tcPr>
          <w:p>
            <w:pPr>
              <w:ind w:left="80"/>
              <w:spacing w:after="0"/>
              <w:rPr>
                <w:sz w:val="20"/>
                <w:szCs w:val="20"/>
                <w:color w:val="auto"/>
              </w:rPr>
            </w:pPr>
            <w:r>
              <w:rPr>
                <w:rFonts w:ascii="Arial" w:cs="Arial" w:eastAsia="Arial" w:hAnsi="Arial"/>
                <w:sz w:val="9"/>
                <w:szCs w:val="9"/>
                <w:color w:val="auto"/>
              </w:rPr>
              <w:t>5. CONTRACT REFERENCE</w:t>
            </w:r>
          </w:p>
        </w:tc>
        <w:tc>
          <w:tcPr>
            <w:tcW w:w="620" w:type="dxa"/>
            <w:vAlign w:val="bottom"/>
            <w:tcBorders>
              <w:right w:val="single" w:sz="8" w:color="auto"/>
            </w:tcBorders>
          </w:tcPr>
          <w:p>
            <w:pPr>
              <w:spacing w:after="0"/>
              <w:rPr>
                <w:sz w:val="14"/>
                <w:szCs w:val="14"/>
                <w:color w:val="auto"/>
              </w:rPr>
            </w:pPr>
          </w:p>
        </w:tc>
        <w:tc>
          <w:tcPr>
            <w:tcW w:w="1200" w:type="dxa"/>
            <w:vAlign w:val="bottom"/>
          </w:tcPr>
          <w:p>
            <w:pPr>
              <w:ind w:left="80"/>
              <w:spacing w:after="0"/>
              <w:rPr>
                <w:sz w:val="20"/>
                <w:szCs w:val="20"/>
                <w:color w:val="auto"/>
              </w:rPr>
            </w:pPr>
            <w:r>
              <w:rPr>
                <w:rFonts w:ascii="Arial" w:cs="Arial" w:eastAsia="Arial" w:hAnsi="Arial"/>
                <w:sz w:val="9"/>
                <w:szCs w:val="9"/>
                <w:color w:val="auto"/>
              </w:rPr>
              <w:t>6. REQUIRING OFFICE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00" w:type="dxa"/>
            <w:vAlign w:val="bottom"/>
            <w:tcBorders>
              <w:left w:val="single" w:sz="8" w:color="auto"/>
            </w:tcBorders>
            <w:gridSpan w:val="4"/>
          </w:tcPr>
          <w:p>
            <w:pPr>
              <w:jc w:val="center"/>
              <w:ind w:left="433"/>
              <w:spacing w:after="0"/>
              <w:rPr>
                <w:sz w:val="20"/>
                <w:szCs w:val="20"/>
                <w:color w:val="auto"/>
              </w:rPr>
            </w:pPr>
            <w:r>
              <w:rPr>
                <w:rFonts w:ascii="Arial" w:cs="Arial" w:eastAsia="Arial" w:hAnsi="Arial"/>
                <w:sz w:val="16"/>
                <w:szCs w:val="16"/>
                <w:color w:val="010101"/>
                <w:w w:val="90"/>
              </w:rPr>
              <w:t xml:space="preserve">contractor </w:t>
            </w:r>
            <w:r>
              <w:rPr>
                <w:rFonts w:ascii="Arial" w:cs="Arial" w:eastAsia="Arial" w:hAnsi="Arial"/>
                <w:sz w:val="16"/>
                <w:szCs w:val="16"/>
                <w:color w:val="131313"/>
                <w:w w:val="90"/>
              </w:rPr>
              <w:t>format acceptable</w:t>
            </w:r>
          </w:p>
        </w:tc>
        <w:tc>
          <w:tcPr>
            <w:tcW w:w="5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6"/>
                <w:szCs w:val="16"/>
                <w:color w:val="auto"/>
              </w:rPr>
              <w:t>SOW</w:t>
            </w:r>
          </w:p>
        </w:tc>
        <w:tc>
          <w:tcPr>
            <w:tcW w:w="62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gridSpan w:val="2"/>
          </w:tcPr>
          <w:p>
            <w:pPr>
              <w:jc w:val="right"/>
              <w:ind w:right="44"/>
              <w:spacing w:after="0"/>
              <w:rPr>
                <w:sz w:val="20"/>
                <w:szCs w:val="20"/>
                <w:color w:val="auto"/>
              </w:rPr>
            </w:pPr>
            <w:r>
              <w:rPr>
                <w:rFonts w:ascii="Arial" w:cs="Arial" w:eastAsia="Arial" w:hAnsi="Arial"/>
                <w:sz w:val="16"/>
                <w:szCs w:val="16"/>
                <w:color w:val="auto"/>
              </w:rPr>
              <w:t>BARDA</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8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tcBorders>
              <w:left w:val="single" w:sz="8" w:color="auto"/>
            </w:tcBorders>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3"/>
            <w:vMerge w:val="restart"/>
          </w:tcPr>
          <w:p>
            <w:pPr>
              <w:jc w:val="right"/>
              <w:ind w:right="708"/>
              <w:spacing w:after="0"/>
              <w:rPr>
                <w:sz w:val="20"/>
                <w:szCs w:val="20"/>
                <w:color w:val="auto"/>
              </w:rPr>
            </w:pPr>
            <w:r>
              <w:rPr>
                <w:rFonts w:ascii="Arial" w:cs="Arial" w:eastAsia="Arial" w:hAnsi="Arial"/>
                <w:sz w:val="9"/>
                <w:szCs w:val="9"/>
                <w:color w:val="auto"/>
              </w:rPr>
              <w:t>10. FREQUENCY</w:t>
            </w:r>
          </w:p>
        </w:tc>
        <w:tc>
          <w:tcPr>
            <w:tcW w:w="2060" w:type="dxa"/>
            <w:vAlign w:val="bottom"/>
            <w:tcBorders>
              <w:right w:val="single" w:sz="8" w:color="auto"/>
            </w:tcBorders>
            <w:gridSpan w:val="4"/>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1200" w:type="dxa"/>
            <w:vAlign w:val="bottom"/>
            <w:vMerge w:val="restart"/>
          </w:tcPr>
          <w:p>
            <w:pPr>
              <w:ind w:left="60"/>
              <w:spacing w:after="0"/>
              <w:rPr>
                <w:sz w:val="20"/>
                <w:szCs w:val="20"/>
                <w:color w:val="auto"/>
              </w:rPr>
            </w:pPr>
            <w:r>
              <w:rPr>
                <w:rFonts w:ascii="Arial" w:cs="Arial" w:eastAsia="Arial" w:hAnsi="Arial"/>
                <w:sz w:val="10"/>
                <w:szCs w:val="10"/>
                <w:color w:val="auto"/>
              </w:rPr>
              <w:t>14.  DISTRIBUTION</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auto"/>
            </w:tcBorders>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3"/>
            <w:vMerge w:val="continue"/>
          </w:tcPr>
          <w:p>
            <w:pPr>
              <w:spacing w:after="0"/>
              <w:rPr>
                <w:sz w:val="3"/>
                <w:szCs w:val="3"/>
                <w:color w:val="auto"/>
              </w:rPr>
            </w:pPr>
          </w:p>
        </w:tc>
        <w:tc>
          <w:tcPr>
            <w:tcW w:w="2060" w:type="dxa"/>
            <w:vAlign w:val="bottom"/>
            <w:tcBorders>
              <w:right w:val="single" w:sz="8" w:color="auto"/>
            </w:tcBorders>
            <w:gridSpan w:val="4"/>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tcBorders>
              <w:left w:val="single" w:sz="8" w:color="auto"/>
            </w:tcBorders>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3"/>
            <w:vMerge w:val="restart"/>
          </w:tcPr>
          <w:p>
            <w:pPr>
              <w:jc w:val="right"/>
              <w:ind w:right="388"/>
              <w:spacing w:after="0"/>
              <w:rPr>
                <w:sz w:val="20"/>
                <w:szCs w:val="20"/>
                <w:color w:val="auto"/>
              </w:rPr>
            </w:pPr>
            <w:r>
              <w:rPr>
                <w:rFonts w:ascii="Arial" w:cs="Arial" w:eastAsia="Arial" w:hAnsi="Arial"/>
                <w:sz w:val="16"/>
                <w:szCs w:val="16"/>
                <w:color w:val="auto"/>
              </w:rPr>
              <w:t>see remarks</w:t>
            </w:r>
          </w:p>
        </w:tc>
        <w:tc>
          <w:tcPr>
            <w:tcW w:w="420" w:type="dxa"/>
            <w:vAlign w:val="bottom"/>
          </w:tcPr>
          <w:p>
            <w:pPr>
              <w:spacing w:after="0"/>
              <w:rPr>
                <w:sz w:val="6"/>
                <w:szCs w:val="6"/>
                <w:color w:val="auto"/>
              </w:rPr>
            </w:pPr>
          </w:p>
        </w:tc>
        <w:tc>
          <w:tcPr>
            <w:tcW w:w="1640" w:type="dxa"/>
            <w:vAlign w:val="bottom"/>
            <w:tcBorders>
              <w:right w:val="single" w:sz="8" w:color="auto"/>
            </w:tcBorders>
            <w:gridSpan w:val="3"/>
            <w:vMerge w:val="restart"/>
          </w:tcPr>
          <w:p>
            <w:pPr>
              <w:ind w:left="340"/>
              <w:spacing w:after="0"/>
              <w:rPr>
                <w:sz w:val="20"/>
                <w:szCs w:val="20"/>
                <w:color w:val="auto"/>
              </w:rPr>
            </w:pPr>
            <w:r>
              <w:rPr>
                <w:rFonts w:ascii="Arial" w:cs="Arial" w:eastAsia="Arial" w:hAnsi="Arial"/>
                <w:sz w:val="16"/>
                <w:szCs w:val="16"/>
                <w:color w:val="auto"/>
              </w:rPr>
              <w:t>see remarks</w:t>
            </w:r>
          </w:p>
        </w:tc>
        <w:tc>
          <w:tcPr>
            <w:tcW w:w="1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tcBorders>
              <w:left w:val="single" w:sz="8" w:color="auto"/>
            </w:tcBorders>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Borders>
              <w:right w:val="single" w:sz="8" w:color="auto"/>
            </w:tcBorders>
            <w:gridSpan w:val="3"/>
            <w:vMerge w:val="continue"/>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Borders>
              <w:right w:val="single" w:sz="8" w:color="auto"/>
            </w:tcBorders>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Borders>
              <w:right w:val="single" w:sz="8" w:color="auto"/>
            </w:tcBorders>
            <w:gridSpan w:val="4"/>
            <w:vMerge w:val="restart"/>
          </w:tcPr>
          <w:p>
            <w:pPr>
              <w:jc w:val="right"/>
              <w:ind w:right="459"/>
              <w:spacing w:after="0"/>
              <w:rPr>
                <w:sz w:val="20"/>
                <w:szCs w:val="20"/>
                <w:color w:val="auto"/>
              </w:rPr>
            </w:pPr>
            <w:r>
              <w:rPr>
                <w:rFonts w:ascii="Arial" w:cs="Arial" w:eastAsia="Arial" w:hAnsi="Arial"/>
                <w:sz w:val="10"/>
                <w:szCs w:val="10"/>
                <w:color w:val="auto"/>
              </w:rPr>
              <w:t>b. COPIES</w:t>
            </w:r>
          </w:p>
        </w:tc>
        <w:tc>
          <w:tcPr>
            <w:tcW w:w="0" w:type="dxa"/>
            <w:vAlign w:val="bottom"/>
          </w:tcPr>
          <w:p>
            <w:pPr>
              <w:spacing w:after="0"/>
              <w:rPr>
                <w:sz w:val="1"/>
                <w:szCs w:val="1"/>
                <w:color w:val="auto"/>
              </w:rPr>
            </w:pPr>
          </w:p>
        </w:tc>
      </w:tr>
      <w:tr>
        <w:trPr>
          <w:trHeight w:val="61"/>
        </w:trPr>
        <w:tc>
          <w:tcPr>
            <w:tcW w:w="188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gridSpan w:val="2"/>
          </w:tcPr>
          <w:p>
            <w:pPr>
              <w:spacing w:after="0"/>
              <w:rPr>
                <w:sz w:val="9"/>
                <w:szCs w:val="9"/>
                <w:color w:val="auto"/>
              </w:rPr>
            </w:pPr>
          </w:p>
        </w:tc>
        <w:tc>
          <w:tcPr>
            <w:tcW w:w="138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right w:val="single" w:sz="8" w:color="auto"/>
            </w:tcBorders>
            <w:gridSpan w:val="2"/>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80" w:type="dxa"/>
            <w:vAlign w:val="bottom"/>
            <w:tcBorders>
              <w:left w:val="single" w:sz="8" w:color="auto"/>
            </w:tcBorders>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3"/>
          </w:tcPr>
          <w:p>
            <w:pPr>
              <w:jc w:val="right"/>
              <w:ind w:right="708"/>
              <w:spacing w:after="0" w:line="82" w:lineRule="exact"/>
              <w:rPr>
                <w:sz w:val="20"/>
                <w:szCs w:val="20"/>
                <w:color w:val="auto"/>
              </w:rPr>
            </w:pPr>
            <w:r>
              <w:rPr>
                <w:rFonts w:ascii="Arial" w:cs="Arial" w:eastAsia="Arial" w:hAnsi="Arial"/>
                <w:sz w:val="9"/>
                <w:szCs w:val="9"/>
                <w:color w:val="auto"/>
              </w:rPr>
              <w:t>11. AS OF DATE</w:t>
            </w:r>
          </w:p>
        </w:tc>
        <w:tc>
          <w:tcPr>
            <w:tcW w:w="2060" w:type="dxa"/>
            <w:vAlign w:val="bottom"/>
            <w:tcBorders>
              <w:right w:val="single" w:sz="8" w:color="auto"/>
            </w:tcBorders>
            <w:gridSpan w:val="4"/>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1200" w:type="dxa"/>
            <w:vAlign w:val="bottom"/>
            <w:vMerge w:val="restart"/>
          </w:tcPr>
          <w:p>
            <w:pPr>
              <w:ind w:left="460"/>
              <w:spacing w:after="0"/>
              <w:rPr>
                <w:sz w:val="20"/>
                <w:szCs w:val="20"/>
                <w:color w:val="auto"/>
              </w:rPr>
            </w:pPr>
            <w:r>
              <w:rPr>
                <w:rFonts w:ascii="Arial" w:cs="Arial" w:eastAsia="Arial" w:hAnsi="Arial"/>
                <w:sz w:val="10"/>
                <w:szCs w:val="10"/>
                <w:color w:val="auto"/>
                <w:w w:val="98"/>
              </w:rPr>
              <w:t>a. ADDRESSEE</w:t>
            </w: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right w:val="single" w:sz="8" w:color="auto"/>
            </w:tcBorders>
            <w:gridSpan w:val="2"/>
            <w:vMerge w:val="restart"/>
          </w:tcPr>
          <w:p>
            <w:pPr>
              <w:jc w:val="right"/>
              <w:ind w:right="399"/>
              <w:spacing w:after="0"/>
              <w:rPr>
                <w:sz w:val="20"/>
                <w:szCs w:val="20"/>
                <w:color w:val="auto"/>
              </w:rPr>
            </w:pPr>
            <w:r>
              <w:rPr>
                <w:rFonts w:ascii="Arial" w:cs="Arial" w:eastAsia="Arial" w:hAnsi="Arial"/>
                <w:sz w:val="10"/>
                <w:szCs w:val="10"/>
                <w:color w:val="auto"/>
              </w:rPr>
              <w:t>Final</w:t>
            </w:r>
          </w:p>
        </w:tc>
        <w:tc>
          <w:tcPr>
            <w:tcW w:w="0" w:type="dxa"/>
            <w:vAlign w:val="bottom"/>
          </w:tcPr>
          <w:p>
            <w:pPr>
              <w:spacing w:after="0"/>
              <w:rPr>
                <w:sz w:val="1"/>
                <w:szCs w:val="1"/>
                <w:color w:val="auto"/>
              </w:rPr>
            </w:pPr>
          </w:p>
        </w:tc>
      </w:tr>
      <w:tr>
        <w:trPr>
          <w:trHeight w:val="57"/>
        </w:trPr>
        <w:tc>
          <w:tcPr>
            <w:tcW w:w="1880" w:type="dxa"/>
            <w:vAlign w:val="bottom"/>
            <w:tcBorders>
              <w:left w:val="single" w:sz="8" w:color="auto"/>
            </w:tcBorders>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640" w:type="dxa"/>
            <w:vAlign w:val="bottom"/>
            <w:tcBorders>
              <w:right w:val="single" w:sz="8" w:color="auto"/>
            </w:tcBorders>
            <w:gridSpan w:val="3"/>
            <w:vMerge w:val="restart"/>
          </w:tcPr>
          <w:p>
            <w:pPr>
              <w:ind w:left="340"/>
              <w:spacing w:after="0" w:line="129" w:lineRule="exact"/>
              <w:rPr>
                <w:sz w:val="20"/>
                <w:szCs w:val="20"/>
                <w:color w:val="auto"/>
              </w:rPr>
            </w:pPr>
            <w:r>
              <w:rPr>
                <w:rFonts w:ascii="Arial" w:cs="Arial" w:eastAsia="Arial" w:hAnsi="Arial"/>
                <w:sz w:val="14"/>
                <w:szCs w:val="14"/>
                <w:color w:val="auto"/>
              </w:rPr>
              <w:t>see remarks</w:t>
            </w:r>
          </w:p>
        </w:tc>
        <w:tc>
          <w:tcPr>
            <w:tcW w:w="1200" w:type="dxa"/>
            <w:vAlign w:val="bottom"/>
            <w:vMerge w:val="continue"/>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Borders>
              <w:left w:val="single" w:sz="8" w:color="auto"/>
            </w:tcBorders>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640" w:type="dxa"/>
            <w:vAlign w:val="bottom"/>
            <w:tcBorders>
              <w:right w:val="single" w:sz="8" w:color="auto"/>
            </w:tcBorders>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vMerge w:val="restart"/>
          </w:tcPr>
          <w:p>
            <w:pPr>
              <w:spacing w:after="0"/>
              <w:rPr>
                <w:sz w:val="20"/>
                <w:szCs w:val="20"/>
                <w:color w:val="auto"/>
              </w:rPr>
            </w:pPr>
            <w:r>
              <w:rPr>
                <w:rFonts w:ascii="Arial" w:cs="Arial" w:eastAsia="Arial" w:hAnsi="Arial"/>
                <w:sz w:val="9"/>
                <w:szCs w:val="9"/>
                <w:color w:val="auto"/>
              </w:rPr>
              <w:t>Draft</w:t>
            </w:r>
          </w:p>
        </w:tc>
        <w:tc>
          <w:tcPr>
            <w:tcW w:w="180" w:type="dxa"/>
            <w:vAlign w:val="bottom"/>
            <w:tcBorders>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Borders>
              <w:lef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10"/>
                <w:szCs w:val="10"/>
                <w:color w:val="auto"/>
              </w:rPr>
              <w:t>Reg</w:t>
            </w: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880" w:type="dxa"/>
            <w:vAlign w:val="bottom"/>
            <w:tcBorders>
              <w:left w:val="single" w:sz="8" w:color="auto"/>
            </w:tcBorders>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1200" w:type="dxa"/>
            <w:vAlign w:val="bottom"/>
          </w:tcPr>
          <w:p>
            <w:pPr>
              <w:ind w:left="60"/>
              <w:spacing w:after="0" w:line="159" w:lineRule="exact"/>
              <w:rPr>
                <w:sz w:val="20"/>
                <w:szCs w:val="20"/>
                <w:color w:val="auto"/>
              </w:rPr>
            </w:pPr>
            <w:r>
              <w:rPr>
                <w:rFonts w:ascii="Arial" w:cs="Arial" w:eastAsia="Arial" w:hAnsi="Arial"/>
                <w:sz w:val="14"/>
                <w:szCs w:val="14"/>
                <w:color w:val="auto"/>
              </w:rPr>
              <w:t>BARDA</w:t>
            </w:r>
          </w:p>
        </w:tc>
        <w:tc>
          <w:tcPr>
            <w:tcW w:w="4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180" w:type="dxa"/>
            <w:vAlign w:val="bottom"/>
            <w:tcBorders>
              <w:left w:val="single" w:sz="8" w:color="auto"/>
              <w:righ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w w:val="97"/>
              </w:rPr>
              <w:t>Develop a comprehensive security program that provides overall protection of personnel, information,</w:t>
            </w: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7180" w:type="dxa"/>
            <w:vAlign w:val="bottom"/>
            <w:tcBorders>
              <w:left w:val="single" w:sz="8" w:color="auto"/>
              <w:right w:val="single" w:sz="8" w:color="auto"/>
            </w:tcBorders>
            <w:gridSpan w:val="11"/>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JPEO CBRND</w:t>
            </w: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180" w:type="dxa"/>
            <w:vAlign w:val="bottom"/>
            <w:tcBorders>
              <w:left w:val="single" w:sz="8" w:color="auto"/>
              <w:righ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w w:val="93"/>
              </w:rPr>
              <w:t>data, and facilities associated with fulfilling the Government requirement. This plan shall establish security</w:t>
            </w:r>
          </w:p>
        </w:tc>
        <w:tc>
          <w:tcPr>
            <w:tcW w:w="120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180" w:type="dxa"/>
            <w:vAlign w:val="bottom"/>
            <w:tcBorders>
              <w:left w:val="single" w:sz="8" w:color="auto"/>
              <w:right w:val="single" w:sz="8" w:color="auto"/>
            </w:tcBorders>
            <w:gridSpan w:val="11"/>
            <w:vMerge w:val="continue"/>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w w:val="92"/>
              </w:rPr>
              <w:t>practices and procedures that demonstrate how the Awardee will meet and adhere to the security</w:t>
            </w:r>
          </w:p>
        </w:tc>
        <w:tc>
          <w:tcPr>
            <w:tcW w:w="620" w:type="dxa"/>
            <w:vAlign w:val="bottom"/>
            <w:tcBorders>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6560" w:type="dxa"/>
            <w:vAlign w:val="bottom"/>
            <w:tcBorders>
              <w:left w:val="single" w:sz="8" w:color="auto"/>
            </w:tcBorders>
            <w:gridSpan w:val="10"/>
            <w:vMerge w:val="continue"/>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7180" w:type="dxa"/>
            <w:vAlign w:val="bottom"/>
            <w:tcBorders>
              <w:left w:val="single" w:sz="8" w:color="auto"/>
              <w:right w:val="single" w:sz="8" w:color="auto"/>
            </w:tcBorders>
            <w:gridSpan w:val="11"/>
          </w:tcPr>
          <w:p>
            <w:pPr>
              <w:ind w:left="160"/>
              <w:spacing w:after="0" w:line="138" w:lineRule="exact"/>
              <w:rPr>
                <w:sz w:val="20"/>
                <w:szCs w:val="20"/>
                <w:color w:val="auto"/>
              </w:rPr>
            </w:pPr>
            <w:r>
              <w:rPr>
                <w:rFonts w:ascii="Arial" w:cs="Arial" w:eastAsia="Arial" w:hAnsi="Arial"/>
                <w:sz w:val="16"/>
                <w:szCs w:val="16"/>
                <w:color w:val="auto"/>
                <w:w w:val="93"/>
              </w:rPr>
              <w:t>requirements outlined below prior to the commencement of product manufacturing, and shall be delivered</w:t>
            </w: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180" w:type="dxa"/>
            <w:vAlign w:val="bottom"/>
            <w:tcBorders>
              <w:left w:val="single" w:sz="8" w:color="auto"/>
              <w:right w:val="single" w:sz="8" w:color="auto"/>
            </w:tcBorders>
            <w:gridSpan w:val="11"/>
          </w:tcPr>
          <w:p>
            <w:pPr>
              <w:ind w:left="160"/>
              <w:spacing w:after="0" w:line="169" w:lineRule="exact"/>
              <w:rPr>
                <w:sz w:val="20"/>
                <w:szCs w:val="20"/>
                <w:color w:val="auto"/>
              </w:rPr>
            </w:pPr>
            <w:r>
              <w:rPr>
                <w:rFonts w:ascii="Arial" w:cs="Arial" w:eastAsia="Arial" w:hAnsi="Arial"/>
                <w:sz w:val="16"/>
                <w:szCs w:val="16"/>
                <w:color w:val="auto"/>
                <w:w w:val="95"/>
              </w:rPr>
              <w:t xml:space="preserve">to the Government within </w:t>
            </w:r>
            <w:r>
              <w:rPr>
                <w:rFonts w:ascii="Arial" w:cs="Arial" w:eastAsia="Arial" w:hAnsi="Arial"/>
                <w:sz w:val="14"/>
                <w:szCs w:val="14"/>
                <w:color w:val="2A2A2A"/>
                <w:w w:val="95"/>
              </w:rPr>
              <w:t>[* * *]</w:t>
            </w:r>
            <w:r>
              <w:rPr>
                <w:rFonts w:ascii="Arial" w:cs="Arial" w:eastAsia="Arial" w:hAnsi="Arial"/>
                <w:sz w:val="16"/>
                <w:szCs w:val="16"/>
                <w:color w:val="auto"/>
                <w:w w:val="95"/>
              </w:rPr>
              <w:t xml:space="preserve"> of award. The Awardee shall also use commercially reasonable efforts to</w:t>
            </w: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80" w:type="dxa"/>
            <w:vAlign w:val="bottom"/>
            <w:tcBorders>
              <w:left w:val="single" w:sz="8" w:color="auto"/>
              <w:right w:val="single" w:sz="8" w:color="auto"/>
            </w:tcBorders>
            <w:gridSpan w:val="11"/>
          </w:tcPr>
          <w:p>
            <w:pPr>
              <w:ind w:left="160"/>
              <w:spacing w:after="0"/>
              <w:rPr>
                <w:sz w:val="20"/>
                <w:szCs w:val="20"/>
                <w:color w:val="auto"/>
              </w:rPr>
            </w:pPr>
            <w:r>
              <w:rPr>
                <w:rFonts w:ascii="Arial" w:cs="Arial" w:eastAsia="Arial" w:hAnsi="Arial"/>
                <w:sz w:val="16"/>
                <w:szCs w:val="16"/>
                <w:color w:val="auto"/>
                <w:w w:val="92"/>
              </w:rPr>
              <w:t>ensure all subawardees, consultants, researchers, etc. performing work on behalf of this effort, comply with</w:t>
            </w: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180" w:type="dxa"/>
            <w:vAlign w:val="bottom"/>
            <w:tcBorders>
              <w:left w:val="single" w:sz="8" w:color="auto"/>
              <w:right w:val="single" w:sz="8" w:color="auto"/>
            </w:tcBorders>
            <w:gridSpan w:val="11"/>
          </w:tcPr>
          <w:p>
            <w:pPr>
              <w:ind w:left="160"/>
              <w:spacing w:after="0" w:line="173" w:lineRule="exact"/>
              <w:rPr>
                <w:sz w:val="20"/>
                <w:szCs w:val="20"/>
                <w:color w:val="auto"/>
              </w:rPr>
            </w:pPr>
            <w:r>
              <w:rPr>
                <w:rFonts w:ascii="Arial" w:cs="Arial" w:eastAsia="Arial" w:hAnsi="Arial"/>
                <w:sz w:val="16"/>
                <w:szCs w:val="16"/>
                <w:color w:val="auto"/>
                <w:w w:val="99"/>
              </w:rPr>
              <w:t>all Government security requirements and Awardee security plans. The Awardee will flow-down the</w:t>
            </w: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180" w:type="dxa"/>
            <w:vAlign w:val="bottom"/>
            <w:tcBorders>
              <w:left w:val="single" w:sz="8" w:color="auto"/>
              <w:righ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w w:val="93"/>
              </w:rPr>
              <w:t>provisions of the Security Plan to (i) all sub-agreements/contracts executed after the Execution Date, and</w:t>
            </w: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7180" w:type="dxa"/>
            <w:vAlign w:val="bottom"/>
            <w:tcBorders>
              <w:left w:val="single" w:sz="8" w:color="auto"/>
              <w:right w:val="single" w:sz="8" w:color="auto"/>
            </w:tcBorders>
            <w:gridSpan w:val="11"/>
            <w:vMerge w:val="continue"/>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(ii) all sub-agreements/contracts executed prior to the Execution Date which cover</w:t>
            </w:r>
          </w:p>
        </w:tc>
        <w:tc>
          <w:tcPr>
            <w:tcW w:w="620" w:type="dxa"/>
            <w:vAlign w:val="bottom"/>
            <w:tcBorders>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6560" w:type="dxa"/>
            <w:vAlign w:val="bottom"/>
            <w:tcBorders>
              <w:left w:val="single" w:sz="8" w:color="auto"/>
            </w:tcBorders>
            <w:gridSpan w:val="10"/>
            <w:vMerge w:val="continue"/>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7180" w:type="dxa"/>
            <w:vAlign w:val="bottom"/>
            <w:tcBorders>
              <w:left w:val="single" w:sz="8" w:color="auto"/>
              <w:righ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rPr>
              <w:t>manufacturing/fill/finish/storage activities under this Agreement; provided that in no event will the</w:t>
            </w: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180" w:type="dxa"/>
            <w:vAlign w:val="bottom"/>
            <w:tcBorders>
              <w:left w:val="single" w:sz="8" w:color="auto"/>
              <w:right w:val="single" w:sz="8" w:color="auto"/>
            </w:tcBorders>
            <w:gridSpan w:val="11"/>
            <w:vMerge w:val="continue"/>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180" w:type="dxa"/>
            <w:vAlign w:val="bottom"/>
            <w:tcBorders>
              <w:left w:val="single" w:sz="8" w:color="auto"/>
              <w:righ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w w:val="98"/>
              </w:rPr>
              <w:t>Awardee be required to flow-down any provisions to any sub-awardee which has a preexisting direct</w:t>
            </w:r>
          </w:p>
        </w:tc>
        <w:tc>
          <w:tcPr>
            <w:tcW w:w="120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180" w:type="dxa"/>
            <w:vAlign w:val="bottom"/>
            <w:tcBorders>
              <w:left w:val="single" w:sz="8" w:color="auto"/>
              <w:right w:val="single" w:sz="8" w:color="auto"/>
            </w:tcBorders>
            <w:gridSpan w:val="11"/>
            <w:vMerge w:val="continue"/>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w w:val="93"/>
              </w:rPr>
              <w:t xml:space="preserve">relationship with the Government. The Awardee will have a period of </w:t>
            </w:r>
            <w:r>
              <w:rPr>
                <w:rFonts w:ascii="Arial" w:cs="Arial" w:eastAsia="Arial" w:hAnsi="Arial"/>
                <w:sz w:val="14"/>
                <w:szCs w:val="14"/>
                <w:color w:val="2A2A2A"/>
                <w:w w:val="93"/>
              </w:rPr>
              <w:t>[* * *]</w:t>
            </w:r>
            <w:r>
              <w:rPr>
                <w:rFonts w:ascii="Arial" w:cs="Arial" w:eastAsia="Arial" w:hAnsi="Arial"/>
                <w:sz w:val="16"/>
                <w:szCs w:val="16"/>
                <w:color w:val="auto"/>
                <w:w w:val="93"/>
              </w:rPr>
              <w:t xml:space="preserve"> to amend any existing</w:t>
            </w:r>
          </w:p>
        </w:tc>
        <w:tc>
          <w:tcPr>
            <w:tcW w:w="62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6560" w:type="dxa"/>
            <w:vAlign w:val="bottom"/>
            <w:tcBorders>
              <w:left w:val="single" w:sz="8" w:color="auto"/>
            </w:tcBorders>
            <w:gridSpan w:val="10"/>
            <w:vMerge w:val="continue"/>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7180" w:type="dxa"/>
            <w:vAlign w:val="bottom"/>
            <w:tcBorders>
              <w:left w:val="single" w:sz="8" w:color="auto"/>
              <w:righ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w w:val="91"/>
              </w:rPr>
              <w:t>agreements to reflect these flow-down requirements or, in the alternative, to demonstrate the sub-awardee's</w:t>
            </w: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180" w:type="dxa"/>
            <w:vAlign w:val="bottom"/>
            <w:tcBorders>
              <w:left w:val="single" w:sz="8" w:color="auto"/>
              <w:right w:val="single" w:sz="8" w:color="auto"/>
            </w:tcBorders>
            <w:gridSpan w:val="11"/>
            <w:vMerge w:val="continue"/>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5120" w:type="dxa"/>
            <w:vAlign w:val="bottom"/>
            <w:tcBorders>
              <w:left w:val="single" w:sz="8" w:color="auto"/>
            </w:tcBorders>
            <w:gridSpan w:val="7"/>
          </w:tcPr>
          <w:p>
            <w:pPr>
              <w:ind w:left="160"/>
              <w:spacing w:after="0" w:line="138" w:lineRule="exact"/>
              <w:rPr>
                <w:sz w:val="20"/>
                <w:szCs w:val="20"/>
                <w:color w:val="auto"/>
              </w:rPr>
            </w:pPr>
            <w:r>
              <w:rPr>
                <w:rFonts w:ascii="Arial" w:cs="Arial" w:eastAsia="Arial" w:hAnsi="Arial"/>
                <w:sz w:val="16"/>
                <w:szCs w:val="16"/>
                <w:color w:val="auto"/>
              </w:rPr>
              <w:t>material compliance with any such flow-down requirements.</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180" w:type="dxa"/>
            <w:vAlign w:val="bottom"/>
            <w:tcBorders>
              <w:left w:val="single" w:sz="8" w:color="auto"/>
              <w:righ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w w:val="96"/>
              </w:rPr>
              <w:t xml:space="preserve">The Government will review in detail and submit comments within </w:t>
            </w:r>
            <w:r>
              <w:rPr>
                <w:rFonts w:ascii="Arial" w:cs="Arial" w:eastAsia="Arial" w:hAnsi="Arial"/>
                <w:sz w:val="14"/>
                <w:szCs w:val="14"/>
                <w:color w:val="2A2A2A"/>
                <w:w w:val="96"/>
              </w:rPr>
              <w:t>[* * *]</w:t>
            </w:r>
            <w:r>
              <w:rPr>
                <w:rFonts w:ascii="Arial" w:cs="Arial" w:eastAsia="Arial" w:hAnsi="Arial"/>
                <w:sz w:val="16"/>
                <w:szCs w:val="16"/>
                <w:color w:val="auto"/>
                <w:w w:val="96"/>
              </w:rPr>
              <w:t xml:space="preserve"> to the Agreements Officer (AO)</w:t>
            </w: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80" w:type="dxa"/>
            <w:vAlign w:val="bottom"/>
            <w:tcBorders>
              <w:left w:val="single" w:sz="8" w:color="auto"/>
              <w:right w:val="single" w:sz="8" w:color="auto"/>
            </w:tcBorders>
            <w:gridSpan w:val="11"/>
            <w:vMerge w:val="continue"/>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tcBorders>
              <w:left w:val="single" w:sz="8" w:color="auto"/>
              <w:right w:val="single" w:sz="8" w:color="auto"/>
            </w:tcBorders>
            <w:gridSpan w:val="11"/>
          </w:tcPr>
          <w:p>
            <w:pPr>
              <w:ind w:left="160"/>
              <w:spacing w:after="0"/>
              <w:rPr>
                <w:sz w:val="20"/>
                <w:szCs w:val="20"/>
                <w:color w:val="auto"/>
              </w:rPr>
            </w:pPr>
            <w:r>
              <w:rPr>
                <w:rFonts w:ascii="Arial" w:cs="Arial" w:eastAsia="Arial" w:hAnsi="Arial"/>
                <w:sz w:val="16"/>
                <w:szCs w:val="16"/>
                <w:color w:val="auto"/>
                <w:w w:val="93"/>
              </w:rPr>
              <w:t>to be forwarded to the Awardee. The Awardee shall review the Draft Security Plan comments, and, submit</w:t>
            </w: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60" w:type="dxa"/>
            <w:vAlign w:val="bottom"/>
            <w:tcBorders>
              <w:left w:val="single" w:sz="8" w:color="auto"/>
            </w:tcBorders>
            <w:gridSpan w:val="10"/>
          </w:tcPr>
          <w:p>
            <w:pPr>
              <w:ind w:left="160"/>
              <w:spacing w:after="0" w:line="183" w:lineRule="exact"/>
              <w:rPr>
                <w:sz w:val="20"/>
                <w:szCs w:val="20"/>
                <w:color w:val="auto"/>
              </w:rPr>
            </w:pPr>
            <w:r>
              <w:rPr>
                <w:rFonts w:ascii="Arial" w:cs="Arial" w:eastAsia="Arial" w:hAnsi="Arial"/>
                <w:sz w:val="16"/>
                <w:szCs w:val="16"/>
                <w:color w:val="auto"/>
              </w:rPr>
              <w:t xml:space="preserve">a Final Security Plan to the U.S. Government within </w:t>
            </w:r>
            <w:r>
              <w:rPr>
                <w:rFonts w:ascii="Arial" w:cs="Arial" w:eastAsia="Arial" w:hAnsi="Arial"/>
                <w:sz w:val="14"/>
                <w:szCs w:val="14"/>
                <w:color w:val="2A2A2A"/>
              </w:rPr>
              <w:t>[* * *]</w:t>
            </w:r>
            <w:r>
              <w:rPr>
                <w:rFonts w:ascii="Arial" w:cs="Arial" w:eastAsia="Arial" w:hAnsi="Arial"/>
                <w:sz w:val="16"/>
                <w:szCs w:val="16"/>
                <w:color w:val="auto"/>
              </w:rPr>
              <w:t xml:space="preserve"> after receipt of the comments.</w:t>
            </w:r>
          </w:p>
        </w:tc>
        <w:tc>
          <w:tcPr>
            <w:tcW w:w="62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560" w:type="dxa"/>
            <w:vAlign w:val="bottom"/>
            <w:tcBorders>
              <w:left w:val="single" w:sz="8" w:color="auto"/>
            </w:tcBorders>
            <w:gridSpan w:val="10"/>
          </w:tcPr>
          <w:p>
            <w:pPr>
              <w:ind w:left="160"/>
              <w:spacing w:after="0" w:line="173" w:lineRule="exact"/>
              <w:rPr>
                <w:sz w:val="20"/>
                <w:szCs w:val="20"/>
                <w:color w:val="auto"/>
              </w:rPr>
            </w:pPr>
            <w:r>
              <w:rPr>
                <w:rFonts w:ascii="Arial" w:cs="Arial" w:eastAsia="Arial" w:hAnsi="Arial"/>
                <w:sz w:val="16"/>
                <w:szCs w:val="16"/>
                <w:color w:val="auto"/>
              </w:rPr>
              <w:t>The Security Plan shall include a timeline for compliance of all the required security</w:t>
            </w:r>
          </w:p>
        </w:tc>
        <w:tc>
          <w:tcPr>
            <w:tcW w:w="62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auto"/>
            </w:tcBorders>
            <w:gridSpan w:val="4"/>
            <w:vMerge w:val="restart"/>
          </w:tcPr>
          <w:p>
            <w:pPr>
              <w:ind w:left="160"/>
              <w:spacing w:after="0"/>
              <w:rPr>
                <w:sz w:val="20"/>
                <w:szCs w:val="20"/>
                <w:color w:val="auto"/>
              </w:rPr>
            </w:pPr>
            <w:r>
              <w:rPr>
                <w:rFonts w:ascii="Arial" w:cs="Arial" w:eastAsia="Arial" w:hAnsi="Arial"/>
                <w:sz w:val="16"/>
                <w:szCs w:val="16"/>
                <w:color w:val="auto"/>
              </w:rPr>
              <w:t>measures outlined by the Government.</w:t>
            </w: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500" w:type="dxa"/>
            <w:vAlign w:val="bottom"/>
            <w:tcBorders>
              <w:left w:val="single" w:sz="8" w:color="auto"/>
            </w:tcBorders>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Upon completion of initiating all security measures, the Awardee shall supply to the</w:t>
            </w:r>
          </w:p>
        </w:tc>
        <w:tc>
          <w:tcPr>
            <w:tcW w:w="62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560" w:type="dxa"/>
            <w:vAlign w:val="bottom"/>
            <w:tcBorders>
              <w:left w:val="single" w:sz="8" w:color="auto"/>
            </w:tcBorders>
            <w:gridSpan w:val="10"/>
            <w:vMerge w:val="continue"/>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6560" w:type="dxa"/>
            <w:vAlign w:val="bottom"/>
            <w:tcBorders>
              <w:left w:val="single" w:sz="8" w:color="auto"/>
            </w:tcBorders>
            <w:gridSpan w:val="10"/>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Agreements Officer a letter certifying compliance to the elements outlined in the Final</w:t>
            </w:r>
          </w:p>
        </w:tc>
        <w:tc>
          <w:tcPr>
            <w:tcW w:w="620" w:type="dxa"/>
            <w:vAlign w:val="bottom"/>
            <w:tcBorders>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6560" w:type="dxa"/>
            <w:vAlign w:val="bottom"/>
            <w:tcBorders>
              <w:left w:val="single" w:sz="8" w:color="auto"/>
            </w:tcBorders>
            <w:gridSpan w:val="10"/>
            <w:vMerge w:val="continue"/>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8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auto"/>
              </w:rPr>
              <w:t>Security Plan.</w:t>
            </w: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88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88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8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8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8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8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8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88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200" w:type="dxa"/>
            <w:vAlign w:val="bottom"/>
          </w:tcPr>
          <w:p>
            <w:pPr>
              <w:ind w:left="20"/>
              <w:spacing w:after="0"/>
              <w:rPr>
                <w:sz w:val="20"/>
                <w:szCs w:val="20"/>
                <w:color w:val="auto"/>
              </w:rPr>
            </w:pPr>
            <w:r>
              <w:rPr>
                <w:rFonts w:ascii="Arial" w:cs="Arial" w:eastAsia="Arial" w:hAnsi="Arial"/>
                <w:sz w:val="9"/>
                <w:szCs w:val="9"/>
                <w:color w:val="auto"/>
              </w:rPr>
              <w:t>15. TOTAL</w:t>
            </w:r>
          </w:p>
        </w:tc>
        <w:tc>
          <w:tcPr>
            <w:tcW w:w="400" w:type="dxa"/>
            <w:vAlign w:val="bottom"/>
            <w:tcBorders>
              <w:right w:val="single" w:sz="8" w:color="auto"/>
            </w:tcBorders>
          </w:tcPr>
          <w:p>
            <w:pPr>
              <w:spacing w:after="0"/>
              <w:rPr>
                <w:sz w:val="11"/>
                <w:szCs w:val="11"/>
                <w:color w:val="auto"/>
              </w:rPr>
            </w:pPr>
          </w:p>
        </w:tc>
        <w:tc>
          <w:tcPr>
            <w:tcW w:w="280" w:type="dxa"/>
            <w:vAlign w:val="bottom"/>
            <w:vMerge w:val="restart"/>
          </w:tcPr>
          <w:p>
            <w:pPr>
              <w:spacing w:after="0"/>
              <w:rPr>
                <w:sz w:val="20"/>
                <w:szCs w:val="20"/>
                <w:color w:val="auto"/>
              </w:rPr>
            </w:pPr>
            <w:r>
              <w:rPr>
                <w:rFonts w:ascii="Arial" w:cs="Arial" w:eastAsia="Arial" w:hAnsi="Arial"/>
                <w:sz w:val="14"/>
                <w:szCs w:val="14"/>
                <w:color w:val="auto"/>
              </w:rPr>
              <w:t>2</w:t>
            </w:r>
          </w:p>
        </w:tc>
        <w:tc>
          <w:tcPr>
            <w:tcW w:w="180" w:type="dxa"/>
            <w:vAlign w:val="bottom"/>
            <w:tcBorders>
              <w:right w:val="single" w:sz="8" w:color="auto"/>
            </w:tcBorders>
          </w:tcPr>
          <w:p>
            <w:pPr>
              <w:spacing w:after="0"/>
              <w:rPr>
                <w:sz w:val="11"/>
                <w:szCs w:val="11"/>
                <w:color w:val="auto"/>
              </w:rPr>
            </w:pPr>
          </w:p>
        </w:tc>
        <w:tc>
          <w:tcPr>
            <w:tcW w:w="240" w:type="dxa"/>
            <w:vAlign w:val="bottom"/>
            <w:vMerge w:val="restart"/>
          </w:tcPr>
          <w:p>
            <w:pPr>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1880" w:type="dxa"/>
            <w:vAlign w:val="bottom"/>
            <w:tcBorders>
              <w:left w:val="single" w:sz="8" w:color="auto"/>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G. PREPARED BY</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960" w:type="dxa"/>
            <w:vAlign w:val="bottom"/>
          </w:tcPr>
          <w:p>
            <w:pPr>
              <w:jc w:val="right"/>
              <w:ind w:right="208"/>
              <w:spacing w:after="0"/>
              <w:rPr>
                <w:sz w:val="20"/>
                <w:szCs w:val="20"/>
                <w:color w:val="auto"/>
              </w:rPr>
            </w:pPr>
            <w:r>
              <w:rPr>
                <w:rFonts w:ascii="Arial" w:cs="Arial" w:eastAsia="Arial" w:hAnsi="Arial"/>
                <w:sz w:val="13"/>
                <w:szCs w:val="13"/>
                <w:b w:val="1"/>
                <w:bCs w:val="1"/>
                <w:color w:val="auto"/>
              </w:rPr>
              <w:t>H. DATE</w:t>
            </w:r>
          </w:p>
        </w:tc>
        <w:tc>
          <w:tcPr>
            <w:tcW w:w="420" w:type="dxa"/>
            <w:vAlign w:val="bottom"/>
            <w:tcBorders>
              <w:right w:val="single" w:sz="8" w:color="auto"/>
            </w:tcBorders>
          </w:tcPr>
          <w:p>
            <w:pPr>
              <w:spacing w:after="0"/>
              <w:rPr>
                <w:sz w:val="15"/>
                <w:szCs w:val="15"/>
                <w:color w:val="auto"/>
              </w:rPr>
            </w:pPr>
          </w:p>
        </w:tc>
        <w:tc>
          <w:tcPr>
            <w:tcW w:w="1640" w:type="dxa"/>
            <w:vAlign w:val="bottom"/>
            <w:gridSpan w:val="3"/>
          </w:tcPr>
          <w:p>
            <w:pPr>
              <w:jc w:val="center"/>
              <w:ind w:left="108"/>
              <w:spacing w:after="0"/>
              <w:rPr>
                <w:sz w:val="20"/>
                <w:szCs w:val="20"/>
                <w:color w:val="auto"/>
              </w:rPr>
            </w:pPr>
            <w:r>
              <w:rPr>
                <w:rFonts w:ascii="Arial" w:cs="Arial" w:eastAsia="Arial" w:hAnsi="Arial"/>
                <w:sz w:val="13"/>
                <w:szCs w:val="13"/>
                <w:b w:val="1"/>
                <w:bCs w:val="1"/>
                <w:color w:val="auto"/>
                <w:w w:val="96"/>
              </w:rPr>
              <w:t>I. APPROVED BY</w:t>
            </w: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J. DATE</w:t>
            </w: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80" w:type="dxa"/>
            <w:vAlign w:val="bottom"/>
            <w:tcBorders>
              <w:left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vMerge w:val="restart"/>
          </w:tcPr>
          <w:p>
            <w:pPr>
              <w:ind w:left="380"/>
              <w:spacing w:after="0" w:line="97" w:lineRule="exact"/>
              <w:rPr>
                <w:sz w:val="20"/>
                <w:szCs w:val="20"/>
                <w:color w:val="auto"/>
              </w:rPr>
            </w:pPr>
            <w:r>
              <w:rPr>
                <w:rFonts w:ascii="Arial" w:cs="Arial" w:eastAsia="Arial" w:hAnsi="Arial"/>
                <w:sz w:val="9"/>
                <w:szCs w:val="9"/>
                <w:color w:val="auto"/>
              </w:rPr>
              <w:t>Digitally signed by</w:t>
            </w: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tcBorders>
            <w:vMerge w:val="restart"/>
          </w:tcPr>
          <w:p>
            <w:pPr>
              <w:ind w:left="180"/>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80" w:type="dxa"/>
            <w:vAlign w:val="bottom"/>
            <w:tcBorders>
              <w:left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020" w:type="dxa"/>
            <w:vAlign w:val="bottom"/>
            <w:gridSpan w:val="2"/>
            <w:vMerge w:val="restart"/>
          </w:tcPr>
          <w:p>
            <w:pPr>
              <w:jc w:val="right"/>
              <w:ind w:right="680"/>
              <w:spacing w:after="0"/>
              <w:rPr>
                <w:sz w:val="20"/>
                <w:szCs w:val="20"/>
                <w:color w:val="auto"/>
              </w:rPr>
            </w:pPr>
            <w:r>
              <w:rPr>
                <w:rFonts w:ascii="Arial" w:cs="Arial" w:eastAsia="Arial" w:hAnsi="Arial"/>
                <w:sz w:val="20"/>
                <w:szCs w:val="20"/>
                <w:color w:val="auto"/>
              </w:rPr>
              <w:t>/s/</w:t>
            </w:r>
          </w:p>
        </w:tc>
        <w:tc>
          <w:tcPr>
            <w:tcW w:w="620" w:type="dxa"/>
            <w:vAlign w:val="bottom"/>
          </w:tcPr>
          <w:p>
            <w:pPr>
              <w:spacing w:after="0"/>
              <w:rPr>
                <w:sz w:val="11"/>
                <w:szCs w:val="11"/>
                <w:color w:val="auto"/>
              </w:rPr>
            </w:pPr>
          </w:p>
        </w:tc>
        <w:tc>
          <w:tcPr>
            <w:tcW w:w="1200" w:type="dxa"/>
            <w:vAlign w:val="bottom"/>
          </w:tcPr>
          <w:p>
            <w:pPr>
              <w:ind w:left="380"/>
              <w:spacing w:after="0"/>
              <w:rPr>
                <w:sz w:val="20"/>
                <w:szCs w:val="20"/>
                <w:color w:val="auto"/>
              </w:rPr>
            </w:pPr>
            <w:r>
              <w:rPr>
                <w:rFonts w:ascii="Arial" w:cs="Arial" w:eastAsia="Arial" w:hAnsi="Arial"/>
                <w:sz w:val="9"/>
                <w:szCs w:val="9"/>
                <w:color w:val="auto"/>
              </w:rPr>
              <w:t>Date: 2020.12.30</w:t>
            </w:r>
          </w:p>
        </w:tc>
        <w:tc>
          <w:tcPr>
            <w:tcW w:w="400" w:type="dxa"/>
            <w:vAlign w:val="bottom"/>
            <w:tcBorders>
              <w:right w:val="single" w:sz="8" w:color="auto"/>
            </w:tcBorders>
          </w:tcPr>
          <w:p>
            <w:pPr>
              <w:spacing w:after="0"/>
              <w:rPr>
                <w:sz w:val="11"/>
                <w:szCs w:val="11"/>
                <w:color w:val="auto"/>
              </w:rPr>
            </w:pPr>
          </w:p>
        </w:tc>
        <w:tc>
          <w:tcPr>
            <w:tcW w:w="700" w:type="dxa"/>
            <w:vAlign w:val="bottom"/>
            <w:gridSpan w:val="3"/>
            <w:vMerge w:val="restart"/>
          </w:tcPr>
          <w:p>
            <w:pPr>
              <w:spacing w:after="0"/>
              <w:rPr>
                <w:sz w:val="20"/>
                <w:szCs w:val="20"/>
                <w:color w:val="auto"/>
              </w:rPr>
            </w:pPr>
            <w:r>
              <w:rPr>
                <w:rFonts w:ascii="Arial" w:cs="Arial" w:eastAsia="Arial" w:hAnsi="Arial"/>
                <w:sz w:val="9"/>
                <w:szCs w:val="9"/>
                <w:color w:val="auto"/>
              </w:rPr>
              <w:t>15:35:15-05’00’</w:t>
            </w: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88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500" w:type="dxa"/>
            <w:vAlign w:val="bottom"/>
            <w:tcBorders>
              <w:left w:val="single" w:sz="8" w:color="auto"/>
            </w:tcBorders>
            <w:gridSpan w:val="4"/>
          </w:tcPr>
          <w:p>
            <w:pPr>
              <w:ind w:left="1280"/>
              <w:spacing w:after="0"/>
              <w:rPr>
                <w:sz w:val="20"/>
                <w:szCs w:val="20"/>
                <w:color w:val="auto"/>
              </w:rPr>
            </w:pPr>
            <w:r>
              <w:rPr>
                <w:rFonts w:ascii="Arial" w:cs="Arial" w:eastAsia="Arial" w:hAnsi="Arial"/>
                <w:sz w:val="7"/>
                <w:szCs w:val="7"/>
                <w:color w:val="auto"/>
              </w:rPr>
              <w:t>Date 2020.12.31 10:44:44-05’00’</w:t>
            </w:r>
          </w:p>
        </w:tc>
        <w:tc>
          <w:tcPr>
            <w:tcW w:w="5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8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197"/>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97"/>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186"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spacing w:after="0"/>
        <w:tabs>
          <w:tab w:leader="none" w:pos="2380" w:val="left"/>
          <w:tab w:leader="none" w:pos="5060" w:val="left"/>
        </w:tabs>
        <w:rPr>
          <w:sz w:val="20"/>
          <w:szCs w:val="20"/>
          <w:color w:val="auto"/>
        </w:rPr>
      </w:pPr>
      <w:r>
        <w:rPr>
          <w:rFonts w:ascii="Arial" w:cs="Arial" w:eastAsia="Arial" w:hAnsi="Arial"/>
          <w:sz w:val="16"/>
          <w:szCs w:val="16"/>
          <w:b w:val="1"/>
          <w:bCs w:val="1"/>
          <w:color w:val="auto"/>
        </w:rPr>
        <w:t>DD FORM 1423-1, FEB 2001</w:t>
      </w:r>
      <w:r>
        <w:rPr>
          <w:sz w:val="20"/>
          <w:szCs w:val="20"/>
          <w:color w:val="auto"/>
        </w:rPr>
        <w:tab/>
      </w:r>
      <w:r>
        <w:rPr>
          <w:rFonts w:ascii="Arial" w:cs="Arial" w:eastAsia="Arial" w:hAnsi="Arial"/>
          <w:sz w:val="14"/>
          <w:szCs w:val="14"/>
          <w:color w:val="080808"/>
        </w:rPr>
        <w:t>PREVIOUS EDITION MAY BE USED.</w:t>
      </w:r>
      <w:r>
        <w:rPr>
          <w:sz w:val="20"/>
          <w:szCs w:val="20"/>
          <w:color w:val="auto"/>
        </w:rPr>
        <w:tab/>
      </w:r>
      <w:r>
        <w:rPr>
          <w:rFonts w:ascii="Arial" w:cs="Arial" w:eastAsia="Arial" w:hAnsi="Arial"/>
          <w:sz w:val="11"/>
          <w:szCs w:val="11"/>
          <w:color w:val="090909"/>
        </w:rPr>
        <w:t xml:space="preserve">Page 21 </w:t>
      </w:r>
      <w:r>
        <w:rPr>
          <w:rFonts w:ascii="Arial" w:cs="Arial" w:eastAsia="Arial" w:hAnsi="Arial"/>
          <w:sz w:val="12"/>
          <w:szCs w:val="12"/>
          <w:color w:val="070707"/>
        </w:rPr>
        <w:t>of 32</w:t>
      </w:r>
      <w:r>
        <w:rPr>
          <w:rFonts w:ascii="Arial" w:cs="Arial" w:eastAsia="Arial" w:hAnsi="Arial"/>
          <w:sz w:val="11"/>
          <w:szCs w:val="11"/>
          <w:color w:val="090909"/>
        </w:rPr>
        <w:t xml:space="preserve"> </w:t>
      </w:r>
      <w:r>
        <w:rPr>
          <w:rFonts w:ascii="Arial" w:cs="Arial" w:eastAsia="Arial" w:hAnsi="Arial"/>
          <w:sz w:val="11"/>
          <w:szCs w:val="11"/>
          <w:color w:val="0B0B0B"/>
        </w:rPr>
        <w:t>Pages</w:t>
      </w:r>
    </w:p>
    <w:p>
      <w:pPr>
        <w:sectPr>
          <w:pgSz w:w="11900" w:h="16838" w:orient="portrait"/>
          <w:cols w:equalWidth="0" w:num="1">
            <w:col w:w="11160"/>
          </w:cols>
          <w:pgMar w:left="320" w:top="403" w:right="419" w:bottom="1440" w:gutter="0" w:footer="0" w:header="0"/>
          <w:type w:val="continuous"/>
        </w:sectPr>
      </w:pPr>
    </w:p>
    <w:p>
      <w:pPr>
        <w:spacing w:after="0" w:line="17" w:lineRule="exact"/>
        <w:rPr>
          <w:sz w:val="20"/>
          <w:szCs w:val="20"/>
          <w:color w:val="auto"/>
        </w:r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46" w:name="page147"/>
    <w:bookmarkEnd w:id="146"/>
    <w:tbl>
      <w:tblPr>
        <w:tblLayout w:type="fixed"/>
        <w:tblInd w:w="10" w:type="dxa"/>
        <w:tblCellMar>
          <w:top w:w="0" w:type="dxa"/>
          <w:left w:w="0" w:type="dxa"/>
          <w:bottom w:w="0" w:type="dxa"/>
          <w:right w:w="0" w:type="dxa"/>
        </w:tblCellMar>
      </w:tblPr>
      <w:tr>
        <w:trPr>
          <w:trHeight w:val="308"/>
        </w:trPr>
        <w:tc>
          <w:tcPr>
            <w:tcW w:w="1880" w:type="dxa"/>
            <w:vAlign w:val="bottom"/>
            <w:tcBorders>
              <w:top w:val="single" w:sz="8" w:color="auto"/>
              <w:lef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CONTRACT DATA REQUIREMENTS LIST</w:t>
            </w: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3"/>
          </w:tcPr>
          <w:p>
            <w:pPr>
              <w:ind w:left="660"/>
              <w:spacing w:after="0"/>
              <w:rPr>
                <w:sz w:val="20"/>
                <w:szCs w:val="20"/>
                <w:color w:val="auto"/>
              </w:rPr>
            </w:pPr>
            <w:r>
              <w:rPr>
                <w:rFonts w:ascii="Arial" w:cs="Arial" w:eastAsia="Arial" w:hAnsi="Arial"/>
                <w:sz w:val="13"/>
                <w:szCs w:val="13"/>
                <w:i w:val="1"/>
                <w:iCs w:val="1"/>
                <w:color w:val="auto"/>
              </w:rPr>
              <w:t>Form Approved</w:t>
            </w: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jc w:val="right"/>
              <w:ind w:right="428"/>
              <w:spacing w:after="0"/>
              <w:rPr>
                <w:sz w:val="20"/>
                <w:szCs w:val="20"/>
                <w:color w:val="auto"/>
              </w:rPr>
            </w:pPr>
            <w:r>
              <w:rPr>
                <w:rFonts w:ascii="Arial" w:cs="Arial" w:eastAsia="Arial" w:hAnsi="Arial"/>
                <w:sz w:val="13"/>
                <w:szCs w:val="13"/>
                <w:i w:val="1"/>
                <w:iCs w:val="1"/>
                <w:color w:val="auto"/>
              </w:rPr>
              <w:t>(1 Data Item)</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3"/>
          </w:tcPr>
          <w:p>
            <w:pPr>
              <w:ind w:left="660"/>
              <w:spacing w:after="0"/>
              <w:rPr>
                <w:sz w:val="20"/>
                <w:szCs w:val="20"/>
                <w:color w:val="auto"/>
              </w:rPr>
            </w:pPr>
            <w:r>
              <w:rPr>
                <w:rFonts w:ascii="Arial" w:cs="Arial" w:eastAsia="Arial" w:hAnsi="Arial"/>
                <w:sz w:val="13"/>
                <w:szCs w:val="13"/>
                <w:i w:val="1"/>
                <w:iCs w:val="1"/>
                <w:color w:val="auto"/>
              </w:rPr>
              <w:t>OMB No. 0704-0188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left w:val="single" w:sz="8" w:color="auto"/>
              <w:bottom w:val="single" w:sz="8" w:color="auto"/>
            </w:tcBorders>
            <w:gridSpan w:val="11"/>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tcBorders>
              <w:left w:val="single" w:sz="8" w:color="auto"/>
            </w:tcBorders>
            <w:gridSpan w:val="11"/>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tcBorders>
              <w:left w:val="single" w:sz="8" w:color="auto"/>
            </w:tcBorders>
            <w:gridSpan w:val="11"/>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tcBorders>
              <w:left w:val="single" w:sz="8" w:color="auto"/>
            </w:tcBorders>
            <w:gridSpan w:val="10"/>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tcBorders>
              <w:left w:val="single" w:sz="8" w:color="auto"/>
            </w:tcBorders>
            <w:gridSpan w:val="11"/>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tcBorders>
              <w:left w:val="single" w:sz="8" w:color="auto"/>
            </w:tcBorders>
            <w:gridSpan w:val="11"/>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tcBorders>
              <w:left w:val="single" w:sz="8" w:color="auto"/>
            </w:tcBorders>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Borders>
              <w:left w:val="single" w:sz="8" w:color="auto"/>
            </w:tcBorders>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3"/>
          </w:tcPr>
          <w:p>
            <w:pPr>
              <w:jc w:val="right"/>
              <w:ind w:right="788"/>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3"/>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880" w:type="dxa"/>
            <w:vAlign w:val="bottom"/>
            <w:tcBorders>
              <w:left w:val="single" w:sz="8" w:color="auto"/>
            </w:tcBorders>
          </w:tcPr>
          <w:p>
            <w:pPr>
              <w:spacing w:after="0"/>
              <w:rPr>
                <w:sz w:val="19"/>
                <w:szCs w:val="19"/>
                <w:color w:val="auto"/>
              </w:rPr>
            </w:pPr>
          </w:p>
        </w:tc>
        <w:tc>
          <w:tcPr>
            <w:tcW w:w="1440" w:type="dxa"/>
            <w:vAlign w:val="bottom"/>
            <w:tcBorders>
              <w:right w:val="single" w:sz="8" w:color="auto"/>
            </w:tcBorders>
            <w:gridSpan w:val="2"/>
          </w:tcPr>
          <w:p>
            <w:pPr>
              <w:jc w:val="right"/>
              <w:ind w:right="1037"/>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708"/>
              <w:spacing w:after="0"/>
              <w:rPr>
                <w:sz w:val="20"/>
                <w:szCs w:val="20"/>
                <w:color w:val="auto"/>
              </w:rPr>
            </w:pPr>
            <w:r>
              <w:rPr>
                <w:rFonts w:ascii="Arial" w:cs="Arial" w:eastAsia="Arial" w:hAnsi="Arial"/>
                <w:sz w:val="16"/>
                <w:szCs w:val="16"/>
                <w:color w:val="auto"/>
              </w:rPr>
              <w:t>A</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left="728"/>
              <w:spacing w:after="0"/>
              <w:rPr>
                <w:sz w:val="20"/>
                <w:szCs w:val="20"/>
                <w:color w:val="auto"/>
              </w:rPr>
            </w:pPr>
            <w:r>
              <w:rPr>
                <w:rFonts w:ascii="Arial" w:cs="Arial" w:eastAsia="Arial" w:hAnsi="Arial"/>
                <w:sz w:val="9"/>
                <w:szCs w:val="9"/>
                <w:color w:val="auto"/>
                <w:w w:val="99"/>
              </w:rPr>
              <w:t>TDP</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OTHER</w:t>
            </w: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88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Borders>
              <w:left w:val="single" w:sz="8" w:color="auto"/>
            </w:tcBorders>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3"/>
                <w:szCs w:val="13"/>
                <w:b w:val="1"/>
                <w:bCs w:val="1"/>
                <w:color w:val="auto"/>
              </w:rPr>
              <w:t>F. CONTRACTOR</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3"/>
          </w:tcPr>
          <w:p>
            <w:pPr>
              <w:jc w:val="right"/>
              <w:ind w:right="44"/>
              <w:spacing w:after="0"/>
              <w:rPr>
                <w:sz w:val="20"/>
                <w:szCs w:val="20"/>
                <w:color w:val="auto"/>
              </w:rPr>
            </w:pPr>
            <w:r>
              <w:rPr>
                <w:rFonts w:ascii="Arial" w:cs="Arial" w:eastAsia="Arial" w:hAnsi="Arial"/>
                <w:sz w:val="16"/>
                <w:szCs w:val="16"/>
                <w:color w:val="auto"/>
              </w:rPr>
              <w:t>Regeneron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88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80" w:type="dxa"/>
            <w:vAlign w:val="bottom"/>
            <w:tcBorders>
              <w:left w:val="single" w:sz="8" w:color="auto"/>
            </w:tcBorders>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3"/>
          </w:tcPr>
          <w:p>
            <w:pPr>
              <w:ind w:left="20"/>
              <w:spacing w:after="0"/>
              <w:rPr>
                <w:sz w:val="20"/>
                <w:szCs w:val="20"/>
                <w:color w:val="auto"/>
              </w:rPr>
            </w:pPr>
            <w:r>
              <w:rPr>
                <w:rFonts w:ascii="Arial" w:cs="Arial" w:eastAsia="Arial" w:hAnsi="Arial"/>
                <w:sz w:val="10"/>
                <w:szCs w:val="10"/>
                <w:color w:val="auto"/>
              </w:rPr>
              <w:t>3. SUBTITLE</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tcBorders>
              <w:left w:val="single" w:sz="8" w:color="auto"/>
            </w:tcBorders>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Borders>
              <w:left w:val="single" w:sz="8" w:color="auto"/>
            </w:tcBorders>
          </w:tcPr>
          <w:p>
            <w:pPr>
              <w:ind w:left="1320"/>
              <w:spacing w:after="0"/>
              <w:rPr>
                <w:sz w:val="20"/>
                <w:szCs w:val="20"/>
                <w:color w:val="auto"/>
              </w:rPr>
            </w:pPr>
            <w:r>
              <w:rPr>
                <w:rFonts w:ascii="Arial" w:cs="Arial" w:eastAsia="Arial" w:hAnsi="Arial"/>
                <w:sz w:val="16"/>
                <w:szCs w:val="16"/>
                <w:color w:val="auto"/>
              </w:rPr>
              <w:t>A022</w:t>
            </w:r>
          </w:p>
        </w:tc>
        <w:tc>
          <w:tcPr>
            <w:tcW w:w="200" w:type="dxa"/>
            <w:vAlign w:val="bottom"/>
            <w:tcBorders>
              <w:right w:val="single" w:sz="8" w:color="auto"/>
            </w:tcBorders>
          </w:tcPr>
          <w:p>
            <w:pPr>
              <w:spacing w:after="0"/>
              <w:rPr>
                <w:sz w:val="24"/>
                <w:szCs w:val="24"/>
                <w:color w:val="auto"/>
              </w:rPr>
            </w:pPr>
          </w:p>
        </w:tc>
        <w:tc>
          <w:tcPr>
            <w:tcW w:w="3040" w:type="dxa"/>
            <w:vAlign w:val="bottom"/>
            <w:gridSpan w:val="5"/>
          </w:tcPr>
          <w:p>
            <w:pPr>
              <w:ind w:left="60"/>
              <w:spacing w:after="0"/>
              <w:rPr>
                <w:sz w:val="20"/>
                <w:szCs w:val="20"/>
                <w:color w:val="auto"/>
              </w:rPr>
            </w:pPr>
            <w:r>
              <w:rPr>
                <w:rFonts w:ascii="Arial" w:cs="Arial" w:eastAsia="Arial" w:hAnsi="Arial"/>
                <w:sz w:val="16"/>
                <w:szCs w:val="16"/>
                <w:color w:val="131313"/>
              </w:rPr>
              <w:t>Supply Chain Resiliency Plan</w:t>
            </w:r>
          </w:p>
        </w:tc>
        <w:tc>
          <w:tcPr>
            <w:tcW w:w="4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4"/>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tcBorders>
              <w:left w:val="single" w:sz="8" w:color="auto"/>
            </w:tcBorders>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5"/>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0" w:type="dxa"/>
            <w:vAlign w:val="bottom"/>
          </w:tcPr>
          <w:p>
            <w:pPr>
              <w:ind w:left="80"/>
              <w:spacing w:after="0"/>
              <w:rPr>
                <w:sz w:val="20"/>
                <w:szCs w:val="20"/>
                <w:color w:val="auto"/>
              </w:rPr>
            </w:pPr>
            <w:r>
              <w:rPr>
                <w:rFonts w:ascii="Arial" w:cs="Arial" w:eastAsia="Arial" w:hAnsi="Arial"/>
                <w:sz w:val="9"/>
                <w:szCs w:val="9"/>
                <w:color w:val="auto"/>
              </w:rPr>
              <w:t>6. REQUIRING OFFICE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tcBorders>
              <w:left w:val="single" w:sz="8" w:color="auto"/>
            </w:tcBorders>
            <w:gridSpan w:val="4"/>
          </w:tcPr>
          <w:p>
            <w:pPr>
              <w:jc w:val="center"/>
              <w:ind w:left="431"/>
              <w:spacing w:after="0"/>
              <w:rPr>
                <w:sz w:val="20"/>
                <w:szCs w:val="20"/>
                <w:color w:val="auto"/>
              </w:rPr>
            </w:pPr>
            <w:r>
              <w:rPr>
                <w:rFonts w:ascii="Arial" w:cs="Arial" w:eastAsia="Arial" w:hAnsi="Arial"/>
                <w:sz w:val="16"/>
                <w:szCs w:val="16"/>
                <w:color w:val="020202"/>
                <w:w w:val="96"/>
              </w:rPr>
              <w:t>DI-MGMT-81808</w:t>
            </w:r>
          </w:p>
        </w:tc>
        <w:tc>
          <w:tcPr>
            <w:tcW w:w="5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gridSpan w:val="2"/>
          </w:tcPr>
          <w:p>
            <w:pPr>
              <w:jc w:val="right"/>
              <w:ind w:right="44"/>
              <w:spacing w:after="0"/>
              <w:rPr>
                <w:sz w:val="20"/>
                <w:szCs w:val="20"/>
                <w:color w:val="auto"/>
              </w:rPr>
            </w:pPr>
            <w:r>
              <w:rPr>
                <w:rFonts w:ascii="Arial" w:cs="Arial" w:eastAsia="Arial" w:hAnsi="Arial"/>
                <w:sz w:val="16"/>
                <w:szCs w:val="16"/>
                <w:color w:val="auto"/>
              </w:rPr>
              <w:t>BARDA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tcBorders>
              <w:left w:val="single" w:sz="8" w:color="auto"/>
            </w:tcBorders>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3"/>
            <w:vMerge w:val="restart"/>
          </w:tcPr>
          <w:p>
            <w:pPr>
              <w:jc w:val="right"/>
              <w:ind w:right="708"/>
              <w:spacing w:after="0"/>
              <w:rPr>
                <w:sz w:val="20"/>
                <w:szCs w:val="20"/>
                <w:color w:val="auto"/>
              </w:rPr>
            </w:pPr>
            <w:r>
              <w:rPr>
                <w:rFonts w:ascii="Arial" w:cs="Arial" w:eastAsia="Arial" w:hAnsi="Arial"/>
                <w:sz w:val="9"/>
                <w:szCs w:val="9"/>
                <w:color w:val="auto"/>
              </w:rPr>
              <w:t>10. FREQUENCY</w:t>
            </w:r>
          </w:p>
        </w:tc>
        <w:tc>
          <w:tcPr>
            <w:tcW w:w="1980" w:type="dxa"/>
            <w:vAlign w:val="bottom"/>
            <w:gridSpan w:val="4"/>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Borders>
              <w:right w:val="single" w:sz="8" w:color="auto"/>
            </w:tcBorders>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0"/>
                <w:szCs w:val="10"/>
                <w:color w:val="auto"/>
              </w:rPr>
              <w:t>14.  DISTRIBUTION</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auto"/>
            </w:tcBorders>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3"/>
            <w:vMerge w:val="continue"/>
          </w:tcPr>
          <w:p>
            <w:pPr>
              <w:spacing w:after="0"/>
              <w:rPr>
                <w:sz w:val="3"/>
                <w:szCs w:val="3"/>
                <w:color w:val="auto"/>
              </w:rPr>
            </w:pPr>
          </w:p>
        </w:tc>
        <w:tc>
          <w:tcPr>
            <w:tcW w:w="1980" w:type="dxa"/>
            <w:vAlign w:val="bottom"/>
            <w:gridSpan w:val="4"/>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tcBorders>
              <w:left w:val="single" w:sz="8" w:color="auto"/>
            </w:tcBorders>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3"/>
            <w:vMerge w:val="restart"/>
          </w:tcPr>
          <w:p>
            <w:pPr>
              <w:jc w:val="right"/>
              <w:ind w:right="388"/>
              <w:spacing w:after="0"/>
              <w:rPr>
                <w:sz w:val="20"/>
                <w:szCs w:val="20"/>
                <w:color w:val="auto"/>
              </w:rPr>
            </w:pPr>
            <w:r>
              <w:rPr>
                <w:rFonts w:ascii="Arial" w:cs="Arial" w:eastAsia="Arial" w:hAnsi="Arial"/>
                <w:sz w:val="16"/>
                <w:szCs w:val="16"/>
                <w:color w:val="auto"/>
              </w:rPr>
              <w:t>see remarks</w:t>
            </w:r>
          </w:p>
        </w:tc>
        <w:tc>
          <w:tcPr>
            <w:tcW w:w="420" w:type="dxa"/>
            <w:vAlign w:val="bottom"/>
          </w:tcPr>
          <w:p>
            <w:pPr>
              <w:spacing w:after="0"/>
              <w:rPr>
                <w:sz w:val="6"/>
                <w:szCs w:val="6"/>
                <w:color w:val="auto"/>
              </w:rPr>
            </w:pPr>
          </w:p>
        </w:tc>
        <w:tc>
          <w:tcPr>
            <w:tcW w:w="1560" w:type="dxa"/>
            <w:vAlign w:val="bottom"/>
            <w:gridSpan w:val="3"/>
            <w:vMerge w:val="restart"/>
          </w:tcPr>
          <w:p>
            <w:pPr>
              <w:ind w:left="340"/>
              <w:spacing w:after="0"/>
              <w:rPr>
                <w:sz w:val="20"/>
                <w:szCs w:val="20"/>
                <w:color w:val="auto"/>
              </w:rPr>
            </w:pPr>
            <w:r>
              <w:rPr>
                <w:rFonts w:ascii="Arial" w:cs="Arial" w:eastAsia="Arial" w:hAnsi="Arial"/>
                <w:sz w:val="16"/>
                <w:szCs w:val="16"/>
                <w:color w:val="auto"/>
              </w:rPr>
              <w:t>see remarks</w:t>
            </w:r>
          </w:p>
        </w:tc>
        <w:tc>
          <w:tcPr>
            <w:tcW w:w="80" w:type="dxa"/>
            <w:vAlign w:val="bottom"/>
            <w:tcBorders>
              <w:righ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tcBorders>
              <w:left w:val="single" w:sz="8" w:color="auto"/>
            </w:tcBorders>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Borders>
              <w:right w:val="single" w:sz="8" w:color="auto"/>
            </w:tcBorders>
            <w:gridSpan w:val="4"/>
            <w:vMerge w:val="restart"/>
          </w:tcPr>
          <w:p>
            <w:pPr>
              <w:jc w:val="right"/>
              <w:ind w:right="459"/>
              <w:spacing w:after="0"/>
              <w:rPr>
                <w:sz w:val="20"/>
                <w:szCs w:val="20"/>
                <w:color w:val="auto"/>
              </w:rPr>
            </w:pPr>
            <w:r>
              <w:rPr>
                <w:rFonts w:ascii="Arial" w:cs="Arial" w:eastAsia="Arial" w:hAnsi="Arial"/>
                <w:sz w:val="10"/>
                <w:szCs w:val="10"/>
                <w:color w:val="auto"/>
              </w:rPr>
              <w:t>b. COPIES</w:t>
            </w:r>
          </w:p>
        </w:tc>
        <w:tc>
          <w:tcPr>
            <w:tcW w:w="0" w:type="dxa"/>
            <w:vAlign w:val="bottom"/>
          </w:tcPr>
          <w:p>
            <w:pPr>
              <w:spacing w:after="0"/>
              <w:rPr>
                <w:sz w:val="1"/>
                <w:szCs w:val="1"/>
                <w:color w:val="auto"/>
              </w:rPr>
            </w:pPr>
          </w:p>
        </w:tc>
      </w:tr>
      <w:tr>
        <w:trPr>
          <w:trHeight w:val="61"/>
        </w:trPr>
        <w:tc>
          <w:tcPr>
            <w:tcW w:w="188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gridSpan w:val="2"/>
          </w:tcPr>
          <w:p>
            <w:pPr>
              <w:spacing w:after="0"/>
              <w:rPr>
                <w:sz w:val="9"/>
                <w:szCs w:val="9"/>
                <w:color w:val="auto"/>
              </w:rPr>
            </w:pPr>
          </w:p>
        </w:tc>
        <w:tc>
          <w:tcPr>
            <w:tcW w:w="1380" w:type="dxa"/>
            <w:vAlign w:val="bottom"/>
            <w:tcBorders>
              <w:bottom w:val="single" w:sz="8" w:color="auto"/>
            </w:tcBorders>
            <w:gridSpan w:val="2"/>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80" w:type="dxa"/>
            <w:vAlign w:val="bottom"/>
            <w:tcBorders>
              <w:left w:val="single" w:sz="8" w:color="auto"/>
            </w:tcBorders>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3"/>
          </w:tcPr>
          <w:p>
            <w:pPr>
              <w:jc w:val="right"/>
              <w:ind w:right="708"/>
              <w:spacing w:after="0" w:line="82" w:lineRule="exact"/>
              <w:rPr>
                <w:sz w:val="20"/>
                <w:szCs w:val="20"/>
                <w:color w:val="auto"/>
              </w:rPr>
            </w:pPr>
            <w:r>
              <w:rPr>
                <w:rFonts w:ascii="Arial" w:cs="Arial" w:eastAsia="Arial" w:hAnsi="Arial"/>
                <w:sz w:val="9"/>
                <w:szCs w:val="9"/>
                <w:color w:val="auto"/>
              </w:rPr>
              <w:t>11. AS OF DATE</w:t>
            </w:r>
          </w:p>
        </w:tc>
        <w:tc>
          <w:tcPr>
            <w:tcW w:w="1980" w:type="dxa"/>
            <w:vAlign w:val="bottom"/>
            <w:gridSpan w:val="4"/>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80" w:type="dxa"/>
            <w:vAlign w:val="bottom"/>
            <w:tcBorders>
              <w:right w:val="single" w:sz="8" w:color="auto"/>
            </w:tcBorders>
          </w:tcPr>
          <w:p>
            <w:pPr>
              <w:spacing w:after="0"/>
              <w:rPr>
                <w:sz w:val="7"/>
                <w:szCs w:val="7"/>
                <w:color w:val="auto"/>
              </w:rPr>
            </w:pPr>
          </w:p>
        </w:tc>
        <w:tc>
          <w:tcPr>
            <w:tcW w:w="1200" w:type="dxa"/>
            <w:vAlign w:val="bottom"/>
            <w:vMerge w:val="restart"/>
          </w:tcPr>
          <w:p>
            <w:pPr>
              <w:ind w:left="460"/>
              <w:spacing w:after="0"/>
              <w:rPr>
                <w:sz w:val="20"/>
                <w:szCs w:val="20"/>
                <w:color w:val="auto"/>
              </w:rPr>
            </w:pPr>
            <w:r>
              <w:rPr>
                <w:rFonts w:ascii="Arial" w:cs="Arial" w:eastAsia="Arial" w:hAnsi="Arial"/>
                <w:sz w:val="10"/>
                <w:szCs w:val="10"/>
                <w:color w:val="auto"/>
                <w:w w:val="98"/>
              </w:rPr>
              <w:t>a. ADDRESSEE</w:t>
            </w: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right w:val="single" w:sz="8" w:color="auto"/>
            </w:tcBorders>
            <w:gridSpan w:val="2"/>
            <w:vMerge w:val="restart"/>
          </w:tcPr>
          <w:p>
            <w:pPr>
              <w:jc w:val="right"/>
              <w:ind w:right="399"/>
              <w:spacing w:after="0"/>
              <w:rPr>
                <w:sz w:val="20"/>
                <w:szCs w:val="20"/>
                <w:color w:val="auto"/>
              </w:rPr>
            </w:pPr>
            <w:r>
              <w:rPr>
                <w:rFonts w:ascii="Arial" w:cs="Arial" w:eastAsia="Arial" w:hAnsi="Arial"/>
                <w:sz w:val="10"/>
                <w:szCs w:val="10"/>
                <w:color w:val="auto"/>
              </w:rPr>
              <w:t>Final</w:t>
            </w:r>
          </w:p>
        </w:tc>
        <w:tc>
          <w:tcPr>
            <w:tcW w:w="0" w:type="dxa"/>
            <w:vAlign w:val="bottom"/>
          </w:tcPr>
          <w:p>
            <w:pPr>
              <w:spacing w:after="0"/>
              <w:rPr>
                <w:sz w:val="1"/>
                <w:szCs w:val="1"/>
                <w:color w:val="auto"/>
              </w:rPr>
            </w:pPr>
          </w:p>
        </w:tc>
      </w:tr>
      <w:tr>
        <w:trPr>
          <w:trHeight w:val="57"/>
        </w:trPr>
        <w:tc>
          <w:tcPr>
            <w:tcW w:w="1880" w:type="dxa"/>
            <w:vAlign w:val="bottom"/>
            <w:tcBorders>
              <w:left w:val="single" w:sz="8" w:color="auto"/>
            </w:tcBorders>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gridSpan w:val="3"/>
            <w:vMerge w:val="restart"/>
          </w:tcPr>
          <w:p>
            <w:pPr>
              <w:ind w:left="34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Borders>
              <w:right w:val="single" w:sz="8" w:color="auto"/>
            </w:tcBorders>
          </w:tcPr>
          <w:p>
            <w:pPr>
              <w:spacing w:after="0"/>
              <w:rPr>
                <w:sz w:val="4"/>
                <w:szCs w:val="4"/>
                <w:color w:val="auto"/>
              </w:rPr>
            </w:pPr>
          </w:p>
        </w:tc>
        <w:tc>
          <w:tcPr>
            <w:tcW w:w="1200" w:type="dxa"/>
            <w:vAlign w:val="bottom"/>
            <w:vMerge w:val="continue"/>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Borders>
              <w:left w:val="single" w:sz="8" w:color="auto"/>
            </w:tcBorders>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vMerge w:val="restart"/>
          </w:tcPr>
          <w:p>
            <w:pPr>
              <w:spacing w:after="0"/>
              <w:rPr>
                <w:sz w:val="20"/>
                <w:szCs w:val="20"/>
                <w:color w:val="auto"/>
              </w:rPr>
            </w:pPr>
            <w:r>
              <w:rPr>
                <w:rFonts w:ascii="Arial" w:cs="Arial" w:eastAsia="Arial" w:hAnsi="Arial"/>
                <w:sz w:val="9"/>
                <w:szCs w:val="9"/>
                <w:color w:val="auto"/>
              </w:rPr>
              <w:t>Draft</w:t>
            </w:r>
          </w:p>
        </w:tc>
        <w:tc>
          <w:tcPr>
            <w:tcW w:w="180" w:type="dxa"/>
            <w:vAlign w:val="bottom"/>
            <w:tcBorders>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Borders>
              <w:lef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10"/>
                <w:szCs w:val="10"/>
                <w:color w:val="auto"/>
              </w:rPr>
              <w:t>Reg</w:t>
            </w: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880" w:type="dxa"/>
            <w:vAlign w:val="bottom"/>
            <w:tcBorders>
              <w:left w:val="single" w:sz="8" w:color="auto"/>
            </w:tcBorders>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Pr>
          <w:p>
            <w:pPr>
              <w:ind w:left="60"/>
              <w:spacing w:after="0" w:line="159" w:lineRule="exact"/>
              <w:rPr>
                <w:sz w:val="20"/>
                <w:szCs w:val="20"/>
                <w:color w:val="auto"/>
              </w:rPr>
            </w:pPr>
            <w:r>
              <w:rPr>
                <w:rFonts w:ascii="Arial" w:cs="Arial" w:eastAsia="Arial" w:hAnsi="Arial"/>
                <w:sz w:val="14"/>
                <w:szCs w:val="14"/>
                <w:color w:val="auto"/>
              </w:rPr>
              <w:t>BARDA</w:t>
            </w:r>
          </w:p>
        </w:tc>
        <w:tc>
          <w:tcPr>
            <w:tcW w:w="4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A comprehensive Supply Chain Resiliency Program that provides identification and</w:t>
            </w: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6560" w:type="dxa"/>
            <w:vAlign w:val="bottom"/>
            <w:tcBorders>
              <w:left w:val="single" w:sz="8" w:color="auto"/>
            </w:tcBorders>
            <w:gridSpan w:val="10"/>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JPEO CBRND</w:t>
            </w: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w w:val="99"/>
              </w:rPr>
              <w:t>reporting of critical components associated with the secure supply of drug substance, drug</w:t>
            </w: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560" w:type="dxa"/>
            <w:vAlign w:val="bottom"/>
            <w:tcBorders>
              <w:left w:val="single" w:sz="8" w:color="auto"/>
            </w:tcBorders>
            <w:gridSpan w:val="10"/>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5120" w:type="dxa"/>
            <w:vAlign w:val="bottom"/>
            <w:tcBorders>
              <w:left w:val="single" w:sz="8" w:color="auto"/>
            </w:tcBorders>
            <w:gridSpan w:val="7"/>
            <w:vMerge w:val="restart"/>
          </w:tcPr>
          <w:p>
            <w:pPr>
              <w:ind w:left="160"/>
              <w:spacing w:after="0"/>
              <w:rPr>
                <w:sz w:val="20"/>
                <w:szCs w:val="20"/>
                <w:color w:val="auto"/>
              </w:rPr>
            </w:pPr>
            <w:r>
              <w:rPr>
                <w:rFonts w:ascii="Arial" w:cs="Arial" w:eastAsia="Arial" w:hAnsi="Arial"/>
                <w:sz w:val="16"/>
                <w:szCs w:val="16"/>
                <w:color w:val="auto"/>
              </w:rPr>
              <w:t>product, and work-in-process through to finished goods.</w:t>
            </w: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5120" w:type="dxa"/>
            <w:vAlign w:val="bottom"/>
            <w:tcBorders>
              <w:left w:val="single" w:sz="8" w:color="auto"/>
            </w:tcBorders>
            <w:gridSpan w:val="7"/>
            <w:vMerge w:val="continue"/>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60" w:type="dxa"/>
            <w:vAlign w:val="bottom"/>
            <w:tcBorders>
              <w:left w:val="single" w:sz="8" w:color="auto"/>
            </w:tcBorders>
            <w:gridSpan w:val="10"/>
          </w:tcPr>
          <w:p>
            <w:pPr>
              <w:ind w:left="160"/>
              <w:spacing w:after="0" w:line="138" w:lineRule="exact"/>
              <w:rPr>
                <w:sz w:val="20"/>
                <w:szCs w:val="20"/>
                <w:color w:val="auto"/>
              </w:rPr>
            </w:pPr>
            <w:r>
              <w:rPr>
                <w:rFonts w:ascii="Arial" w:cs="Arial" w:eastAsia="Arial" w:hAnsi="Arial"/>
                <w:sz w:val="16"/>
                <w:szCs w:val="16"/>
                <w:color w:val="auto"/>
              </w:rPr>
              <w:t>A critical component is defined as any material that is essential to the product or the</w:t>
            </w: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560" w:type="dxa"/>
            <w:vAlign w:val="bottom"/>
            <w:tcBorders>
              <w:left w:val="single" w:sz="8" w:color="auto"/>
            </w:tcBorders>
            <w:gridSpan w:val="10"/>
          </w:tcPr>
          <w:p>
            <w:pPr>
              <w:ind w:left="160"/>
              <w:spacing w:after="0" w:line="169" w:lineRule="exact"/>
              <w:rPr>
                <w:sz w:val="20"/>
                <w:szCs w:val="20"/>
                <w:color w:val="auto"/>
              </w:rPr>
            </w:pPr>
            <w:r>
              <w:rPr>
                <w:rFonts w:ascii="Arial" w:cs="Arial" w:eastAsia="Arial" w:hAnsi="Arial"/>
                <w:sz w:val="16"/>
                <w:szCs w:val="16"/>
                <w:color w:val="auto"/>
              </w:rPr>
              <w:t>manufacturing process associated with that product. Included in the definition are</w:t>
            </w: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60" w:type="dxa"/>
            <w:vAlign w:val="bottom"/>
            <w:tcBorders>
              <w:left w:val="single" w:sz="8" w:color="auto"/>
            </w:tcBorders>
            <w:gridSpan w:val="10"/>
          </w:tcPr>
          <w:p>
            <w:pPr>
              <w:ind w:left="160"/>
              <w:spacing w:after="0"/>
              <w:rPr>
                <w:sz w:val="20"/>
                <w:szCs w:val="20"/>
                <w:color w:val="auto"/>
              </w:rPr>
            </w:pPr>
            <w:r>
              <w:rPr>
                <w:rFonts w:ascii="Arial" w:cs="Arial" w:eastAsia="Arial" w:hAnsi="Arial"/>
                <w:sz w:val="16"/>
                <w:szCs w:val="16"/>
                <w:color w:val="auto"/>
              </w:rPr>
              <w:t>consumables and disposables associated with manufacturing. NOT included in the</w:t>
            </w: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500" w:type="dxa"/>
            <w:vAlign w:val="bottom"/>
            <w:tcBorders>
              <w:left w:val="single" w:sz="8" w:color="auto"/>
            </w:tcBorders>
            <w:gridSpan w:val="4"/>
          </w:tcPr>
          <w:p>
            <w:pPr>
              <w:ind w:left="160"/>
              <w:spacing w:after="0" w:line="173" w:lineRule="exact"/>
              <w:rPr>
                <w:sz w:val="20"/>
                <w:szCs w:val="20"/>
                <w:color w:val="auto"/>
              </w:rPr>
            </w:pPr>
            <w:r>
              <w:rPr>
                <w:rFonts w:ascii="Arial" w:cs="Arial" w:eastAsia="Arial" w:hAnsi="Arial"/>
                <w:sz w:val="16"/>
                <w:szCs w:val="16"/>
                <w:color w:val="auto"/>
              </w:rPr>
              <w:t>definition are facility and capital equipment.</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Consideration of critical components includes the evaluation and potential impact of raw</w:t>
            </w: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560" w:type="dxa"/>
            <w:vAlign w:val="bottom"/>
            <w:tcBorders>
              <w:left w:val="single" w:sz="8" w:color="auto"/>
            </w:tcBorders>
            <w:gridSpan w:val="10"/>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materials, excipients, active ingredients, substances, pieces, parts, software, firmware,</w:t>
            </w:r>
          </w:p>
        </w:tc>
        <w:tc>
          <w:tcPr>
            <w:tcW w:w="5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6560" w:type="dxa"/>
            <w:vAlign w:val="bottom"/>
            <w:tcBorders>
              <w:left w:val="single" w:sz="8" w:color="auto"/>
            </w:tcBorders>
            <w:gridSpan w:val="10"/>
            <w:vMerge w:val="continue"/>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labeling, assembly, testing, analytical and environmental componentry, reagents, or utility</w:t>
            </w:r>
          </w:p>
        </w:tc>
        <w:tc>
          <w:tcPr>
            <w:tcW w:w="5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560" w:type="dxa"/>
            <w:vAlign w:val="bottom"/>
            <w:tcBorders>
              <w:left w:val="single" w:sz="8" w:color="auto"/>
            </w:tcBorders>
            <w:gridSpan w:val="10"/>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materials which are used in the manufacturing of a drug, cell banks, seed stocks, devices</w:t>
            </w: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560" w:type="dxa"/>
            <w:vAlign w:val="bottom"/>
            <w:tcBorders>
              <w:left w:val="single" w:sz="8" w:color="auto"/>
            </w:tcBorders>
            <w:gridSpan w:val="10"/>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500" w:type="dxa"/>
            <w:vAlign w:val="bottom"/>
            <w:tcBorders>
              <w:left w:val="single" w:sz="8" w:color="auto"/>
            </w:tcBorders>
            <w:gridSpan w:val="4"/>
            <w:vMerge w:val="restart"/>
          </w:tcPr>
          <w:p>
            <w:pPr>
              <w:ind w:left="160"/>
              <w:spacing w:after="0"/>
              <w:rPr>
                <w:sz w:val="20"/>
                <w:szCs w:val="20"/>
                <w:color w:val="auto"/>
              </w:rPr>
            </w:pPr>
            <w:r>
              <w:rPr>
                <w:rFonts w:ascii="Arial" w:cs="Arial" w:eastAsia="Arial" w:hAnsi="Arial"/>
                <w:sz w:val="16"/>
                <w:szCs w:val="16"/>
                <w:color w:val="auto"/>
                <w:w w:val="96"/>
              </w:rPr>
              <w:t>and key processing components and equipment.</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500" w:type="dxa"/>
            <w:vAlign w:val="bottom"/>
            <w:tcBorders>
              <w:left w:val="single" w:sz="8" w:color="auto"/>
            </w:tcBorders>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A clear example of a critical component is one where a sole supplier is utilized.</w:t>
            </w: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6560" w:type="dxa"/>
            <w:vAlign w:val="bottom"/>
            <w:tcBorders>
              <w:left w:val="single" w:sz="8" w:color="auto"/>
            </w:tcBorders>
            <w:gridSpan w:val="10"/>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The contractor shall identify key equipment suppliers, their locations, local resources, and</w:t>
            </w: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tcBorders>
              <w:left w:val="single" w:sz="8" w:color="auto"/>
            </w:tcBorders>
            <w:gridSpan w:val="10"/>
            <w:vMerge w:val="continue"/>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6560" w:type="dxa"/>
            <w:vAlign w:val="bottom"/>
            <w:tcBorders>
              <w:left w:val="single" w:sz="8" w:color="auto"/>
            </w:tcBorders>
            <w:gridSpan w:val="10"/>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6560" w:type="dxa"/>
            <w:vAlign w:val="bottom"/>
            <w:tcBorders>
              <w:left w:val="single" w:sz="8" w:color="auto"/>
            </w:tcBorders>
            <w:gridSpan w:val="10"/>
          </w:tcPr>
          <w:p>
            <w:pPr>
              <w:ind w:left="160"/>
              <w:spacing w:after="0" w:line="138" w:lineRule="exact"/>
              <w:rPr>
                <w:sz w:val="20"/>
                <w:szCs w:val="20"/>
                <w:color w:val="auto"/>
              </w:rPr>
            </w:pPr>
            <w:r>
              <w:rPr>
                <w:rFonts w:ascii="Arial" w:cs="Arial" w:eastAsia="Arial" w:hAnsi="Arial"/>
                <w:sz w:val="16"/>
                <w:szCs w:val="16"/>
                <w:color w:val="auto"/>
                <w:w w:val="97"/>
              </w:rPr>
              <w:t>the associated control processes at the time of award. This document shall address planning</w:t>
            </w: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560" w:type="dxa"/>
            <w:vAlign w:val="bottom"/>
            <w:tcBorders>
              <w:left w:val="single" w:sz="8" w:color="auto"/>
            </w:tcBorders>
            <w:gridSpan w:val="10"/>
          </w:tcPr>
          <w:p>
            <w:pPr>
              <w:ind w:left="160"/>
              <w:spacing w:after="0"/>
              <w:rPr>
                <w:sz w:val="20"/>
                <w:szCs w:val="20"/>
                <w:color w:val="auto"/>
              </w:rPr>
            </w:pPr>
            <w:r>
              <w:rPr>
                <w:rFonts w:ascii="Arial" w:cs="Arial" w:eastAsia="Arial" w:hAnsi="Arial"/>
                <w:sz w:val="16"/>
                <w:szCs w:val="16"/>
                <w:color w:val="auto"/>
              </w:rPr>
              <w:t>and scheduling for active pharmaceutical ingredients, upstream, downstream, component</w:t>
            </w: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560" w:type="dxa"/>
            <w:vAlign w:val="bottom"/>
            <w:tcBorders>
              <w:left w:val="single" w:sz="8" w:color="auto"/>
            </w:tcBorders>
            <w:gridSpan w:val="10"/>
          </w:tcPr>
          <w:p>
            <w:pPr>
              <w:ind w:left="160"/>
              <w:spacing w:after="0" w:line="173" w:lineRule="exact"/>
              <w:rPr>
                <w:sz w:val="20"/>
                <w:szCs w:val="20"/>
                <w:color w:val="auto"/>
              </w:rPr>
            </w:pPr>
            <w:r>
              <w:rPr>
                <w:rFonts w:ascii="Arial" w:cs="Arial" w:eastAsia="Arial" w:hAnsi="Arial"/>
                <w:sz w:val="16"/>
                <w:szCs w:val="16"/>
                <w:color w:val="auto"/>
              </w:rPr>
              <w:t>assembly, :finished drug product and delivery events as necessary for the delivery of</w:t>
            </w: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auto"/>
              </w:rPr>
              <w:t>product.</w:t>
            </w: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880" w:type="dxa"/>
            <w:vAlign w:val="bottom"/>
            <w:tcBorders>
              <w:lef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7100" w:type="dxa"/>
            <w:vAlign w:val="bottom"/>
            <w:tcBorders>
              <w:lef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w w:val="91"/>
              </w:rPr>
              <w:t>a) Communication for these requirements shall be updated as part of an annual review, or as necessary, as</w:t>
            </w:r>
          </w:p>
        </w:tc>
        <w:tc>
          <w:tcPr>
            <w:tcW w:w="80" w:type="dxa"/>
            <w:vAlign w:val="bottom"/>
            <w:tcBorders>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7100" w:type="dxa"/>
            <w:vAlign w:val="bottom"/>
            <w:tcBorders>
              <w:left w:val="single" w:sz="8" w:color="auto"/>
            </w:tcBorders>
            <w:gridSpan w:val="11"/>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500" w:type="dxa"/>
            <w:vAlign w:val="bottom"/>
            <w:tcBorders>
              <w:left w:val="single" w:sz="8" w:color="auto"/>
            </w:tcBorders>
            <w:gridSpan w:val="4"/>
            <w:vMerge w:val="restart"/>
          </w:tcPr>
          <w:p>
            <w:pPr>
              <w:ind w:left="160"/>
              <w:spacing w:after="0"/>
              <w:rPr>
                <w:sz w:val="20"/>
                <w:szCs w:val="20"/>
                <w:color w:val="auto"/>
              </w:rPr>
            </w:pPr>
            <w:r>
              <w:rPr>
                <w:rFonts w:ascii="Arial" w:cs="Arial" w:eastAsia="Arial" w:hAnsi="Arial"/>
                <w:sz w:val="16"/>
                <w:szCs w:val="16"/>
                <w:color w:val="auto"/>
              </w:rPr>
              <w:t>part of regular contractual communications.</w:t>
            </w: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auto"/>
            </w:tcBorders>
            <w:gridSpan w:val="4"/>
            <w:vMerge w:val="continue"/>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b) For upstream and downstream processing, both single-use and re-usable in-place</w:t>
            </w: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6560" w:type="dxa"/>
            <w:vAlign w:val="bottom"/>
            <w:tcBorders>
              <w:left w:val="single" w:sz="8" w:color="auto"/>
            </w:tcBorders>
            <w:gridSpan w:val="10"/>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w w:val="97"/>
              </w:rPr>
              <w:t>processing equipment, and manufacturing disposables also shall be addressed. For finished</w:t>
            </w: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560" w:type="dxa"/>
            <w:vAlign w:val="bottom"/>
            <w:tcBorders>
              <w:left w:val="single" w:sz="8" w:color="auto"/>
            </w:tcBorders>
            <w:gridSpan w:val="10"/>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6560" w:type="dxa"/>
            <w:vAlign w:val="bottom"/>
            <w:tcBorders>
              <w:left w:val="single" w:sz="8" w:color="auto"/>
            </w:tcBorders>
            <w:gridSpan w:val="10"/>
          </w:tcPr>
          <w:p>
            <w:pPr>
              <w:ind w:left="160"/>
              <w:spacing w:after="0" w:line="138" w:lineRule="exact"/>
              <w:rPr>
                <w:sz w:val="20"/>
                <w:szCs w:val="20"/>
                <w:color w:val="auto"/>
              </w:rPr>
            </w:pPr>
            <w:r>
              <w:rPr>
                <w:rFonts w:ascii="Arial" w:cs="Arial" w:eastAsia="Arial" w:hAnsi="Arial"/>
                <w:sz w:val="16"/>
                <w:szCs w:val="16"/>
                <w:color w:val="auto"/>
              </w:rPr>
              <w:t>goods, the inspection, labeling, packaging, and associated machinery shall be addressed</w:t>
            </w: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tcBorders>
              <w:left w:val="single" w:sz="8" w:color="auto"/>
            </w:tcBorders>
            <w:gridSpan w:val="4"/>
          </w:tcPr>
          <w:p>
            <w:pPr>
              <w:ind w:left="160"/>
              <w:spacing w:after="0"/>
              <w:rPr>
                <w:sz w:val="20"/>
                <w:szCs w:val="20"/>
                <w:color w:val="auto"/>
              </w:rPr>
            </w:pPr>
            <w:r>
              <w:rPr>
                <w:rFonts w:ascii="Arial" w:cs="Arial" w:eastAsia="Arial" w:hAnsi="Arial"/>
                <w:sz w:val="16"/>
                <w:szCs w:val="16"/>
                <w:color w:val="auto"/>
              </w:rPr>
              <w:t>taking into account capacity capabilities.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560" w:type="dxa"/>
            <w:vAlign w:val="bottom"/>
            <w:tcBorders>
              <w:left w:val="single" w:sz="8" w:color="auto"/>
            </w:tcBorders>
            <w:gridSpan w:val="10"/>
          </w:tcPr>
          <w:p>
            <w:pPr>
              <w:ind w:left="160"/>
              <w:spacing w:after="0" w:line="173" w:lineRule="exact"/>
              <w:rPr>
                <w:sz w:val="20"/>
                <w:szCs w:val="20"/>
                <w:color w:val="auto"/>
              </w:rPr>
            </w:pPr>
            <w:r>
              <w:rPr>
                <w:rFonts w:ascii="Arial" w:cs="Arial" w:eastAsia="Arial" w:hAnsi="Arial"/>
                <w:sz w:val="16"/>
                <w:szCs w:val="16"/>
                <w:color w:val="auto"/>
              </w:rPr>
              <w:t>c) The focus on the aspects of resiliency shall be on critical components and aspects of</w:t>
            </w: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complying with the Agreement delivery schedule. Delivery methods shall be addressed,</w:t>
            </w: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560" w:type="dxa"/>
            <w:vAlign w:val="bottom"/>
            <w:tcBorders>
              <w:left w:val="single" w:sz="8" w:color="auto"/>
            </w:tcBorders>
            <w:gridSpan w:val="10"/>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inclusive of items that are foreign-sourced, both high and low volume, which would</w:t>
            </w: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6560" w:type="dxa"/>
            <w:vAlign w:val="bottom"/>
            <w:tcBorders>
              <w:left w:val="single" w:sz="8" w:color="auto"/>
            </w:tcBorders>
            <w:gridSpan w:val="10"/>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significantly affect throughput and adherence to the contractually agreed deliveries.</w:t>
            </w:r>
          </w:p>
        </w:tc>
        <w:tc>
          <w:tcPr>
            <w:tcW w:w="5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tcBorders>
            <w:gridSpan w:val="10"/>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The Awardee shall articulate in the plan, the methodology for inventory control, production</w:t>
            </w: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6560" w:type="dxa"/>
            <w:vAlign w:val="bottom"/>
            <w:tcBorders>
              <w:left w:val="single" w:sz="8" w:color="auto"/>
            </w:tcBorders>
            <w:gridSpan w:val="10"/>
            <w:vMerge w:val="continue"/>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6560" w:type="dxa"/>
            <w:vAlign w:val="bottom"/>
            <w:tcBorders>
              <w:left w:val="single" w:sz="8" w:color="auto"/>
            </w:tcBorders>
            <w:gridSpan w:val="10"/>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100" w:type="dxa"/>
            <w:vAlign w:val="bottom"/>
            <w:tcBorders>
              <w:left w:val="single" w:sz="8" w:color="auto"/>
            </w:tcBorders>
            <w:gridSpan w:val="11"/>
            <w:vMerge w:val="restart"/>
          </w:tcPr>
          <w:p>
            <w:pPr>
              <w:ind w:left="160"/>
              <w:spacing w:after="0"/>
              <w:rPr>
                <w:sz w:val="20"/>
                <w:szCs w:val="20"/>
                <w:color w:val="auto"/>
              </w:rPr>
            </w:pPr>
            <w:r>
              <w:rPr>
                <w:rFonts w:ascii="Arial" w:cs="Arial" w:eastAsia="Arial" w:hAnsi="Arial"/>
                <w:sz w:val="16"/>
                <w:szCs w:val="16"/>
                <w:color w:val="auto"/>
                <w:w w:val="90"/>
              </w:rPr>
              <w:t>planning, scheduling processes and ordering mechanisms, as part of those agreed deliveries. a) Production</w:t>
            </w:r>
          </w:p>
        </w:tc>
        <w:tc>
          <w:tcPr>
            <w:tcW w:w="8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7100" w:type="dxa"/>
            <w:vAlign w:val="bottom"/>
            <w:tcBorders>
              <w:left w:val="single" w:sz="8" w:color="auto"/>
            </w:tcBorders>
            <w:gridSpan w:val="11"/>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560" w:type="dxa"/>
            <w:vAlign w:val="bottom"/>
            <w:tcBorders>
              <w:left w:val="single" w:sz="8" w:color="auto"/>
            </w:tcBorders>
            <w:gridSpan w:val="10"/>
            <w:vMerge w:val="restart"/>
          </w:tcPr>
          <w:p>
            <w:pPr>
              <w:ind w:left="160"/>
              <w:spacing w:after="0"/>
              <w:rPr>
                <w:sz w:val="20"/>
                <w:szCs w:val="20"/>
                <w:color w:val="auto"/>
              </w:rPr>
            </w:pPr>
            <w:r>
              <w:rPr>
                <w:rFonts w:ascii="Arial" w:cs="Arial" w:eastAsia="Arial" w:hAnsi="Arial"/>
                <w:sz w:val="16"/>
                <w:szCs w:val="16"/>
                <w:color w:val="auto"/>
              </w:rPr>
              <w:t>rates and lead times shall be understood and communicated to the (continued)</w:t>
            </w: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6560" w:type="dxa"/>
            <w:vAlign w:val="bottom"/>
            <w:tcBorders>
              <w:left w:val="single" w:sz="8" w:color="auto"/>
            </w:tcBorders>
            <w:gridSpan w:val="10"/>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8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880" w:type="dxa"/>
            <w:vAlign w:val="bottom"/>
            <w:tcBorders>
              <w:lef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Pr>
          <w:p>
            <w:pPr>
              <w:ind w:left="20"/>
              <w:spacing w:after="0"/>
              <w:rPr>
                <w:sz w:val="20"/>
                <w:szCs w:val="20"/>
                <w:color w:val="auto"/>
              </w:rPr>
            </w:pPr>
            <w:r>
              <w:rPr>
                <w:rFonts w:ascii="Arial" w:cs="Arial" w:eastAsia="Arial" w:hAnsi="Arial"/>
                <w:sz w:val="9"/>
                <w:szCs w:val="9"/>
                <w:color w:val="auto"/>
              </w:rPr>
              <w:t>15. TOTAL</w:t>
            </w:r>
          </w:p>
        </w:tc>
        <w:tc>
          <w:tcPr>
            <w:tcW w:w="400" w:type="dxa"/>
            <w:vAlign w:val="bottom"/>
            <w:tcBorders>
              <w:right w:val="single" w:sz="8" w:color="auto"/>
            </w:tcBorders>
          </w:tcPr>
          <w:p>
            <w:pPr>
              <w:spacing w:after="0"/>
              <w:rPr>
                <w:sz w:val="11"/>
                <w:szCs w:val="11"/>
                <w:color w:val="auto"/>
              </w:rPr>
            </w:pPr>
          </w:p>
        </w:tc>
        <w:tc>
          <w:tcPr>
            <w:tcW w:w="280" w:type="dxa"/>
            <w:vAlign w:val="bottom"/>
            <w:vMerge w:val="restart"/>
          </w:tcPr>
          <w:p>
            <w:pPr>
              <w:spacing w:after="0"/>
              <w:rPr>
                <w:sz w:val="20"/>
                <w:szCs w:val="20"/>
                <w:color w:val="auto"/>
              </w:rPr>
            </w:pPr>
            <w:r>
              <w:rPr>
                <w:rFonts w:ascii="Arial" w:cs="Arial" w:eastAsia="Arial" w:hAnsi="Arial"/>
                <w:sz w:val="14"/>
                <w:szCs w:val="14"/>
                <w:color w:val="auto"/>
              </w:rPr>
              <w:t>2</w:t>
            </w:r>
          </w:p>
        </w:tc>
        <w:tc>
          <w:tcPr>
            <w:tcW w:w="180" w:type="dxa"/>
            <w:vAlign w:val="bottom"/>
            <w:tcBorders>
              <w:right w:val="single" w:sz="8" w:color="auto"/>
            </w:tcBorders>
          </w:tcPr>
          <w:p>
            <w:pPr>
              <w:spacing w:after="0"/>
              <w:rPr>
                <w:sz w:val="11"/>
                <w:szCs w:val="11"/>
                <w:color w:val="auto"/>
              </w:rPr>
            </w:pPr>
          </w:p>
        </w:tc>
        <w:tc>
          <w:tcPr>
            <w:tcW w:w="240" w:type="dxa"/>
            <w:vAlign w:val="bottom"/>
            <w:vMerge w:val="restart"/>
          </w:tcPr>
          <w:p>
            <w:pPr>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1880" w:type="dxa"/>
            <w:vAlign w:val="bottom"/>
            <w:tcBorders>
              <w:left w:val="single" w:sz="8" w:color="auto"/>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G. PREPARED BY</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960" w:type="dxa"/>
            <w:vAlign w:val="bottom"/>
          </w:tcPr>
          <w:p>
            <w:pPr>
              <w:jc w:val="right"/>
              <w:ind w:right="208"/>
              <w:spacing w:after="0"/>
              <w:rPr>
                <w:sz w:val="20"/>
                <w:szCs w:val="20"/>
                <w:color w:val="auto"/>
              </w:rPr>
            </w:pPr>
            <w:r>
              <w:rPr>
                <w:rFonts w:ascii="Arial" w:cs="Arial" w:eastAsia="Arial" w:hAnsi="Arial"/>
                <w:sz w:val="13"/>
                <w:szCs w:val="13"/>
                <w:b w:val="1"/>
                <w:bCs w:val="1"/>
                <w:color w:val="auto"/>
              </w:rPr>
              <w:t>H. DATE</w:t>
            </w:r>
          </w:p>
        </w:tc>
        <w:tc>
          <w:tcPr>
            <w:tcW w:w="420" w:type="dxa"/>
            <w:vAlign w:val="bottom"/>
            <w:tcBorders>
              <w:right w:val="single" w:sz="8" w:color="auto"/>
            </w:tcBorders>
          </w:tcPr>
          <w:p>
            <w:pPr>
              <w:spacing w:after="0"/>
              <w:rPr>
                <w:sz w:val="15"/>
                <w:szCs w:val="15"/>
                <w:color w:val="auto"/>
              </w:rPr>
            </w:pPr>
          </w:p>
        </w:tc>
        <w:tc>
          <w:tcPr>
            <w:tcW w:w="1560" w:type="dxa"/>
            <w:vAlign w:val="bottom"/>
            <w:gridSpan w:val="3"/>
          </w:tcPr>
          <w:p>
            <w:pPr>
              <w:jc w:val="center"/>
              <w:ind w:left="188"/>
              <w:spacing w:after="0"/>
              <w:rPr>
                <w:sz w:val="20"/>
                <w:szCs w:val="20"/>
                <w:color w:val="auto"/>
              </w:rPr>
            </w:pPr>
            <w:r>
              <w:rPr>
                <w:rFonts w:ascii="Arial" w:cs="Arial" w:eastAsia="Arial" w:hAnsi="Arial"/>
                <w:sz w:val="13"/>
                <w:szCs w:val="13"/>
                <w:b w:val="1"/>
                <w:bCs w:val="1"/>
                <w:color w:val="auto"/>
                <w:w w:val="96"/>
              </w:rPr>
              <w:t>I. APPROVED BY</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J. DATE</w:t>
            </w: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80" w:type="dxa"/>
            <w:vAlign w:val="bottom"/>
            <w:tcBorders>
              <w:left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vMerge w:val="restart"/>
          </w:tcPr>
          <w:p>
            <w:pPr>
              <w:ind w:left="380"/>
              <w:spacing w:after="0" w:line="97" w:lineRule="exact"/>
              <w:rPr>
                <w:sz w:val="20"/>
                <w:szCs w:val="20"/>
                <w:color w:val="auto"/>
              </w:rPr>
            </w:pPr>
            <w:r>
              <w:rPr>
                <w:rFonts w:ascii="Arial" w:cs="Arial" w:eastAsia="Arial" w:hAnsi="Arial"/>
                <w:sz w:val="9"/>
                <w:szCs w:val="9"/>
                <w:color w:val="auto"/>
              </w:rPr>
              <w:t>Digitally signed by</w:t>
            </w: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tcBorders>
            <w:vMerge w:val="restart"/>
          </w:tcPr>
          <w:p>
            <w:pPr>
              <w:ind w:left="180"/>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80" w:type="dxa"/>
            <w:vAlign w:val="bottom"/>
            <w:tcBorders>
              <w:left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020" w:type="dxa"/>
            <w:vAlign w:val="bottom"/>
            <w:gridSpan w:val="2"/>
            <w:vMerge w:val="restart"/>
          </w:tcPr>
          <w:p>
            <w:pPr>
              <w:jc w:val="right"/>
              <w:ind w:right="680"/>
              <w:spacing w:after="0"/>
              <w:rPr>
                <w:sz w:val="20"/>
                <w:szCs w:val="20"/>
                <w:color w:val="auto"/>
              </w:rPr>
            </w:pPr>
            <w:r>
              <w:rPr>
                <w:rFonts w:ascii="Arial" w:cs="Arial" w:eastAsia="Arial" w:hAnsi="Arial"/>
                <w:sz w:val="20"/>
                <w:szCs w:val="20"/>
                <w:color w:val="auto"/>
              </w:rPr>
              <w:t>/s/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ind w:left="380"/>
              <w:spacing w:after="0"/>
              <w:rPr>
                <w:sz w:val="20"/>
                <w:szCs w:val="20"/>
                <w:color w:val="auto"/>
              </w:rPr>
            </w:pPr>
            <w:r>
              <w:rPr>
                <w:rFonts w:ascii="Arial" w:cs="Arial" w:eastAsia="Arial" w:hAnsi="Arial"/>
                <w:sz w:val="9"/>
                <w:szCs w:val="9"/>
                <w:color w:val="auto"/>
              </w:rPr>
              <w:t>Date: 2020.12.30</w:t>
            </w:r>
          </w:p>
        </w:tc>
        <w:tc>
          <w:tcPr>
            <w:tcW w:w="400" w:type="dxa"/>
            <w:vAlign w:val="bottom"/>
            <w:tcBorders>
              <w:right w:val="single" w:sz="8" w:color="auto"/>
            </w:tcBorders>
          </w:tcPr>
          <w:p>
            <w:pPr>
              <w:spacing w:after="0"/>
              <w:rPr>
                <w:sz w:val="11"/>
                <w:szCs w:val="11"/>
                <w:color w:val="auto"/>
              </w:rPr>
            </w:pPr>
          </w:p>
        </w:tc>
        <w:tc>
          <w:tcPr>
            <w:tcW w:w="700" w:type="dxa"/>
            <w:vAlign w:val="bottom"/>
            <w:gridSpan w:val="3"/>
            <w:vMerge w:val="restart"/>
          </w:tcPr>
          <w:p>
            <w:pPr>
              <w:spacing w:after="0"/>
              <w:rPr>
                <w:sz w:val="20"/>
                <w:szCs w:val="20"/>
                <w:color w:val="auto"/>
              </w:rPr>
            </w:pPr>
            <w:r>
              <w:rPr>
                <w:rFonts w:ascii="Arial" w:cs="Arial" w:eastAsia="Arial" w:hAnsi="Arial"/>
                <w:sz w:val="9"/>
                <w:szCs w:val="9"/>
                <w:color w:val="auto"/>
              </w:rPr>
              <w:t>15:34:53-05’00’</w:t>
            </w: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88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500" w:type="dxa"/>
            <w:vAlign w:val="bottom"/>
            <w:tcBorders>
              <w:left w:val="single" w:sz="8" w:color="auto"/>
            </w:tcBorders>
            <w:gridSpan w:val="4"/>
          </w:tcPr>
          <w:p>
            <w:pPr>
              <w:ind w:left="1280"/>
              <w:spacing w:after="0"/>
              <w:rPr>
                <w:sz w:val="20"/>
                <w:szCs w:val="20"/>
                <w:color w:val="auto"/>
              </w:rPr>
            </w:pPr>
            <w:r>
              <w:rPr>
                <w:rFonts w:ascii="Arial" w:cs="Arial" w:eastAsia="Arial" w:hAnsi="Arial"/>
                <w:sz w:val="7"/>
                <w:szCs w:val="7"/>
                <w:color w:val="auto"/>
              </w:rPr>
              <w:t>Date 2020.12.31 10:51:18-05’00’</w:t>
            </w:r>
          </w:p>
        </w:tc>
        <w:tc>
          <w:tcPr>
            <w:tcW w:w="5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8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1" w:hanging="161"/>
        <w:spacing w:after="0"/>
        <w:tabs>
          <w:tab w:leader="none" w:pos="161" w:val="left"/>
        </w:tabs>
        <w:numPr>
          <w:ilvl w:val="0"/>
          <w:numId w:val="198"/>
        </w:numPr>
        <w:rPr>
          <w:rFonts w:ascii="Arial" w:cs="Arial" w:eastAsia="Arial" w:hAnsi="Arial"/>
          <w:sz w:val="9"/>
          <w:szCs w:val="9"/>
          <w:color w:val="auto"/>
        </w:rPr>
      </w:pPr>
      <w:r>
        <w:rPr>
          <w:rFonts w:ascii="Arial" w:cs="Arial" w:eastAsia="Arial" w:hAnsi="Arial"/>
          <w:sz w:val="9"/>
          <w:szCs w:val="9"/>
          <w:color w:val="auto"/>
        </w:rPr>
        <w:t>PRICE GROUP</w:t>
      </w:r>
    </w:p>
    <w:p>
      <w:pPr>
        <w:spacing w:after="0" w:line="200" w:lineRule="exact"/>
        <w:rPr>
          <w:rFonts w:ascii="Arial" w:cs="Arial" w:eastAsia="Arial" w:hAnsi="Arial"/>
          <w:sz w:val="9"/>
          <w:szCs w:val="9"/>
          <w:color w:val="auto"/>
        </w:rPr>
      </w:pPr>
    </w:p>
    <w:p>
      <w:pPr>
        <w:spacing w:after="0" w:line="371"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198"/>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-603250</wp:posOffset>
            </wp:positionV>
            <wp:extent cx="626110" cy="7283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6110" cy="728345"/>
                    </a:xfrm>
                    <a:prstGeom prst="rect">
                      <a:avLst/>
                    </a:prstGeom>
                    <a:noFill/>
                  </pic:spPr>
                </pic:pic>
              </a:graphicData>
            </a:graphic>
          </wp:anchor>
        </w:drawing>
      </w:r>
    </w:p>
    <w:p>
      <w:pPr>
        <w:spacing w:after="0" w:line="9592"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spacing w:after="0"/>
        <w:tabs>
          <w:tab w:leader="none" w:pos="2380" w:val="left"/>
          <w:tab w:leader="none" w:pos="5060" w:val="left"/>
        </w:tabs>
        <w:rPr>
          <w:sz w:val="20"/>
          <w:szCs w:val="20"/>
          <w:color w:val="auto"/>
        </w:rPr>
      </w:pPr>
      <w:r>
        <w:rPr>
          <w:rFonts w:ascii="Arial" w:cs="Arial" w:eastAsia="Arial" w:hAnsi="Arial"/>
          <w:sz w:val="16"/>
          <w:szCs w:val="16"/>
          <w:b w:val="1"/>
          <w:bCs w:val="1"/>
          <w:color w:val="auto"/>
        </w:rPr>
        <w:t>DD FORM 1423-1, FEB 2001</w:t>
      </w:r>
      <w:r>
        <w:rPr>
          <w:sz w:val="20"/>
          <w:szCs w:val="20"/>
          <w:color w:val="auto"/>
        </w:rPr>
        <w:tab/>
      </w:r>
      <w:r>
        <w:rPr>
          <w:rFonts w:ascii="Arial" w:cs="Arial" w:eastAsia="Arial" w:hAnsi="Arial"/>
          <w:sz w:val="14"/>
          <w:szCs w:val="14"/>
          <w:color w:val="080808"/>
        </w:rPr>
        <w:t>PREVIOUS EDITION MAY BE USED.</w:t>
      </w:r>
      <w:r>
        <w:rPr>
          <w:sz w:val="20"/>
          <w:szCs w:val="20"/>
          <w:color w:val="auto"/>
        </w:rPr>
        <w:tab/>
      </w:r>
      <w:r>
        <w:rPr>
          <w:rFonts w:ascii="Arial" w:cs="Arial" w:eastAsia="Arial" w:hAnsi="Arial"/>
          <w:sz w:val="11"/>
          <w:szCs w:val="11"/>
          <w:color w:val="090909"/>
        </w:rPr>
        <w:t xml:space="preserve">Page 22 </w:t>
      </w:r>
      <w:r>
        <w:rPr>
          <w:rFonts w:ascii="Arial" w:cs="Arial" w:eastAsia="Arial" w:hAnsi="Arial"/>
          <w:sz w:val="12"/>
          <w:szCs w:val="12"/>
          <w:color w:val="070707"/>
        </w:rPr>
        <w:t>of 32</w:t>
      </w:r>
      <w:r>
        <w:rPr>
          <w:rFonts w:ascii="Arial" w:cs="Arial" w:eastAsia="Arial" w:hAnsi="Arial"/>
          <w:sz w:val="11"/>
          <w:szCs w:val="11"/>
          <w:color w:val="090909"/>
        </w:rPr>
        <w:t xml:space="preserve"> </w:t>
      </w:r>
      <w:r>
        <w:rPr>
          <w:rFonts w:ascii="Arial" w:cs="Arial" w:eastAsia="Arial" w:hAnsi="Arial"/>
          <w:sz w:val="11"/>
          <w:szCs w:val="11"/>
          <w:color w:val="0B0B0B"/>
        </w:rPr>
        <w:t>Pages</w:t>
      </w:r>
    </w:p>
    <w:p>
      <w:pPr>
        <w:sectPr>
          <w:pgSz w:w="11900" w:h="16838" w:orient="portrait"/>
          <w:cols w:equalWidth="0" w:num="1">
            <w:col w:w="11160"/>
          </w:cols>
          <w:pgMar w:left="320" w:top="403" w:right="419" w:bottom="1440" w:gutter="0" w:footer="0" w:header="0"/>
          <w:type w:val="continuous"/>
        </w:sectPr>
      </w:pPr>
    </w:p>
    <w:p>
      <w:pPr>
        <w:spacing w:after="0" w:line="17" w:lineRule="exact"/>
        <w:rPr>
          <w:sz w:val="20"/>
          <w:szCs w:val="20"/>
          <w:color w:val="auto"/>
        </w:r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47" w:name="page148"/>
    <w:bookmarkEnd w:id="14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071995" cy="69176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71995" cy="6917690"/>
                    </a:xfrm>
                    <a:prstGeom prst="rect">
                      <a:avLst/>
                    </a:prstGeom>
                    <a:noFill/>
                  </pic:spPr>
                </pic:pic>
              </a:graphicData>
            </a:graphic>
          </wp:anchor>
        </w:drawing>
        <w:t>CONTRACT DATA REQUIREMENTS LIST</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(1 Data Item)</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A. CONTRACT LINE ITEM NO.</w:t>
            </w:r>
          </w:p>
        </w:tc>
        <w:tc>
          <w:tcPr>
            <w:tcW w:w="2100" w:type="dxa"/>
            <w:vAlign w:val="bottom"/>
            <w:tcBorders>
              <w:top w:val="single" w:sz="8" w:color="auto"/>
              <w:right w:val="single" w:sz="8" w:color="auto"/>
            </w:tcBorders>
            <w:gridSpan w:val="2"/>
          </w:tcPr>
          <w:p>
            <w:pPr>
              <w:ind w:left="580"/>
              <w:spacing w:after="0"/>
              <w:rPr>
                <w:sz w:val="20"/>
                <w:szCs w:val="20"/>
                <w:color w:val="auto"/>
              </w:rPr>
            </w:pPr>
            <w:r>
              <w:rPr>
                <w:rFonts w:ascii="Arial" w:cs="Arial" w:eastAsia="Arial" w:hAnsi="Arial"/>
                <w:sz w:val="13"/>
                <w:szCs w:val="13"/>
                <w:b w:val="1"/>
                <w:bCs w:val="1"/>
                <w:color w:val="auto"/>
              </w:rPr>
              <w:t>B. EXHIBIT</w:t>
            </w:r>
          </w:p>
        </w:tc>
        <w:tc>
          <w:tcPr>
            <w:tcW w:w="1620" w:type="dxa"/>
            <w:vAlign w:val="bottom"/>
            <w:tcBorders>
              <w:top w:val="single" w:sz="8" w:color="auto"/>
            </w:tcBorders>
          </w:tcPr>
          <w:p>
            <w:pPr>
              <w:ind w:left="80"/>
              <w:spacing w:after="0"/>
              <w:rPr>
                <w:sz w:val="20"/>
                <w:szCs w:val="20"/>
                <w:color w:val="auto"/>
              </w:rPr>
            </w:pPr>
            <w:r>
              <w:rPr>
                <w:rFonts w:ascii="Arial" w:cs="Arial" w:eastAsia="Arial" w:hAnsi="Arial"/>
                <w:sz w:val="13"/>
                <w:szCs w:val="13"/>
                <w:b w:val="1"/>
                <w:bCs w:val="1"/>
                <w:color w:val="auto"/>
              </w:rPr>
              <w:t>C. CATEGORY:</w:t>
            </w:r>
          </w:p>
        </w:tc>
        <w:tc>
          <w:tcPr>
            <w:tcW w:w="4340" w:type="dxa"/>
            <w:vAlign w:val="bottom"/>
            <w:tcBorders>
              <w:top w:val="single" w:sz="8" w:color="auto"/>
            </w:tcBorders>
          </w:tcPr>
          <w:p>
            <w:pPr>
              <w:spacing w:after="0"/>
              <w:rPr>
                <w:sz w:val="16"/>
                <w:szCs w:val="16"/>
                <w:color w:val="auto"/>
              </w:rPr>
            </w:pPr>
          </w:p>
        </w:tc>
      </w:tr>
      <w:tr>
        <w:trPr>
          <w:trHeight w:val="218"/>
        </w:trPr>
        <w:tc>
          <w:tcPr>
            <w:tcW w:w="3080" w:type="dxa"/>
            <w:vAlign w:val="bottom"/>
            <w:tcBorders>
              <w:right w:val="single" w:sz="8" w:color="auto"/>
            </w:tcBorders>
          </w:tcPr>
          <w:p>
            <w:pPr>
              <w:jc w:val="right"/>
              <w:ind w:right="1048"/>
              <w:spacing w:after="0"/>
              <w:rPr>
                <w:sz w:val="20"/>
                <w:szCs w:val="20"/>
                <w:color w:val="auto"/>
              </w:rPr>
            </w:pPr>
            <w:r>
              <w:rPr>
                <w:rFonts w:ascii="Arial" w:cs="Arial" w:eastAsia="Arial" w:hAnsi="Arial"/>
                <w:sz w:val="16"/>
                <w:szCs w:val="16"/>
                <w:color w:val="auto"/>
              </w:rPr>
              <w:t>0001</w:t>
            </w:r>
          </w:p>
        </w:tc>
        <w:tc>
          <w:tcPr>
            <w:tcW w:w="800" w:type="dxa"/>
            <w:vAlign w:val="bottom"/>
          </w:tcPr>
          <w:p>
            <w:pPr>
              <w:spacing w:after="0"/>
              <w:rPr>
                <w:sz w:val="19"/>
                <w:szCs w:val="19"/>
                <w:color w:val="auto"/>
              </w:rPr>
            </w:pPr>
          </w:p>
        </w:tc>
        <w:tc>
          <w:tcPr>
            <w:tcW w:w="130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A</w:t>
            </w:r>
          </w:p>
        </w:tc>
        <w:tc>
          <w:tcPr>
            <w:tcW w:w="1620" w:type="dxa"/>
            <w:vAlign w:val="bottom"/>
          </w:tcPr>
          <w:p>
            <w:pPr>
              <w:spacing w:after="0"/>
              <w:rPr>
                <w:sz w:val="19"/>
                <w:szCs w:val="19"/>
                <w:color w:val="auto"/>
              </w:rPr>
            </w:pPr>
          </w:p>
        </w:tc>
        <w:tc>
          <w:tcPr>
            <w:tcW w:w="4340" w:type="dxa"/>
            <w:vAlign w:val="bottom"/>
          </w:tcPr>
          <w:p>
            <w:pPr>
              <w:ind w:left="520"/>
              <w:spacing w:after="0"/>
              <w:rPr>
                <w:sz w:val="20"/>
                <w:szCs w:val="20"/>
                <w:color w:val="auto"/>
              </w:rPr>
            </w:pPr>
            <w:r>
              <w:rPr>
                <w:rFonts w:ascii="Arial" w:cs="Arial" w:eastAsia="Arial" w:hAnsi="Arial"/>
                <w:sz w:val="9"/>
                <w:szCs w:val="9"/>
                <w:color w:val="auto"/>
              </w:rPr>
              <w:t xml:space="preserve">TDP  </w:t>
            </w:r>
            <w:r>
              <w:rPr>
                <w:rFonts w:ascii="Arial" w:cs="Arial" w:eastAsia="Arial" w:hAnsi="Arial"/>
                <w:sz w:val="17"/>
                <w:szCs w:val="17"/>
                <w:color w:val="auto"/>
              </w:rPr>
              <w:t>X</w:t>
            </w:r>
            <w:r>
              <w:rPr>
                <w:rFonts w:ascii="Arial" w:cs="Arial" w:eastAsia="Arial" w:hAnsi="Arial"/>
                <w:sz w:val="9"/>
                <w:szCs w:val="9"/>
                <w:color w:val="auto"/>
              </w:rPr>
              <w:t xml:space="preserve"> TM  OTHER</w:t>
            </w:r>
          </w:p>
        </w:tc>
      </w:tr>
      <w:tr>
        <w:trPr>
          <w:trHeight w:val="121"/>
        </w:trPr>
        <w:tc>
          <w:tcPr>
            <w:tcW w:w="308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r>
        <w:trPr>
          <w:trHeight w:val="48"/>
        </w:trPr>
        <w:tc>
          <w:tcPr>
            <w:tcW w:w="30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r>
      <w:tr>
        <w:trPr>
          <w:trHeight w:val="186"/>
        </w:trPr>
        <w:tc>
          <w:tcPr>
            <w:tcW w:w="30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800" w:type="dxa"/>
            <w:vAlign w:val="bottom"/>
            <w:tcBorders>
              <w:right w:val="single" w:sz="8" w:color="auto"/>
            </w:tcBorders>
          </w:tcPr>
          <w:p>
            <w:pPr>
              <w:spacing w:after="0"/>
              <w:rPr>
                <w:sz w:val="16"/>
                <w:szCs w:val="16"/>
                <w:color w:val="auto"/>
              </w:rPr>
            </w:pPr>
          </w:p>
        </w:tc>
        <w:tc>
          <w:tcPr>
            <w:tcW w:w="292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4340" w:type="dxa"/>
            <w:vAlign w:val="bottom"/>
          </w:tcPr>
          <w:p>
            <w:pPr>
              <w:ind w:left="60"/>
              <w:spacing w:after="0"/>
              <w:rPr>
                <w:sz w:val="20"/>
                <w:szCs w:val="20"/>
                <w:color w:val="auto"/>
              </w:rPr>
            </w:pPr>
            <w:r>
              <w:rPr>
                <w:rFonts w:ascii="Arial" w:cs="Arial" w:eastAsia="Arial" w:hAnsi="Arial"/>
                <w:sz w:val="13"/>
                <w:szCs w:val="13"/>
                <w:b w:val="1"/>
                <w:bCs w:val="1"/>
                <w:color w:val="auto"/>
              </w:rPr>
              <w:t>F. CONTRACTOR</w:t>
            </w:r>
          </w:p>
        </w:tc>
      </w:tr>
      <w:tr>
        <w:trPr>
          <w:trHeight w:val="206"/>
        </w:trPr>
        <w:tc>
          <w:tcPr>
            <w:tcW w:w="3080" w:type="dxa"/>
            <w:vAlign w:val="bottom"/>
          </w:tcPr>
          <w:p>
            <w:pPr>
              <w:ind w:left="1940"/>
              <w:spacing w:after="0"/>
              <w:rPr>
                <w:sz w:val="20"/>
                <w:szCs w:val="20"/>
                <w:color w:val="auto"/>
              </w:rPr>
            </w:pPr>
            <w:r>
              <w:rPr>
                <w:rFonts w:ascii="Arial" w:cs="Arial" w:eastAsia="Arial" w:hAnsi="Arial"/>
                <w:sz w:val="16"/>
                <w:szCs w:val="16"/>
                <w:color w:val="auto"/>
              </w:rPr>
              <w:t>Therapeutics</w:t>
            </w:r>
          </w:p>
        </w:tc>
        <w:tc>
          <w:tcPr>
            <w:tcW w:w="8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4340" w:type="dxa"/>
            <w:vAlign w:val="bottom"/>
          </w:tcPr>
          <w:p>
            <w:pPr>
              <w:ind w:left="2420"/>
              <w:spacing w:after="0"/>
              <w:rPr>
                <w:sz w:val="20"/>
                <w:szCs w:val="20"/>
                <w:color w:val="auto"/>
              </w:rPr>
            </w:pPr>
            <w:r>
              <w:rPr>
                <w:rFonts w:ascii="Arial" w:cs="Arial" w:eastAsia="Arial" w:hAnsi="Arial"/>
                <w:sz w:val="16"/>
                <w:szCs w:val="16"/>
                <w:color w:val="auto"/>
              </w:rPr>
              <w:t>Regeneron</w:t>
            </w:r>
          </w:p>
        </w:tc>
      </w:tr>
      <w:tr>
        <w:trPr>
          <w:trHeight w:val="46"/>
        </w:trPr>
        <w:tc>
          <w:tcPr>
            <w:tcW w:w="308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r>
    </w:tbl>
    <w:p>
      <w:pPr>
        <w:spacing w:after="0" w:line="59" w:lineRule="exact"/>
        <w:rPr>
          <w:sz w:val="20"/>
          <w:szCs w:val="20"/>
          <w:color w:val="auto"/>
        </w:rPr>
      </w:pPr>
    </w:p>
    <w:p>
      <w:pPr>
        <w:ind w:left="100"/>
        <w:spacing w:after="0"/>
        <w:rPr>
          <w:sz w:val="20"/>
          <w:szCs w:val="20"/>
          <w:color w:val="auto"/>
        </w:rPr>
      </w:pPr>
      <w:r>
        <w:rPr>
          <w:rFonts w:ascii="Arial" w:cs="Arial" w:eastAsia="Arial" w:hAnsi="Arial"/>
          <w:sz w:val="9"/>
          <w:szCs w:val="9"/>
          <w:color w:val="auto"/>
        </w:rPr>
        <w:t xml:space="preserve">16. REMARKS </w:t>
      </w:r>
      <w:r>
        <w:rPr>
          <w:rFonts w:ascii="Arial" w:cs="Arial" w:eastAsia="Arial" w:hAnsi="Arial"/>
          <w:sz w:val="9"/>
          <w:szCs w:val="9"/>
          <w:i w:val="1"/>
          <w:iCs w:val="1"/>
          <w:color w:val="auto"/>
        </w:rPr>
        <w:t>(Continued)</w:t>
      </w:r>
    </w:p>
    <w:p>
      <w:pPr>
        <w:spacing w:after="0" w:line="4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Agreements Officer or the Agreements Officer's Representative as necessary.</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 Production throughput critical constraints should be well understood by activity and by</w:t>
      </w:r>
    </w:p>
    <w:p>
      <w:pPr>
        <w:spacing w:after="0" w:line="5" w:lineRule="exact"/>
        <w:rPr>
          <w:sz w:val="20"/>
          <w:szCs w:val="20"/>
          <w:color w:val="auto"/>
        </w:rPr>
      </w:pPr>
    </w:p>
    <w:p>
      <w:pPr>
        <w:ind w:left="180" w:right="200"/>
        <w:spacing w:after="0" w:line="257" w:lineRule="auto"/>
        <w:rPr>
          <w:sz w:val="20"/>
          <w:szCs w:val="20"/>
          <w:color w:val="auto"/>
        </w:rPr>
      </w:pPr>
      <w:r>
        <w:rPr>
          <w:rFonts w:ascii="Arial" w:cs="Arial" w:eastAsia="Arial" w:hAnsi="Arial"/>
          <w:sz w:val="16"/>
          <w:szCs w:val="16"/>
          <w:color w:val="auto"/>
        </w:rPr>
        <w:t>design, and communicated to contractual personnel. As necessary, communication should focus on identification, exploitation, elevation, and secondary constraints of throughput, as appropriate.</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Reports for critical items should include the following information:</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 Critical Material</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II. Vendor</w:t>
      </w:r>
    </w:p>
    <w:p>
      <w:pPr>
        <w:spacing w:after="0" w:line="5" w:lineRule="exact"/>
        <w:rPr>
          <w:sz w:val="20"/>
          <w:szCs w:val="20"/>
          <w:color w:val="auto"/>
        </w:rPr>
      </w:pPr>
    </w:p>
    <w:p>
      <w:pPr>
        <w:ind w:left="180" w:right="7660" w:hanging="7"/>
        <w:spacing w:after="0" w:line="246" w:lineRule="auto"/>
        <w:tabs>
          <w:tab w:leader="none" w:pos="423" w:val="left"/>
        </w:tabs>
        <w:numPr>
          <w:ilvl w:val="1"/>
          <w:numId w:val="199"/>
        </w:numPr>
        <w:rPr>
          <w:rFonts w:ascii="Arial" w:cs="Arial" w:eastAsia="Arial" w:hAnsi="Arial"/>
          <w:sz w:val="16"/>
          <w:szCs w:val="16"/>
          <w:color w:val="auto"/>
        </w:rPr>
      </w:pPr>
      <w:r>
        <w:rPr>
          <w:rFonts w:ascii="Arial" w:cs="Arial" w:eastAsia="Arial" w:hAnsi="Arial"/>
          <w:sz w:val="16"/>
          <w:szCs w:val="16"/>
          <w:color w:val="auto"/>
        </w:rPr>
        <w:t>Supplier, Manufacturing/ Distribution Location IV. Supplier Lead Time</w:t>
      </w:r>
    </w:p>
    <w:p>
      <w:pPr>
        <w:ind w:left="180"/>
        <w:spacing w:after="0"/>
        <w:rPr>
          <w:rFonts w:ascii="Arial" w:cs="Arial" w:eastAsia="Arial" w:hAnsi="Arial"/>
          <w:sz w:val="16"/>
          <w:szCs w:val="16"/>
          <w:color w:val="auto"/>
        </w:rPr>
      </w:pPr>
      <w:r>
        <w:rPr>
          <w:rFonts w:ascii="Arial" w:cs="Arial" w:eastAsia="Arial" w:hAnsi="Arial"/>
          <w:sz w:val="16"/>
          <w:szCs w:val="16"/>
          <w:color w:val="auto"/>
        </w:rPr>
        <w:t>V. Shelf Life</w:t>
      </w:r>
    </w:p>
    <w:p>
      <w:pPr>
        <w:spacing w:after="0" w:line="5"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VI. Transportation/ Shipping restrictions</w:t>
      </w:r>
    </w:p>
    <w:p>
      <w:pPr>
        <w:spacing w:after="0" w:line="5" w:lineRule="exact"/>
        <w:rPr>
          <w:rFonts w:ascii="Arial" w:cs="Arial" w:eastAsia="Arial" w:hAnsi="Arial"/>
          <w:sz w:val="16"/>
          <w:szCs w:val="16"/>
          <w:color w:val="auto"/>
        </w:rPr>
      </w:pPr>
    </w:p>
    <w:p>
      <w:pPr>
        <w:ind w:left="180" w:right="160"/>
        <w:spacing w:after="0" w:line="246" w:lineRule="auto"/>
        <w:rPr>
          <w:rFonts w:ascii="Arial" w:cs="Arial" w:eastAsia="Arial" w:hAnsi="Arial"/>
          <w:sz w:val="16"/>
          <w:szCs w:val="16"/>
          <w:color w:val="auto"/>
        </w:rPr>
      </w:pPr>
      <w:r>
        <w:rPr>
          <w:rFonts w:ascii="Arial" w:cs="Arial" w:eastAsia="Arial" w:hAnsi="Arial"/>
          <w:sz w:val="16"/>
          <w:szCs w:val="16"/>
          <w:color w:val="auto"/>
        </w:rPr>
        <w:t>The AO and AOR reserve the right to request un-redacted copies of technical documents provided in response to this subsection, during the period of performance, for distribution within the Government.</w:t>
      </w:r>
    </w:p>
    <w:p>
      <w:pPr>
        <w:ind w:left="180" w:right="240"/>
        <w:spacing w:after="0" w:line="257" w:lineRule="auto"/>
        <w:rPr>
          <w:rFonts w:ascii="Arial" w:cs="Arial" w:eastAsia="Arial" w:hAnsi="Arial"/>
          <w:sz w:val="16"/>
          <w:szCs w:val="16"/>
          <w:color w:val="auto"/>
        </w:rPr>
      </w:pPr>
      <w:r>
        <w:rPr>
          <w:rFonts w:ascii="Arial" w:cs="Arial" w:eastAsia="Arial" w:hAnsi="Arial"/>
          <w:sz w:val="16"/>
          <w:szCs w:val="16"/>
          <w:color w:val="auto"/>
        </w:rPr>
        <w:t xml:space="preserve">Documents shall be provided within </w:t>
      </w:r>
      <w:r>
        <w:rPr>
          <w:rFonts w:ascii="Arial" w:cs="Arial" w:eastAsia="Arial" w:hAnsi="Arial"/>
          <w:sz w:val="14"/>
          <w:szCs w:val="14"/>
          <w:color w:val="2A2A2A"/>
        </w:rPr>
        <w:t>[* * *]</w:t>
      </w:r>
      <w:r>
        <w:rPr>
          <w:rFonts w:ascii="Arial" w:cs="Arial" w:eastAsia="Arial" w:hAnsi="Arial"/>
          <w:sz w:val="16"/>
          <w:szCs w:val="16"/>
          <w:color w:val="auto"/>
        </w:rPr>
        <w:t xml:space="preserve"> after AO issues the request. The contractor may arrange for additional time if deemed necessary, and agreed to by the AO. The Government will have Limited Rights in any documents provided under this subsection.</w:t>
      </w:r>
    </w:p>
    <w:p>
      <w:pPr>
        <w:spacing w:after="0" w:line="212" w:lineRule="exact"/>
        <w:rPr>
          <w:rFonts w:ascii="Arial" w:cs="Arial" w:eastAsia="Arial" w:hAnsi="Arial"/>
          <w:sz w:val="16"/>
          <w:szCs w:val="16"/>
          <w:color w:val="auto"/>
        </w:rPr>
      </w:pPr>
    </w:p>
    <w:p>
      <w:pPr>
        <w:ind w:left="680" w:hanging="511"/>
        <w:spacing w:after="0"/>
        <w:tabs>
          <w:tab w:leader="none" w:pos="6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Delivery of plan is within </w:t>
      </w:r>
      <w:r>
        <w:rPr>
          <w:rFonts w:ascii="Arial" w:cs="Arial" w:eastAsia="Arial" w:hAnsi="Arial"/>
          <w:sz w:val="14"/>
          <w:szCs w:val="14"/>
          <w:color w:val="2A2A2A"/>
        </w:rPr>
        <w:t>[* * *]</w:t>
      </w:r>
      <w:r>
        <w:rPr>
          <w:rFonts w:ascii="Arial" w:cs="Arial" w:eastAsia="Arial" w:hAnsi="Arial"/>
          <w:sz w:val="16"/>
          <w:szCs w:val="16"/>
          <w:color w:val="auto"/>
        </w:rPr>
        <w:t xml:space="preserve"> of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3320" w:val="left"/>
        </w:tabs>
        <w:rPr>
          <w:sz w:val="20"/>
          <w:szCs w:val="20"/>
          <w:color w:val="auto"/>
        </w:rPr>
      </w:pPr>
      <w:r>
        <w:rPr>
          <w:rFonts w:ascii="Arial" w:cs="Arial" w:eastAsia="Arial" w:hAnsi="Arial"/>
          <w:sz w:val="16"/>
          <w:szCs w:val="16"/>
          <w:b w:val="1"/>
          <w:bCs w:val="1"/>
          <w:color w:val="auto"/>
        </w:rPr>
        <w:t>DD FORM 1423-1, FEB 2001</w:t>
      </w:r>
      <w:r>
        <w:rPr>
          <w:sz w:val="20"/>
          <w:szCs w:val="20"/>
          <w:color w:val="auto"/>
        </w:rPr>
        <w:tab/>
      </w:r>
      <w:r>
        <w:rPr>
          <w:rFonts w:ascii="Arial" w:cs="Arial" w:eastAsia="Arial" w:hAnsi="Arial"/>
          <w:sz w:val="11"/>
          <w:szCs w:val="11"/>
          <w:color w:val="090909"/>
        </w:rPr>
        <w:t xml:space="preserve">Page 23 </w:t>
      </w:r>
      <w:r>
        <w:rPr>
          <w:rFonts w:ascii="Arial" w:cs="Arial" w:eastAsia="Arial" w:hAnsi="Arial"/>
          <w:sz w:val="12"/>
          <w:szCs w:val="12"/>
          <w:color w:val="070707"/>
        </w:rPr>
        <w:t>of 32</w:t>
      </w:r>
      <w:r>
        <w:rPr>
          <w:rFonts w:ascii="Arial" w:cs="Arial" w:eastAsia="Arial" w:hAnsi="Arial"/>
          <w:sz w:val="11"/>
          <w:szCs w:val="11"/>
          <w:color w:val="090909"/>
        </w:rPr>
        <w:t xml:space="preserve"> </w:t>
      </w:r>
      <w:r>
        <w:rPr>
          <w:rFonts w:ascii="Arial" w:cs="Arial" w:eastAsia="Arial" w:hAnsi="Arial"/>
          <w:sz w:val="11"/>
          <w:szCs w:val="11"/>
          <w:color w:val="0B0B0B"/>
        </w:rPr>
        <w:t>Pages</w:t>
      </w:r>
    </w:p>
    <w:p>
      <w:pPr>
        <w:sectPr>
          <w:pgSz w:w="11900" w:h="16838" w:orient="portrait"/>
          <w:cols w:equalWidth="0" w:num="1">
            <w:col w:w="11140"/>
          </w:cols>
          <w:pgMar w:left="320" w:top="531" w:right="439" w:bottom="1440" w:gutter="0" w:footer="0" w:header="0"/>
        </w:sectPr>
      </w:pPr>
    </w:p>
    <w:bookmarkStart w:id="148" w:name="page149"/>
    <w:bookmarkEnd w:id="148"/>
    <w:tbl>
      <w:tblPr>
        <w:tblLayout w:type="fixed"/>
        <w:tblInd w:w="10" w:type="dxa"/>
        <w:tblCellMar>
          <w:top w:w="0" w:type="dxa"/>
          <w:left w:w="0" w:type="dxa"/>
          <w:bottom w:w="0" w:type="dxa"/>
          <w:right w:w="0" w:type="dxa"/>
        </w:tblCellMar>
      </w:tblPr>
      <w:tr>
        <w:trPr>
          <w:trHeight w:val="308"/>
        </w:trPr>
        <w:tc>
          <w:tcPr>
            <w:tcW w:w="680" w:type="dxa"/>
            <w:vAlign w:val="bottom"/>
            <w:tcBorders>
              <w:top w:val="single" w:sz="8" w:color="auto"/>
              <w:left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CONTRACT DATA REQUIREMENTS LIST</w:t>
            </w: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3"/>
          </w:tcPr>
          <w:p>
            <w:pPr>
              <w:ind w:left="660"/>
              <w:spacing w:after="0"/>
              <w:rPr>
                <w:sz w:val="20"/>
                <w:szCs w:val="20"/>
                <w:color w:val="auto"/>
              </w:rPr>
            </w:pPr>
            <w:r>
              <w:rPr>
                <w:rFonts w:ascii="Arial" w:cs="Arial" w:eastAsia="Arial" w:hAnsi="Arial"/>
                <w:sz w:val="13"/>
                <w:szCs w:val="13"/>
                <w:i w:val="1"/>
                <w:iCs w:val="1"/>
                <w:color w:val="auto"/>
              </w:rPr>
              <w:t>Form Approved</w:t>
            </w: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3"/>
          </w:tcPr>
          <w:p>
            <w:pPr>
              <w:jc w:val="right"/>
              <w:ind w:right="428"/>
              <w:spacing w:after="0"/>
              <w:rPr>
                <w:sz w:val="20"/>
                <w:szCs w:val="20"/>
                <w:color w:val="auto"/>
              </w:rPr>
            </w:pPr>
            <w:r>
              <w:rPr>
                <w:rFonts w:ascii="Arial" w:cs="Arial" w:eastAsia="Arial" w:hAnsi="Arial"/>
                <w:sz w:val="13"/>
                <w:szCs w:val="13"/>
                <w:i w:val="1"/>
                <w:iCs w:val="1"/>
                <w:color w:val="auto"/>
              </w:rPr>
              <w:t>(1 Data Item)</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3"/>
          </w:tcPr>
          <w:p>
            <w:pPr>
              <w:ind w:left="660"/>
              <w:spacing w:after="0"/>
              <w:rPr>
                <w:sz w:val="20"/>
                <w:szCs w:val="20"/>
                <w:color w:val="auto"/>
              </w:rPr>
            </w:pPr>
            <w:r>
              <w:rPr>
                <w:rFonts w:ascii="Arial" w:cs="Arial" w:eastAsia="Arial" w:hAnsi="Arial"/>
                <w:sz w:val="13"/>
                <w:szCs w:val="13"/>
                <w:i w:val="1"/>
                <w:iCs w:val="1"/>
                <w:color w:val="auto"/>
              </w:rPr>
              <w:t>OMB No. 0704-0188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left w:val="single" w:sz="8" w:color="auto"/>
              <w:bottom w:val="single" w:sz="8" w:color="auto"/>
            </w:tcBorders>
            <w:gridSpan w:val="13"/>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tcBorders>
              <w:left w:val="single" w:sz="8" w:color="auto"/>
            </w:tcBorders>
            <w:gridSpan w:val="13"/>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tcBorders>
              <w:left w:val="single" w:sz="8" w:color="auto"/>
            </w:tcBorders>
            <w:gridSpan w:val="13"/>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tcBorders>
              <w:left w:val="single" w:sz="8" w:color="auto"/>
            </w:tcBorders>
            <w:gridSpan w:val="12"/>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tcBorders>
              <w:left w:val="single" w:sz="8" w:color="auto"/>
            </w:tcBorders>
            <w:gridSpan w:val="13"/>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tcBorders>
              <w:left w:val="single" w:sz="8" w:color="auto"/>
            </w:tcBorders>
            <w:gridSpan w:val="13"/>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20" w:type="dxa"/>
            <w:vAlign w:val="bottom"/>
            <w:tcBorders>
              <w:left w:val="single" w:sz="8" w:color="auto"/>
            </w:tcBorders>
            <w:gridSpan w:val="6"/>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left w:val="single" w:sz="8" w:color="auto"/>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Borders>
              <w:right w:val="single" w:sz="8" w:color="auto"/>
            </w:tcBorders>
            <w:gridSpan w:val="3"/>
          </w:tcPr>
          <w:p>
            <w:pPr>
              <w:jc w:val="right"/>
              <w:ind w:right="788"/>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3"/>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0" w:type="dxa"/>
            <w:vAlign w:val="bottom"/>
            <w:tcBorders>
              <w:lef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gridSpan w:val="2"/>
          </w:tcPr>
          <w:p>
            <w:pPr>
              <w:jc w:val="right"/>
              <w:ind w:right="53"/>
              <w:spacing w:after="0"/>
              <w:rPr>
                <w:sz w:val="20"/>
                <w:szCs w:val="20"/>
                <w:color w:val="auto"/>
              </w:rPr>
            </w:pPr>
            <w:r>
              <w:rPr>
                <w:rFonts w:ascii="Arial" w:cs="Arial" w:eastAsia="Arial" w:hAnsi="Arial"/>
                <w:sz w:val="16"/>
                <w:szCs w:val="16"/>
                <w:color w:val="auto"/>
                <w:w w:val="89"/>
              </w:rPr>
              <w:t>0001</w:t>
            </w:r>
          </w:p>
        </w:tc>
        <w:tc>
          <w:tcPr>
            <w:tcW w:w="9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708"/>
              <w:spacing w:after="0"/>
              <w:rPr>
                <w:sz w:val="20"/>
                <w:szCs w:val="20"/>
                <w:color w:val="auto"/>
              </w:rPr>
            </w:pPr>
            <w:r>
              <w:rPr>
                <w:rFonts w:ascii="Arial" w:cs="Arial" w:eastAsia="Arial" w:hAnsi="Arial"/>
                <w:sz w:val="16"/>
                <w:szCs w:val="16"/>
                <w:color w:val="auto"/>
              </w:rPr>
              <w:t>A</w:t>
            </w:r>
          </w:p>
        </w:tc>
        <w:tc>
          <w:tcPr>
            <w:tcW w:w="420" w:type="dxa"/>
            <w:vAlign w:val="bottom"/>
          </w:tcPr>
          <w:p>
            <w:pPr>
              <w:spacing w:after="0"/>
              <w:rPr>
                <w:sz w:val="19"/>
                <w:szCs w:val="19"/>
                <w:color w:val="auto"/>
              </w:rPr>
            </w:pPr>
          </w:p>
        </w:tc>
        <w:tc>
          <w:tcPr>
            <w:tcW w:w="1020" w:type="dxa"/>
            <w:vAlign w:val="bottom"/>
            <w:gridSpan w:val="2"/>
          </w:tcPr>
          <w:p>
            <w:pPr>
              <w:jc w:val="center"/>
              <w:ind w:left="728"/>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280" w:type="dxa"/>
            <w:vAlign w:val="bottom"/>
            <w:gridSpan w:val="2"/>
          </w:tcPr>
          <w:p>
            <w:pPr>
              <w:spacing w:after="0"/>
              <w:rPr>
                <w:sz w:val="20"/>
                <w:szCs w:val="20"/>
                <w:color w:val="auto"/>
              </w:rPr>
            </w:pPr>
            <w:r>
              <w:rPr>
                <w:rFonts w:ascii="Arial" w:cs="Arial" w:eastAsia="Arial" w:hAnsi="Arial"/>
                <w:sz w:val="9"/>
                <w:szCs w:val="9"/>
                <w:color w:val="auto"/>
              </w:rPr>
              <w:t>OTHER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880" w:type="dxa"/>
            <w:vAlign w:val="bottom"/>
            <w:tcBorders>
              <w:left w:val="single" w:sz="8" w:color="auto"/>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Borders>
              <w:right w:val="single" w:sz="8" w:color="auto"/>
            </w:tcBorders>
            <w:gridSpan w:val="2"/>
          </w:tcPr>
          <w:p>
            <w:pPr>
              <w:spacing w:after="0"/>
              <w:rPr>
                <w:sz w:val="10"/>
                <w:szCs w:val="10"/>
                <w:color w:val="auto"/>
              </w:rPr>
            </w:pPr>
          </w:p>
        </w:tc>
        <w:tc>
          <w:tcPr>
            <w:tcW w:w="1440" w:type="dxa"/>
            <w:vAlign w:val="bottom"/>
            <w:tcBorders>
              <w:bottom w:val="single" w:sz="8" w:color="auto"/>
            </w:tcBorders>
            <w:gridSpan w:val="3"/>
          </w:tcPr>
          <w:p>
            <w:pPr>
              <w:spacing w:after="0"/>
              <w:rPr>
                <w:sz w:val="10"/>
                <w:szCs w:val="10"/>
                <w:color w:val="auto"/>
              </w:rPr>
            </w:pPr>
          </w:p>
        </w:tc>
        <w:tc>
          <w:tcPr>
            <w:tcW w:w="1820" w:type="dxa"/>
            <w:vAlign w:val="bottom"/>
            <w:tcBorders>
              <w:bottom w:val="single" w:sz="8" w:color="auto"/>
            </w:tcBorders>
            <w:gridSpan w:val="3"/>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680" w:type="dxa"/>
            <w:vAlign w:val="bottom"/>
            <w:tcBorders>
              <w:left w:val="single" w:sz="8" w:color="auto"/>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3"/>
                <w:szCs w:val="13"/>
                <w:b w:val="1"/>
                <w:bCs w:val="1"/>
                <w:color w:val="auto"/>
              </w:rPr>
              <w:t>F. CONTRACTOR</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spacing w:after="0"/>
              <w:rPr>
                <w:sz w:val="20"/>
                <w:szCs w:val="20"/>
                <w:color w:val="auto"/>
              </w:rPr>
            </w:pPr>
            <w:r>
              <w:rPr>
                <w:rFonts w:ascii="Arial" w:cs="Arial" w:eastAsia="Arial" w:hAnsi="Arial"/>
                <w:sz w:val="16"/>
                <w:szCs w:val="16"/>
                <w:color w:val="auto"/>
              </w:rPr>
              <w:t>Therapeutics</w:t>
            </w:r>
          </w:p>
        </w:tc>
        <w:tc>
          <w:tcPr>
            <w:tcW w:w="4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3"/>
          </w:tcPr>
          <w:p>
            <w:pPr>
              <w:jc w:val="right"/>
              <w:ind w:right="44"/>
              <w:spacing w:after="0"/>
              <w:rPr>
                <w:sz w:val="20"/>
                <w:szCs w:val="20"/>
                <w:color w:val="auto"/>
              </w:rPr>
            </w:pPr>
            <w:r>
              <w:rPr>
                <w:rFonts w:ascii="Arial" w:cs="Arial" w:eastAsia="Arial" w:hAnsi="Arial"/>
                <w:sz w:val="16"/>
                <w:szCs w:val="16"/>
                <w:color w:val="auto"/>
              </w:rPr>
              <w:t>Regeneron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680" w:type="dxa"/>
            <w:vAlign w:val="bottom"/>
            <w:tcBorders>
              <w:left w:val="single" w:sz="8" w:color="auto"/>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9"/>
                <w:szCs w:val="9"/>
                <w:color w:val="auto"/>
              </w:rPr>
              <w:t>2. TITLE OF DATA ITEM</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3"/>
          </w:tcPr>
          <w:p>
            <w:pPr>
              <w:ind w:left="20"/>
              <w:spacing w:after="0"/>
              <w:rPr>
                <w:sz w:val="20"/>
                <w:szCs w:val="20"/>
                <w:color w:val="auto"/>
              </w:rPr>
            </w:pPr>
            <w:r>
              <w:rPr>
                <w:rFonts w:ascii="Arial" w:cs="Arial" w:eastAsia="Arial" w:hAnsi="Arial"/>
                <w:sz w:val="10"/>
                <w:szCs w:val="10"/>
                <w:color w:val="auto"/>
              </w:rPr>
              <w:t>3. SUBTITLE</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tcBorders>
              <w:left w:val="single" w:sz="8" w:color="auto"/>
            </w:tcBorders>
            <w:gridSpan w:val="2"/>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4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680" w:type="dxa"/>
            <w:vAlign w:val="bottom"/>
            <w:tcBorders>
              <w:left w:val="single" w:sz="8" w:color="auto"/>
            </w:tcBorders>
          </w:tcPr>
          <w:p>
            <w:pPr>
              <w:spacing w:after="0"/>
              <w:rPr>
                <w:sz w:val="24"/>
                <w:szCs w:val="24"/>
                <w:color w:val="auto"/>
              </w:rPr>
            </w:pPr>
          </w:p>
        </w:tc>
        <w:tc>
          <w:tcPr>
            <w:tcW w:w="1200" w:type="dxa"/>
            <w:vAlign w:val="bottom"/>
          </w:tcPr>
          <w:p>
            <w:pPr>
              <w:ind w:left="640"/>
              <w:spacing w:after="0"/>
              <w:rPr>
                <w:sz w:val="20"/>
                <w:szCs w:val="20"/>
                <w:color w:val="auto"/>
              </w:rPr>
            </w:pPr>
            <w:r>
              <w:rPr>
                <w:rFonts w:ascii="Arial" w:cs="Arial" w:eastAsia="Arial" w:hAnsi="Arial"/>
                <w:sz w:val="16"/>
                <w:szCs w:val="16"/>
                <w:color w:val="auto"/>
              </w:rPr>
              <w:t>A023</w:t>
            </w:r>
          </w:p>
        </w:tc>
        <w:tc>
          <w:tcPr>
            <w:tcW w:w="200" w:type="dxa"/>
            <w:vAlign w:val="bottom"/>
            <w:tcBorders>
              <w:right w:val="single" w:sz="8" w:color="auto"/>
            </w:tcBorders>
          </w:tcPr>
          <w:p>
            <w:pPr>
              <w:spacing w:after="0"/>
              <w:rPr>
                <w:sz w:val="24"/>
                <w:szCs w:val="24"/>
                <w:color w:val="auto"/>
              </w:rPr>
            </w:pPr>
          </w:p>
        </w:tc>
        <w:tc>
          <w:tcPr>
            <w:tcW w:w="3040" w:type="dxa"/>
            <w:vAlign w:val="bottom"/>
            <w:gridSpan w:val="6"/>
          </w:tcPr>
          <w:p>
            <w:pPr>
              <w:ind w:left="60"/>
              <w:spacing w:after="0"/>
              <w:rPr>
                <w:sz w:val="20"/>
                <w:szCs w:val="20"/>
                <w:color w:val="auto"/>
              </w:rPr>
            </w:pPr>
            <w:r>
              <w:rPr>
                <w:rFonts w:ascii="Arial" w:cs="Arial" w:eastAsia="Arial" w:hAnsi="Arial"/>
                <w:sz w:val="14"/>
                <w:szCs w:val="14"/>
                <w:color w:val="171717"/>
              </w:rPr>
              <w:t xml:space="preserve">Manufacturing </w:t>
            </w:r>
            <w:r>
              <w:rPr>
                <w:rFonts w:ascii="Arial" w:cs="Arial" w:eastAsia="Arial" w:hAnsi="Arial"/>
                <w:sz w:val="14"/>
                <w:szCs w:val="14"/>
                <w:color w:val="010101"/>
              </w:rPr>
              <w:t>Data Requirements</w:t>
            </w:r>
          </w:p>
        </w:tc>
        <w:tc>
          <w:tcPr>
            <w:tcW w:w="4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4"/>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340" w:type="dxa"/>
            <w:vAlign w:val="bottom"/>
            <w:tcBorders>
              <w:left w:val="single" w:sz="8" w:color="auto"/>
            </w:tcBorders>
            <w:gridSpan w:val="4"/>
          </w:tcPr>
          <w:p>
            <w:pPr>
              <w:ind w:left="100"/>
              <w:spacing w:after="0"/>
              <w:rPr>
                <w:sz w:val="20"/>
                <w:szCs w:val="20"/>
                <w:color w:val="auto"/>
              </w:rPr>
            </w:pPr>
            <w:r>
              <w:rPr>
                <w:rFonts w:ascii="Arial" w:cs="Arial" w:eastAsia="Arial" w:hAnsi="Arial"/>
                <w:sz w:val="9"/>
                <w:szCs w:val="9"/>
                <w:color w:val="auto"/>
              </w:rPr>
              <w:t xml:space="preserve">4. AUTHORITY </w:t>
            </w:r>
            <w:r>
              <w:rPr>
                <w:rFonts w:ascii="Arial" w:cs="Arial" w:eastAsia="Arial" w:hAnsi="Arial"/>
                <w:sz w:val="9"/>
                <w:szCs w:val="9"/>
                <w:i w:val="1"/>
                <w:iCs w:val="1"/>
                <w:color w:val="auto"/>
              </w:rPr>
              <w:t>(Data Acquisition Document No.)</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2560" w:type="dxa"/>
            <w:vAlign w:val="bottom"/>
            <w:gridSpan w:val="5"/>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0" w:type="dxa"/>
            <w:vAlign w:val="bottom"/>
          </w:tcPr>
          <w:p>
            <w:pPr>
              <w:ind w:left="80"/>
              <w:spacing w:after="0"/>
              <w:rPr>
                <w:sz w:val="20"/>
                <w:szCs w:val="20"/>
                <w:color w:val="auto"/>
              </w:rPr>
            </w:pPr>
            <w:r>
              <w:rPr>
                <w:rFonts w:ascii="Arial" w:cs="Arial" w:eastAsia="Arial" w:hAnsi="Arial"/>
                <w:sz w:val="9"/>
                <w:szCs w:val="9"/>
                <w:color w:val="auto"/>
              </w:rPr>
              <w:t>6. REQUIRING OFFICE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80" w:type="dxa"/>
            <w:vAlign w:val="bottom"/>
            <w:tcBorders>
              <w:left w:val="single" w:sz="8" w:color="auto"/>
            </w:tcBorders>
          </w:tcPr>
          <w:p>
            <w:pPr>
              <w:spacing w:after="0"/>
              <w:rPr>
                <w:sz w:val="18"/>
                <w:szCs w:val="18"/>
                <w:color w:val="auto"/>
              </w:rPr>
            </w:pPr>
          </w:p>
        </w:tc>
        <w:tc>
          <w:tcPr>
            <w:tcW w:w="2840" w:type="dxa"/>
            <w:vAlign w:val="bottom"/>
            <w:gridSpan w:val="5"/>
          </w:tcPr>
          <w:p>
            <w:pPr>
              <w:jc w:val="center"/>
              <w:ind w:right="200"/>
              <w:spacing w:after="0"/>
              <w:rPr>
                <w:sz w:val="20"/>
                <w:szCs w:val="20"/>
                <w:color w:val="auto"/>
              </w:rPr>
            </w:pPr>
            <w:r>
              <w:rPr>
                <w:rFonts w:ascii="Arial" w:cs="Arial" w:eastAsia="Arial" w:hAnsi="Arial"/>
                <w:sz w:val="16"/>
                <w:szCs w:val="16"/>
                <w:color w:val="020202"/>
                <w:w w:val="96"/>
              </w:rPr>
              <w:t>DI-MGMT-81808</w:t>
            </w:r>
          </w:p>
        </w:tc>
        <w:tc>
          <w:tcPr>
            <w:tcW w:w="4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gridSpan w:val="2"/>
          </w:tcPr>
          <w:p>
            <w:pPr>
              <w:jc w:val="right"/>
              <w:ind w:right="44"/>
              <w:spacing w:after="0"/>
              <w:rPr>
                <w:sz w:val="20"/>
                <w:szCs w:val="20"/>
                <w:color w:val="auto"/>
              </w:rPr>
            </w:pPr>
            <w:r>
              <w:rPr>
                <w:rFonts w:ascii="Arial" w:cs="Arial" w:eastAsia="Arial" w:hAnsi="Arial"/>
                <w:sz w:val="16"/>
                <w:szCs w:val="16"/>
                <w:color w:val="auto"/>
              </w:rPr>
              <w:t>BARDA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80" w:type="dxa"/>
            <w:vAlign w:val="bottom"/>
            <w:tcBorders>
              <w:left w:val="single" w:sz="8" w:color="auto"/>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680" w:type="dxa"/>
            <w:vAlign w:val="bottom"/>
            <w:tcBorders>
              <w:left w:val="single" w:sz="8" w:color="auto"/>
            </w:tcBorders>
          </w:tcPr>
          <w:p>
            <w:pPr>
              <w:spacing w:after="0"/>
              <w:rPr>
                <w:sz w:val="10"/>
                <w:szCs w:val="10"/>
                <w:color w:val="auto"/>
              </w:rPr>
            </w:pPr>
          </w:p>
        </w:tc>
        <w:tc>
          <w:tcPr>
            <w:tcW w:w="1200" w:type="dxa"/>
            <w:vAlign w:val="bottom"/>
            <w:vMerge w:val="restart"/>
          </w:tcPr>
          <w:p>
            <w:pPr>
              <w:ind w:left="66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260" w:type="dxa"/>
            <w:vAlign w:val="bottom"/>
          </w:tcPr>
          <w:p>
            <w:pPr>
              <w:spacing w:after="0"/>
              <w:rPr>
                <w:sz w:val="10"/>
                <w:szCs w:val="10"/>
                <w:color w:val="auto"/>
              </w:rPr>
            </w:pPr>
          </w:p>
        </w:tc>
        <w:tc>
          <w:tcPr>
            <w:tcW w:w="980" w:type="dxa"/>
            <w:vAlign w:val="bottom"/>
            <w:tcBorders>
              <w:right w:val="single" w:sz="8" w:color="auto"/>
            </w:tcBorders>
          </w:tcPr>
          <w:p>
            <w:pPr>
              <w:spacing w:after="0"/>
              <w:rPr>
                <w:sz w:val="20"/>
                <w:szCs w:val="20"/>
                <w:color w:val="auto"/>
              </w:rPr>
            </w:pPr>
            <w:r>
              <w:rPr>
                <w:rFonts w:ascii="Arial" w:cs="Arial" w:eastAsia="Arial" w:hAnsi="Arial"/>
                <w:sz w:val="10"/>
                <w:szCs w:val="10"/>
                <w:color w:val="auto"/>
                <w:w w:val="96"/>
              </w:rPr>
              <w:t>9. DIST STATEMENT</w:t>
            </w:r>
          </w:p>
        </w:tc>
        <w:tc>
          <w:tcPr>
            <w:tcW w:w="200" w:type="dxa"/>
            <w:vAlign w:val="bottom"/>
          </w:tcPr>
          <w:p>
            <w:pPr>
              <w:spacing w:after="0"/>
              <w:rPr>
                <w:sz w:val="10"/>
                <w:szCs w:val="10"/>
                <w:color w:val="auto"/>
              </w:rPr>
            </w:pPr>
          </w:p>
        </w:tc>
        <w:tc>
          <w:tcPr>
            <w:tcW w:w="1600" w:type="dxa"/>
            <w:vAlign w:val="bottom"/>
            <w:tcBorders>
              <w:right w:val="single" w:sz="8" w:color="auto"/>
            </w:tcBorders>
            <w:gridSpan w:val="3"/>
            <w:vMerge w:val="restart"/>
          </w:tcPr>
          <w:p>
            <w:pPr>
              <w:jc w:val="right"/>
              <w:ind w:right="708"/>
              <w:spacing w:after="0"/>
              <w:rPr>
                <w:sz w:val="20"/>
                <w:szCs w:val="20"/>
                <w:color w:val="auto"/>
              </w:rPr>
            </w:pPr>
            <w:r>
              <w:rPr>
                <w:rFonts w:ascii="Arial" w:cs="Arial" w:eastAsia="Arial" w:hAnsi="Arial"/>
                <w:sz w:val="9"/>
                <w:szCs w:val="9"/>
                <w:color w:val="auto"/>
              </w:rPr>
              <w:t>10. FREQUENCY</w:t>
            </w:r>
          </w:p>
        </w:tc>
        <w:tc>
          <w:tcPr>
            <w:tcW w:w="1980" w:type="dxa"/>
            <w:vAlign w:val="bottom"/>
            <w:gridSpan w:val="4"/>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Borders>
              <w:right w:val="single" w:sz="8" w:color="auto"/>
            </w:tcBorders>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0"/>
                <w:szCs w:val="10"/>
                <w:color w:val="auto"/>
              </w:rPr>
              <w:t>14.  DISTRIBUTION</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80" w:type="dxa"/>
            <w:vAlign w:val="bottom"/>
            <w:tcBorders>
              <w:left w:val="single" w:sz="8" w:color="auto"/>
            </w:tcBorders>
            <w:vMerge w:val="restart"/>
          </w:tcPr>
          <w:p>
            <w:pPr>
              <w:ind w:left="40"/>
              <w:spacing w:after="0"/>
              <w:rPr>
                <w:sz w:val="20"/>
                <w:szCs w:val="20"/>
                <w:color w:val="auto"/>
              </w:rPr>
            </w:pPr>
            <w:r>
              <w:rPr>
                <w:rFonts w:ascii="Arial" w:cs="Arial" w:eastAsia="Arial" w:hAnsi="Arial"/>
                <w:sz w:val="9"/>
                <w:szCs w:val="9"/>
                <w:b w:val="1"/>
                <w:bCs w:val="1"/>
                <w:color w:val="auto"/>
                <w:w w:val="99"/>
              </w:rPr>
              <w:t>7</w:t>
            </w:r>
            <w:r>
              <w:rPr>
                <w:rFonts w:ascii="Arial" w:cs="Arial" w:eastAsia="Arial" w:hAnsi="Arial"/>
                <w:sz w:val="9"/>
                <w:szCs w:val="9"/>
                <w:color w:val="auto"/>
                <w:w w:val="99"/>
              </w:rPr>
              <w:t>. DD 250 REQ</w:t>
            </w:r>
          </w:p>
        </w:tc>
        <w:tc>
          <w:tcPr>
            <w:tcW w:w="1200" w:type="dxa"/>
            <w:vAlign w:val="bottom"/>
            <w:vMerge w:val="continue"/>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color w:val="auto"/>
              </w:rPr>
              <w:t>REQUIRED</w:t>
            </w:r>
          </w:p>
        </w:tc>
        <w:tc>
          <w:tcPr>
            <w:tcW w:w="200" w:type="dxa"/>
            <w:vAlign w:val="bottom"/>
          </w:tcPr>
          <w:p>
            <w:pPr>
              <w:spacing w:after="0"/>
              <w:rPr>
                <w:sz w:val="5"/>
                <w:szCs w:val="5"/>
                <w:color w:val="auto"/>
              </w:rPr>
            </w:pPr>
          </w:p>
        </w:tc>
        <w:tc>
          <w:tcPr>
            <w:tcW w:w="1600" w:type="dxa"/>
            <w:vAlign w:val="bottom"/>
            <w:tcBorders>
              <w:right w:val="single" w:sz="8" w:color="auto"/>
            </w:tcBorders>
            <w:gridSpan w:val="3"/>
            <w:vMerge w:val="continue"/>
          </w:tcPr>
          <w:p>
            <w:pPr>
              <w:spacing w:after="0"/>
              <w:rPr>
                <w:sz w:val="5"/>
                <w:szCs w:val="5"/>
                <w:color w:val="auto"/>
              </w:rPr>
            </w:pPr>
          </w:p>
        </w:tc>
        <w:tc>
          <w:tcPr>
            <w:tcW w:w="1980" w:type="dxa"/>
            <w:vAlign w:val="bottom"/>
            <w:gridSpan w:val="4"/>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680" w:type="dxa"/>
            <w:vAlign w:val="bottom"/>
            <w:tcBorders>
              <w:left w:val="single" w:sz="8" w:color="auto"/>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Borders>
              <w:right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Borders>
              <w:right w:val="single" w:sz="8" w:color="auto"/>
            </w:tcBorders>
            <w:gridSpan w:val="3"/>
            <w:vMerge w:val="restart"/>
          </w:tcPr>
          <w:p>
            <w:pPr>
              <w:jc w:val="right"/>
              <w:ind w:right="388"/>
              <w:spacing w:after="0"/>
              <w:rPr>
                <w:sz w:val="20"/>
                <w:szCs w:val="20"/>
                <w:color w:val="auto"/>
              </w:rPr>
            </w:pPr>
            <w:r>
              <w:rPr>
                <w:rFonts w:ascii="Arial" w:cs="Arial" w:eastAsia="Arial" w:hAnsi="Arial"/>
                <w:sz w:val="16"/>
                <w:szCs w:val="16"/>
                <w:color w:val="auto"/>
              </w:rPr>
              <w:t>see remarks</w:t>
            </w:r>
          </w:p>
        </w:tc>
        <w:tc>
          <w:tcPr>
            <w:tcW w:w="420" w:type="dxa"/>
            <w:vAlign w:val="bottom"/>
          </w:tcPr>
          <w:p>
            <w:pPr>
              <w:spacing w:after="0"/>
              <w:rPr>
                <w:sz w:val="4"/>
                <w:szCs w:val="4"/>
                <w:color w:val="auto"/>
              </w:rPr>
            </w:pPr>
          </w:p>
        </w:tc>
        <w:tc>
          <w:tcPr>
            <w:tcW w:w="1560" w:type="dxa"/>
            <w:vAlign w:val="bottom"/>
            <w:gridSpan w:val="3"/>
            <w:vMerge w:val="restart"/>
          </w:tcPr>
          <w:p>
            <w:pPr>
              <w:ind w:left="340"/>
              <w:spacing w:after="0"/>
              <w:rPr>
                <w:sz w:val="20"/>
                <w:szCs w:val="20"/>
                <w:color w:val="auto"/>
              </w:rPr>
            </w:pPr>
            <w:r>
              <w:rPr>
                <w:rFonts w:ascii="Arial" w:cs="Arial" w:eastAsia="Arial" w:hAnsi="Arial"/>
                <w:sz w:val="16"/>
                <w:szCs w:val="16"/>
                <w:color w:val="auto"/>
              </w:rPr>
              <w:t>see remarks</w:t>
            </w:r>
          </w:p>
        </w:tc>
        <w:tc>
          <w:tcPr>
            <w:tcW w:w="8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680" w:type="dxa"/>
            <w:vAlign w:val="bottom"/>
            <w:tcBorders>
              <w:left w:val="single" w:sz="8" w:color="auto"/>
            </w:tcBorders>
            <w:vMerge w:val="continue"/>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Borders>
              <w:right w:val="single" w:sz="8" w:color="auto"/>
            </w:tcBorders>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680" w:type="dxa"/>
            <w:vAlign w:val="bottom"/>
            <w:tcBorders>
              <w:lef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Borders>
              <w:right w:val="single" w:sz="8" w:color="auto"/>
            </w:tcBorders>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Borders>
              <w:right w:val="single" w:sz="8" w:color="auto"/>
            </w:tcBorders>
            <w:gridSpan w:val="4"/>
            <w:vMerge w:val="restart"/>
          </w:tcPr>
          <w:p>
            <w:pPr>
              <w:jc w:val="right"/>
              <w:ind w:right="459"/>
              <w:spacing w:after="0"/>
              <w:rPr>
                <w:sz w:val="20"/>
                <w:szCs w:val="20"/>
                <w:color w:val="auto"/>
              </w:rPr>
            </w:pPr>
            <w:r>
              <w:rPr>
                <w:rFonts w:ascii="Arial" w:cs="Arial" w:eastAsia="Arial" w:hAnsi="Arial"/>
                <w:sz w:val="10"/>
                <w:szCs w:val="10"/>
                <w:color w:val="auto"/>
              </w:rPr>
              <w:t>b. COPIES</w:t>
            </w:r>
          </w:p>
        </w:tc>
        <w:tc>
          <w:tcPr>
            <w:tcW w:w="0" w:type="dxa"/>
            <w:vAlign w:val="bottom"/>
          </w:tcPr>
          <w:p>
            <w:pPr>
              <w:spacing w:after="0"/>
              <w:rPr>
                <w:sz w:val="1"/>
                <w:szCs w:val="1"/>
                <w:color w:val="auto"/>
              </w:rPr>
            </w:pPr>
          </w:p>
        </w:tc>
      </w:tr>
      <w:tr>
        <w:trPr>
          <w:trHeight w:val="61"/>
        </w:trPr>
        <w:tc>
          <w:tcPr>
            <w:tcW w:w="680" w:type="dxa"/>
            <w:vAlign w:val="bottom"/>
            <w:tcBorders>
              <w:lef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80" w:type="dxa"/>
            <w:vAlign w:val="bottom"/>
            <w:tcBorders>
              <w:left w:val="single" w:sz="8" w:color="auto"/>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gridSpan w:val="2"/>
          </w:tcPr>
          <w:p>
            <w:pPr>
              <w:spacing w:after="0"/>
              <w:rPr>
                <w:sz w:val="8"/>
                <w:szCs w:val="8"/>
                <w:color w:val="auto"/>
              </w:rPr>
            </w:pPr>
          </w:p>
        </w:tc>
        <w:tc>
          <w:tcPr>
            <w:tcW w:w="138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80" w:type="dxa"/>
            <w:vAlign w:val="bottom"/>
            <w:tcBorders>
              <w:left w:val="single" w:sz="8" w:color="auto"/>
            </w:tcBorders>
          </w:tcPr>
          <w:p>
            <w:pPr>
              <w:spacing w:after="0"/>
              <w:rPr>
                <w:sz w:val="8"/>
                <w:szCs w:val="8"/>
                <w:color w:val="auto"/>
              </w:rPr>
            </w:pPr>
          </w:p>
        </w:tc>
        <w:tc>
          <w:tcPr>
            <w:tcW w:w="1200" w:type="dxa"/>
            <w:vAlign w:val="bottom"/>
            <w:vMerge w:val="restart"/>
          </w:tcPr>
          <w:p>
            <w:pPr>
              <w:ind w:left="66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26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tcBorders>
              <w:right w:val="single" w:sz="8" w:color="auto"/>
            </w:tcBorders>
            <w:gridSpan w:val="3"/>
          </w:tcPr>
          <w:p>
            <w:pPr>
              <w:jc w:val="right"/>
              <w:ind w:right="708"/>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4"/>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Borders>
              <w:right w:val="single" w:sz="8" w:color="auto"/>
            </w:tcBorders>
          </w:tcPr>
          <w:p>
            <w:pPr>
              <w:spacing w:after="0"/>
              <w:rPr>
                <w:sz w:val="8"/>
                <w:szCs w:val="8"/>
                <w:color w:val="auto"/>
              </w:rPr>
            </w:pPr>
          </w:p>
        </w:tc>
        <w:tc>
          <w:tcPr>
            <w:tcW w:w="1200" w:type="dxa"/>
            <w:vAlign w:val="bottom"/>
            <w:vMerge w:val="restart"/>
          </w:tcPr>
          <w:p>
            <w:pPr>
              <w:ind w:left="460"/>
              <w:spacing w:after="0"/>
              <w:rPr>
                <w:sz w:val="20"/>
                <w:szCs w:val="20"/>
                <w:color w:val="auto"/>
              </w:rPr>
            </w:pPr>
            <w:r>
              <w:rPr>
                <w:rFonts w:ascii="Arial" w:cs="Arial" w:eastAsia="Arial" w:hAnsi="Arial"/>
                <w:sz w:val="10"/>
                <w:szCs w:val="10"/>
                <w:color w:val="auto"/>
                <w:w w:val="98"/>
              </w:rPr>
              <w:t>a. ADDRESSEE</w:t>
            </w:r>
          </w:p>
        </w:tc>
        <w:tc>
          <w:tcPr>
            <w:tcW w:w="4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right w:val="single" w:sz="8" w:color="auto"/>
            </w:tcBorders>
            <w:gridSpan w:val="2"/>
            <w:vMerge w:val="restart"/>
          </w:tcPr>
          <w:p>
            <w:pPr>
              <w:jc w:val="right"/>
              <w:ind w:right="399"/>
              <w:spacing w:after="0"/>
              <w:rPr>
                <w:sz w:val="20"/>
                <w:szCs w:val="20"/>
                <w:color w:val="auto"/>
              </w:rPr>
            </w:pPr>
            <w:r>
              <w:rPr>
                <w:rFonts w:ascii="Arial" w:cs="Arial" w:eastAsia="Arial" w:hAnsi="Arial"/>
                <w:sz w:val="10"/>
                <w:szCs w:val="10"/>
                <w:color w:val="auto"/>
              </w:rPr>
              <w:t>Final</w:t>
            </w:r>
          </w:p>
        </w:tc>
        <w:tc>
          <w:tcPr>
            <w:tcW w:w="0" w:type="dxa"/>
            <w:vAlign w:val="bottom"/>
          </w:tcPr>
          <w:p>
            <w:pPr>
              <w:spacing w:after="0"/>
              <w:rPr>
                <w:sz w:val="1"/>
                <w:szCs w:val="1"/>
                <w:color w:val="auto"/>
              </w:rPr>
            </w:pPr>
          </w:p>
        </w:tc>
      </w:tr>
      <w:tr>
        <w:trPr>
          <w:trHeight w:val="69"/>
        </w:trPr>
        <w:tc>
          <w:tcPr>
            <w:tcW w:w="680" w:type="dxa"/>
            <w:vAlign w:val="bottom"/>
            <w:tcBorders>
              <w:left w:val="single" w:sz="8" w:color="auto"/>
            </w:tcBorders>
            <w:vMerge w:val="restart"/>
          </w:tcPr>
          <w:p>
            <w:pPr>
              <w:ind w:left="40"/>
              <w:spacing w:after="0"/>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1200" w:type="dxa"/>
            <w:vAlign w:val="bottom"/>
            <w:vMerge w:val="continue"/>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560" w:type="dxa"/>
            <w:vAlign w:val="bottom"/>
            <w:gridSpan w:val="3"/>
            <w:vMerge w:val="restart"/>
          </w:tcPr>
          <w:p>
            <w:pPr>
              <w:ind w:left="34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Borders>
              <w:right w:val="single" w:sz="8" w:color="auto"/>
            </w:tcBorders>
          </w:tcPr>
          <w:p>
            <w:pPr>
              <w:spacing w:after="0"/>
              <w:rPr>
                <w:sz w:val="5"/>
                <w:szCs w:val="5"/>
                <w:color w:val="auto"/>
              </w:rPr>
            </w:pPr>
          </w:p>
        </w:tc>
        <w:tc>
          <w:tcPr>
            <w:tcW w:w="1200" w:type="dxa"/>
            <w:vAlign w:val="bottom"/>
            <w:vMerge w:val="continue"/>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tcBorders>
              <w:left w:val="single" w:sz="8" w:color="auto"/>
            </w:tcBorders>
            <w:vMerge w:val="continue"/>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80" w:type="dxa"/>
            <w:vAlign w:val="bottom"/>
            <w:vMerge w:val="restart"/>
          </w:tcPr>
          <w:p>
            <w:pPr>
              <w:spacing w:after="0"/>
              <w:rPr>
                <w:sz w:val="20"/>
                <w:szCs w:val="20"/>
                <w:color w:val="auto"/>
              </w:rPr>
            </w:pPr>
            <w:r>
              <w:rPr>
                <w:rFonts w:ascii="Arial" w:cs="Arial" w:eastAsia="Arial" w:hAnsi="Arial"/>
                <w:sz w:val="9"/>
                <w:szCs w:val="9"/>
                <w:color w:val="auto"/>
              </w:rPr>
              <w:t>Draft</w:t>
            </w:r>
          </w:p>
        </w:tc>
        <w:tc>
          <w:tcPr>
            <w:tcW w:w="18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80" w:type="dxa"/>
            <w:vAlign w:val="bottom"/>
            <w:tcBorders>
              <w:lef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10"/>
                <w:szCs w:val="10"/>
                <w:color w:val="auto"/>
              </w:rPr>
              <w:t>Reg</w:t>
            </w: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680" w:type="dxa"/>
            <w:vAlign w:val="bottom"/>
            <w:tcBorders>
              <w:lef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left w:val="single" w:sz="8" w:color="auto"/>
              <w:bottom w:val="single" w:sz="8" w:color="auto"/>
            </w:tcBorders>
            <w:gridSpan w:val="2"/>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Pr>
          <w:p>
            <w:pPr>
              <w:ind w:left="60"/>
              <w:spacing w:after="0" w:line="159" w:lineRule="exact"/>
              <w:rPr>
                <w:sz w:val="20"/>
                <w:szCs w:val="20"/>
                <w:color w:val="auto"/>
              </w:rPr>
            </w:pPr>
            <w:r>
              <w:rPr>
                <w:rFonts w:ascii="Arial" w:cs="Arial" w:eastAsia="Arial" w:hAnsi="Arial"/>
                <w:sz w:val="14"/>
                <w:szCs w:val="14"/>
                <w:color w:val="auto"/>
              </w:rPr>
              <w:t>BARDA</w:t>
            </w:r>
          </w:p>
        </w:tc>
        <w:tc>
          <w:tcPr>
            <w:tcW w:w="4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100" w:type="dxa"/>
            <w:vAlign w:val="bottom"/>
            <w:tcBorders>
              <w:left w:val="single" w:sz="8" w:color="auto"/>
            </w:tcBorders>
            <w:gridSpan w:val="13"/>
            <w:vMerge w:val="restart"/>
          </w:tcPr>
          <w:p>
            <w:pPr>
              <w:ind w:left="160"/>
              <w:spacing w:after="0"/>
              <w:rPr>
                <w:sz w:val="20"/>
                <w:szCs w:val="20"/>
                <w:color w:val="auto"/>
              </w:rPr>
            </w:pPr>
            <w:r>
              <w:rPr>
                <w:rFonts w:ascii="Arial" w:cs="Arial" w:eastAsia="Arial" w:hAnsi="Arial"/>
                <w:sz w:val="16"/>
                <w:szCs w:val="16"/>
                <w:color w:val="auto"/>
                <w:w w:val="94"/>
              </w:rPr>
              <w:t>Detailed data regarding project materials, sources, and manufacturing sites, including but not limited to:</w:t>
            </w:r>
          </w:p>
        </w:tc>
        <w:tc>
          <w:tcPr>
            <w:tcW w:w="80" w:type="dxa"/>
            <w:vAlign w:val="bottom"/>
            <w:tcBorders>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7100" w:type="dxa"/>
            <w:vAlign w:val="bottom"/>
            <w:tcBorders>
              <w:left w:val="single" w:sz="8" w:color="auto"/>
            </w:tcBorders>
            <w:gridSpan w:val="13"/>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JPEO CBRND</w:t>
            </w: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100" w:type="dxa"/>
            <w:vAlign w:val="bottom"/>
            <w:tcBorders>
              <w:left w:val="single" w:sz="8" w:color="auto"/>
            </w:tcBorders>
            <w:gridSpan w:val="13"/>
            <w:vMerge w:val="restart"/>
          </w:tcPr>
          <w:p>
            <w:pPr>
              <w:ind w:left="160"/>
              <w:spacing w:after="0"/>
              <w:rPr>
                <w:sz w:val="20"/>
                <w:szCs w:val="20"/>
                <w:color w:val="auto"/>
              </w:rPr>
            </w:pPr>
            <w:r>
              <w:rPr>
                <w:rFonts w:ascii="Arial" w:cs="Arial" w:eastAsia="Arial" w:hAnsi="Arial"/>
                <w:sz w:val="16"/>
                <w:szCs w:val="16"/>
                <w:color w:val="auto"/>
                <w:w w:val="96"/>
              </w:rPr>
              <w:t>physical locations of sources of raw and processed material by type of material; location and nature of</w:t>
            </w:r>
          </w:p>
        </w:tc>
        <w:tc>
          <w:tcPr>
            <w:tcW w:w="80" w:type="dxa"/>
            <w:vAlign w:val="bottom"/>
            <w:tcBorders>
              <w:right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7100" w:type="dxa"/>
            <w:vAlign w:val="bottom"/>
            <w:tcBorders>
              <w:left w:val="single" w:sz="8" w:color="auto"/>
            </w:tcBorders>
            <w:gridSpan w:val="13"/>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520" w:type="dxa"/>
            <w:vAlign w:val="bottom"/>
            <w:tcBorders>
              <w:left w:val="single" w:sz="8" w:color="auto"/>
            </w:tcBorders>
            <w:gridSpan w:val="6"/>
            <w:vMerge w:val="restart"/>
          </w:tcPr>
          <w:p>
            <w:pPr>
              <w:ind w:left="160"/>
              <w:spacing w:after="0"/>
              <w:rPr>
                <w:sz w:val="20"/>
                <w:szCs w:val="20"/>
                <w:color w:val="auto"/>
              </w:rPr>
            </w:pPr>
            <w:r>
              <w:rPr>
                <w:rFonts w:ascii="Arial" w:cs="Arial" w:eastAsia="Arial" w:hAnsi="Arial"/>
                <w:sz w:val="16"/>
                <w:szCs w:val="16"/>
                <w:color w:val="auto"/>
                <w:w w:val="93"/>
              </w:rPr>
              <w:t>work performed at manufacturing, processing, and</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3520" w:type="dxa"/>
            <w:vAlign w:val="bottom"/>
            <w:tcBorders>
              <w:left w:val="single" w:sz="8" w:color="auto"/>
            </w:tcBorders>
            <w:gridSpan w:val="6"/>
            <w:vMerge w:val="continue"/>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60" w:type="dxa"/>
            <w:vAlign w:val="bottom"/>
            <w:tcBorders>
              <w:left w:val="single" w:sz="8" w:color="auto"/>
            </w:tcBorders>
            <w:gridSpan w:val="12"/>
          </w:tcPr>
          <w:p>
            <w:pPr>
              <w:ind w:left="160"/>
              <w:spacing w:after="0" w:line="138" w:lineRule="exact"/>
              <w:rPr>
                <w:sz w:val="20"/>
                <w:szCs w:val="20"/>
                <w:color w:val="auto"/>
              </w:rPr>
            </w:pPr>
            <w:r>
              <w:rPr>
                <w:rFonts w:ascii="Arial" w:cs="Arial" w:eastAsia="Arial" w:hAnsi="Arial"/>
                <w:sz w:val="16"/>
                <w:szCs w:val="16"/>
                <w:color w:val="auto"/>
              </w:rPr>
              <w:t>fill/finish sites; and location and nature of non-clinical and clinical studies sites.</w:t>
            </w: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auto"/>
              </w:rPr>
              <w:t>•</w:t>
            </w:r>
          </w:p>
        </w:tc>
        <w:tc>
          <w:tcPr>
            <w:tcW w:w="1660" w:type="dxa"/>
            <w:vAlign w:val="bottom"/>
            <w:gridSpan w:val="3"/>
            <w:vMerge w:val="restart"/>
          </w:tcPr>
          <w:p>
            <w:pPr>
              <w:spacing w:after="0"/>
              <w:rPr>
                <w:sz w:val="20"/>
                <w:szCs w:val="20"/>
                <w:color w:val="auto"/>
              </w:rPr>
            </w:pPr>
            <w:r>
              <w:rPr>
                <w:rFonts w:ascii="Arial" w:cs="Arial" w:eastAsia="Arial" w:hAnsi="Arial"/>
                <w:sz w:val="16"/>
                <w:szCs w:val="16"/>
                <w:color w:val="auto"/>
              </w:rPr>
              <w:t xml:space="preserve">Within </w:t>
            </w:r>
            <w:r>
              <w:rPr>
                <w:rFonts w:ascii="Arial" w:cs="Arial" w:eastAsia="Arial" w:hAnsi="Arial"/>
                <w:sz w:val="14"/>
                <w:szCs w:val="14"/>
                <w:color w:val="2A2A2A"/>
              </w:rPr>
              <w:t>[* * *]</w:t>
            </w:r>
            <w:r>
              <w:rPr>
                <w:rFonts w:ascii="Arial" w:cs="Arial" w:eastAsia="Arial" w:hAnsi="Arial"/>
                <w:sz w:val="16"/>
                <w:szCs w:val="16"/>
                <w:color w:val="auto"/>
              </w:rPr>
              <w:t xml:space="preserve"> of award</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vMerge w:val="continue"/>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680" w:type="dxa"/>
            <w:vAlign w:val="bottom"/>
            <w:tcBorders>
              <w:left w:val="single" w:sz="8" w:color="auto"/>
            </w:tcBorders>
            <w:vMerge w:val="continue"/>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680" w:type="dxa"/>
            <w:vAlign w:val="bottom"/>
            <w:tcBorders>
              <w:left w:val="single" w:sz="8" w:color="auto"/>
            </w:tcBorders>
          </w:tcPr>
          <w:p>
            <w:pPr>
              <w:ind w:left="160"/>
              <w:spacing w:after="0" w:line="138" w:lineRule="exact"/>
              <w:rPr>
                <w:sz w:val="20"/>
                <w:szCs w:val="20"/>
                <w:color w:val="auto"/>
              </w:rPr>
            </w:pPr>
            <w:r>
              <w:rPr>
                <w:rFonts w:ascii="Arial" w:cs="Arial" w:eastAsia="Arial" w:hAnsi="Arial"/>
                <w:sz w:val="16"/>
                <w:szCs w:val="16"/>
                <w:color w:val="auto"/>
              </w:rPr>
              <w:t>•</w:t>
            </w:r>
          </w:p>
        </w:tc>
        <w:tc>
          <w:tcPr>
            <w:tcW w:w="6500" w:type="dxa"/>
            <w:vAlign w:val="bottom"/>
            <w:tcBorders>
              <w:right w:val="single" w:sz="8" w:color="auto"/>
            </w:tcBorders>
            <w:gridSpan w:val="13"/>
          </w:tcPr>
          <w:p>
            <w:pPr>
              <w:spacing w:after="0" w:line="138" w:lineRule="exact"/>
              <w:rPr>
                <w:sz w:val="20"/>
                <w:szCs w:val="20"/>
                <w:color w:val="auto"/>
              </w:rPr>
            </w:pPr>
            <w:r>
              <w:rPr>
                <w:rFonts w:ascii="Arial" w:cs="Arial" w:eastAsia="Arial" w:hAnsi="Arial"/>
                <w:sz w:val="16"/>
                <w:szCs w:val="16"/>
                <w:color w:val="auto"/>
                <w:w w:val="92"/>
              </w:rPr>
              <w:t>The Government may provide a table in tabular format for Awardee to be used to submit such data,</w:t>
            </w: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560" w:type="dxa"/>
            <w:vAlign w:val="bottom"/>
            <w:tcBorders>
              <w:left w:val="single" w:sz="8" w:color="auto"/>
            </w:tcBorders>
            <w:gridSpan w:val="12"/>
          </w:tcPr>
          <w:p>
            <w:pPr>
              <w:ind w:left="160"/>
              <w:spacing w:after="0" w:line="183" w:lineRule="exact"/>
              <w:rPr>
                <w:sz w:val="20"/>
                <w:szCs w:val="20"/>
                <w:color w:val="auto"/>
              </w:rPr>
            </w:pPr>
            <w:r>
              <w:rPr>
                <w:rFonts w:ascii="Arial" w:cs="Arial" w:eastAsia="Arial" w:hAnsi="Arial"/>
                <w:sz w:val="16"/>
                <w:szCs w:val="16"/>
                <w:color w:val="auto"/>
                <w:w w:val="93"/>
              </w:rPr>
              <w:t>intended to ensure material development, which would include but not be limited to the following:</w:t>
            </w: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20" w:type="dxa"/>
            <w:vAlign w:val="bottom"/>
            <w:tcBorders>
              <w:left w:val="single" w:sz="8" w:color="auto"/>
            </w:tcBorders>
            <w:gridSpan w:val="9"/>
          </w:tcPr>
          <w:p>
            <w:pPr>
              <w:ind w:left="160"/>
              <w:spacing w:after="0"/>
              <w:rPr>
                <w:sz w:val="20"/>
                <w:szCs w:val="20"/>
                <w:color w:val="auto"/>
              </w:rPr>
            </w:pPr>
            <w:r>
              <w:rPr>
                <w:rFonts w:ascii="Arial" w:cs="Arial" w:eastAsia="Arial" w:hAnsi="Arial"/>
                <w:sz w:val="16"/>
                <w:szCs w:val="16"/>
                <w:color w:val="auto"/>
                <w:w w:val="96"/>
              </w:rPr>
              <w:t>1) Storage/inventory of ancillary materials (vials, needles, syringes, etc.)</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120" w:type="dxa"/>
            <w:vAlign w:val="bottom"/>
            <w:tcBorders>
              <w:left w:val="single" w:sz="8" w:color="auto"/>
            </w:tcBorders>
            <w:gridSpan w:val="9"/>
          </w:tcPr>
          <w:p>
            <w:pPr>
              <w:ind w:left="160"/>
              <w:spacing w:after="0" w:line="159" w:lineRule="exact"/>
              <w:rPr>
                <w:sz w:val="20"/>
                <w:szCs w:val="20"/>
                <w:color w:val="auto"/>
              </w:rPr>
            </w:pPr>
            <w:r>
              <w:rPr>
                <w:rFonts w:ascii="Arial" w:cs="Arial" w:eastAsia="Arial" w:hAnsi="Arial"/>
                <w:sz w:val="16"/>
                <w:szCs w:val="16"/>
                <w:color w:val="auto"/>
              </w:rPr>
              <w:t>2) Shipment of ancillary materials (vials, needles, syringes, etc.)</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5120" w:type="dxa"/>
            <w:vAlign w:val="bottom"/>
            <w:tcBorders>
              <w:left w:val="single" w:sz="8" w:color="auto"/>
            </w:tcBorders>
            <w:gridSpan w:val="9"/>
            <w:vMerge w:val="restart"/>
          </w:tcPr>
          <w:p>
            <w:pPr>
              <w:ind w:left="160"/>
              <w:spacing w:after="0"/>
              <w:rPr>
                <w:sz w:val="20"/>
                <w:szCs w:val="20"/>
                <w:color w:val="auto"/>
              </w:rPr>
            </w:pPr>
            <w:r>
              <w:rPr>
                <w:rFonts w:ascii="Arial" w:cs="Arial" w:eastAsia="Arial" w:hAnsi="Arial"/>
                <w:sz w:val="16"/>
                <w:szCs w:val="16"/>
                <w:color w:val="auto"/>
              </w:rPr>
              <w:t>3) Disposal of ancillary materials (vials, needles, syringes, etc.)</w:t>
            </w: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5120" w:type="dxa"/>
            <w:vAlign w:val="bottom"/>
            <w:tcBorders>
              <w:left w:val="single" w:sz="8" w:color="auto"/>
            </w:tcBorders>
            <w:gridSpan w:val="9"/>
            <w:vMerge w:val="continue"/>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5120" w:type="dxa"/>
            <w:vAlign w:val="bottom"/>
            <w:tcBorders>
              <w:left w:val="single" w:sz="8" w:color="auto"/>
            </w:tcBorders>
            <w:gridSpan w:val="9"/>
            <w:vMerge w:val="restart"/>
          </w:tcPr>
          <w:p>
            <w:pPr>
              <w:ind w:left="160"/>
              <w:spacing w:after="0"/>
              <w:rPr>
                <w:sz w:val="20"/>
                <w:szCs w:val="20"/>
                <w:color w:val="auto"/>
              </w:rPr>
            </w:pPr>
            <w:r>
              <w:rPr>
                <w:rFonts w:ascii="Arial" w:cs="Arial" w:eastAsia="Arial" w:hAnsi="Arial"/>
                <w:sz w:val="16"/>
                <w:szCs w:val="16"/>
                <w:color w:val="auto"/>
              </w:rPr>
              <w:t>4) Seed development or other starting material manufacturing</w:t>
            </w: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5120" w:type="dxa"/>
            <w:vAlign w:val="bottom"/>
            <w:tcBorders>
              <w:left w:val="single" w:sz="8" w:color="auto"/>
            </w:tcBorders>
            <w:gridSpan w:val="9"/>
            <w:vMerge w:val="continue"/>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520" w:type="dxa"/>
            <w:vAlign w:val="bottom"/>
            <w:tcBorders>
              <w:left w:val="single" w:sz="8" w:color="auto"/>
            </w:tcBorders>
            <w:gridSpan w:val="6"/>
            <w:vMerge w:val="restart"/>
          </w:tcPr>
          <w:p>
            <w:pPr>
              <w:ind w:left="160"/>
              <w:spacing w:after="0"/>
              <w:rPr>
                <w:sz w:val="20"/>
                <w:szCs w:val="20"/>
                <w:color w:val="auto"/>
              </w:rPr>
            </w:pPr>
            <w:r>
              <w:rPr>
                <w:rFonts w:ascii="Arial" w:cs="Arial" w:eastAsia="Arial" w:hAnsi="Arial"/>
                <w:sz w:val="16"/>
                <w:szCs w:val="16"/>
                <w:color w:val="auto"/>
                <w:w w:val="93"/>
              </w:rPr>
              <w:t>5) Bulk drug substance and/or adjuvant production</w:t>
            </w: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20" w:type="dxa"/>
            <w:vAlign w:val="bottom"/>
            <w:tcBorders>
              <w:left w:val="single" w:sz="8" w:color="auto"/>
            </w:tcBorders>
            <w:gridSpan w:val="6"/>
            <w:vMerge w:val="continue"/>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20" w:type="dxa"/>
            <w:vAlign w:val="bottom"/>
            <w:tcBorders>
              <w:left w:val="single" w:sz="8" w:color="auto"/>
            </w:tcBorders>
            <w:gridSpan w:val="6"/>
            <w:vMerge w:val="restart"/>
          </w:tcPr>
          <w:p>
            <w:pPr>
              <w:ind w:left="160"/>
              <w:spacing w:after="0"/>
              <w:rPr>
                <w:sz w:val="20"/>
                <w:szCs w:val="20"/>
                <w:color w:val="auto"/>
              </w:rPr>
            </w:pPr>
            <w:r>
              <w:rPr>
                <w:rFonts w:ascii="Arial" w:cs="Arial" w:eastAsia="Arial" w:hAnsi="Arial"/>
                <w:sz w:val="16"/>
                <w:szCs w:val="16"/>
                <w:color w:val="auto"/>
                <w:w w:val="99"/>
              </w:rPr>
              <w:t>6) Fill, finish, and release of product or adjuvant</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520" w:type="dxa"/>
            <w:vAlign w:val="bottom"/>
            <w:tcBorders>
              <w:left w:val="single" w:sz="8" w:color="auto"/>
            </w:tcBorders>
            <w:gridSpan w:val="6"/>
            <w:vMerge w:val="continue"/>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6560" w:type="dxa"/>
            <w:vAlign w:val="bottom"/>
            <w:tcBorders>
              <w:left w:val="single" w:sz="8" w:color="auto"/>
            </w:tcBorders>
            <w:gridSpan w:val="12"/>
            <w:vMerge w:val="restart"/>
          </w:tcPr>
          <w:p>
            <w:pPr>
              <w:ind w:left="160"/>
              <w:spacing w:after="0"/>
              <w:rPr>
                <w:sz w:val="20"/>
                <w:szCs w:val="20"/>
                <w:color w:val="auto"/>
              </w:rPr>
            </w:pPr>
            <w:r>
              <w:rPr>
                <w:rFonts w:ascii="Arial" w:cs="Arial" w:eastAsia="Arial" w:hAnsi="Arial"/>
                <w:sz w:val="16"/>
                <w:szCs w:val="16"/>
                <w:color w:val="auto"/>
                <w:w w:val="99"/>
              </w:rPr>
              <w:t>7) Storage/inventory of starting materials, bulk substance, or filled/final product or adjuvant</w:t>
            </w:r>
          </w:p>
        </w:tc>
        <w:tc>
          <w:tcPr>
            <w:tcW w:w="5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6560" w:type="dxa"/>
            <w:vAlign w:val="bottom"/>
            <w:tcBorders>
              <w:left w:val="single" w:sz="8" w:color="auto"/>
            </w:tcBorders>
            <w:gridSpan w:val="12"/>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5120" w:type="dxa"/>
            <w:vAlign w:val="bottom"/>
            <w:tcBorders>
              <w:left w:val="single" w:sz="8" w:color="auto"/>
            </w:tcBorders>
            <w:gridSpan w:val="9"/>
          </w:tcPr>
          <w:p>
            <w:pPr>
              <w:ind w:left="160"/>
              <w:spacing w:after="0" w:line="138" w:lineRule="exact"/>
              <w:rPr>
                <w:sz w:val="20"/>
                <w:szCs w:val="20"/>
                <w:color w:val="auto"/>
              </w:rPr>
            </w:pPr>
            <w:r>
              <w:rPr>
                <w:rFonts w:ascii="Arial" w:cs="Arial" w:eastAsia="Arial" w:hAnsi="Arial"/>
                <w:sz w:val="16"/>
                <w:szCs w:val="16"/>
                <w:color w:val="auto"/>
              </w:rPr>
              <w:t>8) Stability information of bulk substance and/or finished material</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20" w:type="dxa"/>
            <w:vAlign w:val="bottom"/>
            <w:tcBorders>
              <w:left w:val="single" w:sz="8" w:color="auto"/>
            </w:tcBorders>
            <w:gridSpan w:val="6"/>
          </w:tcPr>
          <w:p>
            <w:pPr>
              <w:ind w:left="160"/>
              <w:spacing w:after="0"/>
              <w:rPr>
                <w:sz w:val="20"/>
                <w:szCs w:val="20"/>
                <w:color w:val="auto"/>
              </w:rPr>
            </w:pPr>
            <w:r>
              <w:rPr>
                <w:rFonts w:ascii="Arial" w:cs="Arial" w:eastAsia="Arial" w:hAnsi="Arial"/>
                <w:sz w:val="16"/>
                <w:szCs w:val="16"/>
                <w:color w:val="auto"/>
              </w:rPr>
              <w:t>9) Shipment of bulk substance of final material</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20" w:type="dxa"/>
            <w:vAlign w:val="bottom"/>
            <w:tcBorders>
              <w:left w:val="single" w:sz="8" w:color="auto"/>
            </w:tcBorders>
            <w:gridSpan w:val="6"/>
          </w:tcPr>
          <w:p>
            <w:pPr>
              <w:ind w:left="160"/>
              <w:spacing w:after="0" w:line="183" w:lineRule="exact"/>
              <w:rPr>
                <w:sz w:val="20"/>
                <w:szCs w:val="20"/>
                <w:color w:val="auto"/>
              </w:rPr>
            </w:pPr>
            <w:r>
              <w:rPr>
                <w:rFonts w:ascii="Arial" w:cs="Arial" w:eastAsia="Arial" w:hAnsi="Arial"/>
                <w:sz w:val="16"/>
                <w:szCs w:val="16"/>
                <w:color w:val="auto"/>
              </w:rPr>
              <w:t>10) Disposal of bulk substance or final material</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Borders>
              <w:lef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0" w:type="dxa"/>
            <w:vAlign w:val="bottom"/>
          </w:tcPr>
          <w:p>
            <w:pPr>
              <w:ind w:left="20"/>
              <w:spacing w:after="0"/>
              <w:rPr>
                <w:sz w:val="20"/>
                <w:szCs w:val="20"/>
                <w:color w:val="auto"/>
              </w:rPr>
            </w:pPr>
            <w:r>
              <w:rPr>
                <w:rFonts w:ascii="Arial" w:cs="Arial" w:eastAsia="Arial" w:hAnsi="Arial"/>
                <w:sz w:val="9"/>
                <w:szCs w:val="9"/>
                <w:color w:val="auto"/>
              </w:rPr>
              <w:t>15. TOTAL</w:t>
            </w:r>
          </w:p>
        </w:tc>
        <w:tc>
          <w:tcPr>
            <w:tcW w:w="400" w:type="dxa"/>
            <w:vAlign w:val="bottom"/>
            <w:tcBorders>
              <w:right w:val="single" w:sz="8" w:color="auto"/>
            </w:tcBorders>
          </w:tcPr>
          <w:p>
            <w:pPr>
              <w:spacing w:after="0"/>
              <w:rPr>
                <w:sz w:val="11"/>
                <w:szCs w:val="11"/>
                <w:color w:val="auto"/>
              </w:rPr>
            </w:pPr>
          </w:p>
        </w:tc>
        <w:tc>
          <w:tcPr>
            <w:tcW w:w="280" w:type="dxa"/>
            <w:vAlign w:val="bottom"/>
            <w:vMerge w:val="restart"/>
          </w:tcPr>
          <w:p>
            <w:pPr>
              <w:spacing w:after="0"/>
              <w:rPr>
                <w:sz w:val="20"/>
                <w:szCs w:val="20"/>
                <w:color w:val="auto"/>
              </w:rPr>
            </w:pPr>
            <w:r>
              <w:rPr>
                <w:rFonts w:ascii="Arial" w:cs="Arial" w:eastAsia="Arial" w:hAnsi="Arial"/>
                <w:sz w:val="14"/>
                <w:szCs w:val="14"/>
                <w:color w:val="auto"/>
              </w:rPr>
              <w:t>2</w:t>
            </w:r>
          </w:p>
        </w:tc>
        <w:tc>
          <w:tcPr>
            <w:tcW w:w="180" w:type="dxa"/>
            <w:vAlign w:val="bottom"/>
            <w:tcBorders>
              <w:right w:val="single" w:sz="8" w:color="auto"/>
            </w:tcBorders>
          </w:tcPr>
          <w:p>
            <w:pPr>
              <w:spacing w:after="0"/>
              <w:rPr>
                <w:sz w:val="11"/>
                <w:szCs w:val="11"/>
                <w:color w:val="auto"/>
              </w:rPr>
            </w:pPr>
          </w:p>
        </w:tc>
        <w:tc>
          <w:tcPr>
            <w:tcW w:w="240" w:type="dxa"/>
            <w:vAlign w:val="bottom"/>
            <w:vMerge w:val="restart"/>
          </w:tcPr>
          <w:p>
            <w:pPr>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680" w:type="dxa"/>
            <w:vAlign w:val="bottom"/>
            <w:tcBorders>
              <w:left w:val="single" w:sz="8" w:color="auto"/>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G. PREPARED BY</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960" w:type="dxa"/>
            <w:vAlign w:val="bottom"/>
          </w:tcPr>
          <w:p>
            <w:pPr>
              <w:jc w:val="right"/>
              <w:ind w:right="208"/>
              <w:spacing w:after="0"/>
              <w:rPr>
                <w:sz w:val="20"/>
                <w:szCs w:val="20"/>
                <w:color w:val="auto"/>
              </w:rPr>
            </w:pPr>
            <w:r>
              <w:rPr>
                <w:rFonts w:ascii="Arial" w:cs="Arial" w:eastAsia="Arial" w:hAnsi="Arial"/>
                <w:sz w:val="13"/>
                <w:szCs w:val="13"/>
                <w:b w:val="1"/>
                <w:bCs w:val="1"/>
                <w:color w:val="auto"/>
              </w:rPr>
              <w:t>H. DATE</w:t>
            </w:r>
          </w:p>
        </w:tc>
        <w:tc>
          <w:tcPr>
            <w:tcW w:w="420" w:type="dxa"/>
            <w:vAlign w:val="bottom"/>
            <w:tcBorders>
              <w:right w:val="single" w:sz="8" w:color="auto"/>
            </w:tcBorders>
          </w:tcPr>
          <w:p>
            <w:pPr>
              <w:spacing w:after="0"/>
              <w:rPr>
                <w:sz w:val="15"/>
                <w:szCs w:val="15"/>
                <w:color w:val="auto"/>
              </w:rPr>
            </w:pPr>
          </w:p>
        </w:tc>
        <w:tc>
          <w:tcPr>
            <w:tcW w:w="1560" w:type="dxa"/>
            <w:vAlign w:val="bottom"/>
            <w:gridSpan w:val="3"/>
          </w:tcPr>
          <w:p>
            <w:pPr>
              <w:jc w:val="center"/>
              <w:ind w:left="188"/>
              <w:spacing w:after="0"/>
              <w:rPr>
                <w:sz w:val="20"/>
                <w:szCs w:val="20"/>
                <w:color w:val="auto"/>
              </w:rPr>
            </w:pPr>
            <w:r>
              <w:rPr>
                <w:rFonts w:ascii="Arial" w:cs="Arial" w:eastAsia="Arial" w:hAnsi="Arial"/>
                <w:sz w:val="13"/>
                <w:szCs w:val="13"/>
                <w:b w:val="1"/>
                <w:bCs w:val="1"/>
                <w:color w:val="auto"/>
                <w:w w:val="96"/>
              </w:rPr>
              <w:t>I. APPROVED BY</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J. DATE</w:t>
            </w: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80" w:type="dxa"/>
            <w:vAlign w:val="bottom"/>
            <w:tcBorders>
              <w:lef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vMerge w:val="restart"/>
          </w:tcPr>
          <w:p>
            <w:pPr>
              <w:ind w:left="380"/>
              <w:spacing w:after="0" w:line="97" w:lineRule="exact"/>
              <w:rPr>
                <w:sz w:val="20"/>
                <w:szCs w:val="20"/>
                <w:color w:val="auto"/>
              </w:rPr>
            </w:pPr>
            <w:r>
              <w:rPr>
                <w:rFonts w:ascii="Arial" w:cs="Arial" w:eastAsia="Arial" w:hAnsi="Arial"/>
                <w:sz w:val="9"/>
                <w:szCs w:val="9"/>
                <w:color w:val="auto"/>
              </w:rPr>
              <w:t>Digitally signed by</w:t>
            </w:r>
          </w:p>
        </w:tc>
        <w:tc>
          <w:tcPr>
            <w:tcW w:w="4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80" w:type="dxa"/>
            <w:vAlign w:val="bottom"/>
            <w:tcBorders>
              <w:lef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020" w:type="dxa"/>
            <w:vAlign w:val="bottom"/>
            <w:gridSpan w:val="2"/>
            <w:vMerge w:val="restart"/>
          </w:tcPr>
          <w:p>
            <w:pPr>
              <w:jc w:val="right"/>
              <w:ind w:right="680"/>
              <w:spacing w:after="0"/>
              <w:rPr>
                <w:sz w:val="20"/>
                <w:szCs w:val="20"/>
                <w:color w:val="auto"/>
              </w:rPr>
            </w:pPr>
            <w:r>
              <w:rPr>
                <w:rFonts w:ascii="Arial" w:cs="Arial" w:eastAsia="Arial" w:hAnsi="Arial"/>
                <w:sz w:val="20"/>
                <w:szCs w:val="20"/>
                <w:color w:val="auto"/>
              </w:rPr>
              <w:t>/s/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ind w:left="380"/>
              <w:spacing w:after="0"/>
              <w:rPr>
                <w:sz w:val="20"/>
                <w:szCs w:val="20"/>
                <w:color w:val="auto"/>
              </w:rPr>
            </w:pPr>
            <w:r>
              <w:rPr>
                <w:rFonts w:ascii="Arial" w:cs="Arial" w:eastAsia="Arial" w:hAnsi="Arial"/>
                <w:sz w:val="9"/>
                <w:szCs w:val="9"/>
                <w:color w:val="auto"/>
              </w:rPr>
              <w:t>Date: 2020.12.30</w:t>
            </w:r>
          </w:p>
        </w:tc>
        <w:tc>
          <w:tcPr>
            <w:tcW w:w="400" w:type="dxa"/>
            <w:vAlign w:val="bottom"/>
            <w:tcBorders>
              <w:right w:val="single" w:sz="8" w:color="auto"/>
            </w:tcBorders>
          </w:tcPr>
          <w:p>
            <w:pPr>
              <w:spacing w:after="0"/>
              <w:rPr>
                <w:sz w:val="11"/>
                <w:szCs w:val="11"/>
                <w:color w:val="auto"/>
              </w:rPr>
            </w:pPr>
          </w:p>
        </w:tc>
        <w:tc>
          <w:tcPr>
            <w:tcW w:w="700" w:type="dxa"/>
            <w:vAlign w:val="bottom"/>
            <w:gridSpan w:val="3"/>
            <w:vMerge w:val="restart"/>
          </w:tcPr>
          <w:p>
            <w:pPr>
              <w:spacing w:after="0"/>
              <w:rPr>
                <w:sz w:val="20"/>
                <w:szCs w:val="20"/>
                <w:color w:val="auto"/>
              </w:rPr>
            </w:pPr>
            <w:r>
              <w:rPr>
                <w:rFonts w:ascii="Arial" w:cs="Arial" w:eastAsia="Arial" w:hAnsi="Arial"/>
                <w:sz w:val="9"/>
                <w:szCs w:val="9"/>
                <w:color w:val="auto"/>
              </w:rPr>
              <w:t>15:34:21-05’00’</w:t>
            </w: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Borders>
              <w:lef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Borders>
              <w:lef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Borders>
              <w:left w:val="single" w:sz="8" w:color="auto"/>
            </w:tcBorders>
          </w:tcPr>
          <w:p>
            <w:pPr>
              <w:spacing w:after="0"/>
              <w:rPr>
                <w:sz w:val="14"/>
                <w:szCs w:val="14"/>
                <w:color w:val="auto"/>
              </w:rPr>
            </w:pPr>
          </w:p>
        </w:tc>
        <w:tc>
          <w:tcPr>
            <w:tcW w:w="1660" w:type="dxa"/>
            <w:vAlign w:val="bottom"/>
            <w:gridSpan w:val="3"/>
          </w:tcPr>
          <w:p>
            <w:pPr>
              <w:ind w:left="600"/>
              <w:spacing w:after="0"/>
              <w:rPr>
                <w:sz w:val="20"/>
                <w:szCs w:val="20"/>
                <w:color w:val="auto"/>
              </w:rPr>
            </w:pPr>
            <w:r>
              <w:rPr>
                <w:rFonts w:ascii="Arial" w:cs="Arial" w:eastAsia="Arial" w:hAnsi="Arial"/>
                <w:sz w:val="7"/>
                <w:szCs w:val="7"/>
                <w:color w:val="auto"/>
              </w:rPr>
              <w:t>Date 2020.12.31 10:57:33-05’00’</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Borders>
              <w:left w:val="single" w:sz="8" w:color="auto"/>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200"/>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200"/>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172"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spacing w:after="0"/>
        <w:tabs>
          <w:tab w:leader="none" w:pos="2380" w:val="left"/>
          <w:tab w:leader="none" w:pos="5060" w:val="left"/>
        </w:tabs>
        <w:rPr>
          <w:sz w:val="20"/>
          <w:szCs w:val="20"/>
          <w:color w:val="auto"/>
        </w:rPr>
      </w:pPr>
      <w:r>
        <w:rPr>
          <w:rFonts w:ascii="Arial" w:cs="Arial" w:eastAsia="Arial" w:hAnsi="Arial"/>
          <w:sz w:val="16"/>
          <w:szCs w:val="16"/>
          <w:b w:val="1"/>
          <w:bCs w:val="1"/>
          <w:color w:val="auto"/>
        </w:rPr>
        <w:t>DD FORM 1423-1, FEB 2001</w:t>
      </w:r>
      <w:r>
        <w:rPr>
          <w:sz w:val="20"/>
          <w:szCs w:val="20"/>
          <w:color w:val="auto"/>
        </w:rPr>
        <w:tab/>
      </w:r>
      <w:r>
        <w:rPr>
          <w:rFonts w:ascii="Arial" w:cs="Arial" w:eastAsia="Arial" w:hAnsi="Arial"/>
          <w:sz w:val="14"/>
          <w:szCs w:val="14"/>
          <w:color w:val="080808"/>
        </w:rPr>
        <w:t>PREVIOUS EDITION MAY BE USED.</w:t>
      </w:r>
      <w:r>
        <w:rPr>
          <w:sz w:val="20"/>
          <w:szCs w:val="20"/>
          <w:color w:val="auto"/>
        </w:rPr>
        <w:tab/>
      </w:r>
      <w:r>
        <w:rPr>
          <w:rFonts w:ascii="Arial" w:cs="Arial" w:eastAsia="Arial" w:hAnsi="Arial"/>
          <w:sz w:val="11"/>
          <w:szCs w:val="11"/>
          <w:color w:val="090909"/>
        </w:rPr>
        <w:t xml:space="preserve">Page 24 </w:t>
      </w:r>
      <w:r>
        <w:rPr>
          <w:rFonts w:ascii="Arial" w:cs="Arial" w:eastAsia="Arial" w:hAnsi="Arial"/>
          <w:sz w:val="12"/>
          <w:szCs w:val="12"/>
          <w:color w:val="070707"/>
        </w:rPr>
        <w:t>of 32</w:t>
      </w:r>
      <w:r>
        <w:rPr>
          <w:rFonts w:ascii="Arial" w:cs="Arial" w:eastAsia="Arial" w:hAnsi="Arial"/>
          <w:sz w:val="11"/>
          <w:szCs w:val="11"/>
          <w:color w:val="090909"/>
        </w:rPr>
        <w:t xml:space="preserve"> </w:t>
      </w:r>
      <w:r>
        <w:rPr>
          <w:rFonts w:ascii="Arial" w:cs="Arial" w:eastAsia="Arial" w:hAnsi="Arial"/>
          <w:sz w:val="11"/>
          <w:szCs w:val="11"/>
          <w:color w:val="0B0B0B"/>
        </w:rPr>
        <w:t>Pages</w:t>
      </w:r>
    </w:p>
    <w:p>
      <w:pPr>
        <w:sectPr>
          <w:pgSz w:w="11900" w:h="16838" w:orient="portrait"/>
          <w:cols w:equalWidth="0" w:num="1">
            <w:col w:w="11160"/>
          </w:cols>
          <w:pgMar w:left="320" w:top="403" w:right="419" w:bottom="1440" w:gutter="0" w:footer="0" w:header="0"/>
          <w:type w:val="continuous"/>
        </w:sectPr>
      </w:pPr>
    </w:p>
    <w:p>
      <w:pPr>
        <w:spacing w:after="0" w:line="17" w:lineRule="exact"/>
        <w:rPr>
          <w:sz w:val="20"/>
          <w:szCs w:val="20"/>
          <w:color w:val="auto"/>
        </w:r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9"/>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A024</w:t>
            </w:r>
          </w:p>
        </w:tc>
        <w:tc>
          <w:tcPr>
            <w:tcW w:w="20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010101"/>
              </w:rPr>
              <w:t>BARDA Audit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3"/>
              <w:spacing w:after="0"/>
              <w:rPr>
                <w:sz w:val="20"/>
                <w:szCs w:val="20"/>
                <w:color w:val="auto"/>
              </w:rPr>
            </w:pPr>
            <w:r>
              <w:rPr>
                <w:rFonts w:ascii="Arial" w:cs="Arial" w:eastAsia="Arial" w:hAnsi="Arial"/>
                <w:sz w:val="16"/>
                <w:szCs w:val="16"/>
                <w:color w:val="141414"/>
                <w:w w:val="91"/>
              </w:rPr>
              <w:t>DI-SESS-81921</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2"/>
          </w:tcPr>
          <w:p>
            <w:pPr>
              <w:jc w:val="right"/>
              <w:ind w:right="717"/>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3"/>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8"/>
                <w:szCs w:val="8"/>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8"/>
                <w:szCs w:val="8"/>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100" w:type="dxa"/>
            <w:vAlign w:val="bottom"/>
            <w:gridSpan w:val="9"/>
            <w:vMerge w:val="restart"/>
          </w:tcPr>
          <w:p>
            <w:pPr>
              <w:ind w:left="160"/>
              <w:spacing w:after="0"/>
              <w:rPr>
                <w:sz w:val="20"/>
                <w:szCs w:val="20"/>
                <w:color w:val="auto"/>
              </w:rPr>
            </w:pPr>
            <w:r>
              <w:rPr>
                <w:rFonts w:ascii="Arial" w:cs="Arial" w:eastAsia="Arial" w:hAnsi="Arial"/>
                <w:sz w:val="16"/>
                <w:szCs w:val="16"/>
                <w:color w:val="auto"/>
                <w:w w:val="98"/>
              </w:rPr>
              <w:t>Contractor shall accommodate periodic or ad hoc site visits by BARDA. If BARDA, the contractor, or</w:t>
            </w:r>
          </w:p>
        </w:tc>
        <w:tc>
          <w:tcPr>
            <w:tcW w:w="8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710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7100" w:type="dxa"/>
            <w:vAlign w:val="bottom"/>
            <w:gridSpan w:val="9"/>
            <w:vMerge w:val="restart"/>
          </w:tcPr>
          <w:p>
            <w:pPr>
              <w:ind w:left="160"/>
              <w:spacing w:after="0"/>
              <w:rPr>
                <w:sz w:val="20"/>
                <w:szCs w:val="20"/>
                <w:color w:val="auto"/>
              </w:rPr>
            </w:pPr>
            <w:r>
              <w:rPr>
                <w:rFonts w:ascii="Arial" w:cs="Arial" w:eastAsia="Arial" w:hAnsi="Arial"/>
                <w:sz w:val="16"/>
                <w:szCs w:val="16"/>
                <w:color w:val="auto"/>
                <w:w w:val="92"/>
              </w:rPr>
              <w:t>other parties identifies any issues during an audit, the contractor shall capture the issues, identify potential</w:t>
            </w:r>
          </w:p>
        </w:tc>
        <w:tc>
          <w:tcPr>
            <w:tcW w:w="80" w:type="dxa"/>
            <w:vAlign w:val="bottom"/>
          </w:tcPr>
          <w:p>
            <w:pPr>
              <w:spacing w:after="0"/>
              <w:rPr>
                <w:sz w:val="7"/>
                <w:szCs w:val="7"/>
                <w:color w:val="auto"/>
              </w:rPr>
            </w:pPr>
          </w:p>
        </w:tc>
        <w:tc>
          <w:tcPr>
            <w:tcW w:w="1880" w:type="dxa"/>
            <w:vAlign w:val="bottom"/>
            <w:tcBorders>
              <w:bottom w:val="single" w:sz="8" w:color="auto"/>
            </w:tcBorders>
            <w:gridSpan w:val="2"/>
            <w:vMerge w:val="continue"/>
          </w:tcPr>
          <w:p>
            <w:pPr>
              <w:spacing w:after="0"/>
              <w:rPr>
                <w:sz w:val="7"/>
                <w:szCs w:val="7"/>
                <w:color w:val="auto"/>
              </w:rPr>
            </w:pPr>
          </w:p>
        </w:tc>
        <w:tc>
          <w:tcPr>
            <w:tcW w:w="16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710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7100" w:type="dxa"/>
            <w:vAlign w:val="bottom"/>
            <w:gridSpan w:val="9"/>
            <w:vMerge w:val="restart"/>
          </w:tcPr>
          <w:p>
            <w:pPr>
              <w:ind w:left="160"/>
              <w:spacing w:after="0"/>
              <w:rPr>
                <w:sz w:val="20"/>
                <w:szCs w:val="20"/>
                <w:color w:val="auto"/>
              </w:rPr>
            </w:pPr>
            <w:r>
              <w:rPr>
                <w:rFonts w:ascii="Arial" w:cs="Arial" w:eastAsia="Arial" w:hAnsi="Arial"/>
                <w:sz w:val="16"/>
                <w:szCs w:val="16"/>
                <w:color w:val="auto"/>
                <w:w w:val="93"/>
              </w:rPr>
              <w:t>solutions, and provide a report to BARDA• If issues are identified during the audit, contractor shall submit</w:t>
            </w:r>
          </w:p>
        </w:tc>
        <w:tc>
          <w:tcPr>
            <w:tcW w:w="8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71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60" w:type="dxa"/>
            <w:vAlign w:val="bottom"/>
            <w:gridSpan w:val="8"/>
          </w:tcPr>
          <w:p>
            <w:pPr>
              <w:ind w:left="160"/>
              <w:spacing w:after="0" w:line="138" w:lineRule="exact"/>
              <w:rPr>
                <w:sz w:val="20"/>
                <w:szCs w:val="20"/>
                <w:color w:val="auto"/>
              </w:rPr>
            </w:pPr>
            <w:r>
              <w:rPr>
                <w:rFonts w:ascii="Arial" w:cs="Arial" w:eastAsia="Arial" w:hAnsi="Arial"/>
                <w:sz w:val="16"/>
                <w:szCs w:val="16"/>
                <w:color w:val="auto"/>
              </w:rPr>
              <w:t xml:space="preserve">a report to BARDA detailing the finding and corrective action(s) within </w:t>
            </w:r>
            <w:r>
              <w:rPr>
                <w:rFonts w:ascii="Arial" w:cs="Arial" w:eastAsia="Arial" w:hAnsi="Arial"/>
                <w:sz w:val="14"/>
                <w:szCs w:val="14"/>
                <w:color w:val="2A2A2A"/>
              </w:rPr>
              <w:t>[* * *]</w:t>
            </w:r>
            <w:r>
              <w:rPr>
                <w:rFonts w:ascii="Arial" w:cs="Arial" w:eastAsia="Arial" w:hAnsi="Arial"/>
                <w:sz w:val="16"/>
                <w:szCs w:val="16"/>
                <w:color w:val="auto"/>
              </w:rPr>
              <w:t xml:space="preserve"> of the audit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032115"/>
                    </a:xfrm>
                    <a:prstGeom prst="rect">
                      <a:avLst/>
                    </a:prstGeom>
                    <a:noFill/>
                  </pic:spPr>
                </pic:pic>
              </a:graphicData>
            </a:graphic>
          </wp:anchor>
        </w:drawing>
      </w:r>
    </w:p>
    <w:p>
      <w:pPr>
        <w:ind w:left="680" w:hanging="511"/>
        <w:spacing w:after="0"/>
        <w:tabs>
          <w:tab w:leader="none" w:pos="6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AOR and AO will review the report and provide a response to the Contractor with </w:t>
      </w:r>
      <w:r>
        <w:rPr>
          <w:rFonts w:ascii="Arial" w:cs="Arial" w:eastAsia="Arial" w:hAnsi="Arial"/>
          <w:sz w:val="14"/>
          <w:szCs w:val="14"/>
          <w:color w:val="2A2A2A"/>
        </w:rPr>
        <w:t>[* * *]</w:t>
      </w:r>
    </w:p>
    <w:p>
      <w:pPr>
        <w:spacing w:after="0" w:line="19" w:lineRule="exact"/>
        <w:rPr>
          <w:rFonts w:ascii="Arial" w:cs="Arial" w:eastAsia="Arial" w:hAnsi="Arial"/>
          <w:sz w:val="16"/>
          <w:szCs w:val="16"/>
          <w:color w:val="auto"/>
        </w:rPr>
      </w:pPr>
    </w:p>
    <w:p>
      <w:pPr>
        <w:ind w:left="680" w:hanging="511"/>
        <w:spacing w:after="0"/>
        <w:tabs>
          <w:tab w:leader="none" w:pos="6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Once corrective action is completed, the Awardee will provide a final report to BARDA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15:33:36-05’00’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11:04:20-05’00’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25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202"/>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202"/>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9"/>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A025</w:t>
            </w:r>
          </w:p>
        </w:tc>
        <w:tc>
          <w:tcPr>
            <w:tcW w:w="20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010101"/>
              </w:rPr>
              <w:t>FDA Inspections</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141414"/>
                <w:w w:val="91"/>
              </w:rPr>
              <w:t>DI-SESS-81921</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198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7"/>
                <w:szCs w:val="7"/>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581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929130" cy="80581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581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058150"/>
                    </a:xfrm>
                    <a:prstGeom prst="rect">
                      <a:avLst/>
                    </a:prstGeom>
                    <a:noFill/>
                  </pic:spPr>
                </pic:pic>
              </a:graphicData>
            </a:graphic>
          </wp:anchor>
        </w:drawing>
        <w:t>In the event of an FDA inspection that occurs in relation to this contract and for the</w:t>
      </w:r>
    </w:p>
    <w:p>
      <w:pPr>
        <w:spacing w:after="0" w:line="5" w:lineRule="exact"/>
        <w:rPr>
          <w:sz w:val="20"/>
          <w:szCs w:val="20"/>
          <w:color w:val="auto"/>
        </w:rPr>
      </w:pPr>
    </w:p>
    <w:p>
      <w:pPr>
        <w:ind w:left="160" w:right="3060"/>
        <w:spacing w:after="0" w:line="272" w:lineRule="auto"/>
        <w:rPr>
          <w:sz w:val="20"/>
          <w:szCs w:val="20"/>
          <w:color w:val="auto"/>
        </w:rPr>
      </w:pPr>
      <w:r>
        <w:rPr>
          <w:rFonts w:ascii="Arial" w:cs="Arial" w:eastAsia="Arial" w:hAnsi="Arial"/>
          <w:sz w:val="15"/>
          <w:szCs w:val="15"/>
          <w:color w:val="auto"/>
        </w:rPr>
        <w:t>product, or for any other FDA inspection that has the reasonable potential to impact the performance of this contract, the Awardee shall provide the USG with an exact copy (non-redacted) of the FDA Form 483 and the Establishment Inspection Report (EIR). The Contractor shall also provide copies of any FDA audits received from subawardees that occur as a result of this contract or for this product.</w:t>
      </w:r>
    </w:p>
    <w:p>
      <w:pPr>
        <w:spacing w:after="0" w:line="203" w:lineRule="exact"/>
        <w:rPr>
          <w:sz w:val="20"/>
          <w:szCs w:val="20"/>
          <w:color w:val="auto"/>
        </w:rPr>
      </w:pPr>
    </w:p>
    <w:p>
      <w:pPr>
        <w:ind w:left="160" w:right="3120" w:firstLine="9"/>
        <w:spacing w:after="0" w:line="255" w:lineRule="auto"/>
        <w:tabs>
          <w:tab w:leader="none" w:pos="67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Contractor shall notify AO and AOR within </w:t>
      </w:r>
      <w:r>
        <w:rPr>
          <w:rFonts w:ascii="Arial" w:cs="Arial" w:eastAsia="Arial" w:hAnsi="Arial"/>
          <w:sz w:val="14"/>
          <w:szCs w:val="14"/>
          <w:color w:val="2A2A2A"/>
        </w:rPr>
        <w:t>[* * *]</w:t>
      </w:r>
      <w:r>
        <w:rPr>
          <w:rFonts w:ascii="Arial" w:cs="Arial" w:eastAsia="Arial" w:hAnsi="Arial"/>
          <w:sz w:val="16"/>
          <w:szCs w:val="16"/>
          <w:color w:val="auto"/>
        </w:rPr>
        <w:t xml:space="preserve"> of a scheduled FDA audit or within </w:t>
      </w:r>
      <w:r>
        <w:rPr>
          <w:rFonts w:ascii="Arial" w:cs="Arial" w:eastAsia="Arial" w:hAnsi="Arial"/>
          <w:sz w:val="14"/>
          <w:szCs w:val="14"/>
          <w:color w:val="2A2A2A"/>
        </w:rPr>
        <w:t>[* * *]</w:t>
      </w:r>
      <w:r>
        <w:rPr>
          <w:rFonts w:ascii="Arial" w:cs="Arial" w:eastAsia="Arial" w:hAnsi="Arial"/>
          <w:sz w:val="16"/>
          <w:szCs w:val="16"/>
          <w:color w:val="auto"/>
        </w:rPr>
        <w:t xml:space="preserve"> of an ad hoc site visit/audit if the FDA does not provide advanced notice.</w:t>
      </w:r>
    </w:p>
    <w:p>
      <w:pPr>
        <w:spacing w:after="0" w:line="1" w:lineRule="exact"/>
        <w:rPr>
          <w:rFonts w:ascii="Arial" w:cs="Arial" w:eastAsia="Arial" w:hAnsi="Arial"/>
          <w:sz w:val="16"/>
          <w:szCs w:val="16"/>
          <w:color w:val="auto"/>
        </w:rPr>
      </w:pPr>
    </w:p>
    <w:p>
      <w:pPr>
        <w:ind w:left="160" w:right="3100" w:firstLine="9"/>
        <w:spacing w:after="0" w:line="246" w:lineRule="auto"/>
        <w:tabs>
          <w:tab w:leader="none" w:pos="67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Contractor shall provide copies of any FDA audit report received from subawardees that occur as a result of this contract or for this product within </w:t>
      </w:r>
      <w:r>
        <w:rPr>
          <w:rFonts w:ascii="Arial" w:cs="Arial" w:eastAsia="Arial" w:hAnsi="Arial"/>
          <w:sz w:val="14"/>
          <w:szCs w:val="14"/>
          <w:color w:val="2A2A2A"/>
        </w:rPr>
        <w:t>[* * *]</w:t>
      </w:r>
      <w:r>
        <w:rPr>
          <w:rFonts w:ascii="Arial" w:cs="Arial" w:eastAsia="Arial" w:hAnsi="Arial"/>
          <w:sz w:val="16"/>
          <w:szCs w:val="16"/>
          <w:color w:val="auto"/>
        </w:rPr>
        <w:t xml:space="preserve"> of receiving correspondence from the FDA or third party.</w:t>
      </w:r>
    </w:p>
    <w:p>
      <w:pPr>
        <w:spacing w:after="0" w:line="1" w:lineRule="exact"/>
        <w:rPr>
          <w:rFonts w:ascii="Arial" w:cs="Arial" w:eastAsia="Arial" w:hAnsi="Arial"/>
          <w:sz w:val="16"/>
          <w:szCs w:val="16"/>
          <w:color w:val="auto"/>
        </w:rPr>
      </w:pPr>
    </w:p>
    <w:p>
      <w:pPr>
        <w:ind w:left="160" w:right="3340" w:firstLine="9"/>
        <w:spacing w:after="0" w:line="257" w:lineRule="auto"/>
        <w:tabs>
          <w:tab w:leader="none" w:pos="67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4"/>
          <w:szCs w:val="14"/>
          <w:color w:val="2A2A2A"/>
        </w:rPr>
        <w:t>[* * *]</w:t>
      </w:r>
      <w:r>
        <w:rPr>
          <w:rFonts w:ascii="Arial" w:cs="Arial" w:eastAsia="Arial" w:hAnsi="Arial"/>
          <w:sz w:val="16"/>
          <w:szCs w:val="16"/>
          <w:color w:val="auto"/>
        </w:rPr>
        <w:t>s of audit report, contractor shall provide AOR with a plan for addressing areas of nonconformance, if any are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0"/>
        </w:trPr>
        <w:tc>
          <w:tcPr>
            <w:tcW w:w="23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3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4"/>
                <w:szCs w:val="14"/>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4"/>
                <w:szCs w:val="14"/>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15:33:03-05’00’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11:11:12-05’00’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26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204"/>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204"/>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415"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2"/>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tcBorders>
              <w:bottom w:val="single" w:sz="8" w:color="auto"/>
            </w:tcBorders>
            <w:gridSpan w:val="9"/>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0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560" w:type="dxa"/>
            <w:vAlign w:val="bottom"/>
            <w:gridSpan w:val="8"/>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0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10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C. CATEGORY: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039"/>
              <w:spacing w:after="0"/>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right w:val="single" w:sz="8" w:color="auto"/>
            </w:tcBorders>
          </w:tcPr>
          <w:p>
            <w:pPr>
              <w:jc w:val="right"/>
              <w:ind w:right="717"/>
              <w:spacing w:after="0"/>
              <w:rPr>
                <w:sz w:val="20"/>
                <w:szCs w:val="20"/>
                <w:color w:val="auto"/>
              </w:rPr>
            </w:pPr>
            <w:r>
              <w:rPr>
                <w:rFonts w:ascii="Arial" w:cs="Arial" w:eastAsia="Arial" w:hAnsi="Arial"/>
                <w:sz w:val="16"/>
                <w:szCs w:val="16"/>
                <w:color w:val="auto"/>
              </w:rPr>
              <w:t>A</w:t>
            </w:r>
          </w:p>
        </w:tc>
        <w:tc>
          <w:tcPr>
            <w:tcW w:w="1440" w:type="dxa"/>
            <w:vAlign w:val="bottom"/>
            <w:gridSpan w:val="2"/>
          </w:tcPr>
          <w:p>
            <w:pPr>
              <w:ind w:left="1240"/>
              <w:spacing w:after="0"/>
              <w:rPr>
                <w:sz w:val="20"/>
                <w:szCs w:val="20"/>
                <w:color w:val="auto"/>
              </w:rPr>
            </w:pPr>
            <w:r>
              <w:rPr>
                <w:rFonts w:ascii="Arial" w:cs="Arial" w:eastAsia="Arial" w:hAnsi="Arial"/>
                <w:sz w:val="9"/>
                <w:szCs w:val="9"/>
                <w:color w:val="auto"/>
                <w:w w:val="99"/>
              </w:rPr>
              <w:t>TDP</w:t>
            </w:r>
          </w:p>
        </w:tc>
        <w:tc>
          <w:tcPr>
            <w:tcW w:w="540" w:type="dxa"/>
            <w:vAlign w:val="bottom"/>
          </w:tcPr>
          <w:p>
            <w:pPr>
              <w:ind w:left="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8"/>
                <w:szCs w:val="8"/>
                <w:color w:val="auto"/>
              </w:rPr>
              <w:t>TM</w:t>
            </w:r>
          </w:p>
        </w:tc>
        <w:tc>
          <w:tcPr>
            <w:tcW w:w="1960" w:type="dxa"/>
            <w:vAlign w:val="bottom"/>
            <w:gridSpan w:val="3"/>
          </w:tcPr>
          <w:p>
            <w:pPr>
              <w:jc w:val="right"/>
              <w:ind w:right="1615"/>
              <w:spacing w:after="0"/>
              <w:rPr>
                <w:sz w:val="20"/>
                <w:szCs w:val="20"/>
                <w:color w:val="auto"/>
              </w:rPr>
            </w:pPr>
            <w:r>
              <w:rPr>
                <w:rFonts w:ascii="Arial" w:cs="Arial" w:eastAsia="Arial" w:hAnsi="Arial"/>
                <w:sz w:val="9"/>
                <w:szCs w:val="9"/>
                <w:color w:val="auto"/>
                <w:w w:val="88"/>
              </w:rPr>
              <w:t>OTHER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2500" w:type="dxa"/>
            <w:vAlign w:val="bottom"/>
            <w:tcBorders>
              <w:bottom w:val="single" w:sz="8" w:color="auto"/>
            </w:tcBorders>
            <w:gridSpan w:val="4"/>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6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F. CONTRACTOR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20"/>
              <w:spacing w:after="0"/>
              <w:rPr>
                <w:sz w:val="20"/>
                <w:szCs w:val="20"/>
                <w:color w:val="auto"/>
              </w:rPr>
            </w:pPr>
            <w:r>
              <w:rPr>
                <w:rFonts w:ascii="Arial" w:cs="Arial" w:eastAsia="Arial" w:hAnsi="Arial"/>
                <w:sz w:val="10"/>
                <w:szCs w:val="10"/>
                <w:color w:val="auto"/>
              </w:rPr>
              <w:t>3. SUBTITLE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A026</w:t>
            </w:r>
          </w:p>
        </w:tc>
        <w:tc>
          <w:tcPr>
            <w:tcW w:w="20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010101"/>
              </w:rPr>
              <w:t>QA Audit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Arial" w:cs="Arial" w:eastAsia="Arial" w:hAnsi="Arial"/>
                <w:sz w:val="9"/>
                <w:szCs w:val="9"/>
                <w:color w:val="auto"/>
              </w:rPr>
              <w:t>5. CONTRACT REFERENCE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9"/>
                <w:szCs w:val="9"/>
                <w:color w:val="auto"/>
              </w:rPr>
              <w:t>6. REQUIRING OFFICE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141414"/>
                <w:w w:val="91"/>
              </w:rPr>
              <w:t>DI-SESS-81921</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SOW</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198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80" w:type="dxa"/>
            <w:vAlign w:val="bottom"/>
          </w:tcPr>
          <w:p>
            <w:pPr>
              <w:spacing w:after="0"/>
              <w:rPr>
                <w:sz w:val="10"/>
                <w:szCs w:val="10"/>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0"/>
                <w:szCs w:val="10"/>
                <w:color w:val="auto"/>
              </w:rPr>
              <w:t>14.  DISTRIBUTION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198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Borders>
              <w:right w:val="single" w:sz="8" w:color="auto"/>
            </w:tcBorders>
            <w:gridSpan w:val="2"/>
          </w:tcPr>
          <w:p>
            <w:pPr>
              <w:jc w:val="right"/>
              <w:ind w:right="717"/>
              <w:spacing w:after="0" w:line="102" w:lineRule="exact"/>
              <w:rPr>
                <w:sz w:val="20"/>
                <w:szCs w:val="20"/>
                <w:color w:val="auto"/>
              </w:rPr>
            </w:pPr>
            <w:r>
              <w:rPr>
                <w:rFonts w:ascii="Arial" w:cs="Arial" w:eastAsia="Arial" w:hAnsi="Arial"/>
                <w:sz w:val="10"/>
                <w:szCs w:val="10"/>
                <w:color w:val="auto"/>
              </w:rPr>
              <w:t>11. AS OF DATE</w:t>
            </w:r>
          </w:p>
        </w:tc>
        <w:tc>
          <w:tcPr>
            <w:tcW w:w="1980" w:type="dxa"/>
            <w:vAlign w:val="bottom"/>
            <w:gridSpan w:val="3"/>
          </w:tcPr>
          <w:p>
            <w:pPr>
              <w:ind w:left="140"/>
              <w:spacing w:after="0" w:line="102" w:lineRule="exact"/>
              <w:rPr>
                <w:sz w:val="20"/>
                <w:szCs w:val="20"/>
                <w:color w:val="auto"/>
              </w:rPr>
            </w:pPr>
            <w:r>
              <w:rPr>
                <w:rFonts w:ascii="Arial" w:cs="Arial" w:eastAsia="Arial" w:hAnsi="Arial"/>
                <w:sz w:val="9"/>
                <w:szCs w:val="9"/>
                <w:color w:val="auto"/>
              </w:rPr>
              <w:t>13. DATE OF SUBSEQUENT SUBMISSION</w:t>
            </w:r>
          </w:p>
        </w:tc>
        <w:tc>
          <w:tcPr>
            <w:tcW w:w="80" w:type="dxa"/>
            <w:vAlign w:val="bottom"/>
          </w:tcPr>
          <w:p>
            <w:pPr>
              <w:spacing w:after="0"/>
              <w:rPr>
                <w:sz w:val="8"/>
                <w:szCs w:val="8"/>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0"/>
                <w:szCs w:val="10"/>
                <w:color w:val="auto"/>
              </w:rPr>
              <w:t>a. ADDRESSEE</w:t>
            </w:r>
          </w:p>
        </w:tc>
        <w:tc>
          <w:tcPr>
            <w:tcW w:w="160" w:type="dxa"/>
            <w:vAlign w:val="bottom"/>
          </w:tcPr>
          <w:p>
            <w:pPr>
              <w:spacing w:after="0"/>
              <w:rPr>
                <w:sz w:val="8"/>
                <w:szCs w:val="8"/>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980" w:type="dxa"/>
            <w:vAlign w:val="bottom"/>
            <w:gridSpan w:val="3"/>
            <w:vMerge w:val="restart"/>
          </w:tcPr>
          <w:p>
            <w:pPr>
              <w:ind w:left="760"/>
              <w:spacing w:after="0" w:line="148" w:lineRule="exact"/>
              <w:rPr>
                <w:sz w:val="20"/>
                <w:szCs w:val="20"/>
                <w:color w:val="auto"/>
              </w:rPr>
            </w:pPr>
            <w:r>
              <w:rPr>
                <w:rFonts w:ascii="Arial" w:cs="Arial" w:eastAsia="Arial" w:hAnsi="Arial"/>
                <w:sz w:val="16"/>
                <w:szCs w:val="16"/>
                <w:color w:val="auto"/>
              </w:rPr>
              <w:t>see remarks</w:t>
            </w:r>
          </w:p>
        </w:tc>
        <w:tc>
          <w:tcPr>
            <w:tcW w:w="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91" w:lineRule="exact"/>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BARDA</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color w:val="auto"/>
              </w:rPr>
              <w:t>JPEO CBRND</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right="3080"/>
        <w:spacing w:after="0" w:line="26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4751705</wp:posOffset>
            </wp:positionH>
            <wp:positionV relativeFrom="page">
              <wp:posOffset>268605</wp:posOffset>
            </wp:positionV>
            <wp:extent cx="1929130" cy="80321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29130" cy="80321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8890" cy="80321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032115"/>
                    </a:xfrm>
                    <a:prstGeom prst="rect">
                      <a:avLst/>
                    </a:prstGeom>
                    <a:noFill/>
                  </pic:spPr>
                </pic:pic>
              </a:graphicData>
            </a:graphic>
          </wp:anchor>
        </w:drawing>
        <w:t>BARDA reserves the right to participate in QA audits performed by the contractor. Upon completion of the audit/site visit the contractor shall provide a report capturing the findings, results and next steps in proceeding with the subawardee. If action is requested of the subawardee, detailed concerns for addressing areas of non-conformance to FDA regulations for GLP, GMP, or GCP guidelines, as identified in the audit report, must be provided to BARDA. The contractor shall provide responses from the subawardees to address these concerns and plans for corrective action</w:t>
      </w:r>
    </w:p>
    <w:p>
      <w:pPr>
        <w:spacing w:after="0" w:line="207" w:lineRule="exact"/>
        <w:rPr>
          <w:sz w:val="20"/>
          <w:szCs w:val="20"/>
          <w:color w:val="auto"/>
        </w:rPr>
      </w:pPr>
    </w:p>
    <w:p>
      <w:pPr>
        <w:ind w:left="160" w:right="3400" w:firstLine="9"/>
        <w:spacing w:after="0" w:line="255" w:lineRule="auto"/>
        <w:tabs>
          <w:tab w:leader="none" w:pos="67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Contractor shall notify AO and AOR a minimum of </w:t>
      </w:r>
      <w:r>
        <w:rPr>
          <w:rFonts w:ascii="Arial" w:cs="Arial" w:eastAsia="Arial" w:hAnsi="Arial"/>
          <w:sz w:val="14"/>
          <w:szCs w:val="14"/>
          <w:color w:val="2A2A2A"/>
        </w:rPr>
        <w:t>[* * *]</w:t>
      </w:r>
      <w:r>
        <w:rPr>
          <w:rFonts w:ascii="Arial" w:cs="Arial" w:eastAsia="Arial" w:hAnsi="Arial"/>
          <w:sz w:val="16"/>
          <w:szCs w:val="16"/>
          <w:color w:val="auto"/>
        </w:rPr>
        <w:t xml:space="preserve"> in advance of upcoming, audits/site visits of subawardees</w:t>
      </w:r>
    </w:p>
    <w:p>
      <w:pPr>
        <w:spacing w:after="0" w:line="1" w:lineRule="exact"/>
        <w:rPr>
          <w:rFonts w:ascii="Arial" w:cs="Arial" w:eastAsia="Arial" w:hAnsi="Arial"/>
          <w:sz w:val="16"/>
          <w:szCs w:val="16"/>
          <w:color w:val="auto"/>
        </w:rPr>
      </w:pPr>
    </w:p>
    <w:p>
      <w:pPr>
        <w:ind w:left="680" w:hanging="511"/>
        <w:spacing w:after="0"/>
        <w:tabs>
          <w:tab w:leader="none" w:pos="6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Contractor shall notify the AOR and AO within </w:t>
      </w:r>
      <w:r>
        <w:rPr>
          <w:rFonts w:ascii="Arial" w:cs="Arial" w:eastAsia="Arial" w:hAnsi="Arial"/>
          <w:sz w:val="14"/>
          <w:szCs w:val="14"/>
          <w:color w:val="2A2A2A"/>
        </w:rPr>
        <w:t>[* * *]</w:t>
      </w:r>
      <w:r>
        <w:rPr>
          <w:rFonts w:ascii="Arial" w:cs="Arial" w:eastAsia="Arial" w:hAnsi="Arial"/>
          <w:sz w:val="16"/>
          <w:szCs w:val="16"/>
          <w:color w:val="auto"/>
        </w:rPr>
        <w:t xml:space="preserve"> of report completion.</w:t>
      </w:r>
    </w:p>
    <w:p>
      <w:pPr>
        <w:spacing w:after="0" w:line="5" w:lineRule="exact"/>
        <w:rPr>
          <w:rFonts w:ascii="Arial" w:cs="Arial" w:eastAsia="Arial" w:hAnsi="Arial"/>
          <w:sz w:val="16"/>
          <w:szCs w:val="16"/>
          <w:color w:val="auto"/>
        </w:rPr>
      </w:pPr>
    </w:p>
    <w:p>
      <w:pPr>
        <w:ind w:left="680" w:hanging="511"/>
        <w:spacing w:after="0"/>
        <w:tabs>
          <w:tab w:leader="none" w:pos="6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AOR and AO will review the report and provide a response to the contractor with </w:t>
      </w:r>
      <w:r>
        <w:rPr>
          <w:rFonts w:ascii="Arial" w:cs="Arial" w:eastAsia="Arial" w:hAnsi="Arial"/>
          <w:sz w:val="14"/>
          <w:szCs w:val="14"/>
          <w:color w:val="2A2A2A"/>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15:32:17-05’00’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11:19:43-05’00’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27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1" w:hanging="161"/>
        <w:spacing w:after="0"/>
        <w:tabs>
          <w:tab w:leader="none" w:pos="161" w:val="left"/>
        </w:tabs>
        <w:numPr>
          <w:ilvl w:val="0"/>
          <w:numId w:val="206"/>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206"/>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3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6110" cy="728345"/>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52" w:name="page153"/>
    <w:bookmarkEnd w:id="152"/>
    <w:tbl>
      <w:tblPr>
        <w:tblLayout w:type="fixed"/>
        <w:tblInd w:w="10" w:type="dxa"/>
        <w:tblCellMar>
          <w:top w:w="0" w:type="dxa"/>
          <w:left w:w="0" w:type="dxa"/>
          <w:bottom w:w="0" w:type="dxa"/>
          <w:right w:w="0" w:type="dxa"/>
        </w:tblCellMar>
      </w:tblPr>
      <w:tr>
        <w:trPr>
          <w:trHeight w:val="308"/>
        </w:trPr>
        <w:tc>
          <w:tcPr>
            <w:tcW w:w="680" w:type="dxa"/>
            <w:vAlign w:val="bottom"/>
            <w:tcBorders>
              <w:top w:val="single" w:sz="8" w:color="auto"/>
              <w:left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CONTRACT DATA REQUIREMENTS LIST</w:t>
            </w: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4"/>
          </w:tcPr>
          <w:p>
            <w:pPr>
              <w:ind w:left="660"/>
              <w:spacing w:after="0"/>
              <w:rPr>
                <w:sz w:val="20"/>
                <w:szCs w:val="20"/>
                <w:color w:val="auto"/>
              </w:rPr>
            </w:pPr>
            <w:r>
              <w:rPr>
                <w:rFonts w:ascii="Arial" w:cs="Arial" w:eastAsia="Arial" w:hAnsi="Arial"/>
                <w:sz w:val="13"/>
                <w:szCs w:val="13"/>
                <w:i w:val="1"/>
                <w:iCs w:val="1"/>
                <w:color w:val="auto"/>
              </w:rPr>
              <w:t>Form Approved</w:t>
            </w: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jc w:val="right"/>
              <w:ind w:right="428"/>
              <w:spacing w:after="0"/>
              <w:rPr>
                <w:sz w:val="20"/>
                <w:szCs w:val="20"/>
                <w:color w:val="auto"/>
              </w:rPr>
            </w:pPr>
            <w:r>
              <w:rPr>
                <w:rFonts w:ascii="Arial" w:cs="Arial" w:eastAsia="Arial" w:hAnsi="Arial"/>
                <w:sz w:val="13"/>
                <w:szCs w:val="13"/>
                <w:i w:val="1"/>
                <w:iCs w:val="1"/>
                <w:color w:val="auto"/>
              </w:rPr>
              <w:t>(1 Data Item)</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880" w:type="dxa"/>
            <w:vAlign w:val="bottom"/>
            <w:gridSpan w:val="4"/>
          </w:tcPr>
          <w:p>
            <w:pPr>
              <w:ind w:left="660"/>
              <w:spacing w:after="0"/>
              <w:rPr>
                <w:sz w:val="20"/>
                <w:szCs w:val="20"/>
                <w:color w:val="auto"/>
              </w:rPr>
            </w:pPr>
            <w:r>
              <w:rPr>
                <w:rFonts w:ascii="Arial" w:cs="Arial" w:eastAsia="Arial" w:hAnsi="Arial"/>
                <w:sz w:val="13"/>
                <w:szCs w:val="13"/>
                <w:i w:val="1"/>
                <w:iCs w:val="1"/>
                <w:color w:val="auto"/>
              </w:rPr>
              <w:t>OMB No. 0704-0188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040" w:type="dxa"/>
            <w:vAlign w:val="bottom"/>
            <w:tcBorders>
              <w:left w:val="single" w:sz="8" w:color="auto"/>
              <w:bottom w:val="single" w:sz="8" w:color="auto"/>
            </w:tcBorders>
            <w:gridSpan w:val="11"/>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80" w:type="dxa"/>
            <w:vAlign w:val="bottom"/>
            <w:tcBorders>
              <w:left w:val="single" w:sz="8" w:color="auto"/>
            </w:tcBorders>
            <w:gridSpan w:val="12"/>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80" w:type="dxa"/>
            <w:vAlign w:val="bottom"/>
            <w:tcBorders>
              <w:left w:val="single" w:sz="8" w:color="auto"/>
            </w:tcBorders>
            <w:gridSpan w:val="12"/>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7180" w:type="dxa"/>
            <w:vAlign w:val="bottom"/>
            <w:tcBorders>
              <w:left w:val="single" w:sz="8" w:color="auto"/>
            </w:tcBorders>
            <w:gridSpan w:val="12"/>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80" w:type="dxa"/>
            <w:vAlign w:val="bottom"/>
            <w:tcBorders>
              <w:left w:val="single" w:sz="8" w:color="auto"/>
            </w:tcBorders>
            <w:gridSpan w:val="12"/>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180" w:type="dxa"/>
            <w:vAlign w:val="bottom"/>
            <w:tcBorders>
              <w:left w:val="single" w:sz="8" w:color="auto"/>
            </w:tcBorders>
            <w:gridSpan w:val="12"/>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tcBorders>
              <w:left w:val="single" w:sz="8" w:color="auto"/>
            </w:tcBorders>
            <w:gridSpan w:val="5"/>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left w:val="single" w:sz="8" w:color="auto"/>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192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Borders>
              <w:right w:val="single" w:sz="8" w:color="auto"/>
            </w:tcBorders>
            <w:gridSpan w:val="3"/>
          </w:tcPr>
          <w:p>
            <w:pPr>
              <w:jc w:val="right"/>
              <w:ind w:right="788"/>
              <w:spacing w:after="0"/>
              <w:rPr>
                <w:sz w:val="20"/>
                <w:szCs w:val="20"/>
                <w:color w:val="auto"/>
              </w:rPr>
            </w:pPr>
            <w:r>
              <w:rPr>
                <w:rFonts w:ascii="Arial" w:cs="Arial" w:eastAsia="Arial" w:hAnsi="Arial"/>
                <w:sz w:val="13"/>
                <w:szCs w:val="13"/>
                <w:b w:val="1"/>
                <w:bCs w:val="1"/>
                <w:color w:val="auto"/>
              </w:rPr>
              <w:t>B. EXHIBIT</w:t>
            </w:r>
          </w:p>
        </w:tc>
        <w:tc>
          <w:tcPr>
            <w:tcW w:w="2060" w:type="dxa"/>
            <w:vAlign w:val="bottom"/>
            <w:gridSpan w:val="4"/>
          </w:tcPr>
          <w:p>
            <w:pPr>
              <w:ind w:left="80"/>
              <w:spacing w:after="0"/>
              <w:rPr>
                <w:sz w:val="20"/>
                <w:szCs w:val="20"/>
                <w:color w:val="auto"/>
              </w:rPr>
            </w:pPr>
            <w:r>
              <w:rPr>
                <w:rFonts w:ascii="Arial" w:cs="Arial" w:eastAsia="Arial" w:hAnsi="Arial"/>
                <w:sz w:val="13"/>
                <w:szCs w:val="13"/>
                <w:b w:val="1"/>
                <w:bCs w:val="1"/>
                <w:color w:val="auto"/>
              </w:rPr>
              <w:t>C. CATEGORY:</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80" w:type="dxa"/>
            <w:vAlign w:val="bottom"/>
            <w:tcBorders>
              <w:lef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Borders>
              <w:right w:val="single" w:sz="8" w:color="auto"/>
            </w:tcBorders>
            <w:gridSpan w:val="2"/>
          </w:tcPr>
          <w:p>
            <w:pPr>
              <w:jc w:val="right"/>
              <w:ind w:right="1039"/>
              <w:spacing w:after="0" w:line="152" w:lineRule="exact"/>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right w:val="single" w:sz="8" w:color="auto"/>
            </w:tcBorders>
          </w:tcPr>
          <w:p>
            <w:pPr>
              <w:jc w:val="right"/>
              <w:ind w:right="708"/>
              <w:spacing w:after="0" w:line="152" w:lineRule="exact"/>
              <w:rPr>
                <w:sz w:val="20"/>
                <w:szCs w:val="20"/>
                <w:color w:val="auto"/>
              </w:rPr>
            </w:pPr>
            <w:r>
              <w:rPr>
                <w:rFonts w:ascii="Arial" w:cs="Arial" w:eastAsia="Arial" w:hAnsi="Arial"/>
                <w:sz w:val="16"/>
                <w:szCs w:val="16"/>
                <w:color w:val="auto"/>
              </w:rPr>
              <w:t>A</w:t>
            </w:r>
          </w:p>
        </w:tc>
        <w:tc>
          <w:tcPr>
            <w:tcW w:w="3940" w:type="dxa"/>
            <w:vAlign w:val="bottom"/>
            <w:gridSpan w:val="8"/>
          </w:tcPr>
          <w:p>
            <w:pPr>
              <w:ind w:left="240"/>
              <w:spacing w:after="0" w:line="152" w:lineRule="exact"/>
              <w:rPr>
                <w:sz w:val="20"/>
                <w:szCs w:val="20"/>
                <w:color w:val="auto"/>
              </w:rPr>
            </w:pPr>
            <w:r>
              <w:rPr>
                <w:rFonts w:ascii="Arial" w:cs="Arial" w:eastAsia="Arial" w:hAnsi="Arial"/>
                <w:sz w:val="13"/>
                <w:szCs w:val="13"/>
                <w:color w:val="auto"/>
              </w:rPr>
              <w:t xml:space="preserve">TDP _____ TM ____ OTHER </w:t>
            </w:r>
            <w:r>
              <w:rPr>
                <w:rFonts w:ascii="Arial" w:cs="Arial" w:eastAsia="Arial" w:hAnsi="Arial"/>
                <w:sz w:val="16"/>
                <w:szCs w:val="16"/>
                <w:color w:val="auto"/>
              </w:rPr>
              <w:t>Regulatory documents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80" w:type="dxa"/>
            <w:vAlign w:val="bottom"/>
            <w:tcBorders>
              <w:left w:val="single" w:sz="8" w:color="auto"/>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1200" w:type="dxa"/>
            <w:vAlign w:val="bottom"/>
            <w:tcBorders>
              <w:top w:val="single" w:sz="8" w:color="auto"/>
              <w:bottom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1880" w:type="dxa"/>
            <w:vAlign w:val="bottom"/>
            <w:gridSpan w:val="3"/>
          </w:tcPr>
          <w:p>
            <w:pPr>
              <w:ind w:left="80"/>
              <w:spacing w:after="0"/>
              <w:rPr>
                <w:sz w:val="20"/>
                <w:szCs w:val="20"/>
                <w:color w:val="auto"/>
              </w:rPr>
            </w:pPr>
            <w:r>
              <w:rPr>
                <w:rFonts w:ascii="Arial" w:cs="Arial" w:eastAsia="Arial" w:hAnsi="Arial"/>
                <w:sz w:val="13"/>
                <w:szCs w:val="13"/>
                <w:b w:val="1"/>
                <w:bCs w:val="1"/>
                <w:color w:val="auto"/>
              </w:rPr>
              <w:t>F. CONTRACTOR</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4"/>
          </w:tcPr>
          <w:p>
            <w:pPr>
              <w:jc w:val="right"/>
              <w:ind w:right="44"/>
              <w:spacing w:after="0"/>
              <w:rPr>
                <w:sz w:val="20"/>
                <w:szCs w:val="20"/>
                <w:color w:val="auto"/>
              </w:rPr>
            </w:pPr>
            <w:r>
              <w:rPr>
                <w:rFonts w:ascii="Arial" w:cs="Arial" w:eastAsia="Arial" w:hAnsi="Arial"/>
                <w:sz w:val="16"/>
                <w:szCs w:val="16"/>
                <w:color w:val="auto"/>
              </w:rPr>
              <w:t>Regeneron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680" w:type="dxa"/>
            <w:vAlign w:val="bottom"/>
            <w:tcBorders>
              <w:left w:val="single" w:sz="8" w:color="auto"/>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0"/>
                <w:szCs w:val="10"/>
                <w:color w:val="auto"/>
                <w:w w:val="94"/>
              </w:rPr>
              <w:t>3. SUBTITLE</w:t>
            </w: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tcBorders>
              <w:left w:val="single" w:sz="8" w:color="auto"/>
            </w:tcBorders>
            <w:gridSpan w:val="2"/>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680" w:type="dxa"/>
            <w:vAlign w:val="bottom"/>
            <w:tcBorders>
              <w:left w:val="single" w:sz="8" w:color="auto"/>
            </w:tcBorders>
          </w:tcPr>
          <w:p>
            <w:pPr>
              <w:spacing w:after="0"/>
              <w:rPr>
                <w:sz w:val="24"/>
                <w:szCs w:val="24"/>
                <w:color w:val="auto"/>
              </w:rPr>
            </w:pPr>
          </w:p>
        </w:tc>
        <w:tc>
          <w:tcPr>
            <w:tcW w:w="1200" w:type="dxa"/>
            <w:vAlign w:val="bottom"/>
          </w:tcPr>
          <w:p>
            <w:pPr>
              <w:ind w:left="640"/>
              <w:spacing w:after="0"/>
              <w:rPr>
                <w:sz w:val="20"/>
                <w:szCs w:val="20"/>
                <w:color w:val="auto"/>
              </w:rPr>
            </w:pPr>
            <w:r>
              <w:rPr>
                <w:rFonts w:ascii="Arial" w:cs="Arial" w:eastAsia="Arial" w:hAnsi="Arial"/>
                <w:sz w:val="16"/>
                <w:szCs w:val="16"/>
                <w:color w:val="auto"/>
              </w:rPr>
              <w:t>A027</w:t>
            </w:r>
          </w:p>
        </w:tc>
        <w:tc>
          <w:tcPr>
            <w:tcW w:w="20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010101"/>
              </w:rPr>
              <w:t>FDA Submissions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4"/>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tcBorders>
              <w:left w:val="single" w:sz="8" w:color="auto"/>
            </w:tcBorders>
            <w:gridSpan w:val="3"/>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180" w:type="dxa"/>
            <w:vAlign w:val="bottom"/>
            <w:tcBorders>
              <w:right w:val="single" w:sz="8" w:color="auto"/>
            </w:tcBorders>
            <w:gridSpan w:val="6"/>
          </w:tcPr>
          <w:p>
            <w:pPr>
              <w:ind w:left="80"/>
              <w:spacing w:after="0"/>
              <w:rPr>
                <w:sz w:val="20"/>
                <w:szCs w:val="20"/>
                <w:color w:val="auto"/>
              </w:rPr>
            </w:pPr>
            <w:r>
              <w:rPr>
                <w:rFonts w:ascii="Arial" w:cs="Arial" w:eastAsia="Arial" w:hAnsi="Arial"/>
                <w:sz w:val="9"/>
                <w:szCs w:val="9"/>
                <w:color w:val="auto"/>
              </w:rPr>
              <w:t>5. CONTRACT REFERENCE</w:t>
            </w:r>
          </w:p>
        </w:tc>
        <w:tc>
          <w:tcPr>
            <w:tcW w:w="1200" w:type="dxa"/>
            <w:vAlign w:val="bottom"/>
          </w:tcPr>
          <w:p>
            <w:pPr>
              <w:ind w:left="80"/>
              <w:spacing w:after="0"/>
              <w:rPr>
                <w:sz w:val="20"/>
                <w:szCs w:val="20"/>
                <w:color w:val="auto"/>
              </w:rPr>
            </w:pPr>
            <w:r>
              <w:rPr>
                <w:rFonts w:ascii="Arial" w:cs="Arial" w:eastAsia="Arial" w:hAnsi="Arial"/>
                <w:sz w:val="9"/>
                <w:szCs w:val="9"/>
                <w:color w:val="auto"/>
              </w:rPr>
              <w:t>6. REQUIRING OFFICE</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80" w:type="dxa"/>
            <w:vAlign w:val="bottom"/>
            <w:tcBorders>
              <w:left w:val="single" w:sz="8" w:color="auto"/>
            </w:tcBorders>
          </w:tcPr>
          <w:p>
            <w:pPr>
              <w:spacing w:after="0"/>
              <w:rPr>
                <w:sz w:val="18"/>
                <w:szCs w:val="18"/>
                <w:color w:val="auto"/>
              </w:rPr>
            </w:pPr>
          </w:p>
        </w:tc>
        <w:tc>
          <w:tcPr>
            <w:tcW w:w="2820" w:type="dxa"/>
            <w:vAlign w:val="bottom"/>
            <w:gridSpan w:val="4"/>
          </w:tcPr>
          <w:p>
            <w:pPr>
              <w:jc w:val="center"/>
              <w:ind w:right="180"/>
              <w:spacing w:after="0"/>
              <w:rPr>
                <w:sz w:val="20"/>
                <w:szCs w:val="20"/>
                <w:color w:val="auto"/>
              </w:rPr>
            </w:pPr>
            <w:r>
              <w:rPr>
                <w:rFonts w:ascii="Arial" w:cs="Arial" w:eastAsia="Arial" w:hAnsi="Arial"/>
                <w:sz w:val="16"/>
                <w:szCs w:val="16"/>
                <w:color w:val="141414"/>
                <w:w w:val="94"/>
              </w:rPr>
              <w:t>DI-TCSP-82040</w:t>
            </w:r>
          </w:p>
        </w:tc>
        <w:tc>
          <w:tcPr>
            <w:tcW w:w="5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Borders>
              <w:right w:val="single" w:sz="8" w:color="auto"/>
            </w:tcBorders>
            <w:gridSpan w:val="4"/>
          </w:tcPr>
          <w:p>
            <w:pPr>
              <w:jc w:val="right"/>
              <w:ind w:right="1300"/>
              <w:spacing w:after="0"/>
              <w:rPr>
                <w:sz w:val="20"/>
                <w:szCs w:val="20"/>
                <w:color w:val="auto"/>
              </w:rPr>
            </w:pPr>
            <w:r>
              <w:rPr>
                <w:rFonts w:ascii="Arial" w:cs="Arial" w:eastAsia="Arial" w:hAnsi="Arial"/>
                <w:sz w:val="16"/>
                <w:szCs w:val="16"/>
                <w:color w:val="auto"/>
              </w:rPr>
              <w:t>SOW</w:t>
            </w:r>
          </w:p>
        </w:tc>
        <w:tc>
          <w:tcPr>
            <w:tcW w:w="1200" w:type="dxa"/>
            <w:vAlign w:val="bottom"/>
          </w:tcPr>
          <w:p>
            <w:pPr>
              <w:spacing w:after="0"/>
              <w:rPr>
                <w:sz w:val="18"/>
                <w:szCs w:val="18"/>
                <w:color w:val="auto"/>
              </w:rPr>
            </w:pPr>
          </w:p>
        </w:tc>
        <w:tc>
          <w:tcPr>
            <w:tcW w:w="680" w:type="dxa"/>
            <w:vAlign w:val="bottom"/>
            <w:gridSpan w:val="3"/>
          </w:tcPr>
          <w:p>
            <w:pPr>
              <w:jc w:val="right"/>
              <w:ind w:right="44"/>
              <w:spacing w:after="0"/>
              <w:rPr>
                <w:sz w:val="20"/>
                <w:szCs w:val="20"/>
                <w:color w:val="auto"/>
              </w:rPr>
            </w:pPr>
            <w:r>
              <w:rPr>
                <w:rFonts w:ascii="Arial" w:cs="Arial" w:eastAsia="Arial" w:hAnsi="Arial"/>
                <w:sz w:val="16"/>
                <w:szCs w:val="16"/>
                <w:color w:val="auto"/>
              </w:rPr>
              <w:t>BARDA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80" w:type="dxa"/>
            <w:vAlign w:val="bottom"/>
            <w:tcBorders>
              <w:left w:val="single" w:sz="8" w:color="auto"/>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680" w:type="dxa"/>
            <w:vAlign w:val="bottom"/>
            <w:tcBorders>
              <w:left w:val="single" w:sz="8" w:color="auto"/>
            </w:tcBorders>
          </w:tcPr>
          <w:p>
            <w:pPr>
              <w:spacing w:after="0"/>
              <w:rPr>
                <w:sz w:val="10"/>
                <w:szCs w:val="10"/>
                <w:color w:val="auto"/>
              </w:rPr>
            </w:pPr>
          </w:p>
        </w:tc>
        <w:tc>
          <w:tcPr>
            <w:tcW w:w="1200" w:type="dxa"/>
            <w:vAlign w:val="bottom"/>
            <w:vMerge w:val="restart"/>
          </w:tcPr>
          <w:p>
            <w:pPr>
              <w:ind w:left="66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3"/>
            <w:vMerge w:val="restart"/>
          </w:tcPr>
          <w:p>
            <w:pPr>
              <w:jc w:val="right"/>
              <w:ind w:right="708"/>
              <w:spacing w:after="0"/>
              <w:rPr>
                <w:sz w:val="20"/>
                <w:szCs w:val="20"/>
                <w:color w:val="auto"/>
              </w:rPr>
            </w:pPr>
            <w:r>
              <w:rPr>
                <w:rFonts w:ascii="Arial" w:cs="Arial" w:eastAsia="Arial" w:hAnsi="Arial"/>
                <w:sz w:val="9"/>
                <w:szCs w:val="9"/>
                <w:color w:val="auto"/>
              </w:rPr>
              <w:t>10. FREQUENCY</w:t>
            </w:r>
          </w:p>
        </w:tc>
        <w:tc>
          <w:tcPr>
            <w:tcW w:w="2060" w:type="dxa"/>
            <w:vAlign w:val="bottom"/>
            <w:tcBorders>
              <w:right w:val="single" w:sz="8" w:color="auto"/>
            </w:tcBorders>
            <w:gridSpan w:val="4"/>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1200" w:type="dxa"/>
            <w:vAlign w:val="bottom"/>
            <w:vMerge w:val="restart"/>
          </w:tcPr>
          <w:p>
            <w:pPr>
              <w:ind w:left="60"/>
              <w:spacing w:after="0"/>
              <w:rPr>
                <w:sz w:val="20"/>
                <w:szCs w:val="20"/>
                <w:color w:val="auto"/>
              </w:rPr>
            </w:pPr>
            <w:r>
              <w:rPr>
                <w:rFonts w:ascii="Arial" w:cs="Arial" w:eastAsia="Arial" w:hAnsi="Arial"/>
                <w:sz w:val="10"/>
                <w:szCs w:val="10"/>
                <w:color w:val="auto"/>
              </w:rPr>
              <w:t>14.  DISTRIBUTION</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80" w:type="dxa"/>
            <w:vAlign w:val="bottom"/>
            <w:tcBorders>
              <w:left w:val="single" w:sz="8" w:color="auto"/>
            </w:tcBorders>
            <w:vMerge w:val="restart"/>
          </w:tcPr>
          <w:p>
            <w:pPr>
              <w:ind w:left="40"/>
              <w:spacing w:after="0"/>
              <w:rPr>
                <w:sz w:val="20"/>
                <w:szCs w:val="20"/>
                <w:color w:val="auto"/>
              </w:rPr>
            </w:pPr>
            <w:r>
              <w:rPr>
                <w:rFonts w:ascii="Arial" w:cs="Arial" w:eastAsia="Arial" w:hAnsi="Arial"/>
                <w:sz w:val="9"/>
                <w:szCs w:val="9"/>
                <w:b w:val="1"/>
                <w:bCs w:val="1"/>
                <w:color w:val="auto"/>
                <w:w w:val="99"/>
              </w:rPr>
              <w:t>7</w:t>
            </w:r>
            <w:r>
              <w:rPr>
                <w:rFonts w:ascii="Arial" w:cs="Arial" w:eastAsia="Arial" w:hAnsi="Arial"/>
                <w:sz w:val="9"/>
                <w:szCs w:val="9"/>
                <w:color w:val="auto"/>
                <w:w w:val="99"/>
              </w:rPr>
              <w:t>. DD 250 REQ</w:t>
            </w:r>
          </w:p>
        </w:tc>
        <w:tc>
          <w:tcPr>
            <w:tcW w:w="1200" w:type="dxa"/>
            <w:vAlign w:val="bottom"/>
            <w:vMerge w:val="continue"/>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5"/>
                <w:szCs w:val="5"/>
                <w:color w:val="auto"/>
              </w:rPr>
            </w:pPr>
          </w:p>
        </w:tc>
        <w:tc>
          <w:tcPr>
            <w:tcW w:w="1620" w:type="dxa"/>
            <w:vAlign w:val="bottom"/>
            <w:tcBorders>
              <w:right w:val="single" w:sz="8" w:color="auto"/>
            </w:tcBorders>
            <w:gridSpan w:val="3"/>
            <w:vMerge w:val="continue"/>
          </w:tcPr>
          <w:p>
            <w:pPr>
              <w:spacing w:after="0"/>
              <w:rPr>
                <w:sz w:val="5"/>
                <w:szCs w:val="5"/>
                <w:color w:val="auto"/>
              </w:rPr>
            </w:pPr>
          </w:p>
        </w:tc>
        <w:tc>
          <w:tcPr>
            <w:tcW w:w="2060" w:type="dxa"/>
            <w:vAlign w:val="bottom"/>
            <w:tcBorders>
              <w:right w:val="single" w:sz="8" w:color="auto"/>
            </w:tcBorders>
            <w:gridSpan w:val="4"/>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680" w:type="dxa"/>
            <w:vAlign w:val="bottom"/>
            <w:tcBorders>
              <w:left w:val="single" w:sz="8" w:color="auto"/>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Borders>
              <w:right w:val="single" w:sz="8" w:color="auto"/>
            </w:tcBorders>
            <w:gridSpan w:val="3"/>
            <w:vMerge w:val="restart"/>
          </w:tcPr>
          <w:p>
            <w:pPr>
              <w:jc w:val="right"/>
              <w:ind w:right="388"/>
              <w:spacing w:after="0"/>
              <w:rPr>
                <w:sz w:val="20"/>
                <w:szCs w:val="20"/>
                <w:color w:val="auto"/>
              </w:rPr>
            </w:pPr>
            <w:r>
              <w:rPr>
                <w:rFonts w:ascii="Arial" w:cs="Arial" w:eastAsia="Arial" w:hAnsi="Arial"/>
                <w:sz w:val="16"/>
                <w:szCs w:val="16"/>
                <w:color w:val="auto"/>
              </w:rPr>
              <w:t>see remarks</w:t>
            </w:r>
          </w:p>
        </w:tc>
        <w:tc>
          <w:tcPr>
            <w:tcW w:w="420" w:type="dxa"/>
            <w:vAlign w:val="bottom"/>
          </w:tcPr>
          <w:p>
            <w:pPr>
              <w:spacing w:after="0"/>
              <w:rPr>
                <w:sz w:val="4"/>
                <w:szCs w:val="4"/>
                <w:color w:val="auto"/>
              </w:rPr>
            </w:pPr>
          </w:p>
        </w:tc>
        <w:tc>
          <w:tcPr>
            <w:tcW w:w="1640" w:type="dxa"/>
            <w:vAlign w:val="bottom"/>
            <w:tcBorders>
              <w:right w:val="single" w:sz="8" w:color="auto"/>
            </w:tcBorders>
            <w:gridSpan w:val="3"/>
            <w:vMerge w:val="restart"/>
          </w:tcPr>
          <w:p>
            <w:pPr>
              <w:ind w:left="340"/>
              <w:spacing w:after="0"/>
              <w:rPr>
                <w:sz w:val="20"/>
                <w:szCs w:val="20"/>
                <w:color w:val="auto"/>
              </w:rPr>
            </w:pPr>
            <w:r>
              <w:rPr>
                <w:rFonts w:ascii="Arial" w:cs="Arial" w:eastAsia="Arial" w:hAnsi="Arial"/>
                <w:sz w:val="16"/>
                <w:szCs w:val="16"/>
                <w:color w:val="auto"/>
              </w:rPr>
              <w:t>see remarks</w:t>
            </w: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680" w:type="dxa"/>
            <w:vAlign w:val="bottom"/>
            <w:tcBorders>
              <w:left w:val="single" w:sz="8" w:color="auto"/>
            </w:tcBorders>
            <w:vMerge w:val="continue"/>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Borders>
              <w:right w:val="single" w:sz="8" w:color="auto"/>
            </w:tcBorders>
            <w:gridSpan w:val="3"/>
            <w:vMerge w:val="continue"/>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680" w:type="dxa"/>
            <w:vAlign w:val="bottom"/>
            <w:tcBorders>
              <w:lef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Borders>
              <w:right w:val="single" w:sz="8" w:color="auto"/>
            </w:tcBorders>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Borders>
              <w:right w:val="single" w:sz="8" w:color="auto"/>
            </w:tcBorders>
            <w:gridSpan w:val="4"/>
            <w:vMerge w:val="restart"/>
          </w:tcPr>
          <w:p>
            <w:pPr>
              <w:jc w:val="right"/>
              <w:ind w:right="459"/>
              <w:spacing w:after="0"/>
              <w:rPr>
                <w:sz w:val="20"/>
                <w:szCs w:val="20"/>
                <w:color w:val="auto"/>
              </w:rPr>
            </w:pPr>
            <w:r>
              <w:rPr>
                <w:rFonts w:ascii="Arial" w:cs="Arial" w:eastAsia="Arial" w:hAnsi="Arial"/>
                <w:sz w:val="10"/>
                <w:szCs w:val="10"/>
                <w:color w:val="auto"/>
              </w:rPr>
              <w:t>b. COPIES</w:t>
            </w:r>
          </w:p>
        </w:tc>
        <w:tc>
          <w:tcPr>
            <w:tcW w:w="0" w:type="dxa"/>
            <w:vAlign w:val="bottom"/>
          </w:tcPr>
          <w:p>
            <w:pPr>
              <w:spacing w:after="0"/>
              <w:rPr>
                <w:sz w:val="1"/>
                <w:szCs w:val="1"/>
                <w:color w:val="auto"/>
              </w:rPr>
            </w:pPr>
          </w:p>
        </w:tc>
      </w:tr>
      <w:tr>
        <w:trPr>
          <w:trHeight w:val="61"/>
        </w:trPr>
        <w:tc>
          <w:tcPr>
            <w:tcW w:w="680" w:type="dxa"/>
            <w:vAlign w:val="bottom"/>
            <w:tcBorders>
              <w:lef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680" w:type="dxa"/>
            <w:vAlign w:val="bottom"/>
            <w:tcBorders>
              <w:left w:val="single" w:sz="8" w:color="auto"/>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gridSpan w:val="2"/>
          </w:tcPr>
          <w:p>
            <w:pPr>
              <w:spacing w:after="0"/>
              <w:rPr>
                <w:sz w:val="9"/>
                <w:szCs w:val="9"/>
                <w:color w:val="auto"/>
              </w:rPr>
            </w:pPr>
          </w:p>
        </w:tc>
        <w:tc>
          <w:tcPr>
            <w:tcW w:w="1380" w:type="dxa"/>
            <w:vAlign w:val="bottom"/>
            <w:tcBorders>
              <w:bottom w:val="single" w:sz="8" w:color="auto"/>
            </w:tcBorders>
            <w:gridSpan w:val="2"/>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tcBorders>
          </w:tcPr>
          <w:p>
            <w:pPr>
              <w:spacing w:after="0"/>
              <w:rPr>
                <w:sz w:val="7"/>
                <w:szCs w:val="7"/>
                <w:color w:val="auto"/>
              </w:rPr>
            </w:pPr>
          </w:p>
        </w:tc>
        <w:tc>
          <w:tcPr>
            <w:tcW w:w="1200" w:type="dxa"/>
            <w:vAlign w:val="bottom"/>
            <w:vMerge w:val="restart"/>
          </w:tcPr>
          <w:p>
            <w:pPr>
              <w:ind w:left="66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3"/>
          </w:tcPr>
          <w:p>
            <w:pPr>
              <w:jc w:val="right"/>
              <w:ind w:right="708"/>
              <w:spacing w:after="0" w:line="82" w:lineRule="exact"/>
              <w:rPr>
                <w:sz w:val="20"/>
                <w:szCs w:val="20"/>
                <w:color w:val="auto"/>
              </w:rPr>
            </w:pPr>
            <w:r>
              <w:rPr>
                <w:rFonts w:ascii="Arial" w:cs="Arial" w:eastAsia="Arial" w:hAnsi="Arial"/>
                <w:sz w:val="9"/>
                <w:szCs w:val="9"/>
                <w:color w:val="auto"/>
              </w:rPr>
              <w:t>11. AS OF DATE</w:t>
            </w:r>
          </w:p>
        </w:tc>
        <w:tc>
          <w:tcPr>
            <w:tcW w:w="2060" w:type="dxa"/>
            <w:vAlign w:val="bottom"/>
            <w:tcBorders>
              <w:right w:val="single" w:sz="8" w:color="auto"/>
            </w:tcBorders>
            <w:gridSpan w:val="4"/>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1200" w:type="dxa"/>
            <w:vAlign w:val="bottom"/>
            <w:vMerge w:val="restart"/>
          </w:tcPr>
          <w:p>
            <w:pPr>
              <w:ind w:left="460"/>
              <w:spacing w:after="0"/>
              <w:rPr>
                <w:sz w:val="20"/>
                <w:szCs w:val="20"/>
                <w:color w:val="auto"/>
              </w:rPr>
            </w:pPr>
            <w:r>
              <w:rPr>
                <w:rFonts w:ascii="Arial" w:cs="Arial" w:eastAsia="Arial" w:hAnsi="Arial"/>
                <w:sz w:val="10"/>
                <w:szCs w:val="10"/>
                <w:color w:val="auto"/>
                <w:w w:val="98"/>
              </w:rPr>
              <w:t>a. ADDRESSEE</w:t>
            </w:r>
          </w:p>
        </w:tc>
        <w:tc>
          <w:tcPr>
            <w:tcW w:w="1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right w:val="single" w:sz="8" w:color="auto"/>
            </w:tcBorders>
            <w:gridSpan w:val="2"/>
            <w:vMerge w:val="restart"/>
          </w:tcPr>
          <w:p>
            <w:pPr>
              <w:jc w:val="right"/>
              <w:ind w:right="399"/>
              <w:spacing w:after="0"/>
              <w:rPr>
                <w:sz w:val="20"/>
                <w:szCs w:val="20"/>
                <w:color w:val="auto"/>
              </w:rPr>
            </w:pPr>
            <w:r>
              <w:rPr>
                <w:rFonts w:ascii="Arial" w:cs="Arial" w:eastAsia="Arial" w:hAnsi="Arial"/>
                <w:sz w:val="10"/>
                <w:szCs w:val="10"/>
                <w:color w:val="auto"/>
              </w:rPr>
              <w:t>Final</w:t>
            </w:r>
          </w:p>
        </w:tc>
        <w:tc>
          <w:tcPr>
            <w:tcW w:w="0" w:type="dxa"/>
            <w:vAlign w:val="bottom"/>
          </w:tcPr>
          <w:p>
            <w:pPr>
              <w:spacing w:after="0"/>
              <w:rPr>
                <w:sz w:val="1"/>
                <w:szCs w:val="1"/>
                <w:color w:val="auto"/>
              </w:rPr>
            </w:pPr>
          </w:p>
        </w:tc>
      </w:tr>
      <w:tr>
        <w:trPr>
          <w:trHeight w:val="69"/>
        </w:trPr>
        <w:tc>
          <w:tcPr>
            <w:tcW w:w="680" w:type="dxa"/>
            <w:vAlign w:val="bottom"/>
            <w:tcBorders>
              <w:left w:val="single" w:sz="8" w:color="auto"/>
            </w:tcBorders>
            <w:vMerge w:val="restart"/>
          </w:tcPr>
          <w:p>
            <w:pPr>
              <w:ind w:left="40"/>
              <w:spacing w:after="0"/>
              <w:rPr>
                <w:sz w:val="20"/>
                <w:szCs w:val="20"/>
                <w:color w:val="auto"/>
              </w:rPr>
            </w:pPr>
            <w:r>
              <w:rPr>
                <w:rFonts w:ascii="Arial" w:cs="Arial" w:eastAsia="Arial" w:hAnsi="Arial"/>
                <w:sz w:val="9"/>
                <w:szCs w:val="9"/>
                <w:b w:val="1"/>
                <w:bCs w:val="1"/>
                <w:color w:val="auto"/>
              </w:rPr>
              <w:t>8</w:t>
            </w:r>
            <w:r>
              <w:rPr>
                <w:rFonts w:ascii="Arial" w:cs="Arial" w:eastAsia="Arial" w:hAnsi="Arial"/>
                <w:sz w:val="9"/>
                <w:szCs w:val="9"/>
                <w:color w:val="auto"/>
              </w:rPr>
              <w:t>. APP CODE</w:t>
            </w:r>
          </w:p>
        </w:tc>
        <w:tc>
          <w:tcPr>
            <w:tcW w:w="1200" w:type="dxa"/>
            <w:vAlign w:val="bottom"/>
            <w:vMerge w:val="continue"/>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640" w:type="dxa"/>
            <w:vAlign w:val="bottom"/>
            <w:tcBorders>
              <w:right w:val="single" w:sz="8" w:color="auto"/>
            </w:tcBorders>
            <w:gridSpan w:val="3"/>
            <w:vMerge w:val="restart"/>
          </w:tcPr>
          <w:p>
            <w:pPr>
              <w:ind w:left="340"/>
              <w:spacing w:after="0" w:line="129" w:lineRule="exact"/>
              <w:rPr>
                <w:sz w:val="20"/>
                <w:szCs w:val="20"/>
                <w:color w:val="auto"/>
              </w:rPr>
            </w:pPr>
            <w:r>
              <w:rPr>
                <w:rFonts w:ascii="Arial" w:cs="Arial" w:eastAsia="Arial" w:hAnsi="Arial"/>
                <w:sz w:val="14"/>
                <w:szCs w:val="14"/>
                <w:color w:val="auto"/>
              </w:rPr>
              <w:t>see remarks</w:t>
            </w: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tcBorders>
              <w:left w:val="single" w:sz="8" w:color="auto"/>
            </w:tcBorders>
            <w:vMerge w:val="continue"/>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640" w:type="dxa"/>
            <w:vAlign w:val="bottom"/>
            <w:tcBorders>
              <w:right w:val="single" w:sz="8" w:color="auto"/>
            </w:tcBorders>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280" w:type="dxa"/>
            <w:vAlign w:val="bottom"/>
            <w:vMerge w:val="restart"/>
          </w:tcPr>
          <w:p>
            <w:pPr>
              <w:spacing w:after="0"/>
              <w:rPr>
                <w:sz w:val="20"/>
                <w:szCs w:val="20"/>
                <w:color w:val="auto"/>
              </w:rPr>
            </w:pPr>
            <w:r>
              <w:rPr>
                <w:rFonts w:ascii="Arial" w:cs="Arial" w:eastAsia="Arial" w:hAnsi="Arial"/>
                <w:sz w:val="9"/>
                <w:szCs w:val="9"/>
                <w:color w:val="auto"/>
              </w:rPr>
              <w:t>Draft</w:t>
            </w:r>
          </w:p>
        </w:tc>
        <w:tc>
          <w:tcPr>
            <w:tcW w:w="18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80" w:type="dxa"/>
            <w:vAlign w:val="bottom"/>
            <w:tcBorders>
              <w:lef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10"/>
                <w:szCs w:val="10"/>
                <w:color w:val="auto"/>
              </w:rPr>
              <w:t>Reg</w:t>
            </w: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680" w:type="dxa"/>
            <w:vAlign w:val="bottom"/>
            <w:tcBorders>
              <w:lef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left w:val="single" w:sz="8" w:color="auto"/>
              <w:bottom w:val="single" w:sz="8" w:color="auto"/>
            </w:tcBorders>
            <w:gridSpan w:val="2"/>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Borders>
              <w:left w:val="single" w:sz="8" w:color="auto"/>
            </w:tcBorders>
            <w:gridSpan w:val="2"/>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0" w:type="dxa"/>
            <w:vAlign w:val="bottom"/>
          </w:tcPr>
          <w:p>
            <w:pPr>
              <w:ind w:left="60"/>
              <w:spacing w:after="0"/>
              <w:rPr>
                <w:sz w:val="20"/>
                <w:szCs w:val="20"/>
                <w:color w:val="auto"/>
              </w:rPr>
            </w:pPr>
            <w:r>
              <w:rPr>
                <w:rFonts w:ascii="Arial" w:cs="Arial" w:eastAsia="Arial" w:hAnsi="Arial"/>
                <w:sz w:val="14"/>
                <w:szCs w:val="14"/>
                <w:color w:val="auto"/>
              </w:rPr>
              <w:t>BARDA</w:t>
            </w:r>
          </w:p>
        </w:tc>
        <w:tc>
          <w:tcPr>
            <w:tcW w:w="1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0" w:type="dxa"/>
            <w:vAlign w:val="bottom"/>
            <w:tcBorders>
              <w:lef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180" w:type="dxa"/>
            <w:vAlign w:val="bottom"/>
            <w:tcBorders>
              <w:left w:val="single" w:sz="8" w:color="auto"/>
              <w:right w:val="single" w:sz="8" w:color="auto"/>
            </w:tcBorders>
            <w:gridSpan w:val="12"/>
            <w:vMerge w:val="restart"/>
          </w:tcPr>
          <w:p>
            <w:pPr>
              <w:ind w:left="160"/>
              <w:spacing w:after="0"/>
              <w:rPr>
                <w:sz w:val="20"/>
                <w:szCs w:val="20"/>
                <w:color w:val="auto"/>
              </w:rPr>
            </w:pPr>
            <w:r>
              <w:rPr>
                <w:rFonts w:ascii="Arial" w:cs="Arial" w:eastAsia="Arial" w:hAnsi="Arial"/>
                <w:sz w:val="16"/>
                <w:szCs w:val="16"/>
                <w:color w:val="auto"/>
              </w:rPr>
              <w:t>The contractor shall provide BARDA the opportunity to review and comment</w:t>
            </w: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JPEO CBRND</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180" w:type="dxa"/>
            <w:vAlign w:val="bottom"/>
            <w:tcBorders>
              <w:left w:val="single" w:sz="8" w:color="auto"/>
              <w:right w:val="single" w:sz="8" w:color="auto"/>
            </w:tcBorders>
            <w:gridSpan w:val="12"/>
            <w:vMerge w:val="continue"/>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5120" w:type="dxa"/>
            <w:vAlign w:val="bottom"/>
            <w:tcBorders>
              <w:left w:val="single" w:sz="8" w:color="auto"/>
            </w:tcBorders>
            <w:gridSpan w:val="8"/>
            <w:vMerge w:val="restart"/>
          </w:tcPr>
          <w:p>
            <w:pPr>
              <w:ind w:left="160"/>
              <w:spacing w:after="0"/>
              <w:rPr>
                <w:sz w:val="20"/>
                <w:szCs w:val="20"/>
                <w:color w:val="auto"/>
              </w:rPr>
            </w:pPr>
            <w:r>
              <w:rPr>
                <w:rFonts w:ascii="Arial" w:cs="Arial" w:eastAsia="Arial" w:hAnsi="Arial"/>
                <w:sz w:val="16"/>
                <w:szCs w:val="16"/>
                <w:color w:val="auto"/>
                <w:w w:val="93"/>
              </w:rPr>
              <w:t>upon all draft submissions before submission to the FDA with regard to the</w:t>
            </w: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120" w:type="dxa"/>
            <w:vAlign w:val="bottom"/>
            <w:tcBorders>
              <w:left w:val="single" w:sz="8" w:color="auto"/>
            </w:tcBorders>
            <w:gridSpan w:val="8"/>
            <w:vMerge w:val="continue"/>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180" w:type="dxa"/>
            <w:vAlign w:val="bottom"/>
            <w:tcBorders>
              <w:left w:val="single" w:sz="8" w:color="auto"/>
              <w:right w:val="single" w:sz="8" w:color="auto"/>
            </w:tcBorders>
            <w:gridSpan w:val="12"/>
            <w:vMerge w:val="restart"/>
          </w:tcPr>
          <w:p>
            <w:pPr>
              <w:ind w:left="160"/>
              <w:spacing w:after="0"/>
              <w:rPr>
                <w:sz w:val="20"/>
                <w:szCs w:val="20"/>
                <w:color w:val="auto"/>
              </w:rPr>
            </w:pPr>
            <w:r>
              <w:rPr>
                <w:rFonts w:ascii="Arial" w:cs="Arial" w:eastAsia="Arial" w:hAnsi="Arial"/>
                <w:sz w:val="16"/>
                <w:szCs w:val="16"/>
                <w:color w:val="auto"/>
              </w:rPr>
              <w:t>product(s) of this contract. Contractor s hall provide BARDA with an electronic</w:t>
            </w:r>
          </w:p>
        </w:tc>
        <w:tc>
          <w:tcPr>
            <w:tcW w:w="1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180" w:type="dxa"/>
            <w:vAlign w:val="bottom"/>
            <w:tcBorders>
              <w:left w:val="single" w:sz="8" w:color="auto"/>
              <w:right w:val="single" w:sz="8" w:color="auto"/>
            </w:tcBorders>
            <w:gridSpan w:val="12"/>
            <w:vMerge w:val="continue"/>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7180" w:type="dxa"/>
            <w:vAlign w:val="bottom"/>
            <w:tcBorders>
              <w:left w:val="single" w:sz="8" w:color="auto"/>
              <w:right w:val="single" w:sz="8" w:color="auto"/>
            </w:tcBorders>
            <w:gridSpan w:val="12"/>
            <w:vMerge w:val="restart"/>
          </w:tcPr>
          <w:p>
            <w:pPr>
              <w:ind w:left="160"/>
              <w:spacing w:after="0"/>
              <w:rPr>
                <w:sz w:val="20"/>
                <w:szCs w:val="20"/>
                <w:color w:val="auto"/>
              </w:rPr>
            </w:pPr>
            <w:r>
              <w:rPr>
                <w:rFonts w:ascii="Arial" w:cs="Arial" w:eastAsia="Arial" w:hAnsi="Arial"/>
                <w:sz w:val="16"/>
                <w:szCs w:val="16"/>
                <w:color w:val="auto"/>
              </w:rPr>
              <w:t>copy of the final FDA submission. All documents shall be duly marked as either</w:t>
            </w:r>
          </w:p>
        </w:tc>
        <w:tc>
          <w:tcPr>
            <w:tcW w:w="1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7180" w:type="dxa"/>
            <w:vAlign w:val="bottom"/>
            <w:tcBorders>
              <w:left w:val="single" w:sz="8" w:color="auto"/>
              <w:right w:val="single" w:sz="8" w:color="auto"/>
            </w:tcBorders>
            <w:gridSpan w:val="12"/>
            <w:vMerge w:val="continue"/>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880" w:type="dxa"/>
            <w:vAlign w:val="bottom"/>
            <w:tcBorders>
              <w:left w:val="single" w:sz="8" w:color="auto"/>
            </w:tcBorders>
            <w:gridSpan w:val="2"/>
            <w:vMerge w:val="restart"/>
          </w:tcPr>
          <w:p>
            <w:pPr>
              <w:ind w:left="160"/>
              <w:spacing w:after="0"/>
              <w:rPr>
                <w:sz w:val="20"/>
                <w:szCs w:val="20"/>
                <w:color w:val="auto"/>
              </w:rPr>
            </w:pPr>
            <w:r>
              <w:rPr>
                <w:rFonts w:ascii="Arial" w:cs="Arial" w:eastAsia="Arial" w:hAnsi="Arial"/>
                <w:sz w:val="16"/>
                <w:szCs w:val="16"/>
                <w:color w:val="auto"/>
              </w:rPr>
              <w:t>"Draft" or "Final".</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tcBorders>
              <w:left w:val="single" w:sz="8" w:color="auto"/>
            </w:tcBorders>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5120" w:type="dxa"/>
            <w:vAlign w:val="bottom"/>
            <w:tcBorders>
              <w:left w:val="single" w:sz="8" w:color="auto"/>
            </w:tcBorders>
            <w:gridSpan w:val="8"/>
          </w:tcPr>
          <w:p>
            <w:pPr>
              <w:ind w:left="160"/>
              <w:spacing w:after="0" w:line="138" w:lineRule="exact"/>
              <w:rPr>
                <w:sz w:val="20"/>
                <w:szCs w:val="20"/>
                <w:color w:val="auto"/>
              </w:rPr>
            </w:pPr>
            <w:r>
              <w:rPr>
                <w:rFonts w:ascii="Arial" w:cs="Arial" w:eastAsia="Arial" w:hAnsi="Arial"/>
                <w:sz w:val="16"/>
                <w:szCs w:val="16"/>
                <w:color w:val="auto"/>
                <w:w w:val="94"/>
              </w:rPr>
              <w:t>Contractor shall use reasonable effort to submit draft FDA submissions to</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120" w:type="dxa"/>
            <w:vAlign w:val="bottom"/>
            <w:tcBorders>
              <w:left w:val="single" w:sz="8" w:color="auto"/>
            </w:tcBorders>
            <w:gridSpan w:val="8"/>
          </w:tcPr>
          <w:p>
            <w:pPr>
              <w:ind w:left="160"/>
              <w:spacing w:after="0" w:line="183" w:lineRule="exact"/>
              <w:rPr>
                <w:sz w:val="20"/>
                <w:szCs w:val="20"/>
                <w:color w:val="auto"/>
              </w:rPr>
            </w:pPr>
            <w:r>
              <w:rPr>
                <w:rFonts w:ascii="Arial" w:cs="Arial" w:eastAsia="Arial" w:hAnsi="Arial"/>
                <w:sz w:val="16"/>
                <w:szCs w:val="16"/>
                <w:color w:val="auto"/>
              </w:rPr>
              <w:t xml:space="preserve">BARDA at least </w:t>
            </w:r>
            <w:r>
              <w:rPr>
                <w:rFonts w:ascii="Arial" w:cs="Arial" w:eastAsia="Arial" w:hAnsi="Arial"/>
                <w:sz w:val="14"/>
                <w:szCs w:val="14"/>
                <w:color w:val="2A2A2A"/>
              </w:rPr>
              <w:t>[* * *]</w:t>
            </w:r>
            <w:r>
              <w:rPr>
                <w:rFonts w:ascii="Arial" w:cs="Arial" w:eastAsia="Arial" w:hAnsi="Arial"/>
                <w:sz w:val="16"/>
                <w:szCs w:val="16"/>
                <w:color w:val="auto"/>
              </w:rPr>
              <w:t xml:space="preserve"> prior to FDA submission or within a shorter</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20" w:type="dxa"/>
            <w:vAlign w:val="bottom"/>
            <w:tcBorders>
              <w:left w:val="single" w:sz="8" w:color="auto"/>
            </w:tcBorders>
            <w:gridSpan w:val="8"/>
          </w:tcPr>
          <w:p>
            <w:pPr>
              <w:ind w:left="160"/>
              <w:spacing w:after="0"/>
              <w:rPr>
                <w:sz w:val="20"/>
                <w:szCs w:val="20"/>
                <w:color w:val="auto"/>
              </w:rPr>
            </w:pPr>
            <w:r>
              <w:rPr>
                <w:rFonts w:ascii="Arial" w:cs="Arial" w:eastAsia="Arial" w:hAnsi="Arial"/>
                <w:sz w:val="16"/>
                <w:szCs w:val="16"/>
                <w:color w:val="auto"/>
              </w:rPr>
              <w:t>timeframe upon agreement between Awardee and AOR</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auto"/>
              </w:rPr>
              <w:t>•</w:t>
            </w:r>
          </w:p>
        </w:tc>
        <w:tc>
          <w:tcPr>
            <w:tcW w:w="4440" w:type="dxa"/>
            <w:vAlign w:val="bottom"/>
            <w:gridSpan w:val="7"/>
            <w:vMerge w:val="restart"/>
          </w:tcPr>
          <w:p>
            <w:pPr>
              <w:spacing w:after="0"/>
              <w:rPr>
                <w:sz w:val="20"/>
                <w:szCs w:val="20"/>
                <w:color w:val="auto"/>
              </w:rPr>
            </w:pPr>
            <w:r>
              <w:rPr>
                <w:rFonts w:ascii="Arial" w:cs="Arial" w:eastAsia="Arial" w:hAnsi="Arial"/>
                <w:sz w:val="16"/>
                <w:szCs w:val="16"/>
                <w:color w:val="auto"/>
              </w:rPr>
              <w:t xml:space="preserve">BARDA will provide feedback to contractor within </w:t>
            </w:r>
            <w:r>
              <w:rPr>
                <w:rFonts w:ascii="Arial" w:cs="Arial" w:eastAsia="Arial" w:hAnsi="Arial"/>
                <w:sz w:val="14"/>
                <w:szCs w:val="14"/>
                <w:color w:val="2A2A2A"/>
              </w:rPr>
              <w:t>[* * *]</w:t>
            </w:r>
            <w:r>
              <w:rPr>
                <w:rFonts w:ascii="Arial" w:cs="Arial" w:eastAsia="Arial" w:hAnsi="Arial"/>
                <w:sz w:val="16"/>
                <w:szCs w:val="16"/>
                <w:color w:val="auto"/>
              </w:rPr>
              <w:t xml:space="preserve"> of</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vMerge w:val="continue"/>
          </w:tcPr>
          <w:p>
            <w:pPr>
              <w:spacing w:after="0"/>
              <w:rPr>
                <w:sz w:val="15"/>
                <w:szCs w:val="15"/>
                <w:color w:val="auto"/>
              </w:rPr>
            </w:pPr>
          </w:p>
        </w:tc>
        <w:tc>
          <w:tcPr>
            <w:tcW w:w="4440" w:type="dxa"/>
            <w:vAlign w:val="bottom"/>
            <w:gridSpan w:val="7"/>
            <w:vMerge w:val="continue"/>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20" w:type="dxa"/>
            <w:vAlign w:val="bottom"/>
            <w:tcBorders>
              <w:left w:val="single" w:sz="8" w:color="auto"/>
            </w:tcBorders>
            <w:gridSpan w:val="8"/>
          </w:tcPr>
          <w:p>
            <w:pPr>
              <w:ind w:left="160"/>
              <w:spacing w:after="0" w:line="173" w:lineRule="exact"/>
              <w:rPr>
                <w:sz w:val="20"/>
                <w:szCs w:val="20"/>
                <w:color w:val="auto"/>
              </w:rPr>
            </w:pPr>
            <w:r>
              <w:rPr>
                <w:rFonts w:ascii="Arial" w:cs="Arial" w:eastAsia="Arial" w:hAnsi="Arial"/>
                <w:sz w:val="16"/>
                <w:szCs w:val="16"/>
                <w:color w:val="auto"/>
                <w:w w:val="92"/>
              </w:rPr>
              <w:t>receipt or within a shorter timeframe as agreed upon by Awardee and AOR</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auto"/>
              </w:rPr>
              <w:t>•</w:t>
            </w:r>
          </w:p>
        </w:tc>
        <w:tc>
          <w:tcPr>
            <w:tcW w:w="6500" w:type="dxa"/>
            <w:vAlign w:val="bottom"/>
            <w:tcBorders>
              <w:right w:val="single" w:sz="8" w:color="auto"/>
            </w:tcBorders>
            <w:gridSpan w:val="11"/>
            <w:vMerge w:val="restart"/>
          </w:tcPr>
          <w:p>
            <w:pPr>
              <w:spacing w:after="0"/>
              <w:rPr>
                <w:sz w:val="20"/>
                <w:szCs w:val="20"/>
                <w:color w:val="auto"/>
              </w:rPr>
            </w:pPr>
            <w:r>
              <w:rPr>
                <w:rFonts w:ascii="Arial" w:cs="Arial" w:eastAsia="Arial" w:hAnsi="Arial"/>
                <w:sz w:val="16"/>
                <w:szCs w:val="16"/>
                <w:color w:val="auto"/>
                <w:w w:val="93"/>
              </w:rPr>
              <w:t>The contractor must address, in writing, its consideration of all concerns raised by BARDA prior to</w:t>
            </w: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80" w:type="dxa"/>
            <w:vAlign w:val="bottom"/>
            <w:tcBorders>
              <w:left w:val="single" w:sz="8" w:color="auto"/>
            </w:tcBorders>
            <w:vMerge w:val="continue"/>
          </w:tcPr>
          <w:p>
            <w:pPr>
              <w:spacing w:after="0"/>
              <w:rPr>
                <w:sz w:val="12"/>
                <w:szCs w:val="12"/>
                <w:color w:val="auto"/>
              </w:rPr>
            </w:pPr>
          </w:p>
        </w:tc>
        <w:tc>
          <w:tcPr>
            <w:tcW w:w="6500" w:type="dxa"/>
            <w:vAlign w:val="bottom"/>
            <w:tcBorders>
              <w:right w:val="single" w:sz="8" w:color="auto"/>
            </w:tcBorders>
            <w:gridSpan w:val="11"/>
            <w:vMerge w:val="continue"/>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880" w:type="dxa"/>
            <w:vAlign w:val="bottom"/>
            <w:tcBorders>
              <w:left w:val="single" w:sz="8" w:color="auto"/>
            </w:tcBorders>
            <w:gridSpan w:val="2"/>
            <w:vMerge w:val="restart"/>
          </w:tcPr>
          <w:p>
            <w:pPr>
              <w:ind w:left="160"/>
              <w:spacing w:after="0"/>
              <w:rPr>
                <w:sz w:val="20"/>
                <w:szCs w:val="20"/>
                <w:color w:val="auto"/>
              </w:rPr>
            </w:pPr>
            <w:r>
              <w:rPr>
                <w:rFonts w:ascii="Arial" w:cs="Arial" w:eastAsia="Arial" w:hAnsi="Arial"/>
                <w:sz w:val="16"/>
                <w:szCs w:val="16"/>
                <w:color w:val="auto"/>
              </w:rPr>
              <w:t>FDA submission</w:t>
            </w: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880" w:type="dxa"/>
            <w:vAlign w:val="bottom"/>
            <w:tcBorders>
              <w:left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color w:val="auto"/>
              </w:rPr>
              <w:t>•</w:t>
            </w:r>
          </w:p>
        </w:tc>
        <w:tc>
          <w:tcPr>
            <w:tcW w:w="6500" w:type="dxa"/>
            <w:vAlign w:val="bottom"/>
            <w:tcBorders>
              <w:right w:val="single" w:sz="8" w:color="auto"/>
            </w:tcBorders>
            <w:gridSpan w:val="11"/>
            <w:vMerge w:val="restart"/>
          </w:tcPr>
          <w:p>
            <w:pPr>
              <w:spacing w:after="0"/>
              <w:rPr>
                <w:sz w:val="20"/>
                <w:szCs w:val="20"/>
                <w:color w:val="auto"/>
              </w:rPr>
            </w:pPr>
            <w:r>
              <w:rPr>
                <w:rFonts w:ascii="Arial" w:cs="Arial" w:eastAsia="Arial" w:hAnsi="Arial"/>
                <w:sz w:val="16"/>
                <w:szCs w:val="16"/>
                <w:color w:val="auto"/>
                <w:w w:val="96"/>
              </w:rPr>
              <w:t>Final FDA submissions shall be submitted to BARDA concurrently or as soon as practical after</w:t>
            </w: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80" w:type="dxa"/>
            <w:vAlign w:val="bottom"/>
            <w:tcBorders>
              <w:left w:val="single" w:sz="8" w:color="auto"/>
            </w:tcBorders>
            <w:vMerge w:val="continue"/>
          </w:tcPr>
          <w:p>
            <w:pPr>
              <w:spacing w:after="0"/>
              <w:rPr>
                <w:sz w:val="9"/>
                <w:szCs w:val="9"/>
                <w:color w:val="auto"/>
              </w:rPr>
            </w:pPr>
          </w:p>
        </w:tc>
        <w:tc>
          <w:tcPr>
            <w:tcW w:w="6500" w:type="dxa"/>
            <w:vAlign w:val="bottom"/>
            <w:tcBorders>
              <w:right w:val="single" w:sz="8" w:color="auto"/>
            </w:tcBorders>
            <w:gridSpan w:val="11"/>
            <w:vMerge w:val="continue"/>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880" w:type="dxa"/>
            <w:vAlign w:val="bottom"/>
            <w:tcBorders>
              <w:left w:val="single" w:sz="8" w:color="auto"/>
            </w:tcBorders>
            <w:gridSpan w:val="2"/>
            <w:vMerge w:val="restart"/>
          </w:tcPr>
          <w:p>
            <w:pPr>
              <w:ind w:left="160"/>
              <w:spacing w:after="0"/>
              <w:rPr>
                <w:sz w:val="20"/>
                <w:szCs w:val="20"/>
                <w:color w:val="auto"/>
              </w:rPr>
            </w:pPr>
            <w:r>
              <w:rPr>
                <w:rFonts w:ascii="Arial" w:cs="Arial" w:eastAsia="Arial" w:hAnsi="Arial"/>
                <w:sz w:val="16"/>
                <w:szCs w:val="16"/>
                <w:color w:val="auto"/>
              </w:rPr>
              <w:t>submission to the FDA</w:t>
            </w: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120" w:type="dxa"/>
            <w:vAlign w:val="bottom"/>
            <w:tcBorders>
              <w:left w:val="single" w:sz="8" w:color="auto"/>
            </w:tcBorders>
            <w:gridSpan w:val="8"/>
            <w:vMerge w:val="restart"/>
          </w:tcPr>
          <w:p>
            <w:pPr>
              <w:ind w:left="160"/>
              <w:spacing w:after="0"/>
              <w:rPr>
                <w:sz w:val="20"/>
                <w:szCs w:val="20"/>
                <w:color w:val="auto"/>
              </w:rPr>
            </w:pPr>
            <w:r>
              <w:rPr>
                <w:rFonts w:ascii="Arial" w:cs="Arial" w:eastAsia="Arial" w:hAnsi="Arial"/>
                <w:sz w:val="16"/>
                <w:szCs w:val="16"/>
                <w:color w:val="auto"/>
                <w:w w:val="92"/>
              </w:rPr>
              <w:t>Note: Given the urgency associated with the pandemic, the above timelines</w:t>
            </w: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tcBorders>
            <w:gridSpan w:val="8"/>
            <w:vMerge w:val="continue"/>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5120" w:type="dxa"/>
            <w:vAlign w:val="bottom"/>
            <w:tcBorders>
              <w:left w:val="single" w:sz="8" w:color="auto"/>
            </w:tcBorders>
            <w:gridSpan w:val="8"/>
            <w:vMerge w:val="continue"/>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120" w:type="dxa"/>
            <w:vAlign w:val="bottom"/>
            <w:tcBorders>
              <w:left w:val="single" w:sz="8" w:color="auto"/>
            </w:tcBorders>
            <w:gridSpan w:val="8"/>
            <w:vMerge w:val="restart"/>
          </w:tcPr>
          <w:p>
            <w:pPr>
              <w:ind w:left="160"/>
              <w:spacing w:after="0"/>
              <w:rPr>
                <w:sz w:val="20"/>
                <w:szCs w:val="20"/>
                <w:color w:val="auto"/>
              </w:rPr>
            </w:pPr>
            <w:r>
              <w:rPr>
                <w:rFonts w:ascii="Arial" w:cs="Arial" w:eastAsia="Arial" w:hAnsi="Arial"/>
                <w:sz w:val="16"/>
                <w:szCs w:val="16"/>
                <w:color w:val="auto"/>
                <w:w w:val="94"/>
              </w:rPr>
              <w:t>will be adhered to if and to the extent practicable under the circumstances</w:t>
            </w: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5120" w:type="dxa"/>
            <w:vAlign w:val="bottom"/>
            <w:tcBorders>
              <w:left w:val="single" w:sz="8" w:color="auto"/>
            </w:tcBorders>
            <w:gridSpan w:val="8"/>
            <w:vMerge w:val="continue"/>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680" w:type="dxa"/>
            <w:vAlign w:val="bottom"/>
            <w:tcBorders>
              <w:lef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8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Borders>
              <w:lef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0" w:type="dxa"/>
            <w:vAlign w:val="bottom"/>
          </w:tcPr>
          <w:p>
            <w:pPr>
              <w:ind w:left="20"/>
              <w:spacing w:after="0"/>
              <w:rPr>
                <w:sz w:val="20"/>
                <w:szCs w:val="20"/>
                <w:color w:val="auto"/>
              </w:rPr>
            </w:pPr>
            <w:r>
              <w:rPr>
                <w:rFonts w:ascii="Arial" w:cs="Arial" w:eastAsia="Arial" w:hAnsi="Arial"/>
                <w:sz w:val="9"/>
                <w:szCs w:val="9"/>
                <w:color w:val="auto"/>
              </w:rPr>
              <w:t>15. TOTAL</w:t>
            </w:r>
          </w:p>
        </w:tc>
        <w:tc>
          <w:tcPr>
            <w:tcW w:w="1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280" w:type="dxa"/>
            <w:vAlign w:val="bottom"/>
            <w:vMerge w:val="restart"/>
          </w:tcPr>
          <w:p>
            <w:pPr>
              <w:spacing w:after="0"/>
              <w:rPr>
                <w:sz w:val="20"/>
                <w:szCs w:val="20"/>
                <w:color w:val="auto"/>
              </w:rPr>
            </w:pPr>
            <w:r>
              <w:rPr>
                <w:rFonts w:ascii="Arial" w:cs="Arial" w:eastAsia="Arial" w:hAnsi="Arial"/>
                <w:sz w:val="14"/>
                <w:szCs w:val="14"/>
                <w:color w:val="auto"/>
              </w:rPr>
              <w:t>2</w:t>
            </w:r>
          </w:p>
        </w:tc>
        <w:tc>
          <w:tcPr>
            <w:tcW w:w="180" w:type="dxa"/>
            <w:vAlign w:val="bottom"/>
            <w:tcBorders>
              <w:right w:val="single" w:sz="8" w:color="auto"/>
            </w:tcBorders>
          </w:tcPr>
          <w:p>
            <w:pPr>
              <w:spacing w:after="0"/>
              <w:rPr>
                <w:sz w:val="11"/>
                <w:szCs w:val="11"/>
                <w:color w:val="auto"/>
              </w:rPr>
            </w:pPr>
          </w:p>
        </w:tc>
        <w:tc>
          <w:tcPr>
            <w:tcW w:w="240" w:type="dxa"/>
            <w:vAlign w:val="bottom"/>
            <w:vMerge w:val="restart"/>
          </w:tcPr>
          <w:p>
            <w:pPr>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680" w:type="dxa"/>
            <w:vAlign w:val="bottom"/>
            <w:tcBorders>
              <w:left w:val="single" w:sz="8" w:color="auto"/>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G. PREPARED BY</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960" w:type="dxa"/>
            <w:vAlign w:val="bottom"/>
          </w:tcPr>
          <w:p>
            <w:pPr>
              <w:jc w:val="right"/>
              <w:ind w:right="208"/>
              <w:spacing w:after="0"/>
              <w:rPr>
                <w:sz w:val="20"/>
                <w:szCs w:val="20"/>
                <w:color w:val="auto"/>
              </w:rPr>
            </w:pPr>
            <w:r>
              <w:rPr>
                <w:rFonts w:ascii="Arial" w:cs="Arial" w:eastAsia="Arial" w:hAnsi="Arial"/>
                <w:sz w:val="13"/>
                <w:szCs w:val="13"/>
                <w:b w:val="1"/>
                <w:bCs w:val="1"/>
                <w:color w:val="auto"/>
              </w:rPr>
              <w:t>H. DATE</w:t>
            </w:r>
          </w:p>
        </w:tc>
        <w:tc>
          <w:tcPr>
            <w:tcW w:w="420" w:type="dxa"/>
            <w:vAlign w:val="bottom"/>
            <w:tcBorders>
              <w:right w:val="single" w:sz="8" w:color="auto"/>
            </w:tcBorders>
          </w:tcPr>
          <w:p>
            <w:pPr>
              <w:spacing w:after="0"/>
              <w:rPr>
                <w:sz w:val="15"/>
                <w:szCs w:val="15"/>
                <w:color w:val="auto"/>
              </w:rPr>
            </w:pPr>
          </w:p>
        </w:tc>
        <w:tc>
          <w:tcPr>
            <w:tcW w:w="1640" w:type="dxa"/>
            <w:vAlign w:val="bottom"/>
            <w:gridSpan w:val="3"/>
          </w:tcPr>
          <w:p>
            <w:pPr>
              <w:ind w:left="400"/>
              <w:spacing w:after="0"/>
              <w:rPr>
                <w:sz w:val="20"/>
                <w:szCs w:val="20"/>
                <w:color w:val="auto"/>
              </w:rPr>
            </w:pPr>
            <w:r>
              <w:rPr>
                <w:rFonts w:ascii="Arial" w:cs="Arial" w:eastAsia="Arial" w:hAnsi="Arial"/>
                <w:sz w:val="13"/>
                <w:szCs w:val="13"/>
                <w:b w:val="1"/>
                <w:bCs w:val="1"/>
                <w:color w:val="auto"/>
              </w:rPr>
              <w:t>I. APPROVED BY</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J. DATE</w:t>
            </w:r>
          </w:p>
        </w:tc>
        <w:tc>
          <w:tcPr>
            <w:tcW w:w="2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80" w:type="dxa"/>
            <w:vAlign w:val="bottom"/>
            <w:tcBorders>
              <w:lef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restart"/>
          </w:tcPr>
          <w:p>
            <w:pPr>
              <w:ind w:left="380"/>
              <w:spacing w:after="0" w:line="97" w:lineRule="exact"/>
              <w:rPr>
                <w:sz w:val="20"/>
                <w:szCs w:val="20"/>
                <w:color w:val="auto"/>
              </w:rPr>
            </w:pPr>
            <w:r>
              <w:rPr>
                <w:rFonts w:ascii="Arial" w:cs="Arial" w:eastAsia="Arial" w:hAnsi="Arial"/>
                <w:sz w:val="9"/>
                <w:szCs w:val="9"/>
                <w:color w:val="auto"/>
              </w:rPr>
              <w:t>Digitally signed by</w:t>
            </w:r>
          </w:p>
        </w:tc>
        <w:tc>
          <w:tcPr>
            <w:tcW w:w="1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80" w:type="dxa"/>
            <w:vAlign w:val="bottom"/>
            <w:tcBorders>
              <w:lef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40" w:type="dxa"/>
            <w:vAlign w:val="bottom"/>
            <w:gridSpan w:val="3"/>
            <w:vMerge w:val="restart"/>
          </w:tcPr>
          <w:p>
            <w:pPr>
              <w:jc w:val="right"/>
              <w:ind w:right="1300"/>
              <w:spacing w:after="0"/>
              <w:rPr>
                <w:sz w:val="20"/>
                <w:szCs w:val="20"/>
                <w:color w:val="auto"/>
              </w:rPr>
            </w:pPr>
            <w:r>
              <w:rPr>
                <w:rFonts w:ascii="Arial" w:cs="Arial" w:eastAsia="Arial" w:hAnsi="Arial"/>
                <w:sz w:val="20"/>
                <w:szCs w:val="20"/>
                <w:color w:val="auto"/>
              </w:rPr>
              <w:t>/s/</w:t>
            </w:r>
          </w:p>
        </w:tc>
        <w:tc>
          <w:tcPr>
            <w:tcW w:w="1200" w:type="dxa"/>
            <w:vAlign w:val="bottom"/>
          </w:tcPr>
          <w:p>
            <w:pPr>
              <w:ind w:left="380"/>
              <w:spacing w:after="0"/>
              <w:rPr>
                <w:sz w:val="20"/>
                <w:szCs w:val="20"/>
                <w:color w:val="auto"/>
              </w:rPr>
            </w:pPr>
            <w:r>
              <w:rPr>
                <w:rFonts w:ascii="Arial" w:cs="Arial" w:eastAsia="Arial" w:hAnsi="Arial"/>
                <w:sz w:val="9"/>
                <w:szCs w:val="9"/>
                <w:color w:val="auto"/>
              </w:rPr>
              <w:t>Date: 2020.12.30</w:t>
            </w:r>
          </w:p>
        </w:tc>
        <w:tc>
          <w:tcPr>
            <w:tcW w:w="1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700" w:type="dxa"/>
            <w:vAlign w:val="bottom"/>
            <w:gridSpan w:val="3"/>
            <w:vMerge w:val="restart"/>
          </w:tcPr>
          <w:p>
            <w:pPr>
              <w:spacing w:after="0"/>
              <w:rPr>
                <w:sz w:val="20"/>
                <w:szCs w:val="20"/>
                <w:color w:val="auto"/>
              </w:rPr>
            </w:pPr>
            <w:r>
              <w:rPr>
                <w:rFonts w:ascii="Arial" w:cs="Arial" w:eastAsia="Arial" w:hAnsi="Arial"/>
                <w:sz w:val="9"/>
                <w:szCs w:val="9"/>
                <w:color w:val="auto"/>
              </w:rPr>
              <w:t>15:31:50-05’00’</w:t>
            </w:r>
          </w:p>
        </w:tc>
        <w:tc>
          <w:tcPr>
            <w:tcW w:w="2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Borders>
              <w:lef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Borders>
              <w:lef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Borders>
              <w:left w:val="single" w:sz="8" w:color="auto"/>
            </w:tcBorders>
          </w:tcPr>
          <w:p>
            <w:pPr>
              <w:spacing w:after="0"/>
              <w:rPr>
                <w:sz w:val="14"/>
                <w:szCs w:val="14"/>
                <w:color w:val="auto"/>
              </w:rPr>
            </w:pPr>
          </w:p>
        </w:tc>
        <w:tc>
          <w:tcPr>
            <w:tcW w:w="2820" w:type="dxa"/>
            <w:vAlign w:val="bottom"/>
            <w:gridSpan w:val="4"/>
          </w:tcPr>
          <w:p>
            <w:pPr>
              <w:ind w:left="600"/>
              <w:spacing w:after="0"/>
              <w:rPr>
                <w:sz w:val="20"/>
                <w:szCs w:val="20"/>
                <w:color w:val="auto"/>
              </w:rPr>
            </w:pPr>
            <w:r>
              <w:rPr>
                <w:rFonts w:ascii="Arial" w:cs="Arial" w:eastAsia="Arial" w:hAnsi="Arial"/>
                <w:sz w:val="7"/>
                <w:szCs w:val="7"/>
                <w:color w:val="auto"/>
              </w:rPr>
              <w:t>Date 2020.12.31 11:27:38-05’00’</w:t>
            </w:r>
          </w:p>
        </w:tc>
        <w:tc>
          <w:tcPr>
            <w:tcW w:w="5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Borders>
              <w:left w:val="single" w:sz="8" w:color="auto"/>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1" w:hanging="161"/>
        <w:spacing w:after="0"/>
        <w:tabs>
          <w:tab w:leader="none" w:pos="161" w:val="left"/>
        </w:tabs>
        <w:numPr>
          <w:ilvl w:val="0"/>
          <w:numId w:val="207"/>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207"/>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172"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spacing w:after="0"/>
        <w:tabs>
          <w:tab w:leader="none" w:pos="2380" w:val="left"/>
          <w:tab w:leader="none" w:pos="5060" w:val="left"/>
        </w:tabs>
        <w:rPr>
          <w:sz w:val="20"/>
          <w:szCs w:val="20"/>
          <w:color w:val="auto"/>
        </w:rPr>
      </w:pPr>
      <w:r>
        <w:rPr>
          <w:rFonts w:ascii="Arial" w:cs="Arial" w:eastAsia="Arial" w:hAnsi="Arial"/>
          <w:sz w:val="16"/>
          <w:szCs w:val="16"/>
          <w:b w:val="1"/>
          <w:bCs w:val="1"/>
          <w:color w:val="auto"/>
        </w:rPr>
        <w:t>DD FORM 1423-1, FEB 2001</w:t>
      </w:r>
      <w:r>
        <w:rPr>
          <w:sz w:val="20"/>
          <w:szCs w:val="20"/>
          <w:color w:val="auto"/>
        </w:rPr>
        <w:tab/>
      </w:r>
      <w:r>
        <w:rPr>
          <w:rFonts w:ascii="Arial" w:cs="Arial" w:eastAsia="Arial" w:hAnsi="Arial"/>
          <w:sz w:val="14"/>
          <w:szCs w:val="14"/>
          <w:color w:val="080808"/>
        </w:rPr>
        <w:t>PREVIOUS EDITION MAY BE USED.</w:t>
      </w:r>
      <w:r>
        <w:rPr>
          <w:sz w:val="20"/>
          <w:szCs w:val="20"/>
          <w:color w:val="auto"/>
        </w:rPr>
        <w:tab/>
      </w:r>
      <w:r>
        <w:rPr>
          <w:rFonts w:ascii="Arial" w:cs="Arial" w:eastAsia="Arial" w:hAnsi="Arial"/>
          <w:sz w:val="11"/>
          <w:szCs w:val="11"/>
          <w:color w:val="090909"/>
        </w:rPr>
        <w:t xml:space="preserve">Page 28 </w:t>
      </w:r>
      <w:r>
        <w:rPr>
          <w:rFonts w:ascii="Arial" w:cs="Arial" w:eastAsia="Arial" w:hAnsi="Arial"/>
          <w:sz w:val="12"/>
          <w:szCs w:val="12"/>
          <w:color w:val="070707"/>
        </w:rPr>
        <w:t>of 32</w:t>
      </w:r>
      <w:r>
        <w:rPr>
          <w:rFonts w:ascii="Arial" w:cs="Arial" w:eastAsia="Arial" w:hAnsi="Arial"/>
          <w:sz w:val="11"/>
          <w:szCs w:val="11"/>
          <w:color w:val="090909"/>
        </w:rPr>
        <w:t xml:space="preserve"> </w:t>
      </w:r>
      <w:r>
        <w:rPr>
          <w:rFonts w:ascii="Arial" w:cs="Arial" w:eastAsia="Arial" w:hAnsi="Arial"/>
          <w:sz w:val="11"/>
          <w:szCs w:val="11"/>
          <w:color w:val="0B0B0B"/>
        </w:rPr>
        <w:t>Pages</w:t>
      </w:r>
    </w:p>
    <w:p>
      <w:pPr>
        <w:spacing w:after="0" w:line="17" w:lineRule="exact"/>
        <w:rPr>
          <w:sz w:val="20"/>
          <w:szCs w:val="20"/>
          <w:color w:val="auto"/>
        </w:rPr>
      </w:pPr>
    </w:p>
    <w:p>
      <w:pPr>
        <w:jc w:val="right"/>
        <w:ind w:right="3660"/>
        <w:spacing w:after="0"/>
        <w:rPr>
          <w:sz w:val="20"/>
          <w:szCs w:val="20"/>
          <w:color w:val="auto"/>
        </w:rPr>
      </w:pPr>
      <w:r>
        <w:rPr>
          <w:rFonts w:ascii="Arial" w:cs="Arial" w:eastAsia="Arial" w:hAnsi="Arial"/>
          <w:sz w:val="11"/>
          <w:szCs w:val="11"/>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4"/>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880" w:type="dxa"/>
            <w:vAlign w:val="bottom"/>
            <w:gridSpan w:val="4"/>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040" w:type="dxa"/>
            <w:vAlign w:val="bottom"/>
            <w:tcBorders>
              <w:bottom w:val="single" w:sz="8" w:color="auto"/>
            </w:tcBorders>
            <w:gridSpan w:val="8"/>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8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8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7180" w:type="dxa"/>
            <w:vAlign w:val="bottom"/>
            <w:gridSpan w:val="9"/>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8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18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9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2060" w:type="dxa"/>
            <w:vAlign w:val="bottom"/>
            <w:gridSpan w:val="3"/>
          </w:tcPr>
          <w:p>
            <w:pPr>
              <w:ind w:left="80"/>
              <w:spacing w:after="0"/>
              <w:rPr>
                <w:sz w:val="20"/>
                <w:szCs w:val="20"/>
                <w:color w:val="auto"/>
              </w:rPr>
            </w:pPr>
            <w:r>
              <w:rPr>
                <w:rFonts w:ascii="Arial" w:cs="Arial" w:eastAsia="Arial" w:hAnsi="Arial"/>
                <w:sz w:val="13"/>
                <w:szCs w:val="13"/>
                <w:b w:val="1"/>
                <w:bCs w:val="1"/>
                <w:color w:val="auto"/>
              </w:rPr>
              <w:t>C. CATEGORY:</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440" w:type="dxa"/>
            <w:vAlign w:val="bottom"/>
            <w:tcBorders>
              <w:right w:val="single" w:sz="8" w:color="auto"/>
            </w:tcBorders>
            <w:gridSpan w:val="2"/>
          </w:tcPr>
          <w:p>
            <w:pPr>
              <w:jc w:val="right"/>
              <w:ind w:right="1039"/>
              <w:spacing w:after="0" w:line="152" w:lineRule="exact"/>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Borders>
              <w:right w:val="single" w:sz="8" w:color="auto"/>
            </w:tcBorders>
          </w:tcPr>
          <w:p>
            <w:pPr>
              <w:jc w:val="right"/>
              <w:ind w:right="717"/>
              <w:spacing w:after="0" w:line="152" w:lineRule="exact"/>
              <w:rPr>
                <w:sz w:val="20"/>
                <w:szCs w:val="20"/>
                <w:color w:val="auto"/>
              </w:rPr>
            </w:pPr>
            <w:r>
              <w:rPr>
                <w:rFonts w:ascii="Arial" w:cs="Arial" w:eastAsia="Arial" w:hAnsi="Arial"/>
                <w:sz w:val="16"/>
                <w:szCs w:val="16"/>
                <w:color w:val="auto"/>
              </w:rPr>
              <w:t>A</w:t>
            </w:r>
          </w:p>
        </w:tc>
        <w:tc>
          <w:tcPr>
            <w:tcW w:w="3940" w:type="dxa"/>
            <w:vAlign w:val="bottom"/>
            <w:gridSpan w:val="7"/>
          </w:tcPr>
          <w:p>
            <w:pPr>
              <w:ind w:left="240"/>
              <w:spacing w:after="0" w:line="152" w:lineRule="exact"/>
              <w:rPr>
                <w:sz w:val="20"/>
                <w:szCs w:val="20"/>
                <w:color w:val="auto"/>
              </w:rPr>
            </w:pPr>
            <w:r>
              <w:rPr>
                <w:rFonts w:ascii="Arial" w:cs="Arial" w:eastAsia="Arial" w:hAnsi="Arial"/>
                <w:sz w:val="13"/>
                <w:szCs w:val="13"/>
                <w:color w:val="auto"/>
              </w:rPr>
              <w:t xml:space="preserve">TDP _____ TM ____ OTHER </w:t>
            </w:r>
            <w:r>
              <w:rPr>
                <w:rFonts w:ascii="Arial" w:cs="Arial" w:eastAsia="Arial" w:hAnsi="Arial"/>
                <w:sz w:val="16"/>
                <w:szCs w:val="16"/>
                <w:color w:val="auto"/>
              </w:rPr>
              <w:t>Regulatory documents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8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1200" w:type="dxa"/>
            <w:vAlign w:val="bottom"/>
            <w:tcBorders>
              <w:top w:val="single" w:sz="8" w:color="auto"/>
              <w:bottom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1880" w:type="dxa"/>
            <w:vAlign w:val="bottom"/>
            <w:gridSpan w:val="3"/>
          </w:tcPr>
          <w:p>
            <w:pPr>
              <w:ind w:left="80"/>
              <w:spacing w:after="0"/>
              <w:rPr>
                <w:sz w:val="20"/>
                <w:szCs w:val="20"/>
                <w:color w:val="auto"/>
              </w:rPr>
            </w:pPr>
            <w:r>
              <w:rPr>
                <w:rFonts w:ascii="Arial" w:cs="Arial" w:eastAsia="Arial" w:hAnsi="Arial"/>
                <w:sz w:val="13"/>
                <w:szCs w:val="13"/>
                <w:b w:val="1"/>
                <w:bCs w:val="1"/>
                <w:color w:val="auto"/>
              </w:rPr>
              <w:t>F. CONTRACTOR</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4"/>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0"/>
                <w:szCs w:val="10"/>
                <w:color w:val="auto"/>
                <w:w w:val="94"/>
              </w:rPr>
              <w:t>3. SUBTITLE</w:t>
            </w: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A028</w:t>
            </w:r>
          </w:p>
        </w:tc>
        <w:tc>
          <w:tcPr>
            <w:tcW w:w="20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010101"/>
              </w:rPr>
              <w:t>EUA filing</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180" w:type="dxa"/>
            <w:vAlign w:val="bottom"/>
            <w:gridSpan w:val="4"/>
          </w:tcPr>
          <w:p>
            <w:pPr>
              <w:ind w:left="80"/>
              <w:spacing w:after="0"/>
              <w:rPr>
                <w:sz w:val="20"/>
                <w:szCs w:val="20"/>
                <w:color w:val="auto"/>
              </w:rPr>
            </w:pPr>
            <w:r>
              <w:rPr>
                <w:rFonts w:ascii="Arial" w:cs="Arial" w:eastAsia="Arial" w:hAnsi="Arial"/>
                <w:sz w:val="9"/>
                <w:szCs w:val="9"/>
                <w:color w:val="auto"/>
              </w:rPr>
              <w:t>5. CONTRACT REFERENCE</w:t>
            </w:r>
          </w:p>
        </w:tc>
        <w:tc>
          <w:tcPr>
            <w:tcW w:w="1200" w:type="dxa"/>
            <w:vAlign w:val="bottom"/>
          </w:tcPr>
          <w:p>
            <w:pPr>
              <w:ind w:left="80"/>
              <w:spacing w:after="0"/>
              <w:rPr>
                <w:sz w:val="20"/>
                <w:szCs w:val="20"/>
                <w:color w:val="auto"/>
              </w:rPr>
            </w:pPr>
            <w:r>
              <w:rPr>
                <w:rFonts w:ascii="Arial" w:cs="Arial" w:eastAsia="Arial" w:hAnsi="Arial"/>
                <w:sz w:val="9"/>
                <w:szCs w:val="9"/>
                <w:color w:val="auto"/>
              </w:rPr>
              <w:t>6. REQUIRING OFFICE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010101"/>
                <w:w w:val="90"/>
              </w:rPr>
              <w:t xml:space="preserve">contractor </w:t>
            </w:r>
            <w:r>
              <w:rPr>
                <w:rFonts w:ascii="Arial" w:cs="Arial" w:eastAsia="Arial" w:hAnsi="Arial"/>
                <w:sz w:val="16"/>
                <w:szCs w:val="16"/>
                <w:color w:val="131313"/>
                <w:w w:val="90"/>
              </w:rPr>
              <w:t>format acceptable</w:t>
            </w:r>
          </w:p>
        </w:tc>
        <w:tc>
          <w:tcPr>
            <w:tcW w:w="50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060" w:type="dxa"/>
            <w:vAlign w:val="bottom"/>
            <w:gridSpan w:val="3"/>
          </w:tcPr>
          <w:p>
            <w:pPr>
              <w:ind w:left="400"/>
              <w:spacing w:after="0"/>
              <w:rPr>
                <w:sz w:val="20"/>
                <w:szCs w:val="20"/>
                <w:color w:val="auto"/>
              </w:rPr>
            </w:pPr>
            <w:r>
              <w:rPr>
                <w:rFonts w:ascii="Arial" w:cs="Arial" w:eastAsia="Arial" w:hAnsi="Arial"/>
                <w:sz w:val="16"/>
                <w:szCs w:val="16"/>
                <w:color w:val="auto"/>
              </w:rPr>
              <w:t>SOW</w:t>
            </w:r>
          </w:p>
        </w:tc>
        <w:tc>
          <w:tcPr>
            <w:tcW w:w="1200" w:type="dxa"/>
            <w:vAlign w:val="bottom"/>
          </w:tcPr>
          <w:p>
            <w:pPr>
              <w:spacing w:after="0"/>
              <w:rPr>
                <w:sz w:val="19"/>
                <w:szCs w:val="19"/>
                <w:color w:val="auto"/>
              </w:rPr>
            </w:pPr>
          </w:p>
        </w:tc>
        <w:tc>
          <w:tcPr>
            <w:tcW w:w="680" w:type="dxa"/>
            <w:vAlign w:val="bottom"/>
            <w:gridSpan w:val="3"/>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206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1200" w:type="dxa"/>
            <w:vAlign w:val="bottom"/>
            <w:vMerge w:val="restart"/>
          </w:tcPr>
          <w:p>
            <w:pPr>
              <w:ind w:left="60"/>
              <w:spacing w:after="0"/>
              <w:rPr>
                <w:sz w:val="20"/>
                <w:szCs w:val="20"/>
                <w:color w:val="auto"/>
              </w:rPr>
            </w:pPr>
            <w:r>
              <w:rPr>
                <w:rFonts w:ascii="Arial" w:cs="Arial" w:eastAsia="Arial" w:hAnsi="Arial"/>
                <w:sz w:val="10"/>
                <w:szCs w:val="10"/>
                <w:color w:val="auto"/>
              </w:rPr>
              <w:t>14.  DISTRIBUTION</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2060" w:type="dxa"/>
            <w:vAlign w:val="bottom"/>
            <w:gridSpan w:val="3"/>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206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2060" w:type="dxa"/>
            <w:vAlign w:val="bottom"/>
            <w:gridSpan w:val="3"/>
            <w:vMerge w:val="continue"/>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206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1200" w:type="dxa"/>
            <w:vAlign w:val="bottom"/>
            <w:vMerge w:val="restart"/>
          </w:tcPr>
          <w:p>
            <w:pPr>
              <w:ind w:left="460"/>
              <w:spacing w:after="0"/>
              <w:rPr>
                <w:sz w:val="20"/>
                <w:szCs w:val="20"/>
                <w:color w:val="auto"/>
              </w:rPr>
            </w:pPr>
            <w:r>
              <w:rPr>
                <w:rFonts w:ascii="Arial" w:cs="Arial" w:eastAsia="Arial" w:hAnsi="Arial"/>
                <w:sz w:val="10"/>
                <w:szCs w:val="10"/>
                <w:color w:val="auto"/>
                <w:w w:val="98"/>
              </w:rPr>
              <w:t>a. ADDRESSEE</w:t>
            </w: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206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12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206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ind w:left="60"/>
              <w:spacing w:after="0"/>
              <w:rPr>
                <w:sz w:val="20"/>
                <w:szCs w:val="20"/>
                <w:color w:val="auto"/>
              </w:rPr>
            </w:pPr>
            <w:r>
              <w:rPr>
                <w:rFonts w:ascii="Arial" w:cs="Arial" w:eastAsia="Arial" w:hAnsi="Arial"/>
                <w:sz w:val="14"/>
                <w:szCs w:val="14"/>
                <w:color w:val="auto"/>
              </w:rPr>
              <w:t>BARDA</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ind w:left="60"/>
              <w:spacing w:after="0"/>
              <w:rPr>
                <w:sz w:val="20"/>
                <w:szCs w:val="20"/>
                <w:color w:val="auto"/>
              </w:rPr>
            </w:pPr>
            <w:r>
              <w:rPr>
                <w:rFonts w:ascii="Arial" w:cs="Arial" w:eastAsia="Arial" w:hAnsi="Arial"/>
                <w:sz w:val="14"/>
                <w:szCs w:val="14"/>
                <w:color w:val="auto"/>
              </w:rPr>
              <w:t>JPEO CBRND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4751705</wp:posOffset>
            </wp:positionH>
            <wp:positionV relativeFrom="page">
              <wp:posOffset>269240</wp:posOffset>
            </wp:positionV>
            <wp:extent cx="1929130" cy="79552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929130" cy="79552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8890" cy="79552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7955280"/>
                    </a:xfrm>
                    <a:prstGeom prst="rect">
                      <a:avLst/>
                    </a:prstGeom>
                    <a:noFill/>
                  </pic:spPr>
                </pic:pic>
              </a:graphicData>
            </a:graphic>
          </wp:anchor>
        </w:drawing>
        <w:t>The Awardee shall provide a copy of any request for EUA submitted to the FDA</w:t>
      </w:r>
    </w:p>
    <w:p>
      <w:pPr>
        <w:spacing w:after="0" w:line="234" w:lineRule="exact"/>
        <w:rPr>
          <w:sz w:val="20"/>
          <w:szCs w:val="20"/>
          <w:color w:val="auto"/>
        </w:rPr>
      </w:pPr>
    </w:p>
    <w:p>
      <w:pPr>
        <w:ind w:left="680" w:hanging="511"/>
        <w:spacing w:after="0"/>
        <w:tabs>
          <w:tab w:leader="none" w:pos="6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Upon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15:30:28-05’00’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11:34:50-05’00’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29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80"/>
        <w:spacing w:after="0"/>
        <w:rPr>
          <w:sz w:val="20"/>
          <w:szCs w:val="20"/>
          <w:color w:val="auto"/>
        </w:rPr>
      </w:pPr>
      <w:r>
        <w:rPr>
          <w:rFonts w:ascii="Arial" w:cs="Arial" w:eastAsia="Arial" w:hAnsi="Arial"/>
          <w:sz w:val="11"/>
          <w:szCs w:val="11"/>
          <w:color w:val="252525"/>
        </w:rPr>
        <w:t>Adobe Professional 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1" w:hanging="161"/>
        <w:spacing w:after="0"/>
        <w:tabs>
          <w:tab w:leader="none" w:pos="161" w:val="left"/>
        </w:tabs>
        <w:numPr>
          <w:ilvl w:val="0"/>
          <w:numId w:val="209"/>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209"/>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3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6110" cy="728345"/>
                    </a:xfrm>
                    <a:prstGeom prst="rect">
                      <a:avLst/>
                    </a:prstGeom>
                    <a:noFill/>
                  </pic:spPr>
                </pic:pic>
              </a:graphicData>
            </a:graphic>
          </wp:anchor>
        </w:drawing>
      </w:r>
    </w:p>
    <w:p>
      <w:pPr>
        <w:sectPr>
          <w:pgSz w:w="11900" w:h="16838" w:orient="portrait"/>
          <w:cols w:equalWidth="0" w:num="2">
            <w:col w:w="10200" w:space="99"/>
            <w:col w:w="861"/>
          </w:cols>
          <w:pgMar w:left="320" w:top="403" w:right="4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4"/>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880" w:type="dxa"/>
            <w:vAlign w:val="bottom"/>
            <w:gridSpan w:val="4"/>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040" w:type="dxa"/>
            <w:vAlign w:val="bottom"/>
            <w:tcBorders>
              <w:bottom w:val="single" w:sz="8" w:color="auto"/>
            </w:tcBorders>
            <w:gridSpan w:val="8"/>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8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8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7180" w:type="dxa"/>
            <w:vAlign w:val="bottom"/>
            <w:gridSpan w:val="9"/>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8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18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9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2060" w:type="dxa"/>
            <w:vAlign w:val="bottom"/>
            <w:gridSpan w:val="3"/>
          </w:tcPr>
          <w:p>
            <w:pPr>
              <w:ind w:left="80"/>
              <w:spacing w:after="0"/>
              <w:rPr>
                <w:sz w:val="20"/>
                <w:szCs w:val="20"/>
                <w:color w:val="auto"/>
              </w:rPr>
            </w:pPr>
            <w:r>
              <w:rPr>
                <w:rFonts w:ascii="Arial" w:cs="Arial" w:eastAsia="Arial" w:hAnsi="Arial"/>
                <w:sz w:val="13"/>
                <w:szCs w:val="13"/>
                <w:b w:val="1"/>
                <w:bCs w:val="1"/>
                <w:color w:val="auto"/>
              </w:rPr>
              <w:t>C. CATEGORY:</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440" w:type="dxa"/>
            <w:vAlign w:val="bottom"/>
            <w:tcBorders>
              <w:right w:val="single" w:sz="8" w:color="auto"/>
            </w:tcBorders>
            <w:gridSpan w:val="2"/>
          </w:tcPr>
          <w:p>
            <w:pPr>
              <w:jc w:val="right"/>
              <w:ind w:right="1037"/>
              <w:spacing w:after="0" w:line="152" w:lineRule="exact"/>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Borders>
              <w:right w:val="single" w:sz="8" w:color="auto"/>
            </w:tcBorders>
          </w:tcPr>
          <w:p>
            <w:pPr>
              <w:jc w:val="right"/>
              <w:ind w:right="717"/>
              <w:spacing w:after="0" w:line="152" w:lineRule="exact"/>
              <w:rPr>
                <w:sz w:val="20"/>
                <w:szCs w:val="20"/>
                <w:color w:val="auto"/>
              </w:rPr>
            </w:pPr>
            <w:r>
              <w:rPr>
                <w:rFonts w:ascii="Arial" w:cs="Arial" w:eastAsia="Arial" w:hAnsi="Arial"/>
                <w:sz w:val="16"/>
                <w:szCs w:val="16"/>
                <w:color w:val="auto"/>
              </w:rPr>
              <w:t>A</w:t>
            </w:r>
          </w:p>
        </w:tc>
        <w:tc>
          <w:tcPr>
            <w:tcW w:w="3940" w:type="dxa"/>
            <w:vAlign w:val="bottom"/>
            <w:gridSpan w:val="7"/>
          </w:tcPr>
          <w:p>
            <w:pPr>
              <w:ind w:left="240"/>
              <w:spacing w:after="0" w:line="152" w:lineRule="exact"/>
              <w:rPr>
                <w:sz w:val="20"/>
                <w:szCs w:val="20"/>
                <w:color w:val="auto"/>
              </w:rPr>
            </w:pPr>
            <w:r>
              <w:rPr>
                <w:rFonts w:ascii="Arial" w:cs="Arial" w:eastAsia="Arial" w:hAnsi="Arial"/>
                <w:sz w:val="13"/>
                <w:szCs w:val="13"/>
                <w:color w:val="auto"/>
              </w:rPr>
              <w:t xml:space="preserve">TDP _____ TM ____ OTHER </w:t>
            </w:r>
            <w:r>
              <w:rPr>
                <w:rFonts w:ascii="Arial" w:cs="Arial" w:eastAsia="Arial" w:hAnsi="Arial"/>
                <w:sz w:val="16"/>
                <w:szCs w:val="16"/>
                <w:color w:val="auto"/>
              </w:rPr>
              <w:t>Regulatory documents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1880" w:type="dxa"/>
            <w:vAlign w:val="bottom"/>
            <w:gridSpan w:val="3"/>
          </w:tcPr>
          <w:p>
            <w:pPr>
              <w:ind w:left="80"/>
              <w:spacing w:after="0"/>
              <w:rPr>
                <w:sz w:val="20"/>
                <w:szCs w:val="20"/>
                <w:color w:val="auto"/>
              </w:rPr>
            </w:pPr>
            <w:r>
              <w:rPr>
                <w:rFonts w:ascii="Arial" w:cs="Arial" w:eastAsia="Arial" w:hAnsi="Arial"/>
                <w:sz w:val="13"/>
                <w:szCs w:val="13"/>
                <w:b w:val="1"/>
                <w:bCs w:val="1"/>
                <w:color w:val="auto"/>
              </w:rPr>
              <w:t>F. CONTRACTOR</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4"/>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0"/>
                <w:szCs w:val="10"/>
                <w:color w:val="auto"/>
                <w:w w:val="94"/>
              </w:rPr>
              <w:t>3. SUBTITLE</w:t>
            </w: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A029</w:t>
            </w:r>
          </w:p>
        </w:tc>
        <w:tc>
          <w:tcPr>
            <w:tcW w:w="2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color w:val="010101"/>
              </w:rPr>
              <w:t xml:space="preserve">Provision </w:t>
            </w:r>
            <w:r>
              <w:rPr>
                <w:rFonts w:ascii="Arial" w:cs="Arial" w:eastAsia="Arial" w:hAnsi="Arial"/>
                <w:sz w:val="16"/>
                <w:szCs w:val="16"/>
                <w:color w:val="131313"/>
              </w:rPr>
              <w:t>of</w:t>
            </w:r>
            <w:r>
              <w:rPr>
                <w:rFonts w:ascii="Arial" w:cs="Arial" w:eastAsia="Arial" w:hAnsi="Arial"/>
                <w:sz w:val="16"/>
                <w:szCs w:val="16"/>
                <w:color w:val="010101"/>
              </w:rPr>
              <w:t xml:space="preserve"> Public Law 115-92 </w:t>
            </w:r>
            <w:r>
              <w:rPr>
                <w:rFonts w:ascii="Arial" w:cs="Arial" w:eastAsia="Arial" w:hAnsi="Arial"/>
                <w:sz w:val="16"/>
                <w:szCs w:val="16"/>
                <w:color w:val="131313"/>
              </w:rPr>
              <w:t>Sponsor Authorization</w:t>
            </w:r>
            <w:r>
              <w:rPr>
                <w:rFonts w:ascii="Arial" w:cs="Arial" w:eastAsia="Arial" w:hAnsi="Arial"/>
                <w:sz w:val="16"/>
                <w:szCs w:val="16"/>
                <w:color w:val="010101"/>
              </w:rPr>
              <w:t xml:space="preserve"> Letter</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180" w:type="dxa"/>
            <w:vAlign w:val="bottom"/>
            <w:gridSpan w:val="4"/>
          </w:tcPr>
          <w:p>
            <w:pPr>
              <w:ind w:left="80"/>
              <w:spacing w:after="0"/>
              <w:rPr>
                <w:sz w:val="20"/>
                <w:szCs w:val="20"/>
                <w:color w:val="auto"/>
              </w:rPr>
            </w:pPr>
            <w:r>
              <w:rPr>
                <w:rFonts w:ascii="Arial" w:cs="Arial" w:eastAsia="Arial" w:hAnsi="Arial"/>
                <w:sz w:val="9"/>
                <w:szCs w:val="9"/>
                <w:color w:val="auto"/>
              </w:rPr>
              <w:t>5. CONTRACT REFERENCE</w:t>
            </w:r>
          </w:p>
        </w:tc>
        <w:tc>
          <w:tcPr>
            <w:tcW w:w="1200" w:type="dxa"/>
            <w:vAlign w:val="bottom"/>
          </w:tcPr>
          <w:p>
            <w:pPr>
              <w:ind w:left="80"/>
              <w:spacing w:after="0"/>
              <w:rPr>
                <w:sz w:val="20"/>
                <w:szCs w:val="20"/>
                <w:color w:val="auto"/>
              </w:rPr>
            </w:pPr>
            <w:r>
              <w:rPr>
                <w:rFonts w:ascii="Arial" w:cs="Arial" w:eastAsia="Arial" w:hAnsi="Arial"/>
                <w:sz w:val="9"/>
                <w:szCs w:val="9"/>
                <w:color w:val="auto"/>
              </w:rPr>
              <w:t>6. REQUIRING OFFICE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131313"/>
                <w:w w:val="94"/>
              </w:rPr>
              <w:t>DI-TCSP-82040</w:t>
            </w:r>
          </w:p>
        </w:tc>
        <w:tc>
          <w:tcPr>
            <w:tcW w:w="5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2060" w:type="dxa"/>
            <w:vAlign w:val="bottom"/>
            <w:gridSpan w:val="3"/>
          </w:tcPr>
          <w:p>
            <w:pPr>
              <w:ind w:left="400"/>
              <w:spacing w:after="0"/>
              <w:rPr>
                <w:sz w:val="20"/>
                <w:szCs w:val="20"/>
                <w:color w:val="auto"/>
              </w:rPr>
            </w:pPr>
            <w:r>
              <w:rPr>
                <w:rFonts w:ascii="Arial" w:cs="Arial" w:eastAsia="Arial" w:hAnsi="Arial"/>
                <w:sz w:val="16"/>
                <w:szCs w:val="16"/>
                <w:color w:val="auto"/>
              </w:rPr>
              <w:t>SOW</w:t>
            </w:r>
          </w:p>
        </w:tc>
        <w:tc>
          <w:tcPr>
            <w:tcW w:w="1200" w:type="dxa"/>
            <w:vAlign w:val="bottom"/>
          </w:tcPr>
          <w:p>
            <w:pPr>
              <w:spacing w:after="0"/>
              <w:rPr>
                <w:sz w:val="18"/>
                <w:szCs w:val="18"/>
                <w:color w:val="auto"/>
              </w:rPr>
            </w:pPr>
          </w:p>
        </w:tc>
        <w:tc>
          <w:tcPr>
            <w:tcW w:w="680" w:type="dxa"/>
            <w:vAlign w:val="bottom"/>
            <w:gridSpan w:val="3"/>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206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1200" w:type="dxa"/>
            <w:vAlign w:val="bottom"/>
            <w:vMerge w:val="restart"/>
          </w:tcPr>
          <w:p>
            <w:pPr>
              <w:ind w:left="60"/>
              <w:spacing w:after="0"/>
              <w:rPr>
                <w:sz w:val="20"/>
                <w:szCs w:val="20"/>
                <w:color w:val="auto"/>
              </w:rPr>
            </w:pPr>
            <w:r>
              <w:rPr>
                <w:rFonts w:ascii="Arial" w:cs="Arial" w:eastAsia="Arial" w:hAnsi="Arial"/>
                <w:sz w:val="10"/>
                <w:szCs w:val="10"/>
                <w:color w:val="auto"/>
              </w:rPr>
              <w:t>14.  DISTRIBUTION</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2060" w:type="dxa"/>
            <w:vAlign w:val="bottom"/>
            <w:gridSpan w:val="3"/>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206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2060" w:type="dxa"/>
            <w:vAlign w:val="bottom"/>
            <w:gridSpan w:val="3"/>
            <w:vMerge w:val="continue"/>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206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1200" w:type="dxa"/>
            <w:vAlign w:val="bottom"/>
            <w:vMerge w:val="restart"/>
          </w:tcPr>
          <w:p>
            <w:pPr>
              <w:ind w:left="460"/>
              <w:spacing w:after="0"/>
              <w:rPr>
                <w:sz w:val="20"/>
                <w:szCs w:val="20"/>
                <w:color w:val="auto"/>
              </w:rPr>
            </w:pPr>
            <w:r>
              <w:rPr>
                <w:rFonts w:ascii="Arial" w:cs="Arial" w:eastAsia="Arial" w:hAnsi="Arial"/>
                <w:sz w:val="10"/>
                <w:szCs w:val="10"/>
                <w:color w:val="auto"/>
                <w:w w:val="98"/>
              </w:rPr>
              <w:t>a. ADDRESSEE</w:t>
            </w: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206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12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206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ind w:left="60"/>
              <w:spacing w:after="0"/>
              <w:rPr>
                <w:sz w:val="20"/>
                <w:szCs w:val="20"/>
                <w:color w:val="auto"/>
              </w:rPr>
            </w:pPr>
            <w:r>
              <w:rPr>
                <w:rFonts w:ascii="Arial" w:cs="Arial" w:eastAsia="Arial" w:hAnsi="Arial"/>
                <w:sz w:val="14"/>
                <w:szCs w:val="14"/>
                <w:color w:val="auto"/>
              </w:rPr>
              <w:t>BARDA</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ind w:left="60"/>
              <w:spacing w:after="0"/>
              <w:rPr>
                <w:sz w:val="20"/>
                <w:szCs w:val="20"/>
                <w:color w:val="auto"/>
              </w:rPr>
            </w:pPr>
            <w:r>
              <w:rPr>
                <w:rFonts w:ascii="Arial" w:cs="Arial" w:eastAsia="Arial" w:hAnsi="Arial"/>
                <w:sz w:val="14"/>
                <w:szCs w:val="14"/>
                <w:color w:val="auto"/>
              </w:rPr>
              <w:t>JPEO CBRND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right="4720"/>
        <w:spacing w:after="0" w:line="290" w:lineRule="auto"/>
        <w:rPr>
          <w:sz w:val="20"/>
          <w:szCs w:val="20"/>
          <w:color w:val="auto"/>
        </w:rPr>
      </w:pPr>
      <w:r>
        <w:rPr>
          <w:rFonts w:ascii="Arial" w:cs="Arial" w:eastAsia="Arial" w:hAnsi="Arial"/>
          <w:sz w:val="15"/>
          <w:szCs w:val="15"/>
          <w:color w:val="131313"/>
        </w:rPr>
        <w:drawing>
          <wp:anchor simplePos="0" relativeHeight="251657728" behindDoc="1" locked="0" layoutInCell="0" allowOverlap="1">
            <wp:simplePos x="0" y="0"/>
            <wp:positionH relativeFrom="page">
              <wp:posOffset>4751705</wp:posOffset>
            </wp:positionH>
            <wp:positionV relativeFrom="page">
              <wp:posOffset>269240</wp:posOffset>
            </wp:positionV>
            <wp:extent cx="1929130" cy="80752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929130" cy="80752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8890" cy="80752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075295"/>
                    </a:xfrm>
                    <a:prstGeom prst="rect">
                      <a:avLst/>
                    </a:prstGeom>
                    <a:noFill/>
                  </pic:spPr>
                </pic:pic>
              </a:graphicData>
            </a:graphic>
          </wp:anchor>
        </w:drawing>
        <w:t xml:space="preserve">The </w:t>
      </w:r>
      <w:r>
        <w:rPr>
          <w:rFonts w:ascii="Arial" w:cs="Arial" w:eastAsia="Arial" w:hAnsi="Arial"/>
          <w:sz w:val="15"/>
          <w:szCs w:val="15"/>
          <w:color w:val="272727"/>
        </w:rPr>
        <w:t>Awardee</w:t>
      </w:r>
      <w:r>
        <w:rPr>
          <w:rFonts w:ascii="Arial" w:cs="Arial" w:eastAsia="Arial" w:hAnsi="Arial"/>
          <w:sz w:val="15"/>
          <w:szCs w:val="15"/>
          <w:color w:val="131313"/>
        </w:rPr>
        <w:t xml:space="preserve"> </w:t>
      </w:r>
      <w:r>
        <w:rPr>
          <w:rFonts w:ascii="Arial" w:cs="Arial" w:eastAsia="Arial" w:hAnsi="Arial"/>
          <w:sz w:val="15"/>
          <w:szCs w:val="15"/>
          <w:color w:val="3F3F3F"/>
        </w:rPr>
        <w:t>s</w:t>
      </w:r>
      <w:r>
        <w:rPr>
          <w:rFonts w:ascii="Arial" w:cs="Arial" w:eastAsia="Arial" w:hAnsi="Arial"/>
          <w:sz w:val="15"/>
          <w:szCs w:val="15"/>
          <w:color w:val="131313"/>
        </w:rPr>
        <w:t xml:space="preserve">hall </w:t>
      </w:r>
      <w:r>
        <w:rPr>
          <w:rFonts w:ascii="Arial" w:cs="Arial" w:eastAsia="Arial" w:hAnsi="Arial"/>
          <w:sz w:val="15"/>
          <w:szCs w:val="15"/>
          <w:color w:val="272727"/>
        </w:rPr>
        <w:t>submit</w:t>
      </w:r>
      <w:r>
        <w:rPr>
          <w:rFonts w:ascii="Arial" w:cs="Arial" w:eastAsia="Arial" w:hAnsi="Arial"/>
          <w:sz w:val="15"/>
          <w:szCs w:val="15"/>
          <w:color w:val="131313"/>
        </w:rPr>
        <w:t xml:space="preserve"> Public </w:t>
      </w:r>
      <w:r>
        <w:rPr>
          <w:rFonts w:ascii="Arial" w:cs="Arial" w:eastAsia="Arial" w:hAnsi="Arial"/>
          <w:sz w:val="15"/>
          <w:szCs w:val="15"/>
          <w:color w:val="272727"/>
        </w:rPr>
        <w:t>Law</w:t>
      </w:r>
      <w:r>
        <w:rPr>
          <w:rFonts w:ascii="Arial" w:cs="Arial" w:eastAsia="Arial" w:hAnsi="Arial"/>
          <w:sz w:val="15"/>
          <w:szCs w:val="15"/>
          <w:color w:val="131313"/>
        </w:rPr>
        <w:t xml:space="preserve"> 115-92 Sponsor </w:t>
      </w:r>
      <w:r>
        <w:rPr>
          <w:rFonts w:ascii="Arial" w:cs="Arial" w:eastAsia="Arial" w:hAnsi="Arial"/>
          <w:sz w:val="15"/>
          <w:szCs w:val="15"/>
          <w:color w:val="272727"/>
        </w:rPr>
        <w:t>Authorization Letter</w:t>
      </w:r>
      <w:r>
        <w:rPr>
          <w:rFonts w:ascii="Arial" w:cs="Arial" w:eastAsia="Arial" w:hAnsi="Arial"/>
          <w:sz w:val="15"/>
          <w:szCs w:val="15"/>
          <w:color w:val="131313"/>
        </w:rPr>
        <w:t xml:space="preserve"> in the Contractor's format that will </w:t>
      </w:r>
      <w:r>
        <w:rPr>
          <w:rFonts w:ascii="Arial" w:cs="Arial" w:eastAsia="Arial" w:hAnsi="Arial"/>
          <w:sz w:val="13"/>
          <w:szCs w:val="13"/>
          <w:color w:val="131313"/>
        </w:rPr>
        <w:t>be</w:t>
      </w:r>
      <w:r>
        <w:rPr>
          <w:rFonts w:ascii="Arial" w:cs="Arial" w:eastAsia="Arial" w:hAnsi="Arial"/>
          <w:sz w:val="15"/>
          <w:szCs w:val="15"/>
          <w:color w:val="131313"/>
        </w:rPr>
        <w:t xml:space="preserve"> delivered to the designated OWS POC(s).</w:t>
      </w:r>
    </w:p>
    <w:p>
      <w:pPr>
        <w:spacing w:after="0" w:line="190" w:lineRule="exact"/>
        <w:rPr>
          <w:sz w:val="20"/>
          <w:szCs w:val="20"/>
          <w:color w:val="auto"/>
        </w:rPr>
      </w:pPr>
    </w:p>
    <w:p>
      <w:pPr>
        <w:ind w:left="680" w:hanging="511"/>
        <w:spacing w:after="0"/>
        <w:tabs>
          <w:tab w:leader="none" w:pos="6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4"/>
          <w:szCs w:val="14"/>
          <w:color w:val="2A2A2A"/>
        </w:rPr>
        <w:t>[* * *]</w:t>
      </w:r>
      <w:r>
        <w:rPr>
          <w:rFonts w:ascii="Arial" w:cs="Arial" w:eastAsia="Arial" w:hAnsi="Arial"/>
          <w:sz w:val="16"/>
          <w:szCs w:val="16"/>
          <w:color w:val="auto"/>
        </w:rPr>
        <w:t xml:space="preserve"> of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15:30:02-05’00’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11:42:29-05’00’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30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1" w:hanging="161"/>
        <w:spacing w:after="0"/>
        <w:tabs>
          <w:tab w:leader="none" w:pos="161" w:val="left"/>
        </w:tabs>
        <w:numPr>
          <w:ilvl w:val="0"/>
          <w:numId w:val="211"/>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211"/>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74"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308"/>
        </w:trPr>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CONTRACT DATA REQUIREMENTS LIST</w:t>
            </w:r>
          </w:p>
        </w:tc>
        <w:tc>
          <w:tcPr>
            <w:tcW w:w="1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gridSpan w:val="4"/>
          </w:tcPr>
          <w:p>
            <w:pPr>
              <w:ind w:left="660"/>
              <w:spacing w:after="0"/>
              <w:rPr>
                <w:sz w:val="20"/>
                <w:szCs w:val="20"/>
                <w:color w:val="auto"/>
              </w:rPr>
            </w:pPr>
            <w:r>
              <w:rPr>
                <w:rFonts w:ascii="Arial" w:cs="Arial" w:eastAsia="Arial" w:hAnsi="Arial"/>
                <w:sz w:val="13"/>
                <w:szCs w:val="13"/>
                <w:i w:val="1"/>
                <w:iCs w:val="1"/>
                <w:color w:val="auto"/>
              </w:rPr>
              <w:t>Form Approved</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437"/>
              <w:spacing w:after="0"/>
              <w:rPr>
                <w:sz w:val="20"/>
                <w:szCs w:val="20"/>
                <w:color w:val="auto"/>
              </w:rPr>
            </w:pPr>
            <w:r>
              <w:rPr>
                <w:rFonts w:ascii="Arial" w:cs="Arial" w:eastAsia="Arial" w:hAnsi="Arial"/>
                <w:sz w:val="13"/>
                <w:szCs w:val="13"/>
                <w:i w:val="1"/>
                <w:iCs w:val="1"/>
                <w:color w:val="auto"/>
              </w:rPr>
              <w:t>(1 Data Item)</w:t>
            </w: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880" w:type="dxa"/>
            <w:vAlign w:val="bottom"/>
            <w:gridSpan w:val="4"/>
          </w:tcPr>
          <w:p>
            <w:pPr>
              <w:ind w:left="660"/>
              <w:spacing w:after="0"/>
              <w:rPr>
                <w:sz w:val="20"/>
                <w:szCs w:val="20"/>
                <w:color w:val="auto"/>
              </w:rPr>
            </w:pPr>
            <w:r>
              <w:rPr>
                <w:rFonts w:ascii="Arial" w:cs="Arial" w:eastAsia="Arial" w:hAnsi="Arial"/>
                <w:sz w:val="13"/>
                <w:szCs w:val="13"/>
                <w:i w:val="1"/>
                <w:iCs w:val="1"/>
                <w:color w:val="auto"/>
              </w:rPr>
              <w:t>OMB No. 0704-0188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040" w:type="dxa"/>
            <w:vAlign w:val="bottom"/>
            <w:tcBorders>
              <w:bottom w:val="single" w:sz="8" w:color="auto"/>
            </w:tcBorders>
            <w:gridSpan w:val="8"/>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180" w:type="dxa"/>
            <w:vAlign w:val="bottom"/>
            <w:gridSpan w:val="9"/>
          </w:tcPr>
          <w:p>
            <w:pPr>
              <w:ind w:left="160"/>
              <w:spacing w:after="0"/>
              <w:rPr>
                <w:sz w:val="20"/>
                <w:szCs w:val="20"/>
                <w:color w:val="auto"/>
              </w:rPr>
            </w:pPr>
            <w:r>
              <w:rPr>
                <w:rFonts w:ascii="Arial" w:cs="Arial" w:eastAsia="Arial" w:hAnsi="Arial"/>
                <w:sz w:val="9"/>
                <w:szCs w:val="9"/>
                <w:color w:val="auto"/>
              </w:rPr>
              <w:t>The public reporting burden for this collection of information is estimated to average 110 hours per response, including the time for reviewing instructions, searching existing</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180" w:type="dxa"/>
            <w:vAlign w:val="bottom"/>
            <w:gridSpan w:val="9"/>
          </w:tcPr>
          <w:p>
            <w:pPr>
              <w:ind w:left="160"/>
              <w:spacing w:after="0" w:line="81" w:lineRule="exact"/>
              <w:rPr>
                <w:sz w:val="20"/>
                <w:szCs w:val="20"/>
                <w:color w:val="auto"/>
              </w:rPr>
            </w:pPr>
            <w:r>
              <w:rPr>
                <w:rFonts w:ascii="Arial" w:cs="Arial" w:eastAsia="Arial" w:hAnsi="Arial"/>
                <w:sz w:val="9"/>
                <w:szCs w:val="9"/>
                <w:color w:val="auto"/>
              </w:rPr>
              <w:t>data sources, gathering and maintaining the data needed, and completing and reviewing the collection of information.  Send comments regarding this burden estimate or any</w:t>
            </w: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7180" w:type="dxa"/>
            <w:vAlign w:val="bottom"/>
            <w:gridSpan w:val="9"/>
          </w:tcPr>
          <w:p>
            <w:pPr>
              <w:ind w:left="160"/>
              <w:spacing w:after="0" w:line="111" w:lineRule="exact"/>
              <w:rPr>
                <w:sz w:val="20"/>
                <w:szCs w:val="20"/>
                <w:color w:val="auto"/>
              </w:rPr>
            </w:pPr>
            <w:r>
              <w:rPr>
                <w:rFonts w:ascii="Arial" w:cs="Arial" w:eastAsia="Arial" w:hAnsi="Arial"/>
                <w:sz w:val="9"/>
                <w:szCs w:val="9"/>
                <w:color w:val="auto"/>
              </w:rPr>
              <w:t xml:space="preserve">other aspect of this collection of information, including suggestions for reducing the burden, to the Department of Defense, Executive Services </w:t>
            </w:r>
            <w:r>
              <w:rPr>
                <w:rFonts w:ascii="Arial" w:cs="Arial" w:eastAsia="Arial" w:hAnsi="Arial"/>
                <w:sz w:val="12"/>
                <w:szCs w:val="12"/>
                <w:b w:val="1"/>
                <w:bCs w:val="1"/>
                <w:color w:val="auto"/>
              </w:rPr>
              <w:t>Directorate</w:t>
            </w: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180" w:type="dxa"/>
            <w:vAlign w:val="bottom"/>
            <w:gridSpan w:val="9"/>
          </w:tcPr>
          <w:p>
            <w:pPr>
              <w:ind w:left="160"/>
              <w:spacing w:after="0"/>
              <w:rPr>
                <w:sz w:val="20"/>
                <w:szCs w:val="20"/>
                <w:color w:val="auto"/>
              </w:rPr>
            </w:pPr>
            <w:r>
              <w:rPr>
                <w:rFonts w:ascii="Arial" w:cs="Arial" w:eastAsia="Arial" w:hAnsi="Arial"/>
                <w:sz w:val="9"/>
                <w:szCs w:val="9"/>
                <w:color w:val="auto"/>
              </w:rPr>
              <w:t xml:space="preserve">(0704-0188). Respondents should be aware that notwithstanding any other provision of law, no person shall be subject to any penalty for failing to comply with a </w:t>
            </w:r>
            <w:r>
              <w:rPr>
                <w:rFonts w:ascii="Arial" w:cs="Arial" w:eastAsia="Arial" w:hAnsi="Arial"/>
                <w:sz w:val="9"/>
                <w:szCs w:val="9"/>
                <w:b w:val="1"/>
                <w:bCs w:val="1"/>
                <w:color w:val="auto"/>
              </w:rPr>
              <w:t>collection</w:t>
            </w: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180" w:type="dxa"/>
            <w:vAlign w:val="bottom"/>
            <w:gridSpan w:val="9"/>
          </w:tcPr>
          <w:p>
            <w:pPr>
              <w:ind w:left="160"/>
              <w:spacing w:after="0" w:line="95" w:lineRule="exact"/>
              <w:rPr>
                <w:sz w:val="20"/>
                <w:szCs w:val="20"/>
                <w:color w:val="auto"/>
              </w:rPr>
            </w:pPr>
            <w:r>
              <w:rPr>
                <w:rFonts w:ascii="Arial" w:cs="Arial" w:eastAsia="Arial" w:hAnsi="Arial"/>
                <w:sz w:val="9"/>
                <w:szCs w:val="9"/>
                <w:color w:val="auto"/>
              </w:rPr>
              <w:t>of information if it does not display a currently valid OMB control number.  Please do not return your form to the above organization.  Send completed form to the</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gridSpan w:val="4"/>
          </w:tcPr>
          <w:p>
            <w:pPr>
              <w:ind w:left="160"/>
              <w:spacing w:after="0"/>
              <w:rPr>
                <w:sz w:val="20"/>
                <w:szCs w:val="20"/>
                <w:color w:val="auto"/>
              </w:rPr>
            </w:pPr>
            <w:r>
              <w:rPr>
                <w:rFonts w:ascii="Arial" w:cs="Arial" w:eastAsia="Arial" w:hAnsi="Arial"/>
                <w:sz w:val="9"/>
                <w:szCs w:val="9"/>
                <w:color w:val="auto"/>
              </w:rPr>
              <w:t>Government Issuing Contracting Officer for the Contract/PR No. listed in Block E.</w:t>
            </w: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9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w w:val="95"/>
              </w:rPr>
              <w:t>A. CONTRACT LINE ITEM NO.</w:t>
            </w:r>
          </w:p>
        </w:tc>
        <w:tc>
          <w:tcPr>
            <w:tcW w:w="2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Borders>
              <w:right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B. EXHIBIT</w:t>
            </w:r>
          </w:p>
        </w:tc>
        <w:tc>
          <w:tcPr>
            <w:tcW w:w="2060" w:type="dxa"/>
            <w:vAlign w:val="bottom"/>
            <w:gridSpan w:val="3"/>
          </w:tcPr>
          <w:p>
            <w:pPr>
              <w:ind w:left="80"/>
              <w:spacing w:after="0"/>
              <w:rPr>
                <w:sz w:val="20"/>
                <w:szCs w:val="20"/>
                <w:color w:val="auto"/>
              </w:rPr>
            </w:pPr>
            <w:r>
              <w:rPr>
                <w:rFonts w:ascii="Arial" w:cs="Arial" w:eastAsia="Arial" w:hAnsi="Arial"/>
                <w:sz w:val="13"/>
                <w:szCs w:val="13"/>
                <w:b w:val="1"/>
                <w:bCs w:val="1"/>
                <w:color w:val="auto"/>
              </w:rPr>
              <w:t>C. CATEGORY:</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440" w:type="dxa"/>
            <w:vAlign w:val="bottom"/>
            <w:tcBorders>
              <w:right w:val="single" w:sz="8" w:color="auto"/>
            </w:tcBorders>
            <w:gridSpan w:val="2"/>
          </w:tcPr>
          <w:p>
            <w:pPr>
              <w:jc w:val="right"/>
              <w:ind w:right="1037"/>
              <w:spacing w:after="0" w:line="152" w:lineRule="exact"/>
              <w:rPr>
                <w:sz w:val="20"/>
                <w:szCs w:val="20"/>
                <w:color w:val="auto"/>
              </w:rPr>
            </w:pPr>
            <w:r>
              <w:rPr>
                <w:rFonts w:ascii="Arial" w:cs="Arial" w:eastAsia="Arial" w:hAnsi="Arial"/>
                <w:sz w:val="16"/>
                <w:szCs w:val="16"/>
                <w:color w:val="auto"/>
                <w:w w:val="89"/>
              </w:rPr>
              <w:t>0001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Borders>
              <w:right w:val="single" w:sz="8" w:color="auto"/>
            </w:tcBorders>
          </w:tcPr>
          <w:p>
            <w:pPr>
              <w:jc w:val="right"/>
              <w:ind w:right="717"/>
              <w:spacing w:after="0" w:line="152" w:lineRule="exact"/>
              <w:rPr>
                <w:sz w:val="20"/>
                <w:szCs w:val="20"/>
                <w:color w:val="auto"/>
              </w:rPr>
            </w:pPr>
            <w:r>
              <w:rPr>
                <w:rFonts w:ascii="Arial" w:cs="Arial" w:eastAsia="Arial" w:hAnsi="Arial"/>
                <w:sz w:val="16"/>
                <w:szCs w:val="16"/>
                <w:color w:val="auto"/>
              </w:rPr>
              <w:t>A</w:t>
            </w:r>
          </w:p>
        </w:tc>
        <w:tc>
          <w:tcPr>
            <w:tcW w:w="3940" w:type="dxa"/>
            <w:vAlign w:val="bottom"/>
            <w:gridSpan w:val="7"/>
          </w:tcPr>
          <w:p>
            <w:pPr>
              <w:ind w:left="240"/>
              <w:spacing w:after="0" w:line="152" w:lineRule="exact"/>
              <w:rPr>
                <w:sz w:val="20"/>
                <w:szCs w:val="20"/>
                <w:color w:val="auto"/>
              </w:rPr>
            </w:pPr>
            <w:r>
              <w:rPr>
                <w:rFonts w:ascii="Arial" w:cs="Arial" w:eastAsia="Arial" w:hAnsi="Arial"/>
                <w:sz w:val="13"/>
                <w:szCs w:val="13"/>
                <w:color w:val="auto"/>
              </w:rPr>
              <w:t xml:space="preserve">TDP _____ TM ____ OTHER </w:t>
            </w:r>
            <w:r>
              <w:rPr>
                <w:rFonts w:ascii="Arial" w:cs="Arial" w:eastAsia="Arial" w:hAnsi="Arial"/>
                <w:sz w:val="16"/>
                <w:szCs w:val="16"/>
                <w:color w:val="auto"/>
              </w:rPr>
              <w:t>Regulatory documents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00"/>
              <w:spacing w:after="0"/>
              <w:rPr>
                <w:sz w:val="20"/>
                <w:szCs w:val="20"/>
                <w:color w:val="auto"/>
              </w:rPr>
            </w:pPr>
            <w:r>
              <w:rPr>
                <w:rFonts w:ascii="Arial" w:cs="Arial" w:eastAsia="Arial" w:hAnsi="Arial"/>
                <w:sz w:val="13"/>
                <w:szCs w:val="13"/>
                <w:b w:val="1"/>
                <w:bCs w:val="1"/>
                <w:color w:val="auto"/>
              </w:rPr>
              <w:t>D. SYSTEM/ITEM</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 xml:space="preserve">E. CONTRACT/PR NO. </w:t>
            </w:r>
            <w:r>
              <w:rPr>
                <w:rFonts w:ascii="Arial" w:cs="Arial" w:eastAsia="Arial" w:hAnsi="Arial"/>
                <w:sz w:val="16"/>
                <w:szCs w:val="16"/>
                <w:color w:val="auto"/>
              </w:rPr>
              <w:t>W15QKN21C</w:t>
            </w:r>
          </w:p>
        </w:tc>
        <w:tc>
          <w:tcPr>
            <w:tcW w:w="1880" w:type="dxa"/>
            <w:vAlign w:val="bottom"/>
            <w:gridSpan w:val="3"/>
          </w:tcPr>
          <w:p>
            <w:pPr>
              <w:ind w:left="80"/>
              <w:spacing w:after="0"/>
              <w:rPr>
                <w:sz w:val="20"/>
                <w:szCs w:val="20"/>
                <w:color w:val="auto"/>
              </w:rPr>
            </w:pPr>
            <w:r>
              <w:rPr>
                <w:rFonts w:ascii="Arial" w:cs="Arial" w:eastAsia="Arial" w:hAnsi="Arial"/>
                <w:sz w:val="13"/>
                <w:szCs w:val="13"/>
                <w:b w:val="1"/>
                <w:bCs w:val="1"/>
                <w:color w:val="auto"/>
              </w:rPr>
              <w:t>F. CONTRACTOR</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Therapeutics</w:t>
            </w:r>
          </w:p>
        </w:tc>
        <w:tc>
          <w:tcPr>
            <w:tcW w:w="5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4"/>
          </w:tcPr>
          <w:p>
            <w:pPr>
              <w:jc w:val="right"/>
              <w:ind w:right="55"/>
              <w:spacing w:after="0"/>
              <w:rPr>
                <w:sz w:val="20"/>
                <w:szCs w:val="20"/>
                <w:color w:val="auto"/>
              </w:rPr>
            </w:pPr>
            <w:r>
              <w:rPr>
                <w:rFonts w:ascii="Arial" w:cs="Arial" w:eastAsia="Arial" w:hAnsi="Arial"/>
                <w:sz w:val="16"/>
                <w:szCs w:val="16"/>
                <w:color w:val="auto"/>
              </w:rPr>
              <w:t>Regeneron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vMerge w:val="restart"/>
          </w:tcPr>
          <w:p>
            <w:pPr>
              <w:ind w:left="100"/>
              <w:spacing w:after="0"/>
              <w:rPr>
                <w:sz w:val="20"/>
                <w:szCs w:val="20"/>
                <w:color w:val="auto"/>
              </w:rPr>
            </w:pPr>
            <w:r>
              <w:rPr>
                <w:rFonts w:ascii="Arial" w:cs="Arial" w:eastAsia="Arial" w:hAnsi="Arial"/>
                <w:sz w:val="9"/>
                <w:szCs w:val="9"/>
                <w:color w:val="auto"/>
              </w:rPr>
              <w:t>1. DATA ITEM NO.</w:t>
            </w:r>
          </w:p>
        </w:tc>
        <w:tc>
          <w:tcPr>
            <w:tcW w:w="2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9"/>
                <w:szCs w:val="9"/>
                <w:color w:val="auto"/>
              </w:rPr>
              <w:t>2. TITLE OF DATA ITEM</w:t>
            </w: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0"/>
                <w:szCs w:val="10"/>
                <w:color w:val="auto"/>
                <w:w w:val="94"/>
              </w:rPr>
              <w:t>3. SUBTITLE</w:t>
            </w: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80" w:type="dxa"/>
            <w:vAlign w:val="bottom"/>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3"/>
        </w:trPr>
        <w:tc>
          <w:tcPr>
            <w:tcW w:w="1880" w:type="dxa"/>
            <w:vAlign w:val="bottom"/>
          </w:tcPr>
          <w:p>
            <w:pPr>
              <w:ind w:left="1320"/>
              <w:spacing w:after="0"/>
              <w:rPr>
                <w:sz w:val="20"/>
                <w:szCs w:val="20"/>
                <w:color w:val="auto"/>
              </w:rPr>
            </w:pPr>
            <w:r>
              <w:rPr>
                <w:rFonts w:ascii="Arial" w:cs="Arial" w:eastAsia="Arial" w:hAnsi="Arial"/>
                <w:sz w:val="16"/>
                <w:szCs w:val="16"/>
                <w:color w:val="auto"/>
              </w:rPr>
              <w:t>A030</w:t>
            </w:r>
          </w:p>
        </w:tc>
        <w:tc>
          <w:tcPr>
            <w:tcW w:w="20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010101"/>
              </w:rPr>
              <w:t>Press Releases</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80" w:type="dxa"/>
            <w:vAlign w:val="bottom"/>
            <w:tcBorders>
              <w:bottom w:val="single" w:sz="8" w:color="auto"/>
              <w:right w:val="single" w:sz="8" w:color="auto"/>
            </w:tcBorders>
            <w:gridSpan w:val="2"/>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gridSpan w:val="2"/>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80" w:type="dxa"/>
            <w:vAlign w:val="bottom"/>
            <w:gridSpan w:val="2"/>
          </w:tcPr>
          <w:p>
            <w:pPr>
              <w:ind w:left="100"/>
              <w:spacing w:after="0"/>
              <w:rPr>
                <w:sz w:val="20"/>
                <w:szCs w:val="20"/>
                <w:color w:val="auto"/>
              </w:rPr>
            </w:pPr>
            <w:r>
              <w:rPr>
                <w:rFonts w:ascii="Arial" w:cs="Arial" w:eastAsia="Arial" w:hAnsi="Arial"/>
                <w:sz w:val="9"/>
                <w:szCs w:val="9"/>
                <w:color w:val="auto"/>
                <w:w w:val="99"/>
              </w:rPr>
              <w:t xml:space="preserve">4. AUTHORITY </w:t>
            </w:r>
            <w:r>
              <w:rPr>
                <w:rFonts w:ascii="Arial" w:cs="Arial" w:eastAsia="Arial" w:hAnsi="Arial"/>
                <w:sz w:val="9"/>
                <w:szCs w:val="9"/>
                <w:i w:val="1"/>
                <w:iCs w:val="1"/>
                <w:color w:val="auto"/>
                <w:w w:val="99"/>
              </w:rPr>
              <w:t>(Data Acquisition Document No.)</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180" w:type="dxa"/>
            <w:vAlign w:val="bottom"/>
            <w:gridSpan w:val="4"/>
          </w:tcPr>
          <w:p>
            <w:pPr>
              <w:ind w:left="80"/>
              <w:spacing w:after="0"/>
              <w:rPr>
                <w:sz w:val="20"/>
                <w:szCs w:val="20"/>
                <w:color w:val="auto"/>
              </w:rPr>
            </w:pPr>
            <w:r>
              <w:rPr>
                <w:rFonts w:ascii="Arial" w:cs="Arial" w:eastAsia="Arial" w:hAnsi="Arial"/>
                <w:sz w:val="9"/>
                <w:szCs w:val="9"/>
                <w:color w:val="auto"/>
              </w:rPr>
              <w:t>5. CONTRACT REFERENCE</w:t>
            </w:r>
          </w:p>
        </w:tc>
        <w:tc>
          <w:tcPr>
            <w:tcW w:w="1200" w:type="dxa"/>
            <w:vAlign w:val="bottom"/>
          </w:tcPr>
          <w:p>
            <w:pPr>
              <w:ind w:left="80"/>
              <w:spacing w:after="0"/>
              <w:rPr>
                <w:sz w:val="20"/>
                <w:szCs w:val="20"/>
                <w:color w:val="auto"/>
              </w:rPr>
            </w:pPr>
            <w:r>
              <w:rPr>
                <w:rFonts w:ascii="Arial" w:cs="Arial" w:eastAsia="Arial" w:hAnsi="Arial"/>
                <w:sz w:val="9"/>
                <w:szCs w:val="9"/>
                <w:color w:val="auto"/>
              </w:rPr>
              <w:t>6. REQUIRING OFFICE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00" w:type="dxa"/>
            <w:vAlign w:val="bottom"/>
            <w:gridSpan w:val="4"/>
          </w:tcPr>
          <w:p>
            <w:pPr>
              <w:jc w:val="center"/>
              <w:ind w:left="449"/>
              <w:spacing w:after="0"/>
              <w:rPr>
                <w:sz w:val="20"/>
                <w:szCs w:val="20"/>
                <w:color w:val="auto"/>
              </w:rPr>
            </w:pPr>
            <w:r>
              <w:rPr>
                <w:rFonts w:ascii="Arial" w:cs="Arial" w:eastAsia="Arial" w:hAnsi="Arial"/>
                <w:sz w:val="16"/>
                <w:szCs w:val="16"/>
                <w:color w:val="010101"/>
                <w:w w:val="90"/>
              </w:rPr>
              <w:t xml:space="preserve">contractor </w:t>
            </w:r>
            <w:r>
              <w:rPr>
                <w:rFonts w:ascii="Arial" w:cs="Arial" w:eastAsia="Arial" w:hAnsi="Arial"/>
                <w:sz w:val="16"/>
                <w:szCs w:val="16"/>
                <w:color w:val="141414"/>
                <w:w w:val="90"/>
              </w:rPr>
              <w:t>format acceptable</w:t>
            </w:r>
          </w:p>
        </w:tc>
        <w:tc>
          <w:tcPr>
            <w:tcW w:w="50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060" w:type="dxa"/>
            <w:vAlign w:val="bottom"/>
            <w:gridSpan w:val="3"/>
          </w:tcPr>
          <w:p>
            <w:pPr>
              <w:ind w:left="400"/>
              <w:spacing w:after="0"/>
              <w:rPr>
                <w:sz w:val="20"/>
                <w:szCs w:val="20"/>
                <w:color w:val="auto"/>
              </w:rPr>
            </w:pPr>
            <w:r>
              <w:rPr>
                <w:rFonts w:ascii="Arial" w:cs="Arial" w:eastAsia="Arial" w:hAnsi="Arial"/>
                <w:sz w:val="16"/>
                <w:szCs w:val="16"/>
                <w:color w:val="auto"/>
              </w:rPr>
              <w:t>SOW</w:t>
            </w:r>
          </w:p>
        </w:tc>
        <w:tc>
          <w:tcPr>
            <w:tcW w:w="1200" w:type="dxa"/>
            <w:vAlign w:val="bottom"/>
          </w:tcPr>
          <w:p>
            <w:pPr>
              <w:spacing w:after="0"/>
              <w:rPr>
                <w:sz w:val="19"/>
                <w:szCs w:val="19"/>
                <w:color w:val="auto"/>
              </w:rPr>
            </w:pPr>
          </w:p>
        </w:tc>
        <w:tc>
          <w:tcPr>
            <w:tcW w:w="680" w:type="dxa"/>
            <w:vAlign w:val="bottom"/>
            <w:gridSpan w:val="3"/>
          </w:tcPr>
          <w:p>
            <w:pPr>
              <w:jc w:val="right"/>
              <w:ind w:right="55"/>
              <w:spacing w:after="0"/>
              <w:rPr>
                <w:sz w:val="20"/>
                <w:szCs w:val="20"/>
                <w:color w:val="auto"/>
              </w:rPr>
            </w:pPr>
            <w:r>
              <w:rPr>
                <w:rFonts w:ascii="Arial" w:cs="Arial" w:eastAsia="Arial" w:hAnsi="Arial"/>
                <w:sz w:val="16"/>
                <w:szCs w:val="16"/>
                <w:color w:val="auto"/>
              </w:rPr>
              <w:t>BARDA</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7.</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1"/>
              </w:rPr>
              <w:t>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0"/>
                <w:szCs w:val="10"/>
                <w:color w:val="auto"/>
                <w:w w:val="96"/>
              </w:rPr>
              <w:t>9. DIST STATEMENT</w:t>
            </w: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restart"/>
          </w:tcPr>
          <w:p>
            <w:pPr>
              <w:jc w:val="right"/>
              <w:ind w:right="717"/>
              <w:spacing w:after="0"/>
              <w:rPr>
                <w:sz w:val="20"/>
                <w:szCs w:val="20"/>
                <w:color w:val="auto"/>
              </w:rPr>
            </w:pPr>
            <w:r>
              <w:rPr>
                <w:rFonts w:ascii="Arial" w:cs="Arial" w:eastAsia="Arial" w:hAnsi="Arial"/>
                <w:sz w:val="9"/>
                <w:szCs w:val="9"/>
                <w:color w:val="auto"/>
              </w:rPr>
              <w:t>10. FREQUENCY</w:t>
            </w:r>
          </w:p>
        </w:tc>
        <w:tc>
          <w:tcPr>
            <w:tcW w:w="2060" w:type="dxa"/>
            <w:vAlign w:val="bottom"/>
            <w:gridSpan w:val="3"/>
            <w:vMerge w:val="restart"/>
          </w:tcPr>
          <w:p>
            <w:pPr>
              <w:ind w:left="80"/>
              <w:spacing w:after="0"/>
              <w:rPr>
                <w:sz w:val="20"/>
                <w:szCs w:val="20"/>
                <w:color w:val="auto"/>
              </w:rPr>
            </w:pPr>
            <w:r>
              <w:rPr>
                <w:rFonts w:ascii="Arial" w:cs="Arial" w:eastAsia="Arial" w:hAnsi="Arial"/>
                <w:sz w:val="9"/>
                <w:szCs w:val="9"/>
                <w:color w:val="auto"/>
              </w:rPr>
              <w:t>12. DATE OF FIRST SUBMISSION</w:t>
            </w:r>
          </w:p>
        </w:tc>
        <w:tc>
          <w:tcPr>
            <w:tcW w:w="1200" w:type="dxa"/>
            <w:vAlign w:val="bottom"/>
            <w:vMerge w:val="restart"/>
          </w:tcPr>
          <w:p>
            <w:pPr>
              <w:ind w:left="60"/>
              <w:spacing w:after="0"/>
              <w:rPr>
                <w:sz w:val="20"/>
                <w:szCs w:val="20"/>
                <w:color w:val="auto"/>
              </w:rPr>
            </w:pPr>
            <w:r>
              <w:rPr>
                <w:rFonts w:ascii="Arial" w:cs="Arial" w:eastAsia="Arial" w:hAnsi="Arial"/>
                <w:sz w:val="10"/>
                <w:szCs w:val="10"/>
                <w:color w:val="auto"/>
              </w:rPr>
              <w:t>14.  DISTRIBUTION</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80" w:type="dxa"/>
            <w:vAlign w:val="bottom"/>
            <w:vMerge w:val="continue"/>
          </w:tcPr>
          <w:p>
            <w:pPr>
              <w:spacing w:after="0"/>
              <w:rPr>
                <w:sz w:val="3"/>
                <w:szCs w:val="3"/>
                <w:color w:val="auto"/>
              </w:rPr>
            </w:pPr>
          </w:p>
        </w:tc>
        <w:tc>
          <w:tcPr>
            <w:tcW w:w="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0"/>
                <w:szCs w:val="10"/>
                <w:color w:val="auto"/>
              </w:rPr>
              <w:t>REQUIRED</w:t>
            </w:r>
          </w:p>
        </w:tc>
        <w:tc>
          <w:tcPr>
            <w:tcW w:w="180" w:type="dxa"/>
            <w:vAlign w:val="bottom"/>
          </w:tcPr>
          <w:p>
            <w:pPr>
              <w:spacing w:after="0"/>
              <w:rPr>
                <w:sz w:val="3"/>
                <w:szCs w:val="3"/>
                <w:color w:val="auto"/>
              </w:rPr>
            </w:pPr>
          </w:p>
        </w:tc>
        <w:tc>
          <w:tcPr>
            <w:tcW w:w="1620" w:type="dxa"/>
            <w:vAlign w:val="bottom"/>
            <w:tcBorders>
              <w:right w:val="single" w:sz="8" w:color="auto"/>
            </w:tcBorders>
            <w:gridSpan w:val="2"/>
            <w:vMerge w:val="continue"/>
          </w:tcPr>
          <w:p>
            <w:pPr>
              <w:spacing w:after="0"/>
              <w:rPr>
                <w:sz w:val="3"/>
                <w:szCs w:val="3"/>
                <w:color w:val="auto"/>
              </w:rPr>
            </w:pPr>
          </w:p>
        </w:tc>
        <w:tc>
          <w:tcPr>
            <w:tcW w:w="2060" w:type="dxa"/>
            <w:vAlign w:val="bottom"/>
            <w:gridSpan w:val="3"/>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80" w:type="dxa"/>
            <w:vAlign w:val="bottom"/>
            <w:vMerge w:val="restart"/>
          </w:tcPr>
          <w:p>
            <w:pPr>
              <w:ind w:left="40"/>
              <w:spacing w:after="0"/>
              <w:rPr>
                <w:sz w:val="20"/>
                <w:szCs w:val="20"/>
                <w:color w:val="auto"/>
              </w:rPr>
            </w:pPr>
            <w:r>
              <w:rPr>
                <w:rFonts w:ascii="Arial" w:cs="Arial" w:eastAsia="Arial" w:hAnsi="Arial"/>
                <w:sz w:val="9"/>
                <w:szCs w:val="9"/>
                <w:b w:val="1"/>
                <w:bCs w:val="1"/>
                <w:color w:val="auto"/>
              </w:rPr>
              <w:t>7</w:t>
            </w:r>
            <w:r>
              <w:rPr>
                <w:rFonts w:ascii="Arial" w:cs="Arial" w:eastAsia="Arial" w:hAnsi="Arial"/>
                <w:sz w:val="9"/>
                <w:szCs w:val="9"/>
                <w:color w:val="auto"/>
              </w:rPr>
              <w:t>. DD 250 REQ</w:t>
            </w: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Borders>
              <w:right w:val="single" w:sz="8" w:color="auto"/>
            </w:tcBorders>
            <w:gridSpan w:val="2"/>
            <w:vMerge w:val="restart"/>
          </w:tcPr>
          <w:p>
            <w:pPr>
              <w:jc w:val="right"/>
              <w:ind w:right="397"/>
              <w:spacing w:after="0"/>
              <w:rPr>
                <w:sz w:val="20"/>
                <w:szCs w:val="20"/>
                <w:color w:val="auto"/>
              </w:rPr>
            </w:pPr>
            <w:r>
              <w:rPr>
                <w:rFonts w:ascii="Arial" w:cs="Arial" w:eastAsia="Arial" w:hAnsi="Arial"/>
                <w:sz w:val="16"/>
                <w:szCs w:val="16"/>
                <w:color w:val="auto"/>
              </w:rPr>
              <w:t>see remarks</w:t>
            </w:r>
          </w:p>
        </w:tc>
        <w:tc>
          <w:tcPr>
            <w:tcW w:w="2060" w:type="dxa"/>
            <w:vAlign w:val="bottom"/>
            <w:gridSpan w:val="3"/>
            <w:vMerge w:val="restart"/>
          </w:tcPr>
          <w:p>
            <w:pPr>
              <w:ind w:left="760"/>
              <w:spacing w:after="0"/>
              <w:rPr>
                <w:sz w:val="20"/>
                <w:szCs w:val="20"/>
                <w:color w:val="auto"/>
              </w:rPr>
            </w:pPr>
            <w:r>
              <w:rPr>
                <w:rFonts w:ascii="Arial" w:cs="Arial" w:eastAsia="Arial" w:hAnsi="Arial"/>
                <w:sz w:val="16"/>
                <w:szCs w:val="16"/>
                <w:color w:val="auto"/>
              </w:rPr>
              <w:t>see remarks</w:t>
            </w: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8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2060" w:type="dxa"/>
            <w:vAlign w:val="bottom"/>
            <w:gridSpan w:val="3"/>
            <w:vMerge w:val="continue"/>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color w:val="auto"/>
              </w:rPr>
              <w:t>b. COPIES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80" w:type="dxa"/>
            <w:vAlign w:val="bottom"/>
            <w:vMerge w:val="restart"/>
          </w:tcPr>
          <w:p>
            <w:pPr>
              <w:ind w:left="1340"/>
              <w:spacing w:after="0"/>
              <w:rPr>
                <w:sz w:val="20"/>
                <w:szCs w:val="20"/>
                <w:color w:val="auto"/>
              </w:rPr>
            </w:pPr>
            <w:r>
              <w:rPr>
                <w:rFonts w:ascii="Arial" w:cs="Arial" w:eastAsia="Arial" w:hAnsi="Arial"/>
                <w:sz w:val="9"/>
                <w:szCs w:val="9"/>
                <w:color w:val="auto"/>
              </w:rPr>
              <w:t>1.</w:t>
            </w:r>
          </w:p>
        </w:tc>
        <w:tc>
          <w:tcPr>
            <w:tcW w:w="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A</w:t>
            </w: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right w:val="single" w:sz="8" w:color="auto"/>
            </w:tcBorders>
            <w:gridSpan w:val="2"/>
          </w:tcPr>
          <w:p>
            <w:pPr>
              <w:jc w:val="right"/>
              <w:ind w:right="717"/>
              <w:spacing w:after="0" w:line="82" w:lineRule="exact"/>
              <w:rPr>
                <w:sz w:val="20"/>
                <w:szCs w:val="20"/>
                <w:color w:val="auto"/>
              </w:rPr>
            </w:pPr>
            <w:r>
              <w:rPr>
                <w:rFonts w:ascii="Arial" w:cs="Arial" w:eastAsia="Arial" w:hAnsi="Arial"/>
                <w:sz w:val="9"/>
                <w:szCs w:val="9"/>
                <w:color w:val="auto"/>
              </w:rPr>
              <w:t>11. AS OF DATE</w:t>
            </w:r>
          </w:p>
        </w:tc>
        <w:tc>
          <w:tcPr>
            <w:tcW w:w="2060" w:type="dxa"/>
            <w:vAlign w:val="bottom"/>
            <w:gridSpan w:val="3"/>
          </w:tcPr>
          <w:p>
            <w:pPr>
              <w:ind w:left="140"/>
              <w:spacing w:after="0" w:line="82" w:lineRule="exact"/>
              <w:rPr>
                <w:sz w:val="20"/>
                <w:szCs w:val="20"/>
                <w:color w:val="auto"/>
              </w:rPr>
            </w:pPr>
            <w:r>
              <w:rPr>
                <w:rFonts w:ascii="Arial" w:cs="Arial" w:eastAsia="Arial" w:hAnsi="Arial"/>
                <w:sz w:val="9"/>
                <w:szCs w:val="9"/>
                <w:color w:val="auto"/>
              </w:rPr>
              <w:t>13. DATE OF SUBSEQUENT SUBMISSION</w:t>
            </w:r>
          </w:p>
        </w:tc>
        <w:tc>
          <w:tcPr>
            <w:tcW w:w="1200" w:type="dxa"/>
            <w:vAlign w:val="bottom"/>
            <w:vMerge w:val="restart"/>
          </w:tcPr>
          <w:p>
            <w:pPr>
              <w:ind w:left="460"/>
              <w:spacing w:after="0"/>
              <w:rPr>
                <w:sz w:val="20"/>
                <w:szCs w:val="20"/>
                <w:color w:val="auto"/>
              </w:rPr>
            </w:pPr>
            <w:r>
              <w:rPr>
                <w:rFonts w:ascii="Arial" w:cs="Arial" w:eastAsia="Arial" w:hAnsi="Arial"/>
                <w:sz w:val="10"/>
                <w:szCs w:val="10"/>
                <w:color w:val="auto"/>
                <w:w w:val="98"/>
              </w:rPr>
              <w:t>a. ADDRESSEE</w:t>
            </w: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Final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20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2060" w:type="dxa"/>
            <w:vAlign w:val="bottom"/>
            <w:gridSpan w:val="3"/>
            <w:vMerge w:val="restart"/>
          </w:tcPr>
          <w:p>
            <w:pPr>
              <w:ind w:left="760"/>
              <w:spacing w:after="0" w:line="129" w:lineRule="exact"/>
              <w:rPr>
                <w:sz w:val="20"/>
                <w:szCs w:val="20"/>
                <w:color w:val="auto"/>
              </w:rPr>
            </w:pPr>
            <w:r>
              <w:rPr>
                <w:rFonts w:ascii="Arial" w:cs="Arial" w:eastAsia="Arial" w:hAnsi="Arial"/>
                <w:sz w:val="14"/>
                <w:szCs w:val="14"/>
                <w:color w:val="auto"/>
              </w:rPr>
              <w:t>see remarks</w:t>
            </w:r>
          </w:p>
        </w:tc>
        <w:tc>
          <w:tcPr>
            <w:tcW w:w="12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880" w:type="dxa"/>
            <w:vAlign w:val="bottom"/>
          </w:tcPr>
          <w:p>
            <w:pPr>
              <w:ind w:left="40"/>
              <w:spacing w:after="0" w:line="72" w:lineRule="exact"/>
              <w:rPr>
                <w:sz w:val="20"/>
                <w:szCs w:val="20"/>
                <w:color w:val="auto"/>
              </w:rPr>
            </w:pPr>
            <w:r>
              <w:rPr>
                <w:rFonts w:ascii="Arial" w:cs="Arial" w:eastAsia="Arial" w:hAnsi="Arial"/>
                <w:sz w:val="8"/>
                <w:szCs w:val="8"/>
                <w:b w:val="1"/>
                <w:bCs w:val="1"/>
                <w:color w:val="auto"/>
              </w:rPr>
              <w:t>8</w:t>
            </w:r>
            <w:r>
              <w:rPr>
                <w:rFonts w:ascii="Arial" w:cs="Arial" w:eastAsia="Arial" w:hAnsi="Arial"/>
                <w:sz w:val="8"/>
                <w:szCs w:val="8"/>
                <w:color w:val="auto"/>
              </w:rPr>
              <w:t>. APP CODE</w:t>
            </w: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206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vMerge w:val="restart"/>
          </w:tcPr>
          <w:p>
            <w:pPr>
              <w:jc w:val="right"/>
              <w:ind w:right="35"/>
              <w:spacing w:after="0"/>
              <w:rPr>
                <w:sz w:val="20"/>
                <w:szCs w:val="20"/>
                <w:color w:val="auto"/>
              </w:rPr>
            </w:pPr>
            <w:r>
              <w:rPr>
                <w:rFonts w:ascii="Arial" w:cs="Arial" w:eastAsia="Arial" w:hAnsi="Arial"/>
                <w:sz w:val="9"/>
                <w:szCs w:val="9"/>
                <w:color w:val="auto"/>
              </w:rPr>
              <w:t>Draft</w:t>
            </w:r>
          </w:p>
        </w:tc>
        <w:tc>
          <w:tcPr>
            <w:tcW w:w="16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Reg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Repro</w:t>
            </w:r>
          </w:p>
        </w:tc>
        <w:tc>
          <w:tcPr>
            <w:tcW w:w="0" w:type="dxa"/>
            <w:vAlign w:val="bottom"/>
          </w:tcPr>
          <w:p>
            <w:pPr>
              <w:spacing w:after="0"/>
              <w:rPr>
                <w:sz w:val="1"/>
                <w:szCs w:val="1"/>
                <w:color w:val="auto"/>
              </w:rPr>
            </w:pPr>
          </w:p>
        </w:tc>
      </w:tr>
      <w:tr>
        <w:trPr>
          <w:trHeight w:val="83"/>
        </w:trPr>
        <w:tc>
          <w:tcPr>
            <w:tcW w:w="18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100"/>
              <w:spacing w:after="0"/>
              <w:rPr>
                <w:sz w:val="20"/>
                <w:szCs w:val="20"/>
                <w:color w:val="auto"/>
              </w:rPr>
            </w:pPr>
            <w:r>
              <w:rPr>
                <w:rFonts w:ascii="Arial" w:cs="Arial" w:eastAsia="Arial" w:hAnsi="Arial"/>
                <w:sz w:val="9"/>
                <w:szCs w:val="9"/>
                <w:color w:val="auto"/>
              </w:rPr>
              <w:t>16. REMARKS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ind w:left="60"/>
              <w:spacing w:after="0"/>
              <w:rPr>
                <w:sz w:val="20"/>
                <w:szCs w:val="20"/>
                <w:color w:val="auto"/>
              </w:rPr>
            </w:pPr>
            <w:r>
              <w:rPr>
                <w:rFonts w:ascii="Arial" w:cs="Arial" w:eastAsia="Arial" w:hAnsi="Arial"/>
                <w:sz w:val="14"/>
                <w:szCs w:val="14"/>
                <w:color w:val="auto"/>
              </w:rPr>
              <w:t>BARDA</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ind w:left="60"/>
              <w:spacing w:after="0"/>
              <w:rPr>
                <w:sz w:val="20"/>
                <w:szCs w:val="20"/>
                <w:color w:val="auto"/>
              </w:rPr>
            </w:pPr>
            <w:r>
              <w:rPr>
                <w:rFonts w:ascii="Arial" w:cs="Arial" w:eastAsia="Arial" w:hAnsi="Arial"/>
                <w:sz w:val="14"/>
                <w:szCs w:val="14"/>
                <w:color w:val="auto"/>
              </w:rPr>
              <w:t>JPEO CBRND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right="3180"/>
        <w:spacing w:after="0" w:line="276" w:lineRule="auto"/>
        <w:rPr>
          <w:sz w:val="20"/>
          <w:szCs w:val="20"/>
          <w:color w:val="auto"/>
        </w:rPr>
      </w:pPr>
      <w:r>
        <w:rPr>
          <w:rFonts w:ascii="Arial" w:cs="Arial" w:eastAsia="Arial" w:hAnsi="Arial"/>
          <w:sz w:val="15"/>
          <w:szCs w:val="15"/>
          <w:color w:val="131313"/>
        </w:rPr>
        <w:drawing>
          <wp:anchor simplePos="0" relativeHeight="251657728" behindDoc="1" locked="0" layoutInCell="0" allowOverlap="1">
            <wp:simplePos x="0" y="0"/>
            <wp:positionH relativeFrom="page">
              <wp:posOffset>4751705</wp:posOffset>
            </wp:positionH>
            <wp:positionV relativeFrom="page">
              <wp:posOffset>269240</wp:posOffset>
            </wp:positionV>
            <wp:extent cx="1929130" cy="80835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929130" cy="80835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8890" cy="80835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083550"/>
                    </a:xfrm>
                    <a:prstGeom prst="rect">
                      <a:avLst/>
                    </a:prstGeom>
                    <a:noFill/>
                  </pic:spPr>
                </pic:pic>
              </a:graphicData>
            </a:graphic>
          </wp:anchor>
        </w:drawing>
        <w:t xml:space="preserve">Contractor agrees to accurately and factually represent the work conducted under this contract in all press releases • Contractor shall ensure that the AO has received and approved an advanced copy of any press release to this contract not less than </w:t>
      </w:r>
      <w:r>
        <w:rPr>
          <w:rFonts w:ascii="Arial" w:cs="Arial" w:eastAsia="Arial" w:hAnsi="Arial"/>
          <w:sz w:val="13"/>
          <w:szCs w:val="13"/>
          <w:color w:val="2A2A2A"/>
        </w:rPr>
        <w:t>[* * *]</w:t>
      </w:r>
      <w:r>
        <w:rPr>
          <w:rFonts w:ascii="Arial" w:cs="Arial" w:eastAsia="Arial" w:hAnsi="Arial"/>
          <w:sz w:val="15"/>
          <w:szCs w:val="15"/>
          <w:color w:val="131313"/>
        </w:rPr>
        <w:t xml:space="preserve"> prior to the issuance of the press release</w:t>
      </w:r>
    </w:p>
    <w:p>
      <w:pPr>
        <w:spacing w:after="0" w:line="201" w:lineRule="exact"/>
        <w:rPr>
          <w:sz w:val="20"/>
          <w:szCs w:val="20"/>
          <w:color w:val="auto"/>
        </w:rPr>
      </w:pPr>
    </w:p>
    <w:p>
      <w:pPr>
        <w:ind w:left="160" w:right="3120" w:firstLine="9"/>
        <w:spacing w:after="0" w:line="255" w:lineRule="auto"/>
        <w:tabs>
          <w:tab w:leader="none" w:pos="675" w:val="left"/>
        </w:tabs>
        <w:numPr>
          <w:ilvl w:val="0"/>
          <w:numId w:val="212"/>
        </w:numPr>
        <w:rPr>
          <w:rFonts w:ascii="Arial" w:cs="Arial" w:eastAsia="Arial" w:hAnsi="Arial"/>
          <w:sz w:val="16"/>
          <w:szCs w:val="16"/>
          <w:color w:val="131313"/>
        </w:rPr>
      </w:pPr>
      <w:r>
        <w:rPr>
          <w:rFonts w:ascii="Arial" w:cs="Arial" w:eastAsia="Arial" w:hAnsi="Arial"/>
          <w:sz w:val="16"/>
          <w:szCs w:val="16"/>
          <w:color w:val="131313"/>
        </w:rPr>
        <w:t>If corrective action is required, the contractor agrees to accurately and factually represent the work conducted under this contract in all press releases</w:t>
      </w:r>
    </w:p>
    <w:p>
      <w:pPr>
        <w:spacing w:after="0" w:line="1" w:lineRule="exact"/>
        <w:rPr>
          <w:rFonts w:ascii="Arial" w:cs="Arial" w:eastAsia="Arial" w:hAnsi="Arial"/>
          <w:sz w:val="16"/>
          <w:szCs w:val="16"/>
          <w:color w:val="131313"/>
        </w:rPr>
      </w:pPr>
    </w:p>
    <w:p>
      <w:pPr>
        <w:ind w:left="680" w:hanging="511"/>
        <w:spacing w:after="0"/>
        <w:tabs>
          <w:tab w:leader="none" w:pos="680" w:val="left"/>
        </w:tabs>
        <w:numPr>
          <w:ilvl w:val="0"/>
          <w:numId w:val="212"/>
        </w:numPr>
        <w:rPr>
          <w:rFonts w:ascii="Arial" w:cs="Arial" w:eastAsia="Arial" w:hAnsi="Arial"/>
          <w:sz w:val="16"/>
          <w:szCs w:val="16"/>
          <w:color w:val="131313"/>
        </w:rPr>
      </w:pPr>
      <w:r>
        <w:rPr>
          <w:rFonts w:ascii="Arial" w:cs="Arial" w:eastAsia="Arial" w:hAnsi="Arial"/>
          <w:sz w:val="16"/>
          <w:szCs w:val="16"/>
          <w:color w:val="131313"/>
        </w:rPr>
        <w:t xml:space="preserve">Any final press releases shall be submitted to BARDA no later than </w:t>
      </w:r>
      <w:r>
        <w:rPr>
          <w:rFonts w:ascii="Arial" w:cs="Arial" w:eastAsia="Arial" w:hAnsi="Arial"/>
          <w:sz w:val="14"/>
          <w:szCs w:val="14"/>
          <w:color w:val="2A2A2A"/>
        </w:rPr>
        <w:t>[* * *]</w:t>
      </w:r>
      <w:r>
        <w:rPr>
          <w:rFonts w:ascii="Arial" w:cs="Arial" w:eastAsia="Arial" w:hAnsi="Arial"/>
          <w:sz w:val="16"/>
          <w:szCs w:val="16"/>
          <w:color w:val="131313"/>
        </w:rPr>
        <w:t xml:space="preserve"> prior to its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ind w:left="120"/>
              <w:spacing w:after="0"/>
              <w:rPr>
                <w:sz w:val="20"/>
                <w:szCs w:val="20"/>
                <w:color w:val="auto"/>
              </w:rPr>
            </w:pPr>
            <w:r>
              <w:rPr>
                <w:rFonts w:ascii="Arial" w:cs="Arial" w:eastAsia="Arial" w:hAnsi="Arial"/>
                <w:sz w:val="9"/>
                <w:szCs w:val="9"/>
                <w:color w:val="auto"/>
              </w:rPr>
              <w:t>15. TOTAL</w:t>
            </w:r>
          </w:p>
        </w:tc>
        <w:tc>
          <w:tcPr>
            <w:tcW w:w="520" w:type="dxa"/>
            <w:vAlign w:val="bottom"/>
            <w:vMerge w:val="restart"/>
          </w:tcPr>
          <w:p>
            <w:pPr>
              <w:ind w:left="240"/>
              <w:spacing w:after="0"/>
              <w:rPr>
                <w:sz w:val="20"/>
                <w:szCs w:val="20"/>
                <w:color w:val="auto"/>
              </w:rPr>
            </w:pPr>
            <w:r>
              <w:rPr>
                <w:rFonts w:ascii="Arial" w:cs="Arial" w:eastAsia="Arial" w:hAnsi="Arial"/>
                <w:sz w:val="14"/>
                <w:szCs w:val="14"/>
                <w:color w:val="auto"/>
              </w:rPr>
              <w:t>2</w:t>
            </w:r>
          </w:p>
        </w:tc>
        <w:tc>
          <w:tcPr>
            <w:tcW w:w="500" w:type="dxa"/>
            <w:vAlign w:val="bottom"/>
            <w:vMerge w:val="restart"/>
          </w:tcPr>
          <w:p>
            <w:pPr>
              <w:jc w:val="right"/>
              <w:ind w:right="168"/>
              <w:spacing w:after="0"/>
              <w:rPr>
                <w:sz w:val="20"/>
                <w:szCs w:val="20"/>
                <w:color w:val="auto"/>
              </w:rPr>
            </w:pPr>
            <w:r>
              <w:rPr>
                <w:rFonts w:ascii="Arial" w:cs="Arial" w:eastAsia="Arial" w:hAnsi="Arial"/>
                <w:sz w:val="14"/>
                <w:szCs w:val="14"/>
                <w:color w:val="auto"/>
              </w:rPr>
              <w:t>0</w:t>
            </w:r>
          </w:p>
        </w:tc>
        <w:tc>
          <w:tcPr>
            <w:tcW w:w="640" w:type="dxa"/>
            <w:vAlign w:val="bottom"/>
            <w:vMerge w:val="restart"/>
          </w:tcPr>
          <w:p>
            <w:pPr>
              <w:jc w:val="right"/>
              <w:ind w:right="3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60" w:type="dxa"/>
            <w:vAlign w:val="bottom"/>
            <w:vMerge w:val="restart"/>
          </w:tcPr>
          <w:p>
            <w:pPr>
              <w:jc w:val="center"/>
              <w:ind w:right="1159"/>
              <w:spacing w:after="0"/>
              <w:rPr>
                <w:sz w:val="20"/>
                <w:szCs w:val="20"/>
                <w:color w:val="auto"/>
              </w:rPr>
            </w:pPr>
            <w:r>
              <w:rPr>
                <w:rFonts w:ascii="Arial" w:cs="Arial" w:eastAsia="Arial" w:hAnsi="Arial"/>
                <w:sz w:val="13"/>
                <w:szCs w:val="13"/>
                <w:b w:val="1"/>
                <w:bCs w:val="1"/>
                <w:color w:val="auto"/>
                <w:w w:val="95"/>
              </w:rPr>
              <w:t>G. PREPARED BY</w:t>
            </w:r>
          </w:p>
        </w:tc>
        <w:tc>
          <w:tcPr>
            <w:tcW w:w="1800" w:type="dxa"/>
            <w:vAlign w:val="bottom"/>
            <w:tcBorders>
              <w:right w:val="single" w:sz="8" w:color="auto"/>
            </w:tcBorders>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H. DATE</w:t>
            </w:r>
          </w:p>
        </w:tc>
        <w:tc>
          <w:tcPr>
            <w:tcW w:w="580" w:type="dxa"/>
            <w:vAlign w:val="bottom"/>
            <w:tcBorders>
              <w:right w:val="single" w:sz="8" w:color="auto"/>
            </w:tcBorders>
          </w:tcPr>
          <w:p>
            <w:pPr>
              <w:spacing w:after="0"/>
              <w:rPr>
                <w:sz w:val="15"/>
                <w:szCs w:val="15"/>
                <w:color w:val="auto"/>
              </w:rPr>
            </w:pPr>
          </w:p>
        </w:tc>
        <w:tc>
          <w:tcPr>
            <w:tcW w:w="1540" w:type="dxa"/>
            <w:vAlign w:val="bottom"/>
          </w:tcPr>
          <w:p>
            <w:pPr>
              <w:ind w:left="400"/>
              <w:spacing w:after="0"/>
              <w:rPr>
                <w:sz w:val="20"/>
                <w:szCs w:val="20"/>
                <w:color w:val="auto"/>
              </w:rPr>
            </w:pPr>
            <w:r>
              <w:rPr>
                <w:rFonts w:ascii="Arial" w:cs="Arial" w:eastAsia="Arial" w:hAnsi="Arial"/>
                <w:sz w:val="13"/>
                <w:szCs w:val="13"/>
                <w:b w:val="1"/>
                <w:bCs w:val="1"/>
                <w:color w:val="auto"/>
              </w:rPr>
              <w:t>I. APPROVED BY</w:t>
            </w:r>
          </w:p>
        </w:tc>
        <w:tc>
          <w:tcPr>
            <w:tcW w:w="14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J. DATE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vMerge w:val="restart"/>
          </w:tcPr>
          <w:p>
            <w:pPr>
              <w:ind w:left="480"/>
              <w:spacing w:after="0" w:line="97" w:lineRule="exact"/>
              <w:rPr>
                <w:sz w:val="20"/>
                <w:szCs w:val="20"/>
                <w:color w:val="auto"/>
              </w:rPr>
            </w:pPr>
            <w:r>
              <w:rPr>
                <w:rFonts w:ascii="Arial" w:cs="Arial" w:eastAsia="Arial" w:hAnsi="Arial"/>
                <w:sz w:val="9"/>
                <w:szCs w:val="9"/>
                <w:color w:val="auto"/>
              </w:rPr>
              <w:t>Digitally signed by</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360" w:type="dxa"/>
            <w:vAlign w:val="bottom"/>
            <w:vMerge w:val="restart"/>
          </w:tcPr>
          <w:p>
            <w:pPr>
              <w:jc w:val="center"/>
              <w:ind w:right="1199"/>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7"/>
                <w:szCs w:val="7"/>
                <w:color w:val="auto"/>
              </w:rPr>
              <w:t>Digitally signed by</w:t>
            </w: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540" w:type="dxa"/>
            <w:vAlign w:val="bottom"/>
            <w:vMerge w:val="restart"/>
          </w:tcPr>
          <w:p>
            <w:pPr>
              <w:ind w:left="120"/>
              <w:spacing w:after="0"/>
              <w:rPr>
                <w:sz w:val="20"/>
                <w:szCs w:val="20"/>
                <w:color w:val="auto"/>
              </w:rPr>
            </w:pPr>
            <w:r>
              <w:rPr>
                <w:rFonts w:ascii="Arial" w:cs="Arial" w:eastAsia="Arial" w:hAnsi="Arial"/>
                <w:sz w:val="20"/>
                <w:szCs w:val="20"/>
                <w:color w:val="auto"/>
              </w:rPr>
              <w:t>/s/</w:t>
            </w:r>
          </w:p>
        </w:tc>
        <w:tc>
          <w:tcPr>
            <w:tcW w:w="1460" w:type="dxa"/>
            <w:vAlign w:val="bottom"/>
          </w:tcPr>
          <w:p>
            <w:pPr>
              <w:ind w:left="480"/>
              <w:spacing w:after="0"/>
              <w:rPr>
                <w:sz w:val="20"/>
                <w:szCs w:val="20"/>
                <w:color w:val="auto"/>
              </w:rPr>
            </w:pPr>
            <w:r>
              <w:rPr>
                <w:rFonts w:ascii="Arial" w:cs="Arial" w:eastAsia="Arial" w:hAnsi="Arial"/>
                <w:sz w:val="9"/>
                <w:szCs w:val="9"/>
                <w:color w:val="auto"/>
              </w:rPr>
              <w:t>Date: 2020.12.30</w:t>
            </w:r>
          </w:p>
        </w:tc>
        <w:tc>
          <w:tcPr>
            <w:tcW w:w="1020" w:type="dxa"/>
            <w:vAlign w:val="bottom"/>
            <w:gridSpan w:val="2"/>
            <w:vMerge w:val="restart"/>
          </w:tcPr>
          <w:p>
            <w:pPr>
              <w:ind w:left="240"/>
              <w:spacing w:after="0"/>
              <w:rPr>
                <w:sz w:val="20"/>
                <w:szCs w:val="20"/>
                <w:color w:val="auto"/>
              </w:rPr>
            </w:pPr>
            <w:r>
              <w:rPr>
                <w:rFonts w:ascii="Arial" w:cs="Arial" w:eastAsia="Arial" w:hAnsi="Arial"/>
                <w:sz w:val="9"/>
                <w:szCs w:val="9"/>
                <w:color w:val="auto"/>
              </w:rPr>
              <w:t>15:29:41-05’00’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54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36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1280"/>
              <w:spacing w:after="0"/>
              <w:rPr>
                <w:sz w:val="20"/>
                <w:szCs w:val="20"/>
                <w:color w:val="auto"/>
              </w:rPr>
            </w:pPr>
            <w:r>
              <w:rPr>
                <w:rFonts w:ascii="Arial" w:cs="Arial" w:eastAsia="Arial" w:hAnsi="Arial"/>
                <w:sz w:val="7"/>
                <w:szCs w:val="7"/>
                <w:color w:val="auto"/>
              </w:rPr>
              <w:t>Date 2020.12.31 11:59:07-05’00’</w:t>
            </w:r>
          </w:p>
        </w:tc>
        <w:tc>
          <w:tcPr>
            <w:tcW w:w="18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360" w:type="dxa"/>
            <w:vAlign w:val="bottom"/>
          </w:tcPr>
          <w:p>
            <w:pPr>
              <w:spacing w:after="0"/>
              <w:rPr>
                <w:sz w:val="20"/>
                <w:szCs w:val="20"/>
                <w:color w:val="auto"/>
              </w:rPr>
            </w:pPr>
            <w:r>
              <w:rPr>
                <w:rFonts w:ascii="Arial" w:cs="Arial" w:eastAsia="Arial" w:hAnsi="Arial"/>
                <w:sz w:val="16"/>
                <w:szCs w:val="16"/>
                <w:b w:val="1"/>
                <w:bCs w:val="1"/>
                <w:color w:val="auto"/>
              </w:rPr>
              <w:t>DD FORM 1423-1, FEB 2001</w:t>
            </w:r>
          </w:p>
        </w:tc>
        <w:tc>
          <w:tcPr>
            <w:tcW w:w="2600" w:type="dxa"/>
            <w:vAlign w:val="bottom"/>
            <w:gridSpan w:val="2"/>
          </w:tcPr>
          <w:p>
            <w:pPr>
              <w:ind w:left="40"/>
              <w:spacing w:after="0"/>
              <w:rPr>
                <w:sz w:val="20"/>
                <w:szCs w:val="20"/>
                <w:color w:val="auto"/>
              </w:rPr>
            </w:pPr>
            <w:r>
              <w:rPr>
                <w:rFonts w:ascii="Arial" w:cs="Arial" w:eastAsia="Arial" w:hAnsi="Arial"/>
                <w:sz w:val="14"/>
                <w:szCs w:val="14"/>
                <w:color w:val="080808"/>
              </w:rPr>
              <w:t>PREVIOUS EDITION MAY BE USED.</w:t>
            </w:r>
          </w:p>
        </w:tc>
        <w:tc>
          <w:tcPr>
            <w:tcW w:w="2120" w:type="dxa"/>
            <w:vAlign w:val="bottom"/>
            <w:gridSpan w:val="2"/>
          </w:tcPr>
          <w:p>
            <w:pPr>
              <w:ind w:left="120"/>
              <w:spacing w:after="0"/>
              <w:rPr>
                <w:sz w:val="20"/>
                <w:szCs w:val="20"/>
                <w:color w:val="auto"/>
              </w:rPr>
            </w:pPr>
            <w:r>
              <w:rPr>
                <w:rFonts w:ascii="Arial" w:cs="Arial" w:eastAsia="Arial" w:hAnsi="Arial"/>
                <w:sz w:val="13"/>
                <w:szCs w:val="13"/>
                <w:color w:val="090909"/>
              </w:rPr>
              <w:t xml:space="preserve">Page 31 </w:t>
            </w:r>
            <w:r>
              <w:rPr>
                <w:rFonts w:ascii="Arial" w:cs="Arial" w:eastAsia="Arial" w:hAnsi="Arial"/>
                <w:sz w:val="14"/>
                <w:szCs w:val="14"/>
                <w:color w:val="070707"/>
              </w:rPr>
              <w:t>of 32</w:t>
            </w:r>
            <w:r>
              <w:rPr>
                <w:rFonts w:ascii="Arial" w:cs="Arial" w:eastAsia="Arial" w:hAnsi="Arial"/>
                <w:sz w:val="13"/>
                <w:szCs w:val="13"/>
                <w:color w:val="090909"/>
              </w:rPr>
              <w:t xml:space="preserve"> </w:t>
            </w:r>
            <w:r>
              <w:rPr>
                <w:rFonts w:ascii="Arial" w:cs="Arial" w:eastAsia="Arial" w:hAnsi="Arial"/>
                <w:sz w:val="13"/>
                <w:szCs w:val="13"/>
                <w:color w:val="0B0B0B"/>
              </w:rPr>
              <w:t>Pages</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1" w:hanging="161"/>
        <w:spacing w:after="0"/>
        <w:tabs>
          <w:tab w:leader="none" w:pos="161" w:val="left"/>
        </w:tabs>
        <w:numPr>
          <w:ilvl w:val="0"/>
          <w:numId w:val="213"/>
        </w:numPr>
        <w:rPr>
          <w:rFonts w:ascii="Arial" w:cs="Arial" w:eastAsia="Arial" w:hAnsi="Arial"/>
          <w:sz w:val="9"/>
          <w:szCs w:val="9"/>
          <w:color w:val="auto"/>
        </w:rPr>
      </w:pPr>
      <w:r>
        <w:rPr>
          <w:rFonts w:ascii="Arial" w:cs="Arial" w:eastAsia="Arial" w:hAnsi="Arial"/>
          <w:sz w:val="9"/>
          <w:szCs w:val="9"/>
          <w:color w:val="auto"/>
        </w:rPr>
        <w:t>PRICE GROUP</w:t>
      </w:r>
    </w:p>
    <w:p>
      <w:pPr>
        <w:spacing w:after="0" w:line="355" w:lineRule="exact"/>
        <w:rPr>
          <w:rFonts w:ascii="Arial" w:cs="Arial" w:eastAsia="Arial" w:hAnsi="Arial"/>
          <w:sz w:val="9"/>
          <w:szCs w:val="9"/>
          <w:color w:val="auto"/>
        </w:rPr>
      </w:pPr>
    </w:p>
    <w:p>
      <w:pPr>
        <w:ind w:left="1" w:right="140" w:hanging="1"/>
        <w:spacing w:after="0" w:line="283" w:lineRule="auto"/>
        <w:tabs>
          <w:tab w:leader="none" w:pos="166" w:val="left"/>
        </w:tabs>
        <w:numPr>
          <w:ilvl w:val="0"/>
          <w:numId w:val="213"/>
        </w:numPr>
        <w:rPr>
          <w:rFonts w:ascii="Arial" w:cs="Arial" w:eastAsia="Arial" w:hAnsi="Arial"/>
          <w:sz w:val="9"/>
          <w:szCs w:val="9"/>
          <w:color w:val="auto"/>
        </w:rPr>
      </w:pPr>
      <w:r>
        <w:rPr>
          <w:rFonts w:ascii="Arial" w:cs="Arial" w:eastAsia="Arial" w:hAnsi="Arial"/>
          <w:sz w:val="9"/>
          <w:szCs w:val="9"/>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-466090</wp:posOffset>
            </wp:positionV>
            <wp:extent cx="626110" cy="7289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6110" cy="728980"/>
                    </a:xfrm>
                    <a:prstGeom prst="rect">
                      <a:avLst/>
                    </a:prstGeom>
                    <a:noFill/>
                  </pic:spPr>
                </pic:pic>
              </a:graphicData>
            </a:graphic>
          </wp:anchor>
        </w:drawing>
      </w:r>
    </w:p>
    <w:p>
      <w:pPr>
        <w:spacing w:after="0" w:line="10388" w:lineRule="exact"/>
        <w:rPr>
          <w:sz w:val="20"/>
          <w:szCs w:val="20"/>
          <w:color w:val="auto"/>
        </w:rPr>
      </w:pPr>
    </w:p>
    <w:p>
      <w:pPr>
        <w:sectPr>
          <w:pgSz w:w="11900" w:h="16838" w:orient="portrait"/>
          <w:cols w:equalWidth="0" w:num="2">
            <w:col w:w="10200" w:space="99"/>
            <w:col w:w="861"/>
          </w:cols>
          <w:pgMar w:left="320" w:top="403" w:right="419" w:bottom="1440" w:gutter="0" w:footer="0" w:header="0"/>
        </w:sectPr>
      </w:pPr>
    </w:p>
    <w:p>
      <w:pPr>
        <w:ind w:left="6480"/>
        <w:spacing w:after="0"/>
        <w:rPr>
          <w:sz w:val="20"/>
          <w:szCs w:val="20"/>
          <w:color w:val="auto"/>
        </w:rPr>
      </w:pPr>
      <w:r>
        <w:rPr>
          <w:rFonts w:ascii="Arial" w:cs="Arial" w:eastAsia="Arial" w:hAnsi="Arial"/>
          <w:sz w:val="9"/>
          <w:szCs w:val="9"/>
          <w:color w:val="252525"/>
        </w:rPr>
        <w:t>Adobe Professional 8.0</w:t>
      </w:r>
    </w:p>
    <w:p>
      <w:pPr>
        <w:sectPr>
          <w:pgSz w:w="11900" w:h="16838" w:orient="portrait"/>
          <w:cols w:equalWidth="0" w:num="1">
            <w:col w:w="11160"/>
          </w:cols>
          <w:pgMar w:left="320" w:top="403" w:right="419" w:bottom="1440" w:gutter="0" w:footer="0" w:header="0"/>
          <w:type w:val="continuous"/>
        </w:sectPr>
      </w:pPr>
    </w:p>
    <w:bookmarkStart w:id="156" w:name="page157"/>
    <w:bookmarkEnd w:id="156"/>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071995" cy="67722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071995" cy="6772275"/>
                    </a:xfrm>
                    <a:prstGeom prst="rect">
                      <a:avLst/>
                    </a:prstGeom>
                    <a:noFill/>
                  </pic:spPr>
                </pic:pic>
              </a:graphicData>
            </a:graphic>
          </wp:anchor>
        </w:drawing>
        <w:t>INSTRUCTIONS FOR COMPLETING DD FORM 1423</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3"/>
          <w:szCs w:val="13"/>
          <w:i w:val="1"/>
          <w:iCs w:val="1"/>
          <w:color w:val="auto"/>
        </w:rPr>
        <w:t>(See DoD 5010. 12-M for detailed instructions,}</w:t>
      </w:r>
    </w:p>
    <w:p>
      <w:pPr>
        <w:sectPr>
          <w:pgSz w:w="11900" w:h="16838" w:orient="portrait"/>
          <w:cols w:equalWidth="0" w:num="1">
            <w:col w:w="11080"/>
          </w:cols>
          <w:pgMar w:left="340" w:top="446" w:right="4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620"/>
        <w:spacing w:after="0"/>
        <w:rPr>
          <w:sz w:val="20"/>
          <w:szCs w:val="20"/>
          <w:color w:val="auto"/>
        </w:rPr>
      </w:pPr>
      <w:r>
        <w:rPr>
          <w:rFonts w:ascii="Arial" w:cs="Arial" w:eastAsia="Arial" w:hAnsi="Arial"/>
          <w:sz w:val="14"/>
          <w:szCs w:val="14"/>
          <w:u w:val="single" w:color="auto"/>
          <w:color w:val="auto"/>
        </w:rPr>
        <w:t>FOR GOVERNMENT PERSONNEL</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A. </w:t>
      </w:r>
      <w:r>
        <w:rPr>
          <w:rFonts w:ascii="Arial" w:cs="Arial" w:eastAsia="Arial" w:hAnsi="Arial"/>
          <w:sz w:val="14"/>
          <w:szCs w:val="14"/>
          <w:color w:val="auto"/>
        </w:rPr>
        <w:t>Self-explanatory.</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B. </w:t>
      </w:r>
      <w:r>
        <w:rPr>
          <w:rFonts w:ascii="Arial" w:cs="Arial" w:eastAsia="Arial" w:hAnsi="Arial"/>
          <w:sz w:val="14"/>
          <w:szCs w:val="14"/>
          <w:color w:val="auto"/>
        </w:rPr>
        <w:t>Self-explanatory.</w:t>
      </w:r>
    </w:p>
    <w:p>
      <w:pPr>
        <w:spacing w:after="0" w:line="55" w:lineRule="exact"/>
        <w:rPr>
          <w:sz w:val="20"/>
          <w:szCs w:val="20"/>
          <w:color w:val="auto"/>
        </w:rPr>
      </w:pPr>
    </w:p>
    <w:p>
      <w:pPr>
        <w:ind w:left="140" w:right="500" w:firstLine="12"/>
        <w:spacing w:after="0" w:line="263" w:lineRule="auto"/>
        <w:rPr>
          <w:sz w:val="20"/>
          <w:szCs w:val="20"/>
          <w:color w:val="auto"/>
        </w:rPr>
      </w:pPr>
      <w:r>
        <w:rPr>
          <w:rFonts w:ascii="Arial" w:cs="Arial" w:eastAsia="Arial" w:hAnsi="Arial"/>
          <w:sz w:val="14"/>
          <w:szCs w:val="14"/>
          <w:b w:val="1"/>
          <w:bCs w:val="1"/>
          <w:color w:val="auto"/>
        </w:rPr>
        <w:t>Item C</w:t>
      </w:r>
      <w:r>
        <w:rPr>
          <w:rFonts w:ascii="Arial" w:cs="Arial" w:eastAsia="Arial" w:hAnsi="Arial"/>
          <w:sz w:val="14"/>
          <w:szCs w:val="14"/>
          <w:color w:val="auto"/>
        </w:rPr>
        <w:t>. Mark (X) appropriate category: TDP - Technical Data Package; TM</w:t>
      </w:r>
      <w:r>
        <w:rPr>
          <w:rFonts w:ascii="Arial" w:cs="Arial" w:eastAsia="Arial" w:hAnsi="Arial"/>
          <w:sz w:val="14"/>
          <w:szCs w:val="14"/>
          <w:b w:val="1"/>
          <w:bCs w:val="1"/>
          <w:color w:val="auto"/>
        </w:rPr>
        <w:t xml:space="preserve"> </w:t>
      </w:r>
      <w:r>
        <w:rPr>
          <w:rFonts w:ascii="Arial" w:cs="Arial" w:eastAsia="Arial" w:hAnsi="Arial"/>
          <w:sz w:val="14"/>
          <w:szCs w:val="14"/>
          <w:color w:val="auto"/>
        </w:rPr>
        <w:t>Technical Manual; Other other category of data, such as "Provisioning," "Configuration Management," etc.</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D. </w:t>
      </w:r>
      <w:r>
        <w:rPr>
          <w:rFonts w:ascii="Arial" w:cs="Arial" w:eastAsia="Arial" w:hAnsi="Arial"/>
          <w:sz w:val="14"/>
          <w:szCs w:val="14"/>
          <w:color w:val="auto"/>
        </w:rPr>
        <w:t>Enter name of system/item being acquired that data will support.</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E. </w:t>
      </w:r>
      <w:r>
        <w:rPr>
          <w:rFonts w:ascii="Arial" w:cs="Arial" w:eastAsia="Arial" w:hAnsi="Arial"/>
          <w:sz w:val="14"/>
          <w:szCs w:val="14"/>
          <w:color w:val="auto"/>
        </w:rPr>
        <w:t>Self-explanatory (to be filled in after contract award).</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F. </w:t>
      </w:r>
      <w:r>
        <w:rPr>
          <w:rFonts w:ascii="Arial" w:cs="Arial" w:eastAsia="Arial" w:hAnsi="Arial"/>
          <w:sz w:val="14"/>
          <w:szCs w:val="14"/>
          <w:color w:val="auto"/>
        </w:rPr>
        <w:t>Self-explanatory (to be filled in after contract award).</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w:t>
      </w:r>
      <w:r>
        <w:rPr>
          <w:rFonts w:ascii="Arial" w:cs="Arial" w:eastAsia="Arial" w:hAnsi="Arial"/>
          <w:sz w:val="14"/>
          <w:szCs w:val="14"/>
          <w:color w:val="auto"/>
        </w:rPr>
        <w:t>G. Signature of preparer of CDRL.</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H. </w:t>
      </w:r>
      <w:r>
        <w:rPr>
          <w:rFonts w:ascii="Arial" w:cs="Arial" w:eastAsia="Arial" w:hAnsi="Arial"/>
          <w:sz w:val="14"/>
          <w:szCs w:val="14"/>
          <w:color w:val="auto"/>
        </w:rPr>
        <w:t>Date CDRL was prepared.</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w:t>
      </w:r>
      <w:r>
        <w:rPr>
          <w:rFonts w:ascii="Arial" w:cs="Arial" w:eastAsia="Arial" w:hAnsi="Arial"/>
          <w:sz w:val="14"/>
          <w:szCs w:val="14"/>
          <w:color w:val="auto"/>
        </w:rPr>
        <w:t>I.</w:t>
      </w:r>
      <w:r>
        <w:rPr>
          <w:rFonts w:ascii="Arial" w:cs="Arial" w:eastAsia="Arial" w:hAnsi="Arial"/>
          <w:sz w:val="14"/>
          <w:szCs w:val="14"/>
          <w:b w:val="1"/>
          <w:bCs w:val="1"/>
          <w:color w:val="auto"/>
        </w:rPr>
        <w:t xml:space="preserve"> </w:t>
      </w:r>
      <w:r>
        <w:rPr>
          <w:rFonts w:ascii="Arial" w:cs="Arial" w:eastAsia="Arial" w:hAnsi="Arial"/>
          <w:sz w:val="14"/>
          <w:szCs w:val="14"/>
          <w:color w:val="auto"/>
        </w:rPr>
        <w:t>Signature of CDRL approval authority.</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J. </w:t>
      </w:r>
      <w:r>
        <w:rPr>
          <w:rFonts w:ascii="Arial" w:cs="Arial" w:eastAsia="Arial" w:hAnsi="Arial"/>
          <w:sz w:val="14"/>
          <w:szCs w:val="14"/>
          <w:color w:val="auto"/>
        </w:rPr>
        <w:t>Date CDRL was approved.</w:t>
      </w:r>
    </w:p>
    <w:p>
      <w:pPr>
        <w:spacing w:after="0" w:line="55" w:lineRule="exact"/>
        <w:rPr>
          <w:sz w:val="20"/>
          <w:szCs w:val="20"/>
          <w:color w:val="auto"/>
        </w:rPr>
      </w:pPr>
    </w:p>
    <w:p>
      <w:pPr>
        <w:ind w:left="160" w:right="420"/>
        <w:spacing w:after="0" w:line="356" w:lineRule="auto"/>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color w:val="auto"/>
        </w:rPr>
        <w:t>See DoD FAR Supplement Subpart 4.71 for proper numbering.</w:t>
      </w:r>
      <w:r>
        <w:rPr>
          <w:rFonts w:ascii="Arial" w:cs="Arial" w:eastAsia="Arial" w:hAnsi="Arial"/>
          <w:sz w:val="14"/>
          <w:szCs w:val="14"/>
          <w:b w:val="1"/>
          <w:bCs w:val="1"/>
          <w:color w:val="auto"/>
        </w:rPr>
        <w:t xml:space="preserve"> Item 2</w:t>
      </w:r>
      <w:r>
        <w:rPr>
          <w:rFonts w:ascii="Arial" w:cs="Arial" w:eastAsia="Arial" w:hAnsi="Arial"/>
          <w:sz w:val="14"/>
          <w:szCs w:val="14"/>
          <w:color w:val="auto"/>
        </w:rPr>
        <w:t>. Enter title as it appears on data acquisition document cited in Item</w:t>
      </w:r>
      <w:r>
        <w:rPr>
          <w:rFonts w:ascii="Arial" w:cs="Arial" w:eastAsia="Arial" w:hAnsi="Arial"/>
          <w:sz w:val="14"/>
          <w:szCs w:val="14"/>
          <w:b w:val="1"/>
          <w:bCs w:val="1"/>
          <w:color w:val="auto"/>
        </w:rPr>
        <w:t xml:space="preserve"> </w:t>
      </w:r>
      <w:r>
        <w:rPr>
          <w:rFonts w:ascii="Arial" w:cs="Arial" w:eastAsia="Arial" w:hAnsi="Arial"/>
          <w:sz w:val="14"/>
          <w:szCs w:val="14"/>
          <w:color w:val="auto"/>
        </w:rPr>
        <w:t>4.</w:t>
      </w:r>
      <w:r>
        <w:rPr>
          <w:rFonts w:ascii="Arial" w:cs="Arial" w:eastAsia="Arial" w:hAnsi="Arial"/>
          <w:sz w:val="14"/>
          <w:szCs w:val="14"/>
          <w:b w:val="1"/>
          <w:bCs w:val="1"/>
          <w:color w:val="auto"/>
        </w:rPr>
        <w:t xml:space="preserve"> Item 3</w:t>
      </w:r>
      <w:r>
        <w:rPr>
          <w:rFonts w:ascii="Arial" w:cs="Arial" w:eastAsia="Arial" w:hAnsi="Arial"/>
          <w:sz w:val="14"/>
          <w:szCs w:val="14"/>
          <w:color w:val="auto"/>
        </w:rPr>
        <w:t>. Enter subtitle of data item for further definition of data item</w:t>
      </w:r>
      <w:r>
        <w:rPr>
          <w:rFonts w:ascii="Arial" w:cs="Arial" w:eastAsia="Arial" w:hAnsi="Arial"/>
          <w:sz w:val="14"/>
          <w:szCs w:val="14"/>
          <w:b w:val="1"/>
          <w:bCs w:val="1"/>
          <w:color w:val="auto"/>
        </w:rPr>
        <w:t xml:space="preserve"> </w:t>
      </w:r>
      <w:r>
        <w:rPr>
          <w:rFonts w:ascii="Arial" w:cs="Arial" w:eastAsia="Arial" w:hAnsi="Arial"/>
          <w:sz w:val="14"/>
          <w:szCs w:val="14"/>
          <w:color w:val="auto"/>
        </w:rPr>
        <w:t>(optional entry).</w:t>
      </w:r>
    </w:p>
    <w:p>
      <w:pPr>
        <w:spacing w:after="0" w:line="161" w:lineRule="exact"/>
        <w:rPr>
          <w:sz w:val="20"/>
          <w:szCs w:val="20"/>
          <w:color w:val="auto"/>
        </w:rPr>
      </w:pPr>
    </w:p>
    <w:p>
      <w:pPr>
        <w:ind w:left="140" w:firstLine="12"/>
        <w:spacing w:after="0" w:line="263" w:lineRule="auto"/>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color w:val="auto"/>
        </w:rPr>
        <w:t>Enter Data Item Description (DID) number, military specification number, or</w:t>
      </w:r>
      <w:r>
        <w:rPr>
          <w:rFonts w:ascii="Arial" w:cs="Arial" w:eastAsia="Arial" w:hAnsi="Arial"/>
          <w:sz w:val="14"/>
          <w:szCs w:val="14"/>
          <w:b w:val="1"/>
          <w:bCs w:val="1"/>
          <w:color w:val="auto"/>
        </w:rPr>
        <w:t xml:space="preserve"> </w:t>
      </w:r>
      <w:r>
        <w:rPr>
          <w:rFonts w:ascii="Arial" w:cs="Arial" w:eastAsia="Arial" w:hAnsi="Arial"/>
          <w:sz w:val="14"/>
          <w:szCs w:val="14"/>
          <w:color w:val="auto"/>
        </w:rPr>
        <w:t>military standard number listed in DoD 5010.12-L (AMSDL), or one-time DID number, that defines data content and format requirements.</w:t>
      </w:r>
    </w:p>
    <w:p>
      <w:pPr>
        <w:spacing w:after="0" w:line="11" w:lineRule="exact"/>
        <w:rPr>
          <w:sz w:val="20"/>
          <w:szCs w:val="20"/>
          <w:color w:val="auto"/>
        </w:rPr>
      </w:pPr>
    </w:p>
    <w:p>
      <w:pPr>
        <w:ind w:left="140" w:right="200" w:firstLine="12"/>
        <w:spacing w:after="0" w:line="281" w:lineRule="auto"/>
        <w:rPr>
          <w:sz w:val="20"/>
          <w:szCs w:val="20"/>
          <w:color w:val="auto"/>
        </w:rPr>
      </w:pPr>
      <w:r>
        <w:rPr>
          <w:rFonts w:ascii="Arial" w:cs="Arial" w:eastAsia="Arial" w:hAnsi="Arial"/>
          <w:sz w:val="14"/>
          <w:szCs w:val="14"/>
          <w:b w:val="1"/>
          <w:bCs w:val="1"/>
          <w:color w:val="auto"/>
        </w:rPr>
        <w:t>Item 5</w:t>
      </w:r>
      <w:r>
        <w:rPr>
          <w:rFonts w:ascii="Arial" w:cs="Arial" w:eastAsia="Arial" w:hAnsi="Arial"/>
          <w:sz w:val="14"/>
          <w:szCs w:val="14"/>
          <w:color w:val="auto"/>
        </w:rPr>
        <w:t>. Enter reference to tasking in contract that generates requirement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data item (e.g., Statement of Work paragraph number).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Item 6</w:t>
      </w:r>
      <w:r>
        <w:rPr>
          <w:rFonts w:ascii="Arial" w:cs="Arial" w:eastAsia="Arial" w:hAnsi="Arial"/>
          <w:sz w:val="14"/>
          <w:szCs w:val="14"/>
          <w:color w:val="auto"/>
        </w:rPr>
        <w:t>. Enter technical office responsible for ensuring adequacy of the data item.</w:t>
      </w:r>
    </w:p>
    <w:p>
      <w:pPr>
        <w:spacing w:after="0" w:line="55" w:lineRule="exact"/>
        <w:rPr>
          <w:sz w:val="20"/>
          <w:szCs w:val="20"/>
          <w:color w:val="auto"/>
        </w:rPr>
      </w:pPr>
    </w:p>
    <w:p>
      <w:pPr>
        <w:ind w:left="140" w:right="340" w:firstLine="12"/>
        <w:spacing w:after="0" w:line="281" w:lineRule="auto"/>
        <w:rPr>
          <w:sz w:val="20"/>
          <w:szCs w:val="20"/>
          <w:color w:val="auto"/>
        </w:rPr>
      </w:pPr>
      <w:r>
        <w:rPr>
          <w:rFonts w:ascii="Arial" w:cs="Arial" w:eastAsia="Arial" w:hAnsi="Arial"/>
          <w:sz w:val="14"/>
          <w:szCs w:val="14"/>
          <w:b w:val="1"/>
          <w:bCs w:val="1"/>
          <w:color w:val="auto"/>
        </w:rPr>
        <w:t>Item 7</w:t>
      </w:r>
      <w:r>
        <w:rPr>
          <w:rFonts w:ascii="Arial" w:cs="Arial" w:eastAsia="Arial" w:hAnsi="Arial"/>
          <w:sz w:val="14"/>
          <w:szCs w:val="14"/>
          <w:color w:val="auto"/>
        </w:rPr>
        <w:t>. Specify requirement for inspection/acceptance of the data item by the</w:t>
      </w:r>
      <w:r>
        <w:rPr>
          <w:rFonts w:ascii="Arial" w:cs="Arial" w:eastAsia="Arial" w:hAnsi="Arial"/>
          <w:sz w:val="14"/>
          <w:szCs w:val="14"/>
          <w:b w:val="1"/>
          <w:bCs w:val="1"/>
          <w:color w:val="auto"/>
        </w:rPr>
        <w:t xml:space="preserve"> </w:t>
      </w:r>
      <w:r>
        <w:rPr>
          <w:rFonts w:ascii="Arial" w:cs="Arial" w:eastAsia="Arial" w:hAnsi="Arial"/>
          <w:sz w:val="14"/>
          <w:szCs w:val="14"/>
          <w:color w:val="auto"/>
        </w:rPr>
        <w:t>Government.</w:t>
      </w:r>
    </w:p>
    <w:p>
      <w:pPr>
        <w:spacing w:after="0" w:line="1" w:lineRule="exact"/>
        <w:rPr>
          <w:sz w:val="20"/>
          <w:szCs w:val="20"/>
          <w:color w:val="auto"/>
        </w:rPr>
      </w:pPr>
    </w:p>
    <w:p>
      <w:pPr>
        <w:ind w:left="140" w:right="160" w:firstLine="12"/>
        <w:spacing w:after="0" w:line="281" w:lineRule="auto"/>
        <w:rPr>
          <w:sz w:val="20"/>
          <w:szCs w:val="20"/>
          <w:color w:val="auto"/>
        </w:rPr>
      </w:pPr>
      <w:r>
        <w:rPr>
          <w:rFonts w:ascii="Arial" w:cs="Arial" w:eastAsia="Arial" w:hAnsi="Arial"/>
          <w:sz w:val="14"/>
          <w:szCs w:val="14"/>
          <w:b w:val="1"/>
          <w:bCs w:val="1"/>
          <w:color w:val="auto"/>
        </w:rPr>
        <w:t>Item 8</w:t>
      </w:r>
      <w:r>
        <w:rPr>
          <w:rFonts w:ascii="Arial" w:cs="Arial" w:eastAsia="Arial" w:hAnsi="Arial"/>
          <w:sz w:val="14"/>
          <w:szCs w:val="14"/>
          <w:color w:val="auto"/>
        </w:rPr>
        <w:t>. Specify requirement for approval of a draft before preparation of the final</w:t>
      </w:r>
      <w:r>
        <w:rPr>
          <w:rFonts w:ascii="Arial" w:cs="Arial" w:eastAsia="Arial" w:hAnsi="Arial"/>
          <w:sz w:val="14"/>
          <w:szCs w:val="14"/>
          <w:b w:val="1"/>
          <w:bCs w:val="1"/>
          <w:color w:val="auto"/>
        </w:rPr>
        <w:t xml:space="preserve"> </w:t>
      </w:r>
      <w:r>
        <w:rPr>
          <w:rFonts w:ascii="Arial" w:cs="Arial" w:eastAsia="Arial" w:hAnsi="Arial"/>
          <w:sz w:val="14"/>
          <w:szCs w:val="14"/>
          <w:color w:val="auto"/>
        </w:rPr>
        <w:t>data item.</w:t>
      </w:r>
    </w:p>
    <w:p>
      <w:pPr>
        <w:spacing w:after="0" w:line="1" w:lineRule="exact"/>
        <w:rPr>
          <w:sz w:val="20"/>
          <w:szCs w:val="20"/>
          <w:color w:val="auto"/>
        </w:rPr>
      </w:pPr>
    </w:p>
    <w:p>
      <w:pPr>
        <w:ind w:left="140" w:right="640" w:firstLine="12"/>
        <w:spacing w:after="0" w:line="281" w:lineRule="auto"/>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4"/>
          <w:szCs w:val="14"/>
          <w:color w:val="auto"/>
        </w:rPr>
        <w:t>For technical data, specify requirement for contractor to mark the</w:t>
      </w:r>
      <w:r>
        <w:rPr>
          <w:rFonts w:ascii="Arial" w:cs="Arial" w:eastAsia="Arial" w:hAnsi="Arial"/>
          <w:sz w:val="14"/>
          <w:szCs w:val="14"/>
          <w:b w:val="1"/>
          <w:bCs w:val="1"/>
          <w:color w:val="auto"/>
        </w:rPr>
        <w:t xml:space="preserve"> </w:t>
      </w:r>
      <w:r>
        <w:rPr>
          <w:rFonts w:ascii="Arial" w:cs="Arial" w:eastAsia="Arial" w:hAnsi="Arial"/>
          <w:sz w:val="14"/>
          <w:szCs w:val="14"/>
          <w:color w:val="auto"/>
        </w:rPr>
        <w:t>appropriate distribution statement on the data (ref. DoDD 5230.24).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10. </w:t>
      </w:r>
      <w:r>
        <w:rPr>
          <w:rFonts w:ascii="Arial" w:cs="Arial" w:eastAsia="Arial" w:hAnsi="Arial"/>
          <w:sz w:val="14"/>
          <w:szCs w:val="14"/>
          <w:color w:val="auto"/>
        </w:rPr>
        <w:t>Specify number of times data items are to be delivered.</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11. </w:t>
      </w:r>
      <w:r>
        <w:rPr>
          <w:rFonts w:ascii="Arial" w:cs="Arial" w:eastAsia="Arial" w:hAnsi="Arial"/>
          <w:sz w:val="14"/>
          <w:szCs w:val="14"/>
          <w:color w:val="auto"/>
        </w:rPr>
        <w:t>Specify as-of date of data item, when applicable.</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12. </w:t>
      </w:r>
      <w:r>
        <w:rPr>
          <w:rFonts w:ascii="Arial" w:cs="Arial" w:eastAsia="Arial" w:hAnsi="Arial"/>
          <w:sz w:val="14"/>
          <w:szCs w:val="14"/>
          <w:color w:val="auto"/>
        </w:rPr>
        <w:t>Specify when first submittal is required.</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13. </w:t>
      </w:r>
      <w:r>
        <w:rPr>
          <w:rFonts w:ascii="Arial" w:cs="Arial" w:eastAsia="Arial" w:hAnsi="Arial"/>
          <w:sz w:val="14"/>
          <w:szCs w:val="14"/>
          <w:color w:val="auto"/>
        </w:rPr>
        <w:t>Specify when subsequent submittals are required, when applicable.</w:t>
      </w:r>
    </w:p>
    <w:p>
      <w:pPr>
        <w:spacing w:after="0" w:line="55" w:lineRule="exact"/>
        <w:rPr>
          <w:sz w:val="20"/>
          <w:szCs w:val="20"/>
          <w:color w:val="auto"/>
        </w:rPr>
      </w:pPr>
    </w:p>
    <w:p>
      <w:pPr>
        <w:ind w:left="140" w:firstLine="12"/>
        <w:spacing w:after="0" w:line="281" w:lineRule="auto"/>
        <w:rPr>
          <w:sz w:val="20"/>
          <w:szCs w:val="20"/>
          <w:color w:val="auto"/>
        </w:rPr>
      </w:pPr>
      <w:r>
        <w:rPr>
          <w:rFonts w:ascii="Arial" w:cs="Arial" w:eastAsia="Arial" w:hAnsi="Arial"/>
          <w:sz w:val="14"/>
          <w:szCs w:val="14"/>
          <w:b w:val="1"/>
          <w:bCs w:val="1"/>
          <w:color w:val="auto"/>
        </w:rPr>
        <w:t xml:space="preserve">Item 14. </w:t>
      </w:r>
      <w:r>
        <w:rPr>
          <w:rFonts w:ascii="Arial" w:cs="Arial" w:eastAsia="Arial" w:hAnsi="Arial"/>
          <w:sz w:val="14"/>
          <w:szCs w:val="14"/>
          <w:color w:val="auto"/>
        </w:rPr>
        <w:t>Enter addressees and number of draft/final copies to be delivered to each</w:t>
      </w:r>
      <w:r>
        <w:rPr>
          <w:rFonts w:ascii="Arial" w:cs="Arial" w:eastAsia="Arial" w:hAnsi="Arial"/>
          <w:sz w:val="14"/>
          <w:szCs w:val="14"/>
          <w:b w:val="1"/>
          <w:bCs w:val="1"/>
          <w:color w:val="auto"/>
        </w:rPr>
        <w:t xml:space="preserve"> </w:t>
      </w:r>
      <w:r>
        <w:rPr>
          <w:rFonts w:ascii="Arial" w:cs="Arial" w:eastAsia="Arial" w:hAnsi="Arial"/>
          <w:sz w:val="14"/>
          <w:szCs w:val="14"/>
          <w:color w:val="auto"/>
        </w:rPr>
        <w:t>addressee. Explain reproducible copies in Item 16.</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Item 15. </w:t>
      </w:r>
      <w:r>
        <w:rPr>
          <w:rFonts w:ascii="Arial" w:cs="Arial" w:eastAsia="Arial" w:hAnsi="Arial"/>
          <w:sz w:val="14"/>
          <w:szCs w:val="14"/>
          <w:color w:val="auto"/>
        </w:rPr>
        <w:t>Enter total number of draft/final copies to be delivered.</w:t>
      </w:r>
    </w:p>
    <w:p>
      <w:pPr>
        <w:spacing w:after="0" w:line="55" w:lineRule="exact"/>
        <w:rPr>
          <w:sz w:val="20"/>
          <w:szCs w:val="20"/>
          <w:color w:val="auto"/>
        </w:rPr>
      </w:pPr>
    </w:p>
    <w:p>
      <w:pPr>
        <w:ind w:left="140" w:right="40" w:firstLine="12"/>
        <w:spacing w:after="0" w:line="256" w:lineRule="auto"/>
        <w:rPr>
          <w:sz w:val="20"/>
          <w:szCs w:val="20"/>
          <w:color w:val="auto"/>
        </w:rPr>
      </w:pPr>
      <w:r>
        <w:rPr>
          <w:rFonts w:ascii="Arial" w:cs="Arial" w:eastAsia="Arial" w:hAnsi="Arial"/>
          <w:sz w:val="14"/>
          <w:szCs w:val="14"/>
          <w:b w:val="1"/>
          <w:bCs w:val="1"/>
          <w:color w:val="auto"/>
        </w:rPr>
        <w:t xml:space="preserve">Item 16. </w:t>
      </w:r>
      <w:r>
        <w:rPr>
          <w:rFonts w:ascii="Arial" w:cs="Arial" w:eastAsia="Arial" w:hAnsi="Arial"/>
          <w:sz w:val="14"/>
          <w:szCs w:val="14"/>
          <w:color w:val="auto"/>
        </w:rPr>
        <w:t>Use for additional/clarifying information for Items 1 through 15. Examples</w:t>
      </w:r>
      <w:r>
        <w:rPr>
          <w:rFonts w:ascii="Arial" w:cs="Arial" w:eastAsia="Arial" w:hAnsi="Arial"/>
          <w:sz w:val="14"/>
          <w:szCs w:val="14"/>
          <w:b w:val="1"/>
          <w:bCs w:val="1"/>
          <w:color w:val="auto"/>
        </w:rPr>
        <w:t xml:space="preserve"> </w:t>
      </w:r>
      <w:r>
        <w:rPr>
          <w:rFonts w:ascii="Arial" w:cs="Arial" w:eastAsia="Arial" w:hAnsi="Arial"/>
          <w:sz w:val="14"/>
          <w:szCs w:val="14"/>
          <w:color w:val="auto"/>
        </w:rPr>
        <w:t>are: Tailoring of documents cited in Item 4; Clarification of submittal dates in Items 12 and 13; Explanation of reproducible copies in Item 14.; Desired medium for delivery of the data item.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ind w:right="160"/>
        <w:spacing w:after="0"/>
        <w:rPr>
          <w:sz w:val="20"/>
          <w:szCs w:val="20"/>
          <w:color w:val="auto"/>
        </w:rPr>
      </w:pPr>
      <w:r>
        <w:rPr>
          <w:rFonts w:ascii="Arial" w:cs="Arial" w:eastAsia="Arial" w:hAnsi="Arial"/>
          <w:sz w:val="14"/>
          <w:szCs w:val="14"/>
          <w:u w:val="single" w:color="auto"/>
          <w:color w:val="auto"/>
        </w:rPr>
        <w:t>FOR THE CONTRACTOR</w:t>
      </w:r>
    </w:p>
    <w:p>
      <w:pPr>
        <w:spacing w:after="0" w:line="217" w:lineRule="exact"/>
        <w:rPr>
          <w:sz w:val="20"/>
          <w:szCs w:val="20"/>
          <w:color w:val="auto"/>
        </w:rPr>
      </w:pPr>
    </w:p>
    <w:p>
      <w:pPr>
        <w:spacing w:after="0" w:line="268" w:lineRule="auto"/>
        <w:rPr>
          <w:sz w:val="20"/>
          <w:szCs w:val="20"/>
          <w:color w:val="auto"/>
        </w:rPr>
      </w:pPr>
      <w:r>
        <w:rPr>
          <w:rFonts w:ascii="Arial" w:cs="Arial" w:eastAsia="Arial" w:hAnsi="Arial"/>
          <w:sz w:val="13"/>
          <w:szCs w:val="13"/>
          <w:b w:val="1"/>
          <w:bCs w:val="1"/>
          <w:color w:val="auto"/>
        </w:rPr>
        <w:t xml:space="preserve">Item 17. </w:t>
      </w:r>
      <w:r>
        <w:rPr>
          <w:rFonts w:ascii="Arial" w:cs="Arial" w:eastAsia="Arial" w:hAnsi="Arial"/>
          <w:sz w:val="13"/>
          <w:szCs w:val="13"/>
          <w:color w:val="auto"/>
        </w:rPr>
        <w:t>Specify appropriate price group from one of the following groups of effort in developing</w:t>
      </w:r>
      <w:r>
        <w:rPr>
          <w:rFonts w:ascii="Arial" w:cs="Arial" w:eastAsia="Arial" w:hAnsi="Arial"/>
          <w:sz w:val="13"/>
          <w:szCs w:val="13"/>
          <w:b w:val="1"/>
          <w:bCs w:val="1"/>
          <w:color w:val="auto"/>
        </w:rPr>
        <w:t xml:space="preserve"> </w:t>
      </w:r>
      <w:r>
        <w:rPr>
          <w:rFonts w:ascii="Arial" w:cs="Arial" w:eastAsia="Arial" w:hAnsi="Arial"/>
          <w:sz w:val="13"/>
          <w:szCs w:val="13"/>
          <w:color w:val="auto"/>
        </w:rPr>
        <w:t>estimated prices for each data item listed on the DD Form 1423.</w:t>
      </w:r>
    </w:p>
    <w:p>
      <w:pPr>
        <w:spacing w:after="0" w:line="200" w:lineRule="exact"/>
        <w:rPr>
          <w:sz w:val="20"/>
          <w:szCs w:val="20"/>
          <w:color w:val="auto"/>
        </w:rPr>
      </w:pPr>
    </w:p>
    <w:p>
      <w:pPr>
        <w:spacing w:after="0" w:line="265" w:lineRule="exact"/>
        <w:rPr>
          <w:sz w:val="20"/>
          <w:szCs w:val="20"/>
          <w:color w:val="auto"/>
        </w:rPr>
      </w:pPr>
    </w:p>
    <w:p>
      <w:pPr>
        <w:ind w:firstLine="140"/>
        <w:spacing w:after="0"/>
        <w:rPr>
          <w:sz w:val="20"/>
          <w:szCs w:val="20"/>
          <w:color w:val="auto"/>
        </w:rPr>
      </w:pPr>
      <w:r>
        <w:rPr>
          <w:rFonts w:ascii="Arial" w:cs="Arial" w:eastAsia="Arial" w:hAnsi="Arial"/>
          <w:sz w:val="13"/>
          <w:szCs w:val="13"/>
          <w:color w:val="auto"/>
        </w:rPr>
        <w:t>a. Group I. Definition - Data which is not otherwise essential to the contractor's performance of the primary contracted effort (production, development, testing, and administration) but which is required by DD Form 1423.</w:t>
      </w:r>
    </w:p>
    <w:p>
      <w:pPr>
        <w:spacing w:after="0" w:line="200" w:lineRule="exact"/>
        <w:rPr>
          <w:sz w:val="20"/>
          <w:szCs w:val="20"/>
          <w:color w:val="auto"/>
        </w:rPr>
      </w:pPr>
    </w:p>
    <w:p>
      <w:pPr>
        <w:spacing w:after="0" w:line="283" w:lineRule="exact"/>
        <w:rPr>
          <w:sz w:val="20"/>
          <w:szCs w:val="20"/>
          <w:color w:val="auto"/>
        </w:rPr>
      </w:pPr>
    </w:p>
    <w:p>
      <w:pPr>
        <w:ind w:right="60" w:firstLine="140"/>
        <w:spacing w:after="0" w:line="239" w:lineRule="auto"/>
        <w:rPr>
          <w:sz w:val="20"/>
          <w:szCs w:val="20"/>
          <w:color w:val="auto"/>
        </w:rPr>
      </w:pPr>
      <w:r>
        <w:rPr>
          <w:rFonts w:ascii="Arial" w:cs="Arial" w:eastAsia="Arial" w:hAnsi="Arial"/>
          <w:sz w:val="13"/>
          <w:szCs w:val="13"/>
          <w:color w:val="auto"/>
        </w:rPr>
        <w:t>Estimated Price Costs to be included under Group I are those applicable to preparing and assembling the data item in conformance with Government requirements, and the administration and other expenses related to reproducing and delivering such data items to the Government.</w:t>
      </w:r>
    </w:p>
    <w:p>
      <w:pPr>
        <w:spacing w:after="0" w:line="200" w:lineRule="exact"/>
        <w:rPr>
          <w:sz w:val="20"/>
          <w:szCs w:val="20"/>
          <w:color w:val="auto"/>
        </w:rPr>
      </w:pPr>
    </w:p>
    <w:p>
      <w:pPr>
        <w:spacing w:after="0" w:line="285" w:lineRule="exact"/>
        <w:rPr>
          <w:sz w:val="20"/>
          <w:szCs w:val="20"/>
          <w:color w:val="auto"/>
        </w:rPr>
      </w:pPr>
    </w:p>
    <w:p>
      <w:pPr>
        <w:ind w:right="160" w:firstLine="140"/>
        <w:spacing w:after="0" w:line="239" w:lineRule="auto"/>
        <w:rPr>
          <w:sz w:val="20"/>
          <w:szCs w:val="20"/>
          <w:color w:val="auto"/>
        </w:rPr>
      </w:pPr>
      <w:r>
        <w:rPr>
          <w:rFonts w:ascii="Arial" w:cs="Arial" w:eastAsia="Arial" w:hAnsi="Arial"/>
          <w:sz w:val="13"/>
          <w:szCs w:val="13"/>
          <w:color w:val="auto"/>
        </w:rPr>
        <w:t>b. Group II. Definition Data which is essential to the performance of the primary contracted effort but the contractor is required to perform additional work to conform to Government requirements with regard to depth of content, format, frequency of submittal, preparation, control, or quality of the data item.</w:t>
      </w:r>
    </w:p>
    <w:p>
      <w:pPr>
        <w:spacing w:after="0" w:line="200" w:lineRule="exact"/>
        <w:rPr>
          <w:sz w:val="20"/>
          <w:szCs w:val="20"/>
          <w:color w:val="auto"/>
        </w:rPr>
      </w:pPr>
    </w:p>
    <w:p>
      <w:pPr>
        <w:spacing w:after="0" w:line="285" w:lineRule="exact"/>
        <w:rPr>
          <w:sz w:val="20"/>
          <w:szCs w:val="20"/>
          <w:color w:val="auto"/>
        </w:rPr>
      </w:pPr>
    </w:p>
    <w:p>
      <w:pPr>
        <w:ind w:right="40" w:firstLine="140"/>
        <w:spacing w:after="0" w:line="239" w:lineRule="auto"/>
        <w:rPr>
          <w:sz w:val="20"/>
          <w:szCs w:val="20"/>
          <w:color w:val="auto"/>
        </w:rPr>
      </w:pPr>
      <w:r>
        <w:rPr>
          <w:rFonts w:ascii="Arial" w:cs="Arial" w:eastAsia="Arial" w:hAnsi="Arial"/>
          <w:sz w:val="13"/>
          <w:szCs w:val="13"/>
          <w:color w:val="auto"/>
        </w:rPr>
        <w:t>Estimated Price - Costs to be included under Group II are those incurred over and above the cost of the essential data item without conforming to Government requirements, and administrative and other expenses related to reproducing delivering such data item to the Government.</w:t>
      </w:r>
    </w:p>
    <w:p>
      <w:pPr>
        <w:spacing w:after="0" w:line="200" w:lineRule="exact"/>
        <w:rPr>
          <w:sz w:val="20"/>
          <w:szCs w:val="20"/>
          <w:color w:val="auto"/>
        </w:rPr>
      </w:pPr>
    </w:p>
    <w:p>
      <w:pPr>
        <w:spacing w:after="0" w:line="285" w:lineRule="exact"/>
        <w:rPr>
          <w:sz w:val="20"/>
          <w:szCs w:val="20"/>
          <w:color w:val="auto"/>
        </w:rPr>
      </w:pPr>
    </w:p>
    <w:p>
      <w:pPr>
        <w:ind w:right="220" w:firstLine="140"/>
        <w:spacing w:after="0" w:line="239" w:lineRule="auto"/>
        <w:rPr>
          <w:sz w:val="20"/>
          <w:szCs w:val="20"/>
          <w:color w:val="auto"/>
        </w:rPr>
      </w:pPr>
      <w:r>
        <w:rPr>
          <w:rFonts w:ascii="Arial" w:cs="Arial" w:eastAsia="Arial" w:hAnsi="Arial"/>
          <w:sz w:val="13"/>
          <w:szCs w:val="13"/>
          <w:color w:val="auto"/>
        </w:rPr>
        <w:t>c. Group Ill. Definition- Data which the contractor must develop for his internal use in performance of the primary contracted effort and does not require any substantial change to conform to Government requirements with regard to depth of content, format, frequency of submittal, preparation, control, and quality of the data item.</w:t>
      </w:r>
    </w:p>
    <w:p>
      <w:pPr>
        <w:spacing w:after="0" w:line="200" w:lineRule="exact"/>
        <w:rPr>
          <w:sz w:val="20"/>
          <w:szCs w:val="20"/>
          <w:color w:val="auto"/>
        </w:rPr>
      </w:pPr>
    </w:p>
    <w:p>
      <w:pPr>
        <w:spacing w:after="0" w:line="285" w:lineRule="exact"/>
        <w:rPr>
          <w:sz w:val="20"/>
          <w:szCs w:val="20"/>
          <w:color w:val="auto"/>
        </w:rPr>
      </w:pPr>
    </w:p>
    <w:p>
      <w:pPr>
        <w:ind w:right="380" w:firstLine="140"/>
        <w:spacing w:after="0" w:line="282" w:lineRule="auto"/>
        <w:rPr>
          <w:sz w:val="20"/>
          <w:szCs w:val="20"/>
          <w:color w:val="auto"/>
        </w:rPr>
      </w:pPr>
      <w:r>
        <w:rPr>
          <w:rFonts w:ascii="Arial" w:cs="Arial" w:eastAsia="Arial" w:hAnsi="Arial"/>
          <w:sz w:val="12"/>
          <w:szCs w:val="12"/>
          <w:color w:val="auto"/>
        </w:rPr>
        <w:t>Estimated Price - Costs to be included under Group Ill are the administrative and other expenses related to reproducing and delivering such data item to the Government.</w:t>
      </w:r>
    </w:p>
    <w:p>
      <w:pPr>
        <w:spacing w:after="0" w:line="200" w:lineRule="exact"/>
        <w:rPr>
          <w:sz w:val="20"/>
          <w:szCs w:val="20"/>
          <w:color w:val="auto"/>
        </w:rPr>
      </w:pPr>
    </w:p>
    <w:p>
      <w:pPr>
        <w:spacing w:after="0" w:line="259" w:lineRule="exact"/>
        <w:rPr>
          <w:sz w:val="20"/>
          <w:szCs w:val="20"/>
          <w:color w:val="auto"/>
        </w:rPr>
      </w:pPr>
    </w:p>
    <w:p>
      <w:pPr>
        <w:jc w:val="both"/>
        <w:ind w:right="340" w:firstLine="140"/>
        <w:spacing w:after="0" w:line="282" w:lineRule="auto"/>
        <w:rPr>
          <w:sz w:val="20"/>
          <w:szCs w:val="20"/>
          <w:color w:val="auto"/>
        </w:rPr>
      </w:pPr>
      <w:r>
        <w:rPr>
          <w:rFonts w:ascii="Arial" w:cs="Arial" w:eastAsia="Arial" w:hAnsi="Arial"/>
          <w:sz w:val="12"/>
          <w:szCs w:val="12"/>
          <w:color w:val="auto"/>
        </w:rPr>
        <w:t>d. Group IV. Definition- Data which is developed by the contractor as part of his normal operating procedures and his effort in supplying these data to the Government is minimal.</w:t>
      </w:r>
    </w:p>
    <w:p>
      <w:pPr>
        <w:spacing w:after="0" w:line="200" w:lineRule="exact"/>
        <w:rPr>
          <w:sz w:val="20"/>
          <w:szCs w:val="20"/>
          <w:color w:val="auto"/>
        </w:rPr>
      </w:pPr>
    </w:p>
    <w:p>
      <w:pPr>
        <w:spacing w:after="0" w:line="259" w:lineRule="exact"/>
        <w:rPr>
          <w:sz w:val="20"/>
          <w:szCs w:val="20"/>
          <w:color w:val="auto"/>
        </w:rPr>
      </w:pPr>
    </w:p>
    <w:p>
      <w:pPr>
        <w:ind w:right="1860" w:firstLine="140"/>
        <w:spacing w:after="0" w:line="242" w:lineRule="auto"/>
        <w:rPr>
          <w:sz w:val="20"/>
          <w:szCs w:val="20"/>
          <w:color w:val="auto"/>
        </w:rPr>
      </w:pPr>
      <w:r>
        <w:rPr>
          <w:rFonts w:ascii="Arial" w:cs="Arial" w:eastAsia="Arial" w:hAnsi="Arial"/>
          <w:sz w:val="13"/>
          <w:szCs w:val="13"/>
          <w:color w:val="auto"/>
        </w:rPr>
        <w:t>Estimated Price - Group IV items should normally be shown on the DD Form 1423 at no cost.</w:t>
      </w:r>
    </w:p>
    <w:p>
      <w:pPr>
        <w:spacing w:after="0" w:line="200" w:lineRule="exact"/>
        <w:rPr>
          <w:sz w:val="20"/>
          <w:szCs w:val="20"/>
          <w:color w:val="auto"/>
        </w:rPr>
      </w:pPr>
    </w:p>
    <w:p>
      <w:pPr>
        <w:spacing w:after="0" w:line="266" w:lineRule="exact"/>
        <w:rPr>
          <w:sz w:val="20"/>
          <w:szCs w:val="20"/>
          <w:color w:val="auto"/>
        </w:rPr>
      </w:pPr>
    </w:p>
    <w:p>
      <w:pPr>
        <w:ind w:right="20"/>
        <w:spacing w:after="0" w:line="266" w:lineRule="auto"/>
        <w:rPr>
          <w:sz w:val="20"/>
          <w:szCs w:val="20"/>
          <w:color w:val="auto"/>
        </w:rPr>
      </w:pPr>
      <w:r>
        <w:rPr>
          <w:rFonts w:ascii="Arial" w:cs="Arial" w:eastAsia="Arial" w:hAnsi="Arial"/>
          <w:sz w:val="12"/>
          <w:szCs w:val="12"/>
          <w:b w:val="1"/>
          <w:bCs w:val="1"/>
          <w:color w:val="auto"/>
        </w:rPr>
        <w:t xml:space="preserve">Item 18. </w:t>
      </w:r>
      <w:r>
        <w:rPr>
          <w:rFonts w:ascii="Arial" w:cs="Arial" w:eastAsia="Arial" w:hAnsi="Arial"/>
          <w:sz w:val="12"/>
          <w:szCs w:val="12"/>
          <w:color w:val="auto"/>
        </w:rPr>
        <w:t>For each data item, enter an amount equal to that portion of the total price which is</w:t>
      </w:r>
      <w:r>
        <w:rPr>
          <w:rFonts w:ascii="Arial" w:cs="Arial" w:eastAsia="Arial" w:hAnsi="Arial"/>
          <w:sz w:val="12"/>
          <w:szCs w:val="12"/>
          <w:b w:val="1"/>
          <w:bCs w:val="1"/>
          <w:color w:val="auto"/>
        </w:rPr>
        <w:t xml:space="preserve"> </w:t>
      </w:r>
      <w:r>
        <w:rPr>
          <w:rFonts w:ascii="Arial" w:cs="Arial" w:eastAsia="Arial" w:hAnsi="Arial"/>
          <w:sz w:val="12"/>
          <w:szCs w:val="12"/>
          <w:color w:val="auto"/>
        </w:rPr>
        <w:t>estimated to be attributable to the production or development for the Government of that item of data. These estimated data prices shall be developed only from those costs which will be incurred as a direct result of the requirement to supply the data, over and above those costs which would otherwise be incurred in performance of the contract if no data were required. The estimated data prices shall not include any amount for rights in data. The Government's right to use the data shall be governed by the pertinent provisions of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156845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340"/>
            <w:col w:w="5320"/>
          </w:cols>
          <w:pgMar w:left="340" w:top="446" w:right="479" w:bottom="1440"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20"/>
                <w:szCs w:val="20"/>
                <w:color w:val="auto"/>
              </w:rPr>
            </w:pPr>
            <w:r>
              <w:rPr>
                <w:rFonts w:ascii="Arial" w:cs="Arial" w:eastAsia="Arial" w:hAnsi="Arial"/>
                <w:sz w:val="16"/>
                <w:szCs w:val="16"/>
                <w:b w:val="1"/>
                <w:bCs w:val="1"/>
                <w:color w:val="auto"/>
              </w:rPr>
              <w:t>DD FORM 1423-1 (BACK), FEB 2001</w:t>
            </w:r>
          </w:p>
        </w:tc>
        <w:tc>
          <w:tcPr>
            <w:tcW w:w="1100" w:type="dxa"/>
            <w:vAlign w:val="bottom"/>
          </w:tcPr>
          <w:p>
            <w:pPr>
              <w:ind w:left="640"/>
              <w:spacing w:after="0"/>
              <w:rPr>
                <w:sz w:val="20"/>
                <w:szCs w:val="20"/>
                <w:color w:val="auto"/>
              </w:rPr>
            </w:pPr>
            <w:r>
              <w:rPr>
                <w:rFonts w:ascii="Arial" w:cs="Arial" w:eastAsia="Arial" w:hAnsi="Arial"/>
                <w:sz w:val="13"/>
                <w:szCs w:val="13"/>
                <w:color w:val="090909"/>
                <w:w w:val="89"/>
              </w:rPr>
              <w:t xml:space="preserve">32 </w:t>
            </w:r>
            <w:r>
              <w:rPr>
                <w:rFonts w:ascii="Arial" w:cs="Arial" w:eastAsia="Arial" w:hAnsi="Arial"/>
                <w:sz w:val="14"/>
                <w:szCs w:val="14"/>
                <w:color w:val="070707"/>
                <w:w w:val="89"/>
              </w:rPr>
              <w:t>of 32</w:t>
            </w:r>
          </w:p>
        </w:tc>
      </w:tr>
    </w:tbl>
    <w:p>
      <w:pPr>
        <w:sectPr>
          <w:pgSz w:w="11900" w:h="16838" w:orient="portrait"/>
          <w:cols w:equalWidth="0" w:num="1">
            <w:col w:w="11080"/>
          </w:cols>
          <w:pgMar w:left="340" w:top="446" w:right="479" w:bottom="1440" w:gutter="0" w:footer="0" w:header="0"/>
          <w:type w:val="continuous"/>
        </w:sectPr>
      </w:pPr>
    </w:p>
    <w:bookmarkStart w:id="157" w:name="page158"/>
    <w:bookmarkEnd w:id="157"/>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80" w:right="540" w:hanging="324"/>
        <w:spacing w:after="0" w:line="334" w:lineRule="auto"/>
        <w:tabs>
          <w:tab w:leader="none" w:pos="971" w:val="left"/>
        </w:tabs>
        <w:numPr>
          <w:ilvl w:val="1"/>
          <w:numId w:val="2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00" w:hanging="324"/>
        <w:spacing w:after="0" w:line="263" w:lineRule="auto"/>
        <w:tabs>
          <w:tab w:leader="none" w:pos="96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80" w:right="780" w:hanging="324"/>
        <w:spacing w:after="0" w:line="334" w:lineRule="auto"/>
        <w:tabs>
          <w:tab w:leader="none" w:pos="971"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77" w:lineRule="auto"/>
        <w:tabs>
          <w:tab w:leader="none" w:pos="96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40" w:type="dxa"/>
            <w:vAlign w:val="bottom"/>
            <w:vMerge w:val="restart"/>
          </w:tcPr>
          <w:p>
            <w:pPr>
              <w:ind w:left="300"/>
              <w:spacing w:after="0"/>
              <w:rPr>
                <w:sz w:val="20"/>
                <w:szCs w:val="20"/>
                <w:color w:val="auto"/>
              </w:rPr>
            </w:pPr>
            <w:r>
              <w:rPr>
                <w:rFonts w:ascii="Arial" w:cs="Arial" w:eastAsia="Arial" w:hAnsi="Arial"/>
                <w:sz w:val="18"/>
                <w:szCs w:val="18"/>
                <w:color w:val="auto"/>
              </w:rPr>
              <w:t>Date: May 6, 2021</w:t>
            </w:r>
          </w:p>
        </w:tc>
        <w:tc>
          <w:tcPr>
            <w:tcW w:w="128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 Leonard S. Schleifer</w:t>
            </w:r>
          </w:p>
        </w:tc>
        <w:tc>
          <w:tcPr>
            <w:tcW w:w="0" w:type="dxa"/>
            <w:vAlign w:val="bottom"/>
          </w:tcPr>
          <w:p>
            <w:pPr>
              <w:spacing w:after="0"/>
              <w:rPr>
                <w:sz w:val="1"/>
                <w:szCs w:val="1"/>
                <w:color w:val="auto"/>
              </w:rPr>
            </w:pPr>
          </w:p>
        </w:tc>
      </w:tr>
      <w:tr>
        <w:trPr>
          <w:trHeight w:val="20"/>
        </w:trPr>
        <w:tc>
          <w:tcPr>
            <w:tcW w:w="2940" w:type="dxa"/>
            <w:vAlign w:val="bottom"/>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940" w:type="dxa"/>
            <w:vAlign w:val="bottom"/>
            <w:vMerge w:val="continue"/>
          </w:tcPr>
          <w:p>
            <w:pPr>
              <w:spacing w:after="0"/>
              <w:rPr>
                <w:sz w:val="7"/>
                <w:szCs w:val="7"/>
                <w:color w:val="auto"/>
              </w:rPr>
            </w:pPr>
          </w:p>
        </w:tc>
        <w:tc>
          <w:tcPr>
            <w:tcW w:w="128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Leonard S. Schleifer, M.D., Ph.D.</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19"/>
                <w:szCs w:val="19"/>
                <w:color w:val="auto"/>
              </w:rPr>
            </w:pPr>
          </w:p>
        </w:tc>
        <w:tc>
          <w:tcPr>
            <w:tcW w:w="8260" w:type="dxa"/>
            <w:vAlign w:val="bottom"/>
            <w:gridSpan w:val="3"/>
          </w:tcPr>
          <w:p>
            <w:pPr>
              <w:ind w:left="128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8260" w:type="dxa"/>
            <w:vAlign w:val="bottom"/>
            <w:gridSpan w:val="3"/>
          </w:tcPr>
          <w:p>
            <w:pPr>
              <w:ind w:left="12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2940" w:type="dxa"/>
            <w:vAlign w:val="bottom"/>
            <w:tcBorders>
              <w:bottom w:val="single" w:sz="8" w:color="666666"/>
            </w:tcBorders>
          </w:tcPr>
          <w:p>
            <w:pPr>
              <w:spacing w:after="0"/>
              <w:rPr>
                <w:sz w:val="24"/>
                <w:szCs w:val="24"/>
                <w:color w:val="auto"/>
              </w:rPr>
            </w:pPr>
          </w:p>
        </w:tc>
        <w:tc>
          <w:tcPr>
            <w:tcW w:w="128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9"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04" w:lineRule="exact"/>
        <w:rPr>
          <w:sz w:val="20"/>
          <w:szCs w:val="20"/>
          <w:color w:val="auto"/>
        </w:rPr>
      </w:pPr>
    </w:p>
    <w:p>
      <w:pPr>
        <w:ind w:left="340" w:hanging="332"/>
        <w:spacing w:after="0"/>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80" w:right="540" w:hanging="324"/>
        <w:spacing w:after="0" w:line="334" w:lineRule="auto"/>
        <w:tabs>
          <w:tab w:leader="none" w:pos="971" w:val="left"/>
        </w:tabs>
        <w:numPr>
          <w:ilvl w:val="1"/>
          <w:numId w:val="2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00" w:hanging="324"/>
        <w:spacing w:after="0" w:line="263" w:lineRule="auto"/>
        <w:tabs>
          <w:tab w:leader="none" w:pos="96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80" w:right="780" w:hanging="324"/>
        <w:spacing w:after="0" w:line="334" w:lineRule="auto"/>
        <w:tabs>
          <w:tab w:leader="none" w:pos="971"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77" w:lineRule="auto"/>
        <w:tabs>
          <w:tab w:leader="none" w:pos="96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40" w:type="dxa"/>
            <w:vAlign w:val="bottom"/>
            <w:vMerge w:val="restart"/>
          </w:tcPr>
          <w:p>
            <w:pPr>
              <w:ind w:left="300"/>
              <w:spacing w:after="0"/>
              <w:rPr>
                <w:sz w:val="20"/>
                <w:szCs w:val="20"/>
                <w:color w:val="auto"/>
              </w:rPr>
            </w:pPr>
            <w:r>
              <w:rPr>
                <w:rFonts w:ascii="Arial" w:cs="Arial" w:eastAsia="Arial" w:hAnsi="Arial"/>
                <w:sz w:val="18"/>
                <w:szCs w:val="18"/>
                <w:color w:val="auto"/>
              </w:rPr>
              <w:t>Date: May 6, 2021</w:t>
            </w:r>
          </w:p>
        </w:tc>
        <w:tc>
          <w:tcPr>
            <w:tcW w:w="1280" w:type="dxa"/>
            <w:vAlign w:val="bottom"/>
          </w:tcPr>
          <w:p>
            <w:pPr>
              <w:spacing w:after="0"/>
              <w:rPr>
                <w:sz w:val="18"/>
                <w:szCs w:val="18"/>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Robert E. Landry</w:t>
            </w: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940" w:type="dxa"/>
            <w:vAlign w:val="bottom"/>
            <w:vMerge w:val="continue"/>
          </w:tcPr>
          <w:p>
            <w:pPr>
              <w:spacing w:after="0"/>
              <w:rPr>
                <w:sz w:val="7"/>
                <w:szCs w:val="7"/>
                <w:color w:val="auto"/>
              </w:rPr>
            </w:pPr>
          </w:p>
        </w:tc>
        <w:tc>
          <w:tcPr>
            <w:tcW w:w="8260" w:type="dxa"/>
            <w:vAlign w:val="bottom"/>
            <w:gridSpan w:val="3"/>
            <w:vMerge w:val="restart"/>
          </w:tcPr>
          <w:p>
            <w:pPr>
              <w:ind w:left="1280"/>
              <w:spacing w:after="0"/>
              <w:rPr>
                <w:sz w:val="20"/>
                <w:szCs w:val="20"/>
                <w:color w:val="auto"/>
              </w:rPr>
            </w:pPr>
            <w:r>
              <w:rPr>
                <w:rFonts w:ascii="Arial" w:cs="Arial" w:eastAsia="Arial" w:hAnsi="Arial"/>
                <w:sz w:val="18"/>
                <w:szCs w:val="18"/>
                <w:color w:val="auto"/>
              </w:rPr>
              <w:t>Robert E. Landry</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82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260" w:type="dxa"/>
            <w:vAlign w:val="bottom"/>
            <w:gridSpan w:val="3"/>
          </w:tcPr>
          <w:p>
            <w:pPr>
              <w:ind w:left="1280"/>
              <w:spacing w:after="0" w:line="176" w:lineRule="exact"/>
              <w:rPr>
                <w:sz w:val="20"/>
                <w:szCs w:val="20"/>
                <w:color w:val="auto"/>
              </w:rPr>
            </w:pPr>
            <w:r>
              <w:rPr>
                <w:rFonts w:ascii="Arial" w:cs="Arial" w:eastAsia="Arial" w:hAnsi="Arial"/>
                <w:sz w:val="18"/>
                <w:szCs w:val="18"/>
                <w:color w:val="auto"/>
              </w:rPr>
              <w:t>Executive Vice President, Finance and Chief</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8260" w:type="dxa"/>
            <w:vAlign w:val="bottom"/>
            <w:gridSpan w:val="3"/>
          </w:tcPr>
          <w:p>
            <w:pPr>
              <w:ind w:left="128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8260" w:type="dxa"/>
            <w:vAlign w:val="bottom"/>
            <w:gridSpan w:val="3"/>
          </w:tcPr>
          <w:p>
            <w:pPr>
              <w:ind w:left="12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2940" w:type="dxa"/>
            <w:vAlign w:val="bottom"/>
            <w:tcBorders>
              <w:bottom w:val="single" w:sz="8" w:color="666666"/>
            </w:tcBorders>
          </w:tcPr>
          <w:p>
            <w:pPr>
              <w:spacing w:after="0"/>
              <w:rPr>
                <w:sz w:val="24"/>
                <w:szCs w:val="24"/>
                <w:color w:val="auto"/>
              </w:rPr>
            </w:pPr>
          </w:p>
        </w:tc>
        <w:tc>
          <w:tcPr>
            <w:tcW w:w="1280" w:type="dxa"/>
            <w:vAlign w:val="bottom"/>
            <w:tcBorders>
              <w:bottom w:val="single" w:sz="8" w:color="666666"/>
            </w:tcBorders>
          </w:tcPr>
          <w:p>
            <w:pPr>
              <w:spacing w:after="0"/>
              <w:rPr>
                <w:sz w:val="24"/>
                <w:szCs w:val="24"/>
                <w:color w:val="auto"/>
              </w:rPr>
            </w:pPr>
          </w:p>
        </w:tc>
        <w:tc>
          <w:tcPr>
            <w:tcW w:w="1480" w:type="dxa"/>
            <w:vAlign w:val="bottom"/>
            <w:tcBorders>
              <w:bottom w:val="single" w:sz="8" w:color="666666"/>
            </w:tcBorders>
          </w:tcPr>
          <w:p>
            <w:pPr>
              <w:spacing w:after="0"/>
              <w:rPr>
                <w:sz w:val="24"/>
                <w:szCs w:val="24"/>
                <w:color w:val="auto"/>
              </w:rPr>
            </w:pPr>
          </w:p>
        </w:tc>
        <w:tc>
          <w:tcPr>
            <w:tcW w:w="550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9"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March 31, 2021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50" w:lineRule="exact"/>
        <w:rPr>
          <w:sz w:val="20"/>
          <w:szCs w:val="20"/>
          <w:color w:val="auto"/>
        </w:rPr>
      </w:pPr>
    </w:p>
    <w:p>
      <w:pPr>
        <w:ind w:left="640" w:hanging="308"/>
        <w:spacing w:after="0"/>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Leonard S. Schleifer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2021</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Robert E. Landry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E. Landry</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Finance and Chief</w:t>
      </w:r>
    </w:p>
    <w:p>
      <w:pPr>
        <w:ind w:left="20"/>
        <w:spacing w:after="0"/>
        <w:rPr>
          <w:sz w:val="20"/>
          <w:szCs w:val="20"/>
          <w:color w:val="auto"/>
        </w:rPr>
      </w:pPr>
      <w:r>
        <w:rPr>
          <w:rFonts w:ascii="Arial" w:cs="Arial" w:eastAsia="Arial" w:hAnsi="Arial"/>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2021</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
      <w:numFmt w:val="bullet"/>
      <w:start w:val="1"/>
    </w:lvl>
  </w:abstractNum>
  <w:abstractNum w:abstractNumId="3">
    <w:nsid w:val="51088277"/>
    <w:multiLevelType w:val="hybridMultilevel"/>
    <w:lvl w:ilvl="0">
      <w:lvlJc w:val="left"/>
      <w:lvlText w:val="•"/>
      <w:numFmt w:val="bullet"/>
      <w:start w:val="1"/>
    </w:lvl>
  </w:abstractNum>
  <w:abstractNum w:abstractNumId="4">
    <w:nsid w:val="1CA0C5FA"/>
    <w:multiLevelType w:val="hybridMultilevel"/>
    <w:lvl w:ilvl="0">
      <w:lvlJc w:val="left"/>
      <w:lvlText w:val="(%1)"/>
      <w:numFmt w:val="lowerRoman"/>
      <w:start w:val="1"/>
    </w:lvl>
  </w:abstractNum>
  <w:abstractNum w:abstractNumId="5">
    <w:nsid w:val="53584BCB"/>
    <w:multiLevelType w:val="hybridMultilevel"/>
    <w:lvl w:ilvl="0">
      <w:lvlJc w:val="left"/>
      <w:lvlText w:val="(%1)"/>
      <w:numFmt w:val="decimal"/>
      <w:start w:val="1"/>
    </w:lvl>
  </w:abstractNum>
  <w:abstractNum w:abstractNumId="6">
    <w:nsid w:val="415E286C"/>
    <w:multiLevelType w:val="hybridMultilevel"/>
    <w:lvl w:ilvl="0">
      <w:lvlJc w:val="left"/>
      <w:lvlText w:val="(%1)"/>
      <w:numFmt w:val="decimal"/>
      <w:start w:val="8"/>
    </w:lvl>
  </w:abstractNum>
  <w:abstractNum w:abstractNumId="7">
    <w:nsid w:val="7C58FD05"/>
    <w:multiLevelType w:val="hybridMultilevel"/>
    <w:lvl w:ilvl="0">
      <w:lvlJc w:val="left"/>
      <w:lvlText w:val="(%1)"/>
      <w:numFmt w:val="lowerLetter"/>
      <w:start w:val="1"/>
    </w:lvl>
  </w:abstractNum>
  <w:abstractNum w:abstractNumId="8">
    <w:nsid w:val="23D86AAC"/>
    <w:multiLevelType w:val="hybridMultilevel"/>
    <w:lvl w:ilvl="0">
      <w:lvlJc w:val="left"/>
      <w:lvlText w:val="(%1)"/>
      <w:numFmt w:val="lowerLetter"/>
      <w:start w:val="1"/>
    </w:lvl>
  </w:abstractNum>
  <w:abstractNum w:abstractNumId="9">
    <w:nsid w:val="45E6D486"/>
    <w:multiLevelType w:val="hybridMultilevel"/>
    <w:lvl w:ilvl="0">
      <w:lvlJc w:val="left"/>
      <w:lvlText w:val="%1."/>
      <w:numFmt w:val="decimal"/>
      <w:start w:val="1"/>
    </w:lvl>
  </w:abstractNum>
  <w:abstractNum w:abstractNumId="10">
    <w:nsid w:val="5C10FE21"/>
    <w:multiLevelType w:val="hybridMultilevel"/>
    <w:lvl w:ilvl="0">
      <w:lvlJc w:val="left"/>
      <w:lvlText w:val="*"/>
      <w:numFmt w:val="bullet"/>
      <w:start w:val="1"/>
    </w:lvl>
  </w:abstractNum>
  <w:abstractNum w:abstractNumId="11">
    <w:nsid w:val="E7FFA2B"/>
    <w:multiLevelType w:val="hybridMultilevel"/>
    <w:lvl w:ilvl="0">
      <w:lvlJc w:val="left"/>
      <w:lvlText w:val="(%1)"/>
      <w:numFmt w:val="decimal"/>
      <w:start w:val="1"/>
    </w:lvl>
  </w:abstractNum>
  <w:abstractNum w:abstractNumId="12">
    <w:nsid w:val="3C5991AA"/>
    <w:multiLevelType w:val="hybridMultilevel"/>
    <w:lvl w:ilvl="0">
      <w:lvlJc w:val="left"/>
      <w:lvlText w:val="(%1)"/>
      <w:numFmt w:val="decimal"/>
      <w:start w:val="1"/>
    </w:lvl>
  </w:abstractNum>
  <w:abstractNum w:abstractNumId="13">
    <w:nsid w:val="4BD8591A"/>
    <w:multiLevelType w:val="hybridMultilevel"/>
    <w:lvl w:ilvl="0">
      <w:lvlJc w:val="left"/>
      <w:lvlText w:val="(%1)"/>
      <w:numFmt w:val="decimal"/>
      <w:start w:val="1"/>
    </w:lvl>
  </w:abstractNum>
  <w:abstractNum w:abstractNumId="14">
    <w:nsid w:val="78DF6A55"/>
    <w:multiLevelType w:val="hybridMultilevel"/>
    <w:lvl w:ilvl="0">
      <w:lvlJc w:val="left"/>
      <w:lvlText w:val="•"/>
      <w:numFmt w:val="bullet"/>
      <w:start w:val="1"/>
    </w:lvl>
  </w:abstractNum>
  <w:abstractNum w:abstractNumId="15">
    <w:nsid w:val="39B7AAA2"/>
    <w:multiLevelType w:val="hybridMultilevel"/>
    <w:lvl w:ilvl="0">
      <w:lvlJc w:val="left"/>
      <w:lvlText w:val="(%1)"/>
      <w:numFmt w:val="decimal"/>
      <w:start w:val="1"/>
    </w:lvl>
  </w:abstractNum>
  <w:abstractNum w:abstractNumId="16">
    <w:nsid w:val="2B0D8DBE"/>
    <w:multiLevelType w:val="hybridMultilevel"/>
    <w:lvl w:ilvl="0">
      <w:lvlJc w:val="left"/>
      <w:lvlText w:val="*"/>
      <w:numFmt w:val="bullet"/>
      <w:start w:val="1"/>
    </w:lvl>
  </w:abstractNum>
  <w:abstractNum w:abstractNumId="17">
    <w:nsid w:val="6C80EC70"/>
    <w:multiLevelType w:val="hybridMultilevel"/>
    <w:lvl w:ilvl="0">
      <w:lvlJc w:val="left"/>
      <w:lvlText w:val="•"/>
      <w:numFmt w:val="bullet"/>
      <w:start w:val="1"/>
    </w:lvl>
  </w:abstractNum>
  <w:abstractNum w:abstractNumId="18">
    <w:nsid w:val="379E21B5"/>
    <w:multiLevelType w:val="hybridMultilevel"/>
    <w:lvl w:ilvl="0">
      <w:lvlJc w:val="left"/>
      <w:lvlText w:val="•"/>
      <w:numFmt w:val="bullet"/>
      <w:start w:val="1"/>
    </w:lvl>
  </w:abstractNum>
  <w:abstractNum w:abstractNumId="19">
    <w:nsid w:val="69E373"/>
    <w:multiLevelType w:val="hybridMultilevel"/>
    <w:lvl w:ilvl="0">
      <w:lvlJc w:val="left"/>
      <w:lvlText w:val="•"/>
      <w:numFmt w:val="bullet"/>
      <w:start w:val="1"/>
    </w:lvl>
  </w:abstractNum>
  <w:abstractNum w:abstractNumId="20">
    <w:nsid w:val="2C27173B"/>
    <w:multiLevelType w:val="hybridMultilevel"/>
    <w:lvl w:ilvl="0">
      <w:lvlJc w:val="left"/>
      <w:lvlText w:val="•"/>
      <w:numFmt w:val="bullet"/>
      <w:start w:val="1"/>
    </w:lvl>
  </w:abstractNum>
  <w:abstractNum w:abstractNumId="21">
    <w:nsid w:val="4C9B0904"/>
    <w:multiLevelType w:val="hybridMultilevel"/>
    <w:lvl w:ilvl="0">
      <w:lvlJc w:val="left"/>
      <w:lvlText w:val="•"/>
      <w:numFmt w:val="bullet"/>
      <w:start w:val="1"/>
    </w:lvl>
  </w:abstractNum>
  <w:abstractNum w:abstractNumId="22">
    <w:nsid w:val="6AA7B75C"/>
    <w:multiLevelType w:val="hybridMultilevel"/>
    <w:lvl w:ilvl="0">
      <w:lvlJc w:val="left"/>
      <w:lvlText w:val="•"/>
      <w:numFmt w:val="bullet"/>
      <w:start w:val="1"/>
    </w:lvl>
  </w:abstractNum>
  <w:abstractNum w:abstractNumId="23">
    <w:nsid w:val="1DF029D3"/>
    <w:multiLevelType w:val="hybridMultilevel"/>
    <w:lvl w:ilvl="0">
      <w:lvlJc w:val="left"/>
      <w:lvlText w:val="•"/>
      <w:numFmt w:val="bullet"/>
      <w:start w:val="1"/>
    </w:lvl>
  </w:abstractNum>
  <w:abstractNum w:abstractNumId="24">
    <w:nsid w:val="5675FF36"/>
    <w:multiLevelType w:val="hybridMultilevel"/>
    <w:lvl w:ilvl="0">
      <w:lvlJc w:val="left"/>
      <w:lvlText w:val="•"/>
      <w:numFmt w:val="bullet"/>
      <w:start w:val="1"/>
    </w:lvl>
  </w:abstractNum>
  <w:abstractNum w:abstractNumId="25">
    <w:nsid w:val="3DD15094"/>
    <w:multiLevelType w:val="hybridMultilevel"/>
    <w:lvl w:ilvl="0">
      <w:lvlJc w:val="left"/>
      <w:lvlText w:val="•"/>
      <w:numFmt w:val="bullet"/>
      <w:start w:val="1"/>
    </w:lvl>
  </w:abstractNum>
  <w:abstractNum w:abstractNumId="26">
    <w:nsid w:val="3DB012B3"/>
    <w:multiLevelType w:val="hybridMultilevel"/>
    <w:lvl w:ilvl="0">
      <w:lvlJc w:val="left"/>
      <w:lvlText w:val="•"/>
      <w:numFmt w:val="bullet"/>
      <w:start w:val="1"/>
    </w:lvl>
  </w:abstractNum>
  <w:abstractNum w:abstractNumId="27">
    <w:nsid w:val="2708C9AF"/>
    <w:multiLevelType w:val="hybridMultilevel"/>
    <w:lvl w:ilvl="0">
      <w:lvlJc w:val="left"/>
      <w:lvlText w:val="•"/>
      <w:numFmt w:val="bullet"/>
      <w:start w:val="1"/>
    </w:lvl>
  </w:abstractNum>
  <w:abstractNum w:abstractNumId="28">
    <w:nsid w:val="5B25ACE2"/>
    <w:multiLevelType w:val="hybridMultilevel"/>
    <w:lvl w:ilvl="0">
      <w:lvlJc w:val="left"/>
      <w:lvlText w:val="•"/>
      <w:numFmt w:val="bullet"/>
      <w:start w:val="1"/>
    </w:lvl>
  </w:abstractNum>
  <w:abstractNum w:abstractNumId="29">
    <w:nsid w:val="175DFCF0"/>
    <w:multiLevelType w:val="hybridMultilevel"/>
    <w:lvl w:ilvl="0">
      <w:lvlJc w:val="left"/>
      <w:lvlText w:val="•"/>
      <w:numFmt w:val="bullet"/>
      <w:start w:val="1"/>
    </w:lvl>
  </w:abstractNum>
  <w:abstractNum w:abstractNumId="30">
    <w:nsid w:val="4F97E3E4"/>
    <w:multiLevelType w:val="hybridMultilevel"/>
    <w:lvl w:ilvl="0">
      <w:lvlJc w:val="left"/>
      <w:lvlText w:val="•"/>
      <w:numFmt w:val="bullet"/>
      <w:start w:val="1"/>
    </w:lvl>
  </w:abstractNum>
  <w:abstractNum w:abstractNumId="31">
    <w:nsid w:val="53B0A9E"/>
    <w:multiLevelType w:val="hybridMultilevel"/>
    <w:lvl w:ilvl="0">
      <w:lvlJc w:val="left"/>
      <w:lvlText w:val="•"/>
      <w:numFmt w:val="bullet"/>
      <w:start w:val="1"/>
    </w:lvl>
  </w:abstractNum>
  <w:abstractNum w:abstractNumId="32">
    <w:nsid w:val="34FD6B4F"/>
    <w:multiLevelType w:val="hybridMultilevel"/>
    <w:lvl w:ilvl="0">
      <w:lvlJc w:val="left"/>
      <w:lvlText w:val="•"/>
      <w:numFmt w:val="bullet"/>
      <w:start w:val="1"/>
    </w:lvl>
  </w:abstractNum>
  <w:abstractNum w:abstractNumId="33">
    <w:nsid w:val="5915FF32"/>
    <w:multiLevelType w:val="hybridMultilevel"/>
    <w:lvl w:ilvl="0">
      <w:lvlJc w:val="left"/>
      <w:lvlText w:val="•"/>
      <w:numFmt w:val="bullet"/>
      <w:start w:val="1"/>
    </w:lvl>
  </w:abstractNum>
  <w:abstractNum w:abstractNumId="34">
    <w:nsid w:val="56438D15"/>
    <w:multiLevelType w:val="hybridMultilevel"/>
    <w:lvl w:ilvl="0">
      <w:lvlJc w:val="left"/>
      <w:lvlText w:val="•"/>
      <w:numFmt w:val="bullet"/>
      <w:start w:val="1"/>
    </w:lvl>
  </w:abstractNum>
  <w:abstractNum w:abstractNumId="35">
    <w:nsid w:val="519E3149"/>
    <w:multiLevelType w:val="hybridMultilevel"/>
    <w:lvl w:ilvl="0">
      <w:lvlJc w:val="left"/>
      <w:lvlText w:val="(%1)"/>
      <w:numFmt w:val="lowerLetter"/>
      <w:start w:val="1"/>
    </w:lvl>
  </w:abstractNum>
  <w:abstractNum w:abstractNumId="36">
    <w:nsid w:val="2C6E4AFD"/>
    <w:multiLevelType w:val="hybridMultilevel"/>
    <w:lvl w:ilvl="0">
      <w:lvlJc w:val="left"/>
      <w:lvlText w:val="%1"/>
      <w:numFmt w:val="decimal"/>
      <w:start w:val="32"/>
    </w:lvl>
  </w:abstractNum>
  <w:abstractNum w:abstractNumId="37">
    <w:nsid w:val="17A1B582"/>
    <w:multiLevelType w:val="hybridMultilevel"/>
    <w:lvl w:ilvl="0">
      <w:lvlJc w:val="left"/>
      <w:lvlText w:val="%1"/>
      <w:numFmt w:val="decimal"/>
      <w:start w:val="101"/>
    </w:lvl>
  </w:abstractNum>
  <w:abstractNum w:abstractNumId="38">
    <w:nsid w:val="4DF72E4E"/>
    <w:multiLevelType w:val="hybridMultilevel"/>
    <w:lvl w:ilvl="0">
      <w:lvlJc w:val="left"/>
      <w:lvlText w:val="%1"/>
      <w:numFmt w:val="decimal"/>
      <w:start w:val="104"/>
    </w:lvl>
    <w:lvl w:ilvl="1">
      <w:lvlJc w:val="left"/>
      <w:lvlText w:val="*"/>
      <w:numFmt w:val="bullet"/>
      <w:start w:val="1"/>
    </w:lvl>
  </w:abstractNum>
  <w:abstractNum w:abstractNumId="39">
    <w:nsid w:val="5046B5A9"/>
    <w:multiLevelType w:val="hybridMultilevel"/>
    <w:lvl w:ilvl="0">
      <w:lvlJc w:val="left"/>
      <w:lvlText w:val="%1."/>
      <w:numFmt w:val="decimal"/>
      <w:start w:val="1"/>
    </w:lvl>
  </w:abstractNum>
  <w:abstractNum w:abstractNumId="40">
    <w:nsid w:val="5D888A08"/>
    <w:multiLevelType w:val="hybridMultilevel"/>
    <w:lvl w:ilvl="0">
      <w:lvlJc w:val="left"/>
      <w:lvlText w:val="%1."/>
      <w:numFmt w:val="decimal"/>
      <w:start w:val="2"/>
    </w:lvl>
  </w:abstractNum>
  <w:abstractNum w:abstractNumId="41">
    <w:nsid w:val="2A082C70"/>
    <w:multiLevelType w:val="hybridMultilevel"/>
    <w:lvl w:ilvl="0">
      <w:lvlJc w:val="left"/>
      <w:lvlText w:val="%1."/>
      <w:numFmt w:val="upperLetter"/>
      <w:start w:val="1"/>
    </w:lvl>
  </w:abstractNum>
  <w:abstractNum w:abstractNumId="42">
    <w:nsid w:val="5EC6AFD4"/>
    <w:multiLevelType w:val="hybridMultilevel"/>
    <w:lvl w:ilvl="0">
      <w:lvlJc w:val="left"/>
      <w:lvlText w:val="%1)"/>
      <w:numFmt w:val="lowerLetter"/>
      <w:start w:val="1"/>
    </w:lvl>
  </w:abstractNum>
  <w:abstractNum w:abstractNumId="43">
    <w:nsid w:val="19E21BB2"/>
    <w:multiLevelType w:val="hybridMultilevel"/>
    <w:lvl w:ilvl="0">
      <w:lvlJc w:val="left"/>
      <w:lvlText w:val="%1."/>
      <w:numFmt w:val="upperLetter"/>
      <w:start w:val="2"/>
    </w:lvl>
  </w:abstractNum>
  <w:abstractNum w:abstractNumId="44">
    <w:nsid w:val="75E0858A"/>
    <w:multiLevelType w:val="hybridMultilevel"/>
    <w:lvl w:ilvl="0">
      <w:lvlJc w:val="left"/>
      <w:lvlText w:val="%1)"/>
      <w:numFmt w:val="lowerLetter"/>
      <w:start w:val="1"/>
    </w:lvl>
  </w:abstractNum>
  <w:abstractNum w:abstractNumId="45">
    <w:nsid w:val="57A61A29"/>
    <w:multiLevelType w:val="hybridMultilevel"/>
    <w:lvl w:ilvl="0">
      <w:lvlJc w:val="left"/>
      <w:lvlText w:val="%1."/>
      <w:numFmt w:val="upperLetter"/>
      <w:start w:val="4"/>
    </w:lvl>
  </w:abstractNum>
  <w:abstractNum w:abstractNumId="46">
    <w:nsid w:val="5399C65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7">
    <w:nsid w:val="20EE1348"/>
    <w:multiLevelType w:val="hybridMultilevel"/>
    <w:lvl w:ilvl="0">
      <w:lvlJc w:val="left"/>
      <w:lvlText w:val="%1."/>
      <w:numFmt w:val="upperLetter"/>
      <w:start w:val="5"/>
    </w:lvl>
    <w:lvl w:ilvl="1">
      <w:lvlJc w:val="left"/>
      <w:lvlText w:val="%2"/>
      <w:numFmt w:val="lowerLetter"/>
      <w:start w:val="1"/>
    </w:lvl>
    <w:lvl w:ilvl="2">
      <w:lvlJc w:val="left"/>
      <w:lvlText w:val="%3."/>
      <w:numFmt w:val="lowerLetter"/>
      <w:start w:val="1"/>
    </w:lvl>
  </w:abstractNum>
  <w:abstractNum w:abstractNumId="48">
    <w:nsid w:val="4427069A"/>
    <w:multiLevelType w:val="hybridMultilevel"/>
    <w:lvl w:ilvl="0">
      <w:lvlJc w:val="left"/>
      <w:lvlText w:val="%1)"/>
      <w:numFmt w:val="lowerLetter"/>
      <w:start w:val="1"/>
    </w:lvl>
  </w:abstractNum>
  <w:abstractNum w:abstractNumId="49">
    <w:nsid w:val="B37E80A"/>
    <w:multiLevelType w:val="hybridMultilevel"/>
    <w:lvl w:ilvl="0">
      <w:lvlJc w:val="left"/>
      <w:lvlText w:val="%1"/>
      <w:numFmt w:val="decimal"/>
      <w:start w:val="1"/>
    </w:lvl>
    <w:lvl w:ilvl="1">
      <w:lvlJc w:val="left"/>
      <w:lvlText w:val="%2."/>
      <w:numFmt w:val="upperLetter"/>
      <w:start w:val="1"/>
    </w:lvl>
  </w:abstractNum>
  <w:abstractNum w:abstractNumId="50">
    <w:nsid w:val="2157F6BC"/>
    <w:multiLevelType w:val="hybridMultilevel"/>
    <w:lvl w:ilvl="0">
      <w:lvlJc w:val="left"/>
      <w:lvlText w:val="%1."/>
      <w:numFmt w:val="decimal"/>
      <w:start w:val="1"/>
    </w:lvl>
    <w:lvl w:ilvl="1">
      <w:lvlJc w:val="left"/>
      <w:lvlText w:val="%2"/>
      <w:numFmt w:val="upperLetter"/>
      <w:start w:val="1"/>
    </w:lvl>
  </w:abstractNum>
  <w:abstractNum w:abstractNumId="51">
    <w:nsid w:val="704E1DD5"/>
    <w:multiLevelType w:val="hybridMultilevel"/>
    <w:lvl w:ilvl="0">
      <w:lvlJc w:val="left"/>
      <w:lvlText w:val="%1"/>
      <w:numFmt w:val="decimal"/>
      <w:start w:val="1"/>
    </w:lvl>
    <w:lvl w:ilvl="1">
      <w:lvlJc w:val="left"/>
      <w:lvlText w:val="%2)"/>
      <w:numFmt w:val="lowerLetter"/>
      <w:start w:val="1"/>
    </w:lvl>
  </w:abstractNum>
  <w:abstractNum w:abstractNumId="52">
    <w:nsid w:val="57D2F10E"/>
    <w:multiLevelType w:val="hybridMultilevel"/>
    <w:lvl w:ilvl="0">
      <w:lvlJc w:val="left"/>
      <w:lvlText w:val="%1."/>
      <w:numFmt w:val="decimal"/>
      <w:start w:val="2"/>
    </w:lvl>
    <w:lvl w:ilvl="1">
      <w:lvlJc w:val="left"/>
      <w:lvlText w:val="%2"/>
      <w:numFmt w:val="lowerLetter"/>
      <w:start w:val="1"/>
    </w:lvl>
  </w:abstractNum>
  <w:abstractNum w:abstractNumId="53">
    <w:nsid w:val="BFFAE18"/>
    <w:multiLevelType w:val="hybridMultilevel"/>
    <w:lvl w:ilvl="0">
      <w:lvlJc w:val="left"/>
      <w:lvlText w:val="%1"/>
      <w:numFmt w:val="decimal"/>
      <w:start w:val="1"/>
    </w:lvl>
    <w:lvl w:ilvl="1">
      <w:lvlJc w:val="left"/>
      <w:lvlText w:val="%2)"/>
      <w:numFmt w:val="lowerLetter"/>
      <w:start w:val="1"/>
    </w:lvl>
  </w:abstractNum>
  <w:abstractNum w:abstractNumId="54">
    <w:nsid w:val="E3E47A8"/>
    <w:multiLevelType w:val="hybridMultilevel"/>
    <w:lvl w:ilvl="0">
      <w:lvlJc w:val="left"/>
      <w:lvlText w:val="%1."/>
      <w:numFmt w:val="decimal"/>
      <w:start w:val="3"/>
    </w:lvl>
    <w:lvl w:ilvl="1">
      <w:lvlJc w:val="left"/>
      <w:lvlText w:val="%2"/>
      <w:numFmt w:val="lowerLetter"/>
      <w:start w:val="1"/>
    </w:lvl>
  </w:abstractNum>
  <w:abstractNum w:abstractNumId="55">
    <w:nsid w:val="2E48F044"/>
    <w:multiLevelType w:val="hybridMultilevel"/>
    <w:lvl w:ilvl="0">
      <w:lvlJc w:val="left"/>
      <w:lvlText w:val="%1"/>
      <w:numFmt w:val="upperLetter"/>
      <w:start w:val="1"/>
    </w:lvl>
    <w:lvl w:ilvl="1">
      <w:lvlJc w:val="left"/>
      <w:lvlText w:val="%2)"/>
      <w:numFmt w:val="lowerLetter"/>
      <w:start w:val="1"/>
    </w:lvl>
  </w:abstractNum>
  <w:abstractNum w:abstractNumId="56">
    <w:nsid w:val="49D0FEAC"/>
    <w:multiLevelType w:val="hybridMultilevel"/>
    <w:lvl w:ilvl="0">
      <w:lvlJc w:val="left"/>
      <w:lvlText w:val="%1."/>
      <w:numFmt w:val="upperLetter"/>
      <w:start w:val="22"/>
    </w:lvl>
    <w:lvl w:ilvl="1">
      <w:lvlJc w:val="left"/>
      <w:lvlText w:val="%2"/>
      <w:numFmt w:val="lowerLetter"/>
      <w:start w:val="1"/>
    </w:lvl>
  </w:abstractNum>
  <w:abstractNum w:abstractNumId="57">
    <w:nsid w:val="4BEE5A5B"/>
    <w:multiLevelType w:val="hybridMultilevel"/>
    <w:lvl w:ilvl="0">
      <w:lvlJc w:val="left"/>
      <w:lvlText w:val="%1)"/>
      <w:numFmt w:val="lowerLetter"/>
      <w:start w:val="1"/>
    </w:lvl>
  </w:abstractNum>
  <w:abstractNum w:abstractNumId="58">
    <w:nsid w:val="5551B9F3"/>
    <w:multiLevelType w:val="hybridMultilevel"/>
    <w:lvl w:ilvl="0">
      <w:lvlJc w:val="left"/>
      <w:lvlText w:val="%1."/>
      <w:numFmt w:val="decimal"/>
      <w:start w:val="4"/>
    </w:lvl>
    <w:lvl w:ilvl="1">
      <w:lvlJc w:val="left"/>
      <w:lvlText w:val="%2"/>
      <w:numFmt w:val="upperLetter"/>
      <w:start w:val="1"/>
    </w:lvl>
    <w:lvl w:ilvl="2">
      <w:lvlJc w:val="left"/>
      <w:lvlText w:val="%3)"/>
      <w:numFmt w:val="lowerLetter"/>
      <w:start w:val="1"/>
    </w:lvl>
  </w:abstractNum>
  <w:abstractNum w:abstractNumId="59">
    <w:nsid w:val="24F6AB8E"/>
    <w:multiLevelType w:val="hybridMultilevel"/>
    <w:lvl w:ilvl="0">
      <w:lvlJc w:val="left"/>
      <w:lvlText w:val="%1"/>
      <w:numFmt w:val="upperLetter"/>
      <w:start w:val="1"/>
    </w:lvl>
    <w:lvl w:ilvl="1">
      <w:lvlJc w:val="left"/>
      <w:lvlText w:val="%2)"/>
      <w:numFmt w:val="lowerLetter"/>
      <w:start w:val="1"/>
    </w:lvl>
  </w:abstractNum>
  <w:abstractNum w:abstractNumId="60">
    <w:nsid w:val="634C574C"/>
    <w:multiLevelType w:val="hybridMultilevel"/>
    <w:lvl w:ilvl="0">
      <w:lvlJc w:val="left"/>
      <w:lvlText w:val="%1."/>
      <w:numFmt w:val="upperLetter"/>
      <w:start w:val="3"/>
    </w:lvl>
    <w:lvl w:ilvl="1">
      <w:lvlJc w:val="left"/>
      <w:lvlText w:val="%2)"/>
      <w:numFmt w:val="lowerLetter"/>
      <w:start w:val="1"/>
    </w:lvl>
  </w:abstractNum>
  <w:abstractNum w:abstractNumId="61">
    <w:nsid w:val="24E99DD7"/>
    <w:multiLevelType w:val="hybridMultilevel"/>
    <w:lvl w:ilvl="0">
      <w:lvlJc w:val="left"/>
      <w:lvlText w:val="%1"/>
      <w:numFmt w:val="upperLetter"/>
      <w:start w:val="1"/>
    </w:lvl>
    <w:lvl w:ilvl="1">
      <w:lvlJc w:val="left"/>
      <w:lvlText w:val="%2)"/>
      <w:numFmt w:val="lowerLetter"/>
      <w:start w:val="8"/>
    </w:lvl>
  </w:abstractNum>
  <w:abstractNum w:abstractNumId="62">
    <w:nsid w:val="2A31B62D"/>
    <w:multiLevelType w:val="hybridMultilevel"/>
    <w:lvl w:ilvl="0">
      <w:lvlJc w:val="left"/>
      <w:lvlText w:val="%1."/>
      <w:numFmt w:val="upperLetter"/>
      <w:start w:val="5"/>
    </w:lvl>
    <w:lvl w:ilvl="1">
      <w:lvlJc w:val="left"/>
      <w:lvlText w:val="%2)"/>
      <w:numFmt w:val="lowerLetter"/>
      <w:start w:val="1"/>
    </w:lvl>
  </w:abstractNum>
  <w:abstractNum w:abstractNumId="63">
    <w:nsid w:val="1849C29B"/>
    <w:multiLevelType w:val="hybridMultilevel"/>
    <w:lvl w:ilvl="0">
      <w:lvlJc w:val="left"/>
      <w:lvlText w:val="%1"/>
      <w:numFmt w:val="decimal"/>
      <w:start w:val="1"/>
    </w:lvl>
    <w:lvl w:ilvl="1">
      <w:lvlJc w:val="left"/>
      <w:lvlText w:val="%2)"/>
      <w:numFmt w:val="lowerLetter"/>
      <w:start w:val="1"/>
    </w:lvl>
  </w:abstractNum>
  <w:abstractNum w:abstractNumId="64">
    <w:nsid w:val="7DFF9D09"/>
    <w:multiLevelType w:val="hybridMultilevel"/>
    <w:lvl w:ilvl="0">
      <w:lvlJc w:val="left"/>
      <w:lvlText w:val="%1."/>
      <w:numFmt w:val="decimal"/>
      <w:start w:val="5"/>
    </w:lvl>
    <w:lvl w:ilvl="1">
      <w:lvlJc w:val="left"/>
      <w:lvlText w:val="%2"/>
      <w:numFmt w:val="lowerLetter"/>
      <w:start w:val="1"/>
    </w:lvl>
  </w:abstractNum>
  <w:abstractNum w:abstractNumId="65">
    <w:nsid w:val="754342"/>
    <w:multiLevelType w:val="hybridMultilevel"/>
    <w:lvl w:ilvl="0">
      <w:lvlJc w:val="left"/>
      <w:lvlText w:val="%1"/>
      <w:numFmt w:val="lowerLetter"/>
      <w:start w:val="1"/>
    </w:lvl>
    <w:lvl w:ilvl="1">
      <w:lvlJc w:val="left"/>
      <w:lvlText w:val="%2)"/>
      <w:numFmt w:val="lowerLetter"/>
      <w:start w:val="1"/>
    </w:lvl>
  </w:abstractNum>
  <w:abstractNum w:abstractNumId="66">
    <w:nsid w:val="69E7F3E5"/>
    <w:multiLevelType w:val="hybridMultilevel"/>
    <w:lvl w:ilvl="0">
      <w:lvlJc w:val="left"/>
      <w:lvlText w:val="%1)"/>
      <w:numFmt w:val="lowerLetter"/>
      <w:start w:val="2"/>
    </w:lvl>
    <w:lvl w:ilvl="1">
      <w:lvlJc w:val="left"/>
      <w:lvlText w:val="%2"/>
      <w:numFmt w:val="lowerLetter"/>
      <w:start w:val="1"/>
    </w:lvl>
  </w:abstractNum>
  <w:abstractNum w:abstractNumId="67">
    <w:nsid w:val="2A6DE806"/>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68">
    <w:nsid w:val="1816F8C4"/>
    <w:multiLevelType w:val="hybridMultilevel"/>
    <w:lvl w:ilvl="0">
      <w:lvlJc w:val="left"/>
      <w:lvlText w:val="%1."/>
      <w:numFmt w:val="decimal"/>
      <w:start w:val="6"/>
    </w:lvl>
  </w:abstractNum>
  <w:abstractNum w:abstractNumId="69">
    <w:nsid w:val="37DF2233"/>
    <w:multiLevelType w:val="hybridMultilevel"/>
    <w:lvl w:ilvl="0">
      <w:lvlJc w:val="left"/>
      <w:lvlText w:val="%1"/>
      <w:numFmt w:val="decimal"/>
      <w:start w:val="1"/>
    </w:lvl>
    <w:lvl w:ilvl="1">
      <w:lvlJc w:val="left"/>
      <w:lvlText w:val="%2)"/>
      <w:numFmt w:val="lowerLetter"/>
      <w:start w:val="1"/>
    </w:lvl>
  </w:abstractNum>
  <w:abstractNum w:abstractNumId="70">
    <w:nsid w:val="7AB49DAF"/>
    <w:multiLevelType w:val="hybridMultilevel"/>
    <w:lvl w:ilvl="0">
      <w:lvlJc w:val="left"/>
      <w:lvlText w:val="%1."/>
      <w:numFmt w:val="decimal"/>
      <w:start w:val="7"/>
    </w:lvl>
    <w:lvl w:ilvl="1">
      <w:lvlJc w:val="left"/>
      <w:lvlText w:val="%2"/>
      <w:numFmt w:val="lowerLetter"/>
      <w:start w:val="1"/>
    </w:lvl>
  </w:abstractNum>
  <w:abstractNum w:abstractNumId="71">
    <w:nsid w:val="759F82CD"/>
    <w:multiLevelType w:val="hybridMultilevel"/>
    <w:lvl w:ilvl="0">
      <w:lvlJc w:val="left"/>
      <w:lvlText w:val="%1"/>
      <w:numFmt w:val="upperLetter"/>
      <w:start w:val="1"/>
    </w:lvl>
    <w:lvl w:ilvl="1">
      <w:lvlJc w:val="left"/>
      <w:lvlText w:val="%2)"/>
      <w:numFmt w:val="lowerLetter"/>
      <w:start w:val="1"/>
    </w:lvl>
  </w:abstractNum>
  <w:abstractNum w:abstractNumId="72">
    <w:nsid w:val="61E74EA3"/>
    <w:multiLevelType w:val="hybridMultilevel"/>
    <w:lvl w:ilvl="0">
      <w:lvlJc w:val="left"/>
      <w:lvlText w:val="%1."/>
      <w:numFmt w:val="upperLetter"/>
      <w:start w:val="2"/>
    </w:lvl>
    <w:lvl w:ilvl="1">
      <w:lvlJc w:val="left"/>
      <w:lvlText w:val="%2)"/>
      <w:numFmt w:val="lowerLetter"/>
      <w:start w:val="1"/>
    </w:lvl>
  </w:abstractNum>
  <w:abstractNum w:abstractNumId="73">
    <w:nsid w:val="597B4D84"/>
    <w:multiLevelType w:val="hybridMultilevel"/>
    <w:lvl w:ilvl="0">
      <w:lvlJc w:val="left"/>
      <w:lvlText w:val="%1."/>
      <w:numFmt w:val="decimal"/>
      <w:start w:val="8"/>
    </w:lvl>
    <w:lvl w:ilvl="1">
      <w:lvlJc w:val="left"/>
      <w:lvlText w:val="%2"/>
      <w:numFmt w:val="upperLetter"/>
      <w:start w:val="1"/>
    </w:lvl>
  </w:abstractNum>
  <w:abstractNum w:abstractNumId="74">
    <w:nsid w:val="F819E7F"/>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75">
    <w:nsid w:val="57C7D42D"/>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76">
    <w:nsid w:val="312167AD"/>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77">
    <w:nsid w:val="631B64D4"/>
    <w:multiLevelType w:val="hybridMultilevel"/>
    <w:lvl w:ilvl="0">
      <w:lvlJc w:val="left"/>
      <w:lvlText w:val="%1)"/>
      <w:numFmt w:val="lowerLetter"/>
      <w:start w:val="2"/>
    </w:lvl>
    <w:lvl w:ilvl="1">
      <w:lvlJc w:val="left"/>
      <w:lvlText w:val="%2)"/>
      <w:numFmt w:val="lowerLetter"/>
      <w:start w:val="3"/>
    </w:lvl>
  </w:abstractNum>
  <w:abstractNum w:abstractNumId="78">
    <w:nsid w:val="78B5E77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9">
    <w:nsid w:val="75486E4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80">
    <w:nsid w:val="6E534CDE"/>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abstractNum>
  <w:abstractNum w:abstractNumId="81">
    <w:nsid w:val="1A0DDE32"/>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abstractNum>
  <w:abstractNum w:abstractNumId="82">
    <w:nsid w:val="65968C1C"/>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abstractNum>
  <w:abstractNum w:abstractNumId="83">
    <w:nsid w:val="46263DEC"/>
    <w:multiLevelType w:val="hybridMultilevel"/>
    <w:lvl w:ilvl="0">
      <w:lvlJc w:val="left"/>
      <w:lvlText w:val="%1"/>
      <w:numFmt w:val="decimal"/>
      <w:start w:val="1"/>
    </w:lvl>
    <w:lvl w:ilvl="1">
      <w:lvlJc w:val="left"/>
      <w:lvlText w:val="%2)"/>
      <w:numFmt w:val="lowerLetter"/>
      <w:start w:val="1"/>
    </w:lvl>
  </w:abstractNum>
  <w:abstractNum w:abstractNumId="84">
    <w:nsid w:val="260D8C4A"/>
    <w:multiLevelType w:val="hybridMultilevel"/>
    <w:lvl w:ilvl="0">
      <w:lvlJc w:val="left"/>
      <w:lvlText w:val="%1."/>
      <w:numFmt w:val="decimal"/>
      <w:start w:val="9"/>
    </w:lvl>
    <w:lvl w:ilvl="1">
      <w:lvlJc w:val="left"/>
      <w:lvlText w:val="%2"/>
      <w:numFmt w:val="lowerLetter"/>
      <w:start w:val="1"/>
    </w:lvl>
  </w:abstractNum>
  <w:abstractNum w:abstractNumId="85">
    <w:nsid w:val="73D4D3C4"/>
    <w:multiLevelType w:val="hybridMultilevel"/>
    <w:lvl w:ilvl="0">
      <w:lvlJc w:val="left"/>
      <w:lvlText w:val="%1"/>
      <w:numFmt w:val="upperLetter"/>
      <w:start w:val="1"/>
    </w:lvl>
    <w:lvl w:ilvl="1">
      <w:lvlJc w:val="left"/>
      <w:lvlText w:val="%2)"/>
      <w:numFmt w:val="lowerLetter"/>
      <w:start w:val="1"/>
    </w:lvl>
  </w:abstractNum>
  <w:abstractNum w:abstractNumId="86">
    <w:nsid w:val="746F2E30"/>
    <w:multiLevelType w:val="hybridMultilevel"/>
    <w:lvl w:ilvl="0">
      <w:lvlJc w:val="left"/>
      <w:lvlText w:val="%1."/>
      <w:numFmt w:val="upperLetter"/>
      <w:start w:val="2"/>
    </w:lvl>
    <w:lvl w:ilvl="1">
      <w:lvlJc w:val="left"/>
      <w:lvlText w:val="%2)"/>
      <w:numFmt w:val="lowerLetter"/>
      <w:start w:val="1"/>
    </w:lvl>
  </w:abstractNum>
  <w:abstractNum w:abstractNumId="87">
    <w:nsid w:val="6FDE8AF6"/>
    <w:multiLevelType w:val="hybridMultilevel"/>
    <w:lvl w:ilvl="0">
      <w:lvlJc w:val="left"/>
      <w:lvlText w:val="%1)"/>
      <w:numFmt w:val="lowerLetter"/>
      <w:start w:val="2"/>
    </w:lvl>
  </w:abstractNum>
  <w:abstractNum w:abstractNumId="88">
    <w:nsid w:val="3FC32E20"/>
    <w:multiLevelType w:val="hybridMultilevel"/>
    <w:lvl w:ilvl="0">
      <w:lvlJc w:val="left"/>
      <w:lvlText w:val="%1"/>
      <w:numFmt w:val="decimal"/>
      <w:start w:val="1"/>
    </w:lvl>
    <w:lvl w:ilvl="1">
      <w:lvlJc w:val="left"/>
      <w:lvlText w:val="(%2)"/>
      <w:numFmt w:val="lowerLetter"/>
      <w:start w:val="2"/>
    </w:lvl>
  </w:abstractNum>
  <w:abstractNum w:abstractNumId="89">
    <w:nsid w:val="49C0E823"/>
    <w:multiLevelType w:val="hybridMultilevel"/>
    <w:lvl w:ilvl="0">
      <w:lvlJc w:val="left"/>
      <w:lvlText w:val="(%1)"/>
      <w:numFmt w:val="decimal"/>
      <w:start w:val="1"/>
    </w:lvl>
    <w:lvl w:ilvl="1">
      <w:lvlJc w:val="left"/>
      <w:lvlText w:val="%2"/>
      <w:numFmt w:val="lowerLetter"/>
      <w:start w:val="1"/>
    </w:lvl>
  </w:abstractNum>
  <w:abstractNum w:abstractNumId="90">
    <w:nsid w:val="14D53685"/>
    <w:multiLevelType w:val="hybridMultilevel"/>
    <w:lvl w:ilvl="0">
      <w:lvlJc w:val="left"/>
      <w:lvlText w:val="(%1)"/>
      <w:numFmt w:val="lowerLetter"/>
      <w:start w:val="4"/>
    </w:lvl>
  </w:abstractNum>
  <w:abstractNum w:abstractNumId="91">
    <w:nsid w:val="230F856C"/>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92">
    <w:nsid w:val="6EAA85FB"/>
    <w:multiLevelType w:val="hybridMultilevel"/>
    <w:lvl w:ilvl="0">
      <w:lvlJc w:val="left"/>
      <w:lvlText w:val="(%1)"/>
      <w:numFmt w:val="upperLetter"/>
      <w:start w:val="2"/>
    </w:lvl>
  </w:abstractNum>
  <w:abstractNum w:abstractNumId="93">
    <w:nsid w:val="3F06ECB2"/>
    <w:multiLevelType w:val="hybridMultilevel"/>
    <w:lvl w:ilvl="0">
      <w:lvlJc w:val="left"/>
      <w:lvlText w:val="%1"/>
      <w:numFmt w:val="decimal"/>
      <w:start w:val="1"/>
    </w:lvl>
    <w:lvl w:ilvl="1">
      <w:lvlJc w:val="left"/>
      <w:lvlText w:val="(%2)"/>
      <w:numFmt w:val="lowerRoman"/>
      <w:start w:val="3"/>
    </w:lvl>
  </w:abstractNum>
  <w:abstractNum w:abstractNumId="94">
    <w:nsid w:val="3B594807"/>
    <w:multiLevelType w:val="hybridMultilevel"/>
    <w:lvl w:ilvl="0">
      <w:lvlJc w:val="left"/>
      <w:lvlText w:val="(%1)"/>
      <w:numFmt w:val="decimal"/>
      <w:start w:val="2"/>
    </w:lvl>
    <w:lvl w:ilvl="1">
      <w:lvlJc w:val="left"/>
      <w:lvlText w:val="%2"/>
      <w:numFmt w:val="lowerRoman"/>
      <w:start w:val="1"/>
    </w:lvl>
  </w:abstractNum>
  <w:abstractNum w:abstractNumId="95">
    <w:nsid w:val="6CAA2304"/>
    <w:multiLevelType w:val="hybridMultilevel"/>
    <w:lvl w:ilvl="0">
      <w:lvlJc w:val="left"/>
      <w:lvlText w:val="(%1)"/>
      <w:numFmt w:val="decimal"/>
      <w:start w:val="3"/>
    </w:lvl>
  </w:abstractNum>
  <w:abstractNum w:abstractNumId="96">
    <w:nsid w:val="3F7C2FF4"/>
    <w:multiLevelType w:val="hybridMultilevel"/>
    <w:lvl w:ilvl="0">
      <w:lvlJc w:val="left"/>
      <w:lvlText w:val="(%1)"/>
      <w:numFmt w:val="decimal"/>
      <w:start w:val="4"/>
    </w:lvl>
  </w:abstractNum>
  <w:abstractNum w:abstractNumId="97">
    <w:nsid w:val="25413BEC"/>
    <w:multiLevelType w:val="hybridMultilevel"/>
    <w:lvl w:ilvl="0">
      <w:lvlJc w:val="left"/>
      <w:lvlText w:val="(%1)"/>
      <w:numFmt w:val="decimal"/>
      <w:start w:val="1"/>
    </w:lvl>
  </w:abstractNum>
  <w:abstractNum w:abstractNumId="98">
    <w:nsid w:val="17180B0B"/>
    <w:multiLevelType w:val="hybridMultilevel"/>
    <w:lvl w:ilvl="0">
      <w:lvlJc w:val="left"/>
      <w:lvlText w:val="%1"/>
      <w:numFmt w:val="upperLetter"/>
      <w:start w:val="1"/>
    </w:lvl>
    <w:lvl w:ilvl="1">
      <w:lvlJc w:val="left"/>
      <w:lvlText w:val="%2."/>
      <w:numFmt w:val="decimal"/>
      <w:start w:val="1"/>
    </w:lvl>
  </w:abstractNum>
  <w:abstractNum w:abstractNumId="99">
    <w:nsid w:val="579328B9"/>
    <w:multiLevelType w:val="hybridMultilevel"/>
    <w:lvl w:ilvl="0">
      <w:lvlJc w:val="left"/>
      <w:lvlText w:val="(%1)"/>
      <w:numFmt w:val="lowerLetter"/>
      <w:start w:val="1"/>
    </w:lvl>
  </w:abstractNum>
  <w:abstractNum w:abstractNumId="100">
    <w:nsid w:val="5D205E20"/>
    <w:multiLevelType w:val="hybridMultilevel"/>
    <w:lvl w:ilvl="0">
      <w:lvlJc w:val="left"/>
      <w:lvlText w:val="(%1)"/>
      <w:numFmt w:val="lowerLetter"/>
      <w:start w:val="2"/>
    </w:lvl>
  </w:abstractNum>
  <w:abstractNum w:abstractNumId="101">
    <w:nsid w:val="11CCA8BA"/>
    <w:multiLevelType w:val="hybridMultilevel"/>
    <w:lvl w:ilvl="0">
      <w:lvlJc w:val="left"/>
      <w:lvlText w:val="%1."/>
      <w:numFmt w:val="lowerLetter"/>
      <w:start w:val="1"/>
    </w:lvl>
  </w:abstractNum>
  <w:abstractNum w:abstractNumId="102">
    <w:nsid w:val="4D32AB86"/>
    <w:multiLevelType w:val="hybridMultilevel"/>
    <w:lvl w:ilvl="0">
      <w:lvlJc w:val="left"/>
      <w:lvlText w:val="(%1)"/>
      <w:numFmt w:val="lowerLetter"/>
      <w:start w:val="1"/>
    </w:lvl>
  </w:abstractNum>
  <w:abstractNum w:abstractNumId="103">
    <w:nsid w:val="3F07ACC3"/>
    <w:multiLevelType w:val="hybridMultilevel"/>
    <w:lvl w:ilvl="0">
      <w:lvlJc w:val="left"/>
      <w:lvlText w:val="%1."/>
      <w:numFmt w:val="decimal"/>
      <w:start w:val="1"/>
    </w:lvl>
  </w:abstractNum>
  <w:abstractNum w:abstractNumId="104">
    <w:nsid w:val="6B47F63E"/>
    <w:multiLevelType w:val="hybridMultilevel"/>
    <w:lvl w:ilvl="0">
      <w:lvlJc w:val="left"/>
      <w:lvlText w:val="%1"/>
      <w:numFmt w:val="upperLetter"/>
      <w:start w:val="1"/>
    </w:lvl>
    <w:lvl w:ilvl="1">
      <w:lvlJc w:val="left"/>
      <w:lvlText w:val="%2."/>
      <w:numFmt w:val="lowerRoman"/>
      <w:start w:val="1"/>
    </w:lvl>
  </w:abstractNum>
  <w:abstractNum w:abstractNumId="105">
    <w:nsid w:val="5CB44A05"/>
    <w:multiLevelType w:val="hybridMultilevel"/>
    <w:lvl w:ilvl="0">
      <w:lvlJc w:val="left"/>
      <w:lvlText w:val="%1."/>
      <w:numFmt w:val="upperLetter"/>
      <w:start w:val="1"/>
    </w:lvl>
    <w:lvl w:ilvl="1">
      <w:lvlJc w:val="left"/>
      <w:lvlText w:val="%2"/>
      <w:numFmt w:val="lowerRoman"/>
      <w:start w:val="1"/>
    </w:lvl>
  </w:abstractNum>
  <w:abstractNum w:abstractNumId="106">
    <w:nsid w:val="16CF80F1"/>
    <w:multiLevelType w:val="hybridMultilevel"/>
    <w:lvl w:ilvl="0">
      <w:lvlJc w:val="left"/>
      <w:lvlText w:val="%1."/>
      <w:numFmt w:val="decimal"/>
      <w:start w:val="3"/>
    </w:lvl>
    <w:lvl w:ilvl="1">
      <w:lvlJc w:val="left"/>
      <w:lvlText w:val="%2"/>
      <w:numFmt w:val="decimal"/>
      <w:start w:val="1"/>
    </w:lvl>
  </w:abstractNum>
  <w:abstractNum w:abstractNumId="107">
    <w:nsid w:val="1C695DEC"/>
    <w:multiLevelType w:val="hybridMultilevel"/>
    <w:lvl w:ilvl="0">
      <w:lvlJc w:val="left"/>
      <w:lvlText w:val="%1."/>
      <w:numFmt w:val="decimal"/>
      <w:start w:val="1"/>
    </w:lvl>
    <w:lvl w:ilvl="1">
      <w:lvlJc w:val="left"/>
      <w:lvlText w:val="%2"/>
      <w:numFmt w:val="decimal"/>
      <w:start w:val="1"/>
    </w:lvl>
  </w:abstractNum>
  <w:abstractNum w:abstractNumId="108">
    <w:nsid w:val="3FCFAED9"/>
    <w:multiLevelType w:val="hybridMultilevel"/>
    <w:lvl w:ilvl="0">
      <w:lvlJc w:val="left"/>
      <w:lvlText w:val="%1."/>
      <w:numFmt w:val="lowerRoman"/>
      <w:start w:val="1"/>
    </w:lvl>
  </w:abstractNum>
  <w:abstractNum w:abstractNumId="109">
    <w:nsid w:val="F856867"/>
    <w:multiLevelType w:val="hybridMultilevel"/>
    <w:lvl w:ilvl="0">
      <w:lvlJc w:val="left"/>
      <w:lvlText w:val="%1."/>
      <w:numFmt w:val="lowerRoman"/>
      <w:start w:val="2"/>
    </w:lvl>
  </w:abstractNum>
  <w:abstractNum w:abstractNumId="110">
    <w:nsid w:val="11B1CC33"/>
    <w:multiLevelType w:val="hybridMultilevel"/>
    <w:lvl w:ilvl="0">
      <w:lvlJc w:val="left"/>
      <w:lvlText w:val="(%1)"/>
      <w:numFmt w:val="lowerLetter"/>
      <w:start w:val="2"/>
    </w:lvl>
  </w:abstractNum>
  <w:abstractNum w:abstractNumId="111">
    <w:nsid w:val="2E22FBB7"/>
    <w:multiLevelType w:val="hybridMultilevel"/>
    <w:lvl w:ilvl="0">
      <w:lvlJc w:val="left"/>
      <w:lvlText w:val="%1."/>
      <w:numFmt w:val="decimal"/>
      <w:start w:val="2"/>
    </w:lvl>
  </w:abstractNum>
  <w:abstractNum w:abstractNumId="112">
    <w:nsid w:val="29934699"/>
    <w:multiLevelType w:val="hybridMultilevel"/>
    <w:lvl w:ilvl="0">
      <w:lvlJc w:val="left"/>
      <w:lvlText w:val="%1"/>
      <w:numFmt w:val="lowerLetter"/>
      <w:start w:val="1"/>
    </w:lvl>
    <w:lvl w:ilvl="1">
      <w:lvlJc w:val="left"/>
      <w:lvlText w:val="(%2)"/>
      <w:numFmt w:val="lowerLetter"/>
      <w:start w:val="1"/>
    </w:lvl>
  </w:abstractNum>
  <w:abstractNum w:abstractNumId="113">
    <w:nsid w:val="77485850"/>
    <w:multiLevelType w:val="hybridMultilevel"/>
    <w:lvl w:ilvl="0">
      <w:lvlJc w:val="left"/>
      <w:lvlText w:val="(%1)"/>
      <w:numFmt w:val="lowerLetter"/>
      <w:start w:val="2"/>
    </w:lvl>
    <w:lvl w:ilvl="1">
      <w:lvlJc w:val="left"/>
      <w:lvlText w:val="%2"/>
      <w:numFmt w:val="lowerLetter"/>
      <w:start w:val="1"/>
    </w:lvl>
  </w:abstractNum>
  <w:abstractNum w:abstractNumId="114">
    <w:nsid w:val="744939A3"/>
    <w:multiLevelType w:val="hybridMultilevel"/>
    <w:lvl w:ilvl="0">
      <w:lvlJc w:val="left"/>
      <w:lvlText w:val="%1."/>
      <w:numFmt w:val="decimal"/>
      <w:start w:val="3"/>
    </w:lvl>
    <w:lvl w:ilvl="1">
      <w:lvlJc w:val="left"/>
      <w:lvlText w:val="***"/>
      <w:numFmt w:val="bullet"/>
      <w:start w:val="1"/>
    </w:lvl>
  </w:abstractNum>
  <w:abstractNum w:abstractNumId="115">
    <w:nsid w:val="4FA0D2E3"/>
    <w:multiLevelType w:val="hybridMultilevel"/>
    <w:lvl w:ilvl="0">
      <w:lvlJc w:val="left"/>
      <w:lvlText w:val="1"/>
      <w:numFmt w:val="bullet"/>
      <w:start w:val="1"/>
    </w:lvl>
  </w:abstractNum>
  <w:abstractNum w:abstractNumId="116">
    <w:nsid w:val="6B1D2C14"/>
    <w:multiLevelType w:val="hybridMultilevel"/>
    <w:lvl w:ilvl="0">
      <w:lvlJc w:val="left"/>
      <w:lvlText w:val="2"/>
      <w:numFmt w:val="bullet"/>
      <w:start w:val="1"/>
    </w:lvl>
  </w:abstractNum>
  <w:abstractNum w:abstractNumId="117">
    <w:nsid w:val="68B867D3"/>
    <w:multiLevelType w:val="hybridMultilevel"/>
    <w:lvl w:ilvl="0">
      <w:lvlJc w:val="left"/>
      <w:lvlText w:val="5"/>
      <w:numFmt w:val="bullet"/>
      <w:start w:val="1"/>
    </w:lvl>
  </w:abstractNum>
  <w:abstractNum w:abstractNumId="118">
    <w:nsid w:val="3F7F5DD9"/>
    <w:multiLevelType w:val="hybridMultilevel"/>
    <w:lvl w:ilvl="0">
      <w:lvlJc w:val="left"/>
      <w:lvlText w:val="6"/>
      <w:numFmt w:val="bullet"/>
      <w:start w:val="1"/>
    </w:lvl>
  </w:abstractNum>
  <w:abstractNum w:abstractNumId="119">
    <w:nsid w:val="2AE05A34"/>
    <w:multiLevelType w:val="hybridMultilevel"/>
    <w:lvl w:ilvl="0">
      <w:lvlJc w:val="left"/>
      <w:lvlText w:val="7"/>
      <w:numFmt w:val="bullet"/>
      <w:start w:val="1"/>
    </w:lvl>
  </w:abstractNum>
  <w:abstractNum w:abstractNumId="120">
    <w:nsid w:val="32794FF7"/>
    <w:multiLevelType w:val="hybridMultilevel"/>
    <w:lvl w:ilvl="0">
      <w:lvlJc w:val="left"/>
      <w:lvlText w:val="8"/>
      <w:numFmt w:val="bullet"/>
      <w:start w:val="1"/>
    </w:lvl>
  </w:abstractNum>
  <w:abstractNum w:abstractNumId="121">
    <w:nsid w:val="5454945E"/>
    <w:multiLevelType w:val="hybridMultilevel"/>
    <w:lvl w:ilvl="0">
      <w:lvlJc w:val="left"/>
      <w:lvlText w:val="9"/>
      <w:numFmt w:val="bullet"/>
      <w:start w:val="1"/>
    </w:lvl>
  </w:abstractNum>
  <w:abstractNum w:abstractNumId="122">
    <w:nsid w:val="4DEFDFA0"/>
    <w:multiLevelType w:val="hybridMultilevel"/>
    <w:lvl w:ilvl="0">
      <w:lvlJc w:val="left"/>
      <w:lvlText w:val="%1"/>
      <w:numFmt w:val="decimal"/>
      <w:start w:val="10"/>
    </w:lvl>
  </w:abstractNum>
  <w:abstractNum w:abstractNumId="123">
    <w:nsid w:val="2123D5F2"/>
    <w:multiLevelType w:val="hybridMultilevel"/>
    <w:lvl w:ilvl="0">
      <w:lvlJc w:val="left"/>
      <w:lvlText w:val="%1"/>
      <w:numFmt w:val="decimal"/>
      <w:start w:val="16"/>
    </w:lvl>
  </w:abstractNum>
  <w:abstractNum w:abstractNumId="124">
    <w:nsid w:val="135B8110"/>
    <w:multiLevelType w:val="hybridMultilevel"/>
    <w:lvl w:ilvl="0">
      <w:lvlJc w:val="left"/>
      <w:lvlText w:val="(%1)"/>
      <w:numFmt w:val="lowerLetter"/>
      <w:start w:val="1"/>
    </w:lvl>
    <w:lvl w:ilvl="1">
      <w:lvlJc w:val="left"/>
      <w:lvlText w:val="(%2)"/>
      <w:numFmt w:val="decimal"/>
      <w:start w:val="1"/>
    </w:lvl>
  </w:abstractNum>
  <w:abstractNum w:abstractNumId="125">
    <w:nsid w:val="94927A8"/>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26">
    <w:nsid w:val="DCDF8F6"/>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127">
    <w:nsid w:val="52D7B105"/>
    <w:multiLevelType w:val="hybridMultilevel"/>
    <w:lvl w:ilvl="0">
      <w:lvlJc w:val="left"/>
      <w:lvlText w:val="%1"/>
      <w:numFmt w:val="upperLetter"/>
      <w:start w:val="1"/>
    </w:lvl>
    <w:lvl w:ilvl="1">
      <w:lvlJc w:val="left"/>
      <w:lvlText w:val="(%2)"/>
      <w:numFmt w:val="decimal"/>
      <w:start w:val="3"/>
    </w:lvl>
  </w:abstractNum>
  <w:abstractNum w:abstractNumId="128">
    <w:nsid w:val="2E8A6394"/>
    <w:multiLevelType w:val="hybridMultilevel"/>
    <w:lvl w:ilvl="0">
      <w:lvlJc w:val="left"/>
      <w:lvlText w:val="(%1)"/>
      <w:numFmt w:val="decimal"/>
      <w:start w:val="5"/>
    </w:lvl>
  </w:abstractNum>
  <w:abstractNum w:abstractNumId="129">
    <w:nsid w:val="24E60401"/>
    <w:multiLevelType w:val="hybridMultilevel"/>
    <w:lvl w:ilvl="0">
      <w:lvlJc w:val="left"/>
      <w:lvlText w:val="(%1)"/>
      <w:numFmt w:val="decimal"/>
      <w:start w:val="8"/>
    </w:lvl>
  </w:abstractNum>
  <w:abstractNum w:abstractNumId="130">
    <w:nsid w:val="2A6AD9BE"/>
    <w:multiLevelType w:val="hybridMultilevel"/>
    <w:lvl w:ilvl="0">
      <w:lvlJc w:val="left"/>
      <w:lvlText w:val="(%1)"/>
      <w:numFmt w:val="lowerRoman"/>
      <w:start w:val="2"/>
    </w:lvl>
  </w:abstractNum>
  <w:abstractNum w:abstractNumId="131">
    <w:nsid w:val="BAAC1B4"/>
    <w:multiLevelType w:val="hybridMultilevel"/>
    <w:lvl w:ilvl="0">
      <w:lvlJc w:val="left"/>
      <w:lvlText w:val="(%1)"/>
      <w:numFmt w:val="lowerRoman"/>
      <w:start w:val="2"/>
    </w:lvl>
  </w:abstractNum>
  <w:abstractNum w:abstractNumId="132">
    <w:nsid w:val="36B2ACBC"/>
    <w:multiLevelType w:val="hybridMultilevel"/>
    <w:lvl w:ilvl="0">
      <w:lvlJc w:val="left"/>
      <w:lvlText w:val="(%1)"/>
      <w:numFmt w:val="lowerRoman"/>
      <w:start w:val="2"/>
    </w:lvl>
  </w:abstractNum>
  <w:abstractNum w:abstractNumId="133">
    <w:nsid w:val="779D8544"/>
    <w:multiLevelType w:val="hybridMultilevel"/>
    <w:lvl w:ilvl="0">
      <w:lvlJc w:val="left"/>
      <w:lvlText w:val="(%1)"/>
      <w:numFmt w:val="decimal"/>
      <w:start w:val="16"/>
    </w:lvl>
  </w:abstractNum>
  <w:abstractNum w:abstractNumId="134">
    <w:nsid w:val="4AB26E78"/>
    <w:multiLevelType w:val="hybridMultilevel"/>
    <w:lvl w:ilvl="0">
      <w:lvlJc w:val="left"/>
      <w:lvlText w:val="(%1)"/>
      <w:numFmt w:val="decimal"/>
      <w:start w:val="19"/>
    </w:lvl>
  </w:abstractNum>
  <w:abstractNum w:abstractNumId="135">
    <w:nsid w:val="21FAA2FA"/>
    <w:multiLevelType w:val="hybridMultilevel"/>
    <w:lvl w:ilvl="0">
      <w:lvlJc w:val="left"/>
      <w:lvlText w:val="(%1)"/>
      <w:numFmt w:val="decimal"/>
      <w:start w:val="24"/>
    </w:lvl>
  </w:abstractNum>
  <w:abstractNum w:abstractNumId="136">
    <w:nsid w:val="5451CF49"/>
    <w:multiLevelType w:val="hybridMultilevel"/>
    <w:lvl w:ilvl="0">
      <w:lvlJc w:val="left"/>
      <w:lvlText w:val="(%1)"/>
      <w:numFmt w:val="decimal"/>
      <w:start w:val="33"/>
    </w:lvl>
  </w:abstractNum>
  <w:abstractNum w:abstractNumId="137">
    <w:nsid w:val="6181EF69"/>
    <w:multiLevelType w:val="hybridMultilevel"/>
    <w:lvl w:ilvl="0">
      <w:lvlJc w:val="left"/>
      <w:lvlText w:val="(%1)"/>
      <w:numFmt w:val="decimal"/>
      <w:start w:val="36"/>
    </w:lvl>
  </w:abstractNum>
  <w:abstractNum w:abstractNumId="138">
    <w:nsid w:val="3E6400E6"/>
    <w:multiLevelType w:val="hybridMultilevel"/>
    <w:lvl w:ilvl="0">
      <w:lvlJc w:val="left"/>
      <w:lvlText w:val="(%1)"/>
      <w:numFmt w:val="lowerRoman"/>
      <w:start w:val="2"/>
    </w:lvl>
  </w:abstractNum>
  <w:abstractNum w:abstractNumId="139">
    <w:nsid w:val="14217E23"/>
    <w:multiLevelType w:val="hybridMultilevel"/>
    <w:lvl w:ilvl="0">
      <w:lvlJc w:val="left"/>
      <w:lvlText w:val="(%1)"/>
      <w:numFmt w:val="decimal"/>
      <w:start w:val="38"/>
    </w:lvl>
  </w:abstractNum>
  <w:abstractNum w:abstractNumId="140">
    <w:nsid w:val="710757D0"/>
    <w:multiLevelType w:val="hybridMultilevel"/>
    <w:lvl w:ilvl="0">
      <w:lvlJc w:val="left"/>
      <w:lvlText w:val="(%1)"/>
      <w:numFmt w:val="decimal"/>
      <w:start w:val="45"/>
    </w:lvl>
  </w:abstractNum>
  <w:abstractNum w:abstractNumId="141">
    <w:nsid w:val="5015CD1A"/>
    <w:multiLevelType w:val="hybridMultilevel"/>
    <w:lvl w:ilvl="0">
      <w:lvlJc w:val="left"/>
      <w:lvlText w:val="(%1)"/>
      <w:numFmt w:val="lowerRoman"/>
      <w:start w:val="2"/>
    </w:lvl>
  </w:abstractNum>
  <w:abstractNum w:abstractNumId="142">
    <w:nsid w:val="424479DA"/>
    <w:multiLevelType w:val="hybridMultilevel"/>
    <w:lvl w:ilvl="0">
      <w:lvlJc w:val="left"/>
      <w:lvlText w:val="(%1)"/>
      <w:numFmt w:val="decimal"/>
      <w:start w:val="50"/>
    </w:lvl>
  </w:abstractNum>
  <w:abstractNum w:abstractNumId="143">
    <w:nsid w:val="1A9A9E69"/>
    <w:multiLevelType w:val="hybridMultilevel"/>
    <w:lvl w:ilvl="0">
      <w:lvlJc w:val="left"/>
      <w:lvlText w:val="(%1)"/>
      <w:numFmt w:val="decimal"/>
      <w:start w:val="59"/>
    </w:lvl>
  </w:abstractNum>
  <w:abstractNum w:abstractNumId="144">
    <w:nsid w:val="475E256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45">
    <w:nsid w:val="368DB37E"/>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146">
    <w:nsid w:val="6A3B714C"/>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47">
    <w:nsid w:val="327B517E"/>
    <w:multiLevelType w:val="hybridMultilevel"/>
    <w:lvl w:ilvl="0">
      <w:lvlJc w:val="left"/>
      <w:lvlText w:val="(%1)"/>
      <w:numFmt w:val="decimal"/>
      <w:start w:val="1"/>
    </w:lvl>
  </w:abstractNum>
  <w:abstractNum w:abstractNumId="148">
    <w:nsid w:val="1F461B51"/>
    <w:multiLevelType w:val="hybridMultilevel"/>
    <w:lvl w:ilvl="0">
      <w:lvlJc w:val="left"/>
      <w:lvlText w:val="(%1)"/>
      <w:numFmt w:val="decimal"/>
      <w:start w:val="4"/>
    </w:lvl>
  </w:abstractNum>
  <w:abstractNum w:abstractNumId="149">
    <w:nsid w:val="29BACF25"/>
    <w:multiLevelType w:val="hybridMultilevel"/>
    <w:lvl w:ilvl="0">
      <w:lvlJc w:val="left"/>
      <w:lvlText w:val="(%1)"/>
      <w:numFmt w:val="decimal"/>
      <w:start w:val="5"/>
    </w:lvl>
  </w:abstractNum>
  <w:abstractNum w:abstractNumId="150">
    <w:nsid w:val="5D5BABB3"/>
    <w:multiLevelType w:val="hybridMultilevel"/>
    <w:lvl w:ilvl="0">
      <w:lvlJc w:val="left"/>
      <w:lvlText w:val="%1"/>
      <w:numFmt w:val="lowerLetter"/>
      <w:start w:val="1"/>
    </w:lvl>
    <w:lvl w:ilvl="1">
      <w:lvlJc w:val="left"/>
      <w:lvlText w:val="%2"/>
      <w:numFmt w:val="decimal"/>
      <w:start w:val="1"/>
    </w:lvl>
    <w:lvl w:ilvl="2">
      <w:lvlJc w:val="left"/>
      <w:lvlText w:val="(%3)"/>
      <w:numFmt w:val="decimal"/>
      <w:start w:val="7"/>
    </w:lvl>
  </w:abstractNum>
  <w:abstractNum w:abstractNumId="151">
    <w:nsid w:val="51BF6B48"/>
    <w:multiLevelType w:val="hybridMultilevel"/>
    <w:lvl w:ilvl="0">
      <w:lvlJc w:val="left"/>
      <w:lvlText w:val="(%1)"/>
      <w:numFmt w:val="lowerLetter"/>
      <w:start w:val="4"/>
    </w:lvl>
    <w:lvl w:ilvl="1">
      <w:lvlJc w:val="left"/>
      <w:lvlText w:val="(%2)"/>
      <w:numFmt w:val="decimal"/>
      <w:start w:val="1"/>
    </w:lvl>
    <w:lvl w:ilvl="2">
      <w:lvlJc w:val="left"/>
      <w:lvlText w:val="%3"/>
      <w:numFmt w:val="decimal"/>
      <w:start w:val="1"/>
    </w:lvl>
  </w:abstractNum>
  <w:abstractNum w:abstractNumId="152">
    <w:nsid w:val="7E0F6384"/>
    <w:multiLevelType w:val="hybridMultilevel"/>
    <w:lvl w:ilvl="0">
      <w:lvlJc w:val="left"/>
      <w:lvlText w:val="(%1)"/>
      <w:numFmt w:val="lowerRoman"/>
      <w:start w:val="2"/>
    </w:lvl>
  </w:abstractNum>
  <w:abstractNum w:abstractNumId="153">
    <w:nsid w:val="2B4B8B53"/>
    <w:multiLevelType w:val="hybridMultilevel"/>
    <w:lvl w:ilvl="0">
      <w:lvlJc w:val="left"/>
      <w:lvlText w:val="(%1)"/>
      <w:numFmt w:val="lowerRoman"/>
      <w:start w:val="10"/>
    </w:lvl>
  </w:abstractNum>
  <w:abstractNum w:abstractNumId="154">
    <w:nsid w:val="72E3413A"/>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1"/>
    </w:lvl>
  </w:abstractNum>
  <w:abstractNum w:abstractNumId="155">
    <w:nsid w:val="116AE494"/>
    <w:multiLevelType w:val="hybridMultilevel"/>
    <w:lvl w:ilvl="0">
      <w:lvlJc w:val="left"/>
      <w:lvlText w:val="(%1)"/>
      <w:numFmt w:val="lowerRoman"/>
      <w:start w:val="14"/>
    </w:lvl>
    <w:lvl w:ilvl="1">
      <w:lvlJc w:val="left"/>
      <w:lvlText w:val="%2"/>
      <w:numFmt w:val="upperLetter"/>
      <w:start w:val="1"/>
    </w:lvl>
    <w:lvl w:ilvl="2">
      <w:lvlJc w:val="left"/>
      <w:lvlText w:val="(%3)"/>
      <w:numFmt w:val="upperLetter"/>
      <w:start w:val="2"/>
    </w:lvl>
  </w:abstractNum>
  <w:abstractNum w:abstractNumId="156">
    <w:nsid w:val="3494B2FB"/>
    <w:multiLevelType w:val="hybridMultilevel"/>
    <w:lvl w:ilvl="0">
      <w:lvlJc w:val="left"/>
      <w:lvlText w:val="%1"/>
      <w:numFmt w:val="decimal"/>
      <w:start w:val="1"/>
    </w:lvl>
    <w:lvl w:ilvl="1">
      <w:lvlJc w:val="left"/>
      <w:lvlText w:val="(%2)"/>
      <w:numFmt w:val="lowerRoman"/>
      <w:start w:val="22"/>
    </w:lvl>
  </w:abstractNum>
  <w:abstractNum w:abstractNumId="157">
    <w:nsid w:val="B13A31"/>
    <w:multiLevelType w:val="hybridMultilevel"/>
    <w:lvl w:ilvl="0">
      <w:lvlJc w:val="left"/>
      <w:lvlText w:val="(%1)"/>
      <w:numFmt w:val="decimal"/>
      <w:start w:val="2"/>
    </w:lvl>
    <w:lvl w:ilvl="1">
      <w:lvlJc w:val="left"/>
      <w:lvlText w:val="%2"/>
      <w:numFmt w:val="lowerRoman"/>
      <w:start w:val="1"/>
    </w:lvl>
  </w:abstractNum>
  <w:abstractNum w:abstractNumId="158">
    <w:nsid w:val="64429599"/>
    <w:multiLevelType w:val="hybridMultilevel"/>
    <w:lvl w:ilvl="0">
      <w:lvlJc w:val="left"/>
      <w:lvlText w:val="%1."/>
      <w:numFmt w:val="decimal"/>
      <w:start w:val="1"/>
    </w:lvl>
  </w:abstractNum>
  <w:abstractNum w:abstractNumId="159">
    <w:nsid w:val="631F1690"/>
    <w:multiLevelType w:val="hybridMultilevel"/>
    <w:lvl w:ilvl="0">
      <w:lvlJc w:val="left"/>
      <w:lvlText w:val="•"/>
      <w:numFmt w:val="bullet"/>
      <w:start w:val="1"/>
    </w:lvl>
  </w:abstractNum>
  <w:abstractNum w:abstractNumId="160">
    <w:nsid w:val="25973E32"/>
    <w:multiLevelType w:val="hybridMultilevel"/>
    <w:lvl w:ilvl="0">
      <w:lvlJc w:val="left"/>
      <w:lvlText w:val="%1."/>
      <w:numFmt w:val="decimal"/>
      <w:start w:val="17"/>
    </w:lvl>
  </w:abstractNum>
  <w:abstractNum w:abstractNumId="161">
    <w:nsid w:val="EAD6F57"/>
    <w:multiLevelType w:val="hybridMultilevel"/>
    <w:lvl w:ilvl="0">
      <w:lvlJc w:val="left"/>
      <w:lvlText w:val="•"/>
      <w:numFmt w:val="bullet"/>
      <w:start w:val="1"/>
    </w:lvl>
  </w:abstractNum>
  <w:abstractNum w:abstractNumId="162">
    <w:nsid w:val="6EC9D844"/>
    <w:multiLevelType w:val="hybridMultilevel"/>
    <w:lvl w:ilvl="0">
      <w:lvlJc w:val="left"/>
      <w:lvlText w:val="%1."/>
      <w:numFmt w:val="decimal"/>
      <w:start w:val="17"/>
    </w:lvl>
  </w:abstractNum>
  <w:abstractNum w:abstractNumId="163">
    <w:nsid w:val="5C49EAEE"/>
    <w:multiLevelType w:val="hybridMultilevel"/>
    <w:lvl w:ilvl="0">
      <w:lvlJc w:val="left"/>
      <w:lvlText w:val="•"/>
      <w:numFmt w:val="bullet"/>
      <w:start w:val="1"/>
    </w:lvl>
  </w:abstractNum>
  <w:abstractNum w:abstractNumId="164">
    <w:nsid w:val="64AF49B"/>
    <w:multiLevelType w:val="hybridMultilevel"/>
    <w:lvl w:ilvl="0">
      <w:lvlJc w:val="left"/>
      <w:lvlText w:val="%1."/>
      <w:numFmt w:val="decimal"/>
      <w:start w:val="17"/>
    </w:lvl>
  </w:abstractNum>
  <w:abstractNum w:abstractNumId="165">
    <w:nsid w:val="397C46BC"/>
    <w:multiLevelType w:val="hybridMultilevel"/>
    <w:lvl w:ilvl="0">
      <w:lvlJc w:val="left"/>
      <w:lvlText w:val="•"/>
      <w:numFmt w:val="bullet"/>
      <w:start w:val="1"/>
    </w:lvl>
  </w:abstractNum>
  <w:abstractNum w:abstractNumId="166">
    <w:nsid w:val="7E448DE9"/>
    <w:multiLevelType w:val="hybridMultilevel"/>
    <w:lvl w:ilvl="0">
      <w:lvlJc w:val="left"/>
      <w:lvlText w:val="•"/>
      <w:numFmt w:val="bullet"/>
      <w:start w:val="1"/>
    </w:lvl>
  </w:abstractNum>
  <w:abstractNum w:abstractNumId="167">
    <w:nsid w:val="5A9CC3E5"/>
    <w:multiLevelType w:val="hybridMultilevel"/>
    <w:lvl w:ilvl="0">
      <w:lvlJc w:val="left"/>
      <w:lvlText w:val="%1."/>
      <w:numFmt w:val="decimal"/>
      <w:start w:val="17"/>
    </w:lvl>
  </w:abstractNum>
  <w:abstractNum w:abstractNumId="168">
    <w:nsid w:val="1AFE3625"/>
    <w:multiLevelType w:val="hybridMultilevel"/>
    <w:lvl w:ilvl="0">
      <w:lvlJc w:val="left"/>
      <w:lvlText w:val="•"/>
      <w:numFmt w:val="bullet"/>
      <w:start w:val="1"/>
    </w:lvl>
  </w:abstractNum>
  <w:abstractNum w:abstractNumId="169">
    <w:nsid w:val="3CA88ECF"/>
    <w:multiLevelType w:val="hybridMultilevel"/>
    <w:lvl w:ilvl="0">
      <w:lvlJc w:val="left"/>
      <w:lvlText w:val="%1."/>
      <w:numFmt w:val="decimal"/>
      <w:start w:val="17"/>
    </w:lvl>
  </w:abstractNum>
  <w:abstractNum w:abstractNumId="170">
    <w:nsid w:val="6EBE4208"/>
    <w:multiLevelType w:val="hybridMultilevel"/>
    <w:lvl w:ilvl="0">
      <w:lvlJc w:val="left"/>
      <w:lvlText w:val="•"/>
      <w:numFmt w:val="bullet"/>
      <w:start w:val="1"/>
    </w:lvl>
  </w:abstractNum>
  <w:abstractNum w:abstractNumId="171">
    <w:nsid w:val="C058DF5"/>
    <w:multiLevelType w:val="hybridMultilevel"/>
    <w:lvl w:ilvl="0">
      <w:lvlJc w:val="left"/>
      <w:lvlText w:val="%1."/>
      <w:numFmt w:val="decimal"/>
      <w:start w:val="17"/>
    </w:lvl>
  </w:abstractNum>
  <w:abstractNum w:abstractNumId="172">
    <w:nsid w:val="CBE5BE9"/>
    <w:multiLevelType w:val="hybridMultilevel"/>
    <w:lvl w:ilvl="0">
      <w:lvlJc w:val="left"/>
      <w:lvlText w:val="•"/>
      <w:numFmt w:val="bullet"/>
      <w:start w:val="1"/>
    </w:lvl>
  </w:abstractNum>
  <w:abstractNum w:abstractNumId="173">
    <w:nsid w:val="3102BBE2"/>
    <w:multiLevelType w:val="hybridMultilevel"/>
    <w:lvl w:ilvl="0">
      <w:lvlJc w:val="left"/>
      <w:lvlText w:val="%1."/>
      <w:numFmt w:val="decimal"/>
      <w:start w:val="17"/>
    </w:lvl>
  </w:abstractNum>
  <w:abstractNum w:abstractNumId="174">
    <w:nsid w:val="26A02C5E"/>
    <w:multiLevelType w:val="hybridMultilevel"/>
    <w:lvl w:ilvl="0">
      <w:lvlJc w:val="left"/>
      <w:lvlText w:val="•"/>
      <w:numFmt w:val="bullet"/>
      <w:start w:val="1"/>
    </w:lvl>
  </w:abstractNum>
  <w:abstractNum w:abstractNumId="175">
    <w:nsid w:val="541C8153"/>
    <w:multiLevelType w:val="hybridMultilevel"/>
    <w:lvl w:ilvl="0">
      <w:lvlJc w:val="left"/>
      <w:lvlText w:val="%1."/>
      <w:numFmt w:val="decimal"/>
      <w:start w:val="17"/>
    </w:lvl>
  </w:abstractNum>
  <w:abstractNum w:abstractNumId="176">
    <w:nsid w:val="67906F60"/>
    <w:multiLevelType w:val="hybridMultilevel"/>
    <w:lvl w:ilvl="0">
      <w:lvlJc w:val="left"/>
      <w:lvlText w:val="•"/>
      <w:numFmt w:val="bullet"/>
      <w:start w:val="1"/>
    </w:lvl>
  </w:abstractNum>
  <w:abstractNum w:abstractNumId="177">
    <w:nsid w:val="10DB9DAA"/>
    <w:multiLevelType w:val="hybridMultilevel"/>
    <w:lvl w:ilvl="0">
      <w:lvlJc w:val="left"/>
      <w:lvlText w:val="%1."/>
      <w:numFmt w:val="decimal"/>
      <w:start w:val="17"/>
    </w:lvl>
  </w:abstractNum>
  <w:abstractNum w:abstractNumId="178">
    <w:nsid w:val="697D2D2"/>
    <w:multiLevelType w:val="hybridMultilevel"/>
    <w:lvl w:ilvl="0">
      <w:lvlJc w:val="left"/>
      <w:lvlText w:val="•"/>
      <w:numFmt w:val="bullet"/>
      <w:start w:val="1"/>
    </w:lvl>
  </w:abstractNum>
  <w:abstractNum w:abstractNumId="179">
    <w:nsid w:val="6D68AB2"/>
    <w:multiLevelType w:val="hybridMultilevel"/>
    <w:lvl w:ilvl="0">
      <w:lvlJc w:val="left"/>
      <w:lvlText w:val="%1."/>
      <w:numFmt w:val="decimal"/>
      <w:start w:val="17"/>
    </w:lvl>
  </w:abstractNum>
  <w:abstractNum w:abstractNumId="180">
    <w:nsid w:val="3A966CD0"/>
    <w:multiLevelType w:val="hybridMultilevel"/>
    <w:lvl w:ilvl="0">
      <w:lvlJc w:val="left"/>
      <w:lvlText w:val="%1."/>
      <w:numFmt w:val="decimal"/>
      <w:start w:val="17"/>
    </w:lvl>
  </w:abstractNum>
  <w:abstractNum w:abstractNumId="181">
    <w:nsid w:val="63F37E85"/>
    <w:multiLevelType w:val="hybridMultilevel"/>
    <w:lvl w:ilvl="0">
      <w:lvlJc w:val="left"/>
      <w:lvlText w:val="•"/>
      <w:numFmt w:val="bullet"/>
      <w:start w:val="1"/>
    </w:lvl>
  </w:abstractNum>
  <w:abstractNum w:abstractNumId="182">
    <w:nsid w:val="5895F5FA"/>
    <w:multiLevelType w:val="hybridMultilevel"/>
    <w:lvl w:ilvl="0">
      <w:lvlJc w:val="left"/>
      <w:lvlText w:val="%1."/>
      <w:numFmt w:val="decimal"/>
      <w:start w:val="17"/>
    </w:lvl>
  </w:abstractNum>
  <w:abstractNum w:abstractNumId="183">
    <w:nsid w:val="38A5D054"/>
    <w:multiLevelType w:val="hybridMultilevel"/>
    <w:lvl w:ilvl="0">
      <w:lvlJc w:val="left"/>
      <w:lvlText w:val="•"/>
      <w:numFmt w:val="bullet"/>
      <w:start w:val="1"/>
    </w:lvl>
  </w:abstractNum>
  <w:abstractNum w:abstractNumId="184">
    <w:nsid w:val="F3F09D8"/>
    <w:multiLevelType w:val="hybridMultilevel"/>
    <w:lvl w:ilvl="0">
      <w:lvlJc w:val="left"/>
      <w:lvlText w:val="%1."/>
      <w:numFmt w:val="decimal"/>
      <w:start w:val="17"/>
    </w:lvl>
  </w:abstractNum>
  <w:abstractNum w:abstractNumId="185">
    <w:nsid w:val="4B793735"/>
    <w:multiLevelType w:val="hybridMultilevel"/>
    <w:lvl w:ilvl="0">
      <w:lvlJc w:val="left"/>
      <w:lvlText w:val="%1."/>
      <w:numFmt w:val="decimal"/>
      <w:start w:val="17"/>
    </w:lvl>
  </w:abstractNum>
  <w:abstractNum w:abstractNumId="186">
    <w:nsid w:val="4A10B4E8"/>
    <w:multiLevelType w:val="hybridMultilevel"/>
    <w:lvl w:ilvl="0">
      <w:lvlJc w:val="left"/>
      <w:lvlText w:val="%1."/>
      <w:numFmt w:val="decimal"/>
      <w:start w:val="17"/>
    </w:lvl>
  </w:abstractNum>
  <w:abstractNum w:abstractNumId="187">
    <w:nsid w:val="43D3BCD4"/>
    <w:multiLevelType w:val="hybridMultilevel"/>
    <w:lvl w:ilvl="0">
      <w:lvlJc w:val="left"/>
      <w:lvlText w:val="%1."/>
      <w:numFmt w:val="decimal"/>
      <w:start w:val="17"/>
    </w:lvl>
  </w:abstractNum>
  <w:abstractNum w:abstractNumId="188">
    <w:nsid w:val="4C2A7166"/>
    <w:multiLevelType w:val="hybridMultilevel"/>
    <w:lvl w:ilvl="0">
      <w:lvlJc w:val="left"/>
      <w:lvlText w:val="•"/>
      <w:numFmt w:val="bullet"/>
      <w:start w:val="1"/>
    </w:lvl>
  </w:abstractNum>
  <w:abstractNum w:abstractNumId="189">
    <w:nsid w:val="2E534A82"/>
    <w:multiLevelType w:val="hybridMultilevel"/>
    <w:lvl w:ilvl="0">
      <w:lvlJc w:val="left"/>
      <w:lvlText w:val="%1."/>
      <w:numFmt w:val="decimal"/>
      <w:start w:val="17"/>
    </w:lvl>
  </w:abstractNum>
  <w:abstractNum w:abstractNumId="190">
    <w:nsid w:val="26F2D364"/>
    <w:multiLevelType w:val="hybridMultilevel"/>
    <w:lvl w:ilvl="0">
      <w:lvlJc w:val="left"/>
      <w:lvlText w:val="•"/>
      <w:numFmt w:val="bullet"/>
      <w:start w:val="1"/>
    </w:lvl>
  </w:abstractNum>
  <w:abstractNum w:abstractNumId="191">
    <w:nsid w:val="71C1AF98"/>
    <w:multiLevelType w:val="hybridMultilevel"/>
    <w:lvl w:ilvl="0">
      <w:lvlJc w:val="left"/>
      <w:lvlText w:val="%1."/>
      <w:numFmt w:val="decimal"/>
      <w:start w:val="17"/>
    </w:lvl>
  </w:abstractNum>
  <w:abstractNum w:abstractNumId="192">
    <w:nsid w:val="3D00B9D9"/>
    <w:multiLevelType w:val="hybridMultilevel"/>
    <w:lvl w:ilvl="0">
      <w:lvlJc w:val="left"/>
      <w:lvlText w:val="•"/>
      <w:numFmt w:val="bullet"/>
      <w:start w:val="1"/>
    </w:lvl>
  </w:abstractNum>
  <w:abstractNum w:abstractNumId="193">
    <w:nsid w:val="15BCABA8"/>
    <w:multiLevelType w:val="hybridMultilevel"/>
    <w:lvl w:ilvl="0">
      <w:lvlJc w:val="left"/>
      <w:lvlText w:val="%1."/>
      <w:numFmt w:val="decimal"/>
      <w:start w:val="17"/>
    </w:lvl>
  </w:abstractNum>
  <w:abstractNum w:abstractNumId="194">
    <w:nsid w:val="4E0B9A87"/>
    <w:multiLevelType w:val="hybridMultilevel"/>
    <w:lvl w:ilvl="0">
      <w:lvlJc w:val="left"/>
      <w:lvlText w:val="(%1)"/>
      <w:numFmt w:val="decimal"/>
      <w:start w:val="1"/>
    </w:lvl>
  </w:abstractNum>
  <w:abstractNum w:abstractNumId="195">
    <w:nsid w:val="434BAE75"/>
    <w:multiLevelType w:val="hybridMultilevel"/>
    <w:lvl w:ilvl="0">
      <w:lvlJc w:val="left"/>
      <w:lvlText w:val="%1."/>
      <w:numFmt w:val="decimal"/>
      <w:start w:val="17"/>
    </w:lvl>
  </w:abstractNum>
  <w:abstractNum w:abstractNumId="196">
    <w:nsid w:val="4F38F265"/>
    <w:multiLevelType w:val="hybridMultilevel"/>
    <w:lvl w:ilvl="0">
      <w:lvlJc w:val="left"/>
      <w:lvlText w:val="%1."/>
      <w:numFmt w:val="decimal"/>
      <w:start w:val="17"/>
    </w:lvl>
  </w:abstractNum>
  <w:abstractNum w:abstractNumId="197">
    <w:nsid w:val="4C502870"/>
    <w:multiLevelType w:val="hybridMultilevel"/>
    <w:lvl w:ilvl="0">
      <w:lvlJc w:val="left"/>
      <w:lvlText w:val="%1."/>
      <w:numFmt w:val="decimal"/>
      <w:start w:val="17"/>
    </w:lvl>
  </w:abstractNum>
  <w:abstractNum w:abstractNumId="198">
    <w:nsid w:val="1DE8725A"/>
    <w:multiLevelType w:val="hybridMultilevel"/>
    <w:lvl w:ilvl="0">
      <w:lvlJc w:val="left"/>
      <w:lvlText w:val="•"/>
      <w:numFmt w:val="bullet"/>
      <w:start w:val="1"/>
    </w:lvl>
    <w:lvl w:ilvl="1">
      <w:lvlJc w:val="left"/>
      <w:lvlText w:val="%2."/>
      <w:numFmt w:val="upperLetter"/>
      <w:start w:val="61"/>
    </w:lvl>
  </w:abstractNum>
  <w:abstractNum w:abstractNumId="199">
    <w:nsid w:val="6A37288A"/>
    <w:multiLevelType w:val="hybridMultilevel"/>
    <w:lvl w:ilvl="0">
      <w:lvlJc w:val="left"/>
      <w:lvlText w:val="%1."/>
      <w:numFmt w:val="decimal"/>
      <w:start w:val="17"/>
    </w:lvl>
  </w:abstractNum>
  <w:abstractNum w:abstractNumId="200">
    <w:nsid w:val="8F8B73F"/>
    <w:multiLevelType w:val="hybridMultilevel"/>
    <w:lvl w:ilvl="0">
      <w:lvlJc w:val="left"/>
      <w:lvlText w:val="•"/>
      <w:numFmt w:val="bullet"/>
      <w:start w:val="1"/>
    </w:lvl>
  </w:abstractNum>
  <w:abstractNum w:abstractNumId="201">
    <w:nsid w:val="CA6B462"/>
    <w:multiLevelType w:val="hybridMultilevel"/>
    <w:lvl w:ilvl="0">
      <w:lvlJc w:val="left"/>
      <w:lvlText w:val="%1."/>
      <w:numFmt w:val="decimal"/>
      <w:start w:val="17"/>
    </w:lvl>
  </w:abstractNum>
  <w:abstractNum w:abstractNumId="202">
    <w:nsid w:val="763CB680"/>
    <w:multiLevelType w:val="hybridMultilevel"/>
    <w:lvl w:ilvl="0">
      <w:lvlJc w:val="left"/>
      <w:lvlText w:val="•"/>
      <w:numFmt w:val="bullet"/>
      <w:start w:val="1"/>
    </w:lvl>
  </w:abstractNum>
  <w:abstractNum w:abstractNumId="203">
    <w:nsid w:val="15B71329"/>
    <w:multiLevelType w:val="hybridMultilevel"/>
    <w:lvl w:ilvl="0">
      <w:lvlJc w:val="left"/>
      <w:lvlText w:val="%1."/>
      <w:numFmt w:val="decimal"/>
      <w:start w:val="17"/>
    </w:lvl>
  </w:abstractNum>
  <w:abstractNum w:abstractNumId="204">
    <w:nsid w:val="3DA97044"/>
    <w:multiLevelType w:val="hybridMultilevel"/>
    <w:lvl w:ilvl="0">
      <w:lvlJc w:val="left"/>
      <w:lvlText w:val="•"/>
      <w:numFmt w:val="bullet"/>
      <w:start w:val="1"/>
    </w:lvl>
  </w:abstractNum>
  <w:abstractNum w:abstractNumId="205">
    <w:nsid w:val="1CDCE2DE"/>
    <w:multiLevelType w:val="hybridMultilevel"/>
    <w:lvl w:ilvl="0">
      <w:lvlJc w:val="left"/>
      <w:lvlText w:val="%1."/>
      <w:numFmt w:val="decimal"/>
      <w:start w:val="17"/>
    </w:lvl>
  </w:abstractNum>
  <w:abstractNum w:abstractNumId="206">
    <w:nsid w:val="69D3947C"/>
    <w:multiLevelType w:val="hybridMultilevel"/>
    <w:lvl w:ilvl="0">
      <w:lvlJc w:val="left"/>
      <w:lvlText w:val="%1."/>
      <w:numFmt w:val="decimal"/>
      <w:start w:val="17"/>
    </w:lvl>
  </w:abstractNum>
  <w:abstractNum w:abstractNumId="207">
    <w:nsid w:val="2539DFA5"/>
    <w:multiLevelType w:val="hybridMultilevel"/>
    <w:lvl w:ilvl="0">
      <w:lvlJc w:val="left"/>
      <w:lvlText w:val="•"/>
      <w:numFmt w:val="bullet"/>
      <w:start w:val="1"/>
    </w:lvl>
  </w:abstractNum>
  <w:abstractNum w:abstractNumId="208">
    <w:nsid w:val="2DB88089"/>
    <w:multiLevelType w:val="hybridMultilevel"/>
    <w:lvl w:ilvl="0">
      <w:lvlJc w:val="left"/>
      <w:lvlText w:val="%1."/>
      <w:numFmt w:val="decimal"/>
      <w:start w:val="17"/>
    </w:lvl>
  </w:abstractNum>
  <w:abstractNum w:abstractNumId="209">
    <w:nsid w:val="706B674E"/>
    <w:multiLevelType w:val="hybridMultilevel"/>
    <w:lvl w:ilvl="0">
      <w:lvlJc w:val="left"/>
      <w:lvlText w:val="•"/>
      <w:numFmt w:val="bullet"/>
      <w:start w:val="1"/>
    </w:lvl>
  </w:abstractNum>
  <w:abstractNum w:abstractNumId="210">
    <w:nsid w:val="2C106A57"/>
    <w:multiLevelType w:val="hybridMultilevel"/>
    <w:lvl w:ilvl="0">
      <w:lvlJc w:val="left"/>
      <w:lvlText w:val="%1."/>
      <w:numFmt w:val="decimal"/>
      <w:start w:val="17"/>
    </w:lvl>
  </w:abstractNum>
  <w:abstractNum w:abstractNumId="211">
    <w:nsid w:val="684EED59"/>
    <w:multiLevelType w:val="hybridMultilevel"/>
    <w:lvl w:ilvl="0">
      <w:lvlJc w:val="left"/>
      <w:lvlText w:val="•"/>
      <w:numFmt w:val="bullet"/>
      <w:start w:val="1"/>
    </w:lvl>
  </w:abstractNum>
  <w:abstractNum w:abstractNumId="212">
    <w:nsid w:val="545EE5D3"/>
    <w:multiLevelType w:val="hybridMultilevel"/>
    <w:lvl w:ilvl="0">
      <w:lvlJc w:val="left"/>
      <w:lvlText w:val="%1."/>
      <w:numFmt w:val="decimal"/>
      <w:start w:val="17"/>
    </w:lvl>
  </w:abstractNum>
  <w:abstractNum w:abstractNumId="213">
    <w:nsid w:val="4A66051"/>
    <w:multiLevelType w:val="hybridMultilevel"/>
    <w:lvl w:ilvl="0">
      <w:lvlJc w:val="left"/>
      <w:lvlText w:val="%1."/>
      <w:numFmt w:val="decimal"/>
      <w:start w:val="1"/>
    </w:lvl>
    <w:lvl w:ilvl="1">
      <w:lvlJc w:val="left"/>
      <w:lvlText w:val="%2)"/>
      <w:numFmt w:val="lowerLetter"/>
      <w:start w:val="1"/>
    </w:lvl>
  </w:abstractNum>
  <w:abstractNum w:abstractNumId="214">
    <w:nsid w:val="20F4BDAD"/>
    <w:multiLevelType w:val="hybridMultilevel"/>
    <w:lvl w:ilvl="0">
      <w:lvlJc w:val="left"/>
      <w:lvlText w:val="%1."/>
      <w:numFmt w:val="decimal"/>
      <w:start w:val="1"/>
    </w:lvl>
    <w:lvl w:ilvl="1">
      <w:lvlJc w:val="left"/>
      <w:lvlText w:val="%2)"/>
      <w:numFmt w:val="lowerLetter"/>
      <w:start w:val="1"/>
    </w:lvl>
  </w:abstractNum>
  <w:abstractNum w:abstractNumId="215">
    <w:nsid w:val="639DE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2021-05-06T06:25:53Z</dcterms:created>
  <dcterms:modified xsi:type="dcterms:W3CDTF">2021-05-06T06:25:53Z</dcterms:modified>
</cp:coreProperties>
</file>