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1" w:lineRule="auto"/>
        <w:framePr w:w="200" w:h="131" w:wrap="auto" w:vAnchor="page" w:hAnchor="page" w:x="11240" w:y="10503"/>
        <w:rPr>
          <w:rFonts w:ascii="MS PGothic" w:cs="MS PGothic" w:eastAsia="MS PGothic" w:hAnsi="MS PGothic"/>
          <w:sz w:val="12"/>
          <w:szCs w:val="12"/>
          <w:color w:val="auto"/>
        </w:rPr>
      </w:pPr>
      <w:r>
        <w:rPr>
          <w:rFonts w:ascii="MS PGothic" w:cs="MS PGothic" w:eastAsia="MS PGothic" w:hAnsi="MS PGothic"/>
          <w:sz w:val="12"/>
          <w:szCs w:val="12"/>
          <w:color w:val="auto"/>
        </w:rPr>
        <w:t>☐</w:t>
      </w:r>
    </w:p>
    <w:p>
      <w:pPr>
        <w:spacing w:after="0" w:line="-139" w:lineRule="auto"/>
        <w:framePr w:w="420" w:h="139" w:wrap="auto" w:vAnchor="page" w:hAnchor="page" w:x="11020" w:y="10786"/>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6" w:lineRule="exact"/>
        <w:rPr>
          <w:rFonts w:ascii="Times New Roman" w:cs="Times New Roman" w:eastAsia="Times New Roman" w:hAnsi="Times New Roman"/>
          <w:sz w:val="13"/>
          <w:szCs w:val="13"/>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rFonts w:ascii="Times New Roman" w:cs="Times New Roman" w:eastAsia="Times New Roman" w:hAnsi="Times New Roman"/>
          <w:sz w:val="13"/>
          <w:szCs w:val="13"/>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 w:lineRule="exact"/>
        <w:rPr>
          <w:rFonts w:ascii="Times New Roman" w:cs="Times New Roman" w:eastAsia="Times New Roman" w:hAnsi="Times New Roman"/>
          <w:sz w:val="13"/>
          <w:szCs w:val="13"/>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5" w:lineRule="exact"/>
        <w:rPr>
          <w:rFonts w:ascii="Times New Roman" w:cs="Times New Roman" w:eastAsia="Times New Roman" w:hAnsi="Times New Roman"/>
          <w:sz w:val="13"/>
          <w:szCs w:val="13"/>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7" w:lineRule="exact"/>
        <w:rPr>
          <w:rFonts w:ascii="Times New Roman" w:cs="Times New Roman" w:eastAsia="Times New Roman" w:hAnsi="Times New Roman"/>
          <w:sz w:val="13"/>
          <w:szCs w:val="13"/>
          <w:color w:val="auto"/>
        </w:rPr>
      </w:pPr>
    </w:p>
    <w:p>
      <w:pPr>
        <w:ind w:left="280" w:right="2720" w:hanging="276"/>
        <w:spacing w:after="0" w:line="340" w:lineRule="auto"/>
        <w:tabs>
          <w:tab w:leader="none" w:pos="2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2023</w:t>
      </w:r>
    </w:p>
    <w:p>
      <w:pPr>
        <w:spacing w:after="0" w:line="201" w:lineRule="exact"/>
        <w:rPr>
          <w:rFonts w:ascii="Times New Roman" w:cs="Times New Roman" w:eastAsia="Times New Roman" w:hAnsi="Times New Roman"/>
          <w:sz w:val="13"/>
          <w:szCs w:val="13"/>
          <w:color w:val="auto"/>
        </w:rPr>
      </w:pPr>
    </w:p>
    <w:p>
      <w:pPr>
        <w:ind w:left="280" w:right="2380" w:hanging="276"/>
        <w:spacing w:after="0" w:line="340" w:lineRule="auto"/>
        <w:tabs>
          <w:tab w:leader="none" w:pos="2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65" w:lineRule="exact"/>
        <w:rPr>
          <w:rFonts w:ascii="Times New Roman" w:cs="Times New Roman" w:eastAsia="Times New Roman" w:hAnsi="Times New Roman"/>
          <w:sz w:val="13"/>
          <w:szCs w:val="13"/>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000-19034</w:t>
      </w:r>
    </w:p>
    <w:p>
      <w:pPr>
        <w:spacing w:after="0" w:line="107" w:lineRule="exact"/>
        <w:rPr>
          <w:rFonts w:ascii="Times New Roman" w:cs="Times New Roman" w:eastAsia="Times New Roman" w:hAnsi="Times New Roman"/>
          <w:sz w:val="13"/>
          <w:szCs w:val="13"/>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REGENERON PHARMACEUTICALS, INC.</w:t>
      </w:r>
    </w:p>
    <w:p>
      <w:pPr>
        <w:spacing w:after="0" w:line="55" w:lineRule="exact"/>
        <w:rPr>
          <w:rFonts w:ascii="Times New Roman" w:cs="Times New Roman" w:eastAsia="Times New Roman" w:hAnsi="Times New Roman"/>
          <w:sz w:val="13"/>
          <w:szCs w:val="13"/>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30" w:lineRule="exact"/>
        <w:rPr>
          <w:rFonts w:ascii="Times New Roman" w:cs="Times New Roman" w:eastAsia="Times New Roman" w:hAnsi="Times New Roman"/>
          <w:sz w:val="13"/>
          <w:szCs w:val="13"/>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00" w:type="dxa"/>
            <w:vAlign w:val="bottom"/>
          </w:tcPr>
          <w:p>
            <w:pPr>
              <w:jc w:val="center"/>
              <w:ind w:left="216"/>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60" w:type="dxa"/>
            <w:vAlign w:val="bottom"/>
            <w:gridSpan w:val="2"/>
          </w:tcPr>
          <w:p>
            <w:pPr>
              <w:jc w:val="right"/>
              <w:ind w:right="1592"/>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4340" w:type="dxa"/>
            <w:vAlign w:val="bottom"/>
            <w:gridSpan w:val="4"/>
          </w:tcPr>
          <w:p>
            <w:pPr>
              <w:jc w:val="center"/>
              <w:ind w:left="94"/>
              <w:spacing w:after="0"/>
              <w:rPr>
                <w:sz w:val="20"/>
                <w:szCs w:val="20"/>
                <w:color w:val="auto"/>
              </w:rPr>
            </w:pPr>
            <w:r>
              <w:rPr>
                <w:rFonts w:ascii="Times New Roman" w:cs="Times New Roman" w:eastAsia="Times New Roman" w:hAnsi="Times New Roman"/>
                <w:sz w:val="16"/>
                <w:szCs w:val="16"/>
                <w:i w:val="1"/>
                <w:iCs w:val="1"/>
                <w:color w:val="auto"/>
                <w:w w:val="99"/>
              </w:rPr>
              <w:t>(State or other jurisdiction of incorporation or organization)</w:t>
            </w:r>
          </w:p>
        </w:tc>
        <w:tc>
          <w:tcPr>
            <w:tcW w:w="3400" w:type="dxa"/>
            <w:vAlign w:val="bottom"/>
            <w:gridSpan w:val="3"/>
          </w:tcPr>
          <w:p>
            <w:pPr>
              <w:jc w:val="center"/>
              <w:ind w:right="752"/>
              <w:spacing w:after="0"/>
              <w:rPr>
                <w:sz w:val="20"/>
                <w:szCs w:val="20"/>
                <w:color w:val="auto"/>
              </w:rPr>
            </w:pPr>
            <w:r>
              <w:rPr>
                <w:rFonts w:ascii="Times New Roman" w:cs="Times New Roman" w:eastAsia="Times New Roman" w:hAnsi="Times New Roman"/>
                <w:sz w:val="16"/>
                <w:szCs w:val="16"/>
                <w:i w:val="1"/>
                <w:iCs w:val="1"/>
                <w:color w:val="auto"/>
                <w:w w:val="99"/>
              </w:rPr>
              <w:t>(I.R.S. Employer Identification No.)</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2080" w:type="dxa"/>
            <w:vAlign w:val="bottom"/>
          </w:tcPr>
          <w:p>
            <w:pPr>
              <w:spacing w:after="0"/>
              <w:rPr>
                <w:sz w:val="24"/>
                <w:szCs w:val="24"/>
                <w:color w:val="auto"/>
              </w:rPr>
            </w:pPr>
          </w:p>
        </w:tc>
        <w:tc>
          <w:tcPr>
            <w:tcW w:w="7740" w:type="dxa"/>
            <w:vAlign w:val="bottom"/>
            <w:gridSpan w:val="7"/>
          </w:tcPr>
          <w:p>
            <w:pPr>
              <w:jc w:val="center"/>
              <w:ind w:right="612"/>
              <w:spacing w:after="0"/>
              <w:rPr>
                <w:sz w:val="20"/>
                <w:szCs w:val="20"/>
                <w:color w:val="auto"/>
              </w:rPr>
            </w:pPr>
            <w:r>
              <w:rPr>
                <w:rFonts w:ascii="Times New Roman" w:cs="Times New Roman" w:eastAsia="Times New Roman" w:hAnsi="Times New Roman"/>
                <w:sz w:val="18"/>
                <w:szCs w:val="18"/>
                <w:b w:val="1"/>
                <w:bCs w:val="1"/>
                <w:color w:val="auto"/>
                <w:w w:val="97"/>
              </w:rPr>
              <w:t>777 Old Saw Mill River Road Tarrytown, New York 10591-6707</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80" w:type="dxa"/>
            <w:vAlign w:val="bottom"/>
            <w:gridSpan w:val="6"/>
          </w:tcPr>
          <w:p>
            <w:pPr>
              <w:jc w:val="center"/>
              <w:ind w:right="1872"/>
              <w:spacing w:after="0"/>
              <w:rPr>
                <w:sz w:val="20"/>
                <w:szCs w:val="20"/>
                <w:color w:val="auto"/>
              </w:rPr>
            </w:pPr>
            <w:r>
              <w:rPr>
                <w:rFonts w:ascii="Times New Roman" w:cs="Times New Roman" w:eastAsia="Times New Roman" w:hAnsi="Times New Roman"/>
                <w:sz w:val="16"/>
                <w:szCs w:val="16"/>
                <w:i w:val="1"/>
                <w:iCs w:val="1"/>
                <w:color w:val="auto"/>
                <w:w w:val="98"/>
              </w:rPr>
              <w:t>(Address of principal executive offices, including zip code)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2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(914) 847-7000</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480" w:type="dxa"/>
            <w:vAlign w:val="bottom"/>
            <w:gridSpan w:val="6"/>
          </w:tcPr>
          <w:p>
            <w:pPr>
              <w:jc w:val="center"/>
              <w:ind w:right="1852"/>
              <w:spacing w:after="0" w:line="181" w:lineRule="exact"/>
              <w:rPr>
                <w:sz w:val="20"/>
                <w:szCs w:val="20"/>
                <w:color w:val="auto"/>
              </w:rPr>
            </w:pPr>
            <w:r>
              <w:rPr>
                <w:rFonts w:ascii="Times New Roman" w:cs="Times New Roman" w:eastAsia="Times New Roman" w:hAnsi="Times New Roman"/>
                <w:sz w:val="16"/>
                <w:szCs w:val="16"/>
                <w:i w:val="1"/>
                <w:iCs w:val="1"/>
                <w:color w:val="auto"/>
                <w:w w:val="98"/>
              </w:rPr>
              <w:t>(Registrant's telephone number, including area code)</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80" w:type="dxa"/>
            <w:vAlign w:val="bottom"/>
            <w:gridSpan w:val="6"/>
          </w:tcPr>
          <w:p>
            <w:pPr>
              <w:jc w:val="center"/>
              <w:ind w:right="1872"/>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80" w:type="dxa"/>
            <w:vAlign w:val="bottom"/>
          </w:tcPr>
          <w:p>
            <w:pPr>
              <w:spacing w:after="0"/>
              <w:rPr>
                <w:sz w:val="18"/>
                <w:szCs w:val="18"/>
                <w:color w:val="auto"/>
              </w:rPr>
            </w:pPr>
          </w:p>
        </w:tc>
        <w:tc>
          <w:tcPr>
            <w:tcW w:w="2960" w:type="dxa"/>
            <w:vAlign w:val="bottom"/>
            <w:gridSpan w:val="2"/>
          </w:tcPr>
          <w:p>
            <w:pPr>
              <w:jc w:val="center"/>
              <w:ind w:right="1616"/>
              <w:spacing w:after="0"/>
              <w:rPr>
                <w:sz w:val="20"/>
                <w:szCs w:val="20"/>
                <w:color w:val="auto"/>
              </w:rPr>
            </w:pPr>
            <w:r>
              <w:rPr>
                <w:rFonts w:ascii="Times New Roman" w:cs="Times New Roman" w:eastAsia="Times New Roman" w:hAnsi="Times New Roman"/>
                <w:sz w:val="18"/>
                <w:szCs w:val="18"/>
                <w:i w:val="1"/>
                <w:iCs w:val="1"/>
                <w:color w:val="auto"/>
                <w:w w:val="96"/>
              </w:rPr>
              <w:t>Title of each class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w w:val="96"/>
              </w:rPr>
              <w:t>Trading Symbol</w:t>
            </w:r>
          </w:p>
        </w:tc>
        <w:tc>
          <w:tcPr>
            <w:tcW w:w="440" w:type="dxa"/>
            <w:vAlign w:val="bottom"/>
          </w:tcPr>
          <w:p>
            <w:pPr>
              <w:spacing w:after="0"/>
              <w:rPr>
                <w:sz w:val="18"/>
                <w:szCs w:val="18"/>
                <w:color w:val="auto"/>
              </w:rPr>
            </w:pPr>
          </w:p>
        </w:tc>
        <w:tc>
          <w:tcPr>
            <w:tcW w:w="364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7"/>
              </w:rPr>
              <w:t>Name of each exchange on which registered</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040" w:type="dxa"/>
            <w:vAlign w:val="bottom"/>
            <w:gridSpan w:val="3"/>
          </w:tcPr>
          <w:p>
            <w:pPr>
              <w:jc w:val="center"/>
              <w:ind w:left="307"/>
              <w:spacing w:after="0"/>
              <w:rPr>
                <w:sz w:val="20"/>
                <w:szCs w:val="20"/>
                <w:color w:val="auto"/>
              </w:rPr>
            </w:pPr>
            <w:r>
              <w:rPr>
                <w:rFonts w:ascii="Times New Roman" w:cs="Times New Roman" w:eastAsia="Times New Roman" w:hAnsi="Times New Roman"/>
                <w:sz w:val="18"/>
                <w:szCs w:val="18"/>
                <w:b w:val="1"/>
                <w:bCs w:val="1"/>
                <w:color w:val="auto"/>
                <w:w w:val="98"/>
              </w:rPr>
              <w:t>Common Stock - par value $.001 per share</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8"/>
              </w:rPr>
              <w:t>NASDAQ Global Select Market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2080" w:type="dxa"/>
            <w:vAlign w:val="bottom"/>
          </w:tcPr>
          <w:p>
            <w:pPr>
              <w:spacing w:after="0"/>
              <w:rPr>
                <w:sz w:val="24"/>
                <w:szCs w:val="24"/>
                <w:color w:val="auto"/>
              </w:rPr>
            </w:pPr>
          </w:p>
        </w:tc>
        <w:tc>
          <w:tcPr>
            <w:tcW w:w="7740" w:type="dxa"/>
            <w:vAlign w:val="bottom"/>
            <w:gridSpan w:val="7"/>
          </w:tcPr>
          <w:p>
            <w:pPr>
              <w:jc w:val="center"/>
              <w:ind w:right="612"/>
              <w:spacing w:after="0"/>
              <w:rPr>
                <w:sz w:val="20"/>
                <w:szCs w:val="20"/>
                <w:color w:val="auto"/>
              </w:rPr>
            </w:pPr>
            <w:r>
              <w:rPr>
                <w:rFonts w:ascii="Times New Roman" w:cs="Times New Roman" w:eastAsia="Times New Roman" w:hAnsi="Times New Roman"/>
                <w:sz w:val="18"/>
                <w:szCs w:val="18"/>
                <w:b w:val="1"/>
                <w:bCs w:val="1"/>
                <w:color w:val="auto"/>
                <w:w w:val="98"/>
              </w:rPr>
              <w:t>Securities registered pursuant to section 12(g) of the Act: None</w:t>
            </w:r>
          </w:p>
        </w:tc>
        <w:tc>
          <w:tcPr>
            <w:tcW w:w="680" w:type="dxa"/>
            <w:vAlign w:val="bottom"/>
            <w:gridSpan w:val="2"/>
            <w:vMerge w:val="restart"/>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520" w:type="dxa"/>
            <w:vAlign w:val="bottom"/>
            <w:vMerge w:val="restart"/>
          </w:tcPr>
          <w:p>
            <w:pPr>
              <w:ind w:left="180"/>
              <w:spacing w:after="0" w:line="161" w:lineRule="exact"/>
              <w:rPr>
                <w:sz w:val="20"/>
                <w:szCs w:val="20"/>
                <w:color w:val="auto"/>
              </w:rPr>
            </w:pPr>
            <w:r>
              <w:rPr>
                <w:rFonts w:ascii="Times New Roman" w:cs="Times New Roman" w:eastAsia="Times New Roman" w:hAnsi="Times New Roman"/>
                <w:sz w:val="14"/>
                <w:szCs w:val="14"/>
                <w:color w:val="auto"/>
                <w:w w:val="92"/>
              </w:rPr>
              <w:t xml:space="preserve">No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35"/>
        </w:trPr>
        <w:tc>
          <w:tcPr>
            <w:tcW w:w="68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68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520" w:type="dxa"/>
            <w:vAlign w:val="bottom"/>
          </w:tcPr>
          <w:p>
            <w:pPr>
              <w:ind w:left="180"/>
              <w:spacing w:after="0" w:line="161" w:lineRule="exact"/>
              <w:rPr>
                <w:sz w:val="20"/>
                <w:szCs w:val="20"/>
                <w:color w:val="auto"/>
              </w:rPr>
            </w:pPr>
            <w:r>
              <w:rPr>
                <w:rFonts w:ascii="Times New Roman" w:cs="Times New Roman" w:eastAsia="Times New Roman" w:hAnsi="Times New Roman"/>
                <w:sz w:val="14"/>
                <w:szCs w:val="14"/>
                <w:color w:val="auto"/>
                <w:w w:val="92"/>
              </w:rPr>
              <w:t xml:space="preserve">No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18"/>
        </w:trPr>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9820" w:type="dxa"/>
            <w:vAlign w:val="bottom"/>
            <w:gridSpan w:val="8"/>
          </w:tcPr>
          <w:p>
            <w:pPr>
              <w:spacing w:after="0" w:line="142" w:lineRule="exact"/>
              <w:rPr>
                <w:sz w:val="20"/>
                <w:szCs w:val="20"/>
                <w:color w:val="auto"/>
              </w:rPr>
            </w:pPr>
            <w:r>
              <w:rPr>
                <w:rFonts w:ascii="Times New Roman" w:cs="Times New Roman" w:eastAsia="Times New Roman" w:hAnsi="Times New Roman"/>
                <w:sz w:val="14"/>
                <w:szCs w:val="14"/>
                <w:color w:val="auto"/>
              </w:rPr>
              <w:t>preceding 12 months (or for such shorter period that the registrant was required to file such reports), and (2) has been subject to such filing requirements for the past 90</w:t>
            </w:r>
          </w:p>
        </w:tc>
        <w:tc>
          <w:tcPr>
            <w:tcW w:w="680" w:type="dxa"/>
            <w:vAlign w:val="bottom"/>
            <w:gridSpan w:val="2"/>
            <w:vMerge w:val="restart"/>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520" w:type="dxa"/>
            <w:vAlign w:val="bottom"/>
            <w:vMerge w:val="restart"/>
          </w:tcPr>
          <w:p>
            <w:pPr>
              <w:ind w:left="180"/>
              <w:spacing w:after="0" w:line="161" w:lineRule="exact"/>
              <w:rPr>
                <w:sz w:val="20"/>
                <w:szCs w:val="20"/>
                <w:color w:val="auto"/>
              </w:rPr>
            </w:pPr>
            <w:r>
              <w:rPr>
                <w:rFonts w:ascii="Times New Roman" w:cs="Times New Roman" w:eastAsia="Times New Roman" w:hAnsi="Times New Roman"/>
                <w:sz w:val="14"/>
                <w:szCs w:val="14"/>
                <w:color w:val="auto"/>
                <w:w w:val="92"/>
              </w:rPr>
              <w:t xml:space="preserve">No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10"/>
        </w:trPr>
        <w:tc>
          <w:tcPr>
            <w:tcW w:w="5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days.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w:t>
            </w:r>
          </w:p>
        </w:tc>
        <w:tc>
          <w:tcPr>
            <w:tcW w:w="680" w:type="dxa"/>
            <w:vAlign w:val="bottom"/>
            <w:gridSpan w:val="2"/>
            <w:vMerge w:val="restart"/>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520" w:type="dxa"/>
            <w:vAlign w:val="bottom"/>
            <w:vMerge w:val="restart"/>
          </w:tcPr>
          <w:p>
            <w:pPr>
              <w:ind w:left="180"/>
              <w:spacing w:after="0" w:line="161" w:lineRule="exact"/>
              <w:rPr>
                <w:sz w:val="20"/>
                <w:szCs w:val="20"/>
                <w:color w:val="auto"/>
              </w:rPr>
            </w:pPr>
            <w:r>
              <w:rPr>
                <w:rFonts w:ascii="Times New Roman" w:cs="Times New Roman" w:eastAsia="Times New Roman" w:hAnsi="Times New Roman"/>
                <w:sz w:val="14"/>
                <w:szCs w:val="14"/>
                <w:color w:val="auto"/>
                <w:w w:val="92"/>
              </w:rPr>
              <w:t xml:space="preserve">No </w:t>
            </w:r>
            <w:r>
              <w:rPr>
                <w:rFonts w:ascii="MS PGothic" w:cs="MS PGothic" w:eastAsia="MS PGothic" w:hAnsi="MS PGothic"/>
                <w:sz w:val="14"/>
                <w:szCs w:val="14"/>
                <w:color w:val="auto"/>
                <w:w w:val="92"/>
              </w:rPr>
              <w:t>☐</w:t>
            </w:r>
          </w:p>
        </w:tc>
        <w:tc>
          <w:tcPr>
            <w:tcW w:w="0" w:type="dxa"/>
            <w:vAlign w:val="bottom"/>
          </w:tcPr>
          <w:p>
            <w:pPr>
              <w:spacing w:after="0"/>
              <w:rPr>
                <w:sz w:val="1"/>
                <w:szCs w:val="1"/>
                <w:color w:val="auto"/>
              </w:rPr>
            </w:pPr>
          </w:p>
        </w:tc>
      </w:tr>
      <w:tr>
        <w:trPr>
          <w:trHeight w:val="206"/>
        </w:trPr>
        <w:tc>
          <w:tcPr>
            <w:tcW w:w="98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(§232.405 of this chapter) during the preceding 12 months (or for such shorter period that the registrant was required to submit such files).</w:t>
            </w:r>
          </w:p>
        </w:tc>
        <w:tc>
          <w:tcPr>
            <w:tcW w:w="68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rFonts w:ascii="Times New Roman" w:cs="Times New Roman" w:eastAsia="Times New Roman" w:hAnsi="Times New Roman"/>
          <w:sz w:val="13"/>
          <w:szCs w:val="13"/>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40" w:top="782" w:right="359" w:bottom="1440" w:gutter="0" w:footer="0" w:header="0"/>
        </w:sectPr>
      </w:pPr>
    </w:p>
    <w:p>
      <w:pPr>
        <w:spacing w:after="0" w:line="96" w:lineRule="exact"/>
        <w:rPr>
          <w:rFonts w:ascii="Times New Roman" w:cs="Times New Roman" w:eastAsia="Times New Roman" w:hAnsi="Times New Roman"/>
          <w:sz w:val="13"/>
          <w:szCs w:val="13"/>
          <w:color w:val="auto"/>
        </w:rPr>
      </w:pPr>
    </w:p>
    <w:p>
      <w:pPr>
        <w:ind w:left="3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76" w:lineRule="exact"/>
        <w:rPr>
          <w:rFonts w:ascii="Times New Roman" w:cs="Times New Roman" w:eastAsia="Times New Roman" w:hAnsi="Times New Roman"/>
          <w:sz w:val="13"/>
          <w:szCs w:val="13"/>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76" w:lineRule="exact"/>
        <w:rPr>
          <w:rFonts w:ascii="Times New Roman" w:cs="Times New Roman" w:eastAsia="Times New Roman" w:hAnsi="Times New Roman"/>
          <w:sz w:val="13"/>
          <w:szCs w:val="13"/>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76" w:lineRule="exact"/>
        <w:rPr>
          <w:rFonts w:ascii="Times New Roman" w:cs="Times New Roman" w:eastAsia="Times New Roman" w:hAnsi="Times New Roman"/>
          <w:sz w:val="13"/>
          <w:szCs w:val="13"/>
          <w:color w:val="auto"/>
        </w:rPr>
      </w:pPr>
    </w:p>
    <w:p>
      <w:pPr>
        <w:jc w:val="center"/>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76" w:lineRule="exact"/>
        <w:rPr>
          <w:rFonts w:ascii="Times New Roman" w:cs="Times New Roman" w:eastAsia="Times New Roman" w:hAnsi="Times New Roman"/>
          <w:sz w:val="13"/>
          <w:szCs w:val="13"/>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73" w:lineRule="exact"/>
        <w:rPr>
          <w:rFonts w:ascii="Times New Roman" w:cs="Times New Roman" w:eastAsia="Times New Roman" w:hAnsi="Times New Roman"/>
          <w:sz w:val="13"/>
          <w:szCs w:val="13"/>
          <w:color w:val="auto"/>
        </w:rPr>
      </w:pPr>
    </w:p>
    <w:p>
      <w:pPr>
        <w:sectPr>
          <w:pgSz w:w="11900" w:h="16838" w:orient="portrait"/>
          <w:cols w:equalWidth="0" w:num="5">
            <w:col w:w="1740" w:space="580"/>
            <w:col w:w="1100" w:space="620"/>
            <w:col w:w="1360" w:space="680"/>
            <w:col w:w="1700" w:space="700"/>
            <w:col w:w="2720"/>
          </w:cols>
          <w:pgMar w:left="340" w:top="782" w:right="359" w:bottom="144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94" w:lineRule="exact"/>
        <w:rPr>
          <w:rFonts w:ascii="Times New Roman" w:cs="Times New Roman" w:eastAsia="Times New Roman" w:hAnsi="Times New Roman"/>
          <w:sz w:val="13"/>
          <w:szCs w:val="13"/>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4" w:lineRule="exact"/>
        <w:rPr>
          <w:rFonts w:ascii="Times New Roman" w:cs="Times New Roman" w:eastAsia="Times New Roman" w:hAnsi="Times New Roman"/>
          <w:sz w:val="13"/>
          <w:szCs w:val="13"/>
          <w:color w:val="auto"/>
        </w:rPr>
      </w:pPr>
    </w:p>
    <w:p>
      <w:pPr>
        <w:sectPr>
          <w:pgSz w:w="11900" w:h="16838" w:orient="portrait"/>
          <w:cols w:equalWidth="0" w:num="2">
            <w:col w:w="10460" w:space="480"/>
            <w:col w:w="260"/>
          </w:cols>
          <w:pgMar w:left="340" w:top="782" w:right="35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0840" w:type="dxa"/>
            <w:vAlign w:val="bottom"/>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w:t>
            </w:r>
          </w:p>
        </w:tc>
        <w:tc>
          <w:tcPr>
            <w:tcW w:w="22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06"/>
        </w:trPr>
        <w:tc>
          <w:tcPr>
            <w:tcW w:w="10840" w:type="dxa"/>
            <w:vAlign w:val="bottom"/>
          </w:tcPr>
          <w:p>
            <w:pPr>
              <w:spacing w:after="0"/>
              <w:rPr>
                <w:sz w:val="20"/>
                <w:szCs w:val="20"/>
                <w:color w:val="auto"/>
              </w:rPr>
            </w:pPr>
            <w:r>
              <w:rPr>
                <w:rFonts w:ascii="Times New Roman" w:cs="Times New Roman" w:eastAsia="Times New Roman" w:hAnsi="Times New Roman"/>
                <w:sz w:val="14"/>
                <w:szCs w:val="14"/>
                <w:color w:val="auto"/>
              </w:rPr>
              <w:t>Section 404(b) of the Sarbanes-Oxley Act (15 U.S.C. 7262(b)) by the registered public accounting firm that prepared or issued its audit report.</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840" w:type="dxa"/>
            <w:vAlign w:val="bottom"/>
          </w:tcPr>
          <w:p>
            <w:pPr>
              <w:spacing w:after="0"/>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w:t>
            </w:r>
          </w:p>
        </w:tc>
        <w:tc>
          <w:tcPr>
            <w:tcW w:w="22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06"/>
        </w:trPr>
        <w:tc>
          <w:tcPr>
            <w:tcW w:w="10840" w:type="dxa"/>
            <w:vAlign w:val="bottom"/>
          </w:tcPr>
          <w:p>
            <w:pPr>
              <w:spacing w:after="0"/>
              <w:rPr>
                <w:sz w:val="20"/>
                <w:szCs w:val="20"/>
                <w:color w:val="auto"/>
              </w:rPr>
            </w:pPr>
            <w:r>
              <w:rPr>
                <w:rFonts w:ascii="Times New Roman" w:cs="Times New Roman" w:eastAsia="Times New Roman" w:hAnsi="Times New Roman"/>
                <w:sz w:val="14"/>
                <w:szCs w:val="14"/>
                <w:color w:val="auto"/>
              </w:rPr>
              <w:t>to previously issued financial statements.</w:t>
            </w:r>
          </w:p>
        </w:tc>
        <w:tc>
          <w:tcPr>
            <w:tcW w:w="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rFonts w:ascii="Times New Roman" w:cs="Times New Roman" w:eastAsia="Times New Roman" w:hAnsi="Times New Roman"/>
          <w:sz w:val="13"/>
          <w:szCs w:val="13"/>
          <w:color w:val="auto"/>
        </w:rPr>
      </w:pPr>
    </w:p>
    <w:p>
      <w:pPr>
        <w:ind w:right="440"/>
        <w:spacing w:after="0" w:line="251" w:lineRule="auto"/>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69" w:lineRule="exact"/>
        <w:rPr>
          <w:rFonts w:ascii="Times New Roman" w:cs="Times New Roman" w:eastAsia="Times New Roman" w:hAnsi="Times New Roman"/>
          <w:sz w:val="13"/>
          <w:szCs w:val="13"/>
          <w:color w:val="auto"/>
        </w:rPr>
      </w:pPr>
    </w:p>
    <w:p>
      <w:pPr>
        <w:spacing w:after="0" w:line="161" w:lineRule="exact"/>
        <w:tabs>
          <w:tab w:leader="none" w:pos="99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p>
      <w:pPr>
        <w:spacing w:after="0" w:line="162" w:lineRule="exact"/>
        <w:rPr>
          <w:rFonts w:ascii="Times New Roman" w:cs="Times New Roman" w:eastAsia="Times New Roman" w:hAnsi="Times New Roman"/>
          <w:sz w:val="13"/>
          <w:szCs w:val="13"/>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was $76.7 billion, computed by reference to the closing sales price of the stock on NASDAQ on June 30, 2023,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239" w:lineRule="exact"/>
        <w:rPr>
          <w:rFonts w:ascii="Times New Roman" w:cs="Times New Roman" w:eastAsia="Times New Roman" w:hAnsi="Times New Roman"/>
          <w:sz w:val="13"/>
          <w:szCs w:val="13"/>
          <w:color w:val="auto"/>
        </w:rPr>
      </w:pPr>
    </w:p>
    <w:tbl>
      <w:tblPr>
        <w:tblLayout w:type="fixed"/>
        <w:tblInd w:w="0" w:type="dxa"/>
        <w:tblCellMar>
          <w:top w:w="0" w:type="dxa"/>
          <w:left w:w="0" w:type="dxa"/>
          <w:bottom w:w="0" w:type="dxa"/>
          <w:right w:w="0" w:type="dxa"/>
        </w:tblCellMar>
      </w:tblPr>
      <w:tr>
        <w:trPr>
          <w:trHeight w:val="184"/>
        </w:trPr>
        <w:tc>
          <w:tcPr>
            <w:tcW w:w="63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number of shares outstanding of each of the registrant's classes of common stock as of January 25, 2024:</w:t>
            </w:r>
          </w:p>
        </w:tc>
        <w:tc>
          <w:tcPr>
            <w:tcW w:w="1740" w:type="dxa"/>
            <w:vAlign w:val="bottom"/>
          </w:tcPr>
          <w:p>
            <w:pPr>
              <w:spacing w:after="0"/>
              <w:rPr>
                <w:sz w:val="15"/>
                <w:szCs w:val="15"/>
                <w:color w:val="auto"/>
              </w:rPr>
            </w:pPr>
          </w:p>
        </w:tc>
      </w:tr>
      <w:tr>
        <w:trPr>
          <w:trHeight w:val="305"/>
        </w:trPr>
        <w:tc>
          <w:tcPr>
            <w:tcW w:w="3140" w:type="dxa"/>
            <w:vAlign w:val="bottom"/>
          </w:tcPr>
          <w:p>
            <w:pPr>
              <w:spacing w:after="0"/>
              <w:rPr>
                <w:sz w:val="24"/>
                <w:szCs w:val="24"/>
                <w:color w:val="auto"/>
              </w:rPr>
            </w:pPr>
          </w:p>
        </w:tc>
        <w:tc>
          <w:tcPr>
            <w:tcW w:w="32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Class of Common Stock</w:t>
            </w:r>
          </w:p>
        </w:tc>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Number of Shares</w:t>
            </w:r>
          </w:p>
        </w:tc>
      </w:tr>
      <w:tr>
        <w:trPr>
          <w:trHeight w:val="24"/>
        </w:trPr>
        <w:tc>
          <w:tcPr>
            <w:tcW w:w="31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r>
      <w:tr>
        <w:trPr>
          <w:trHeight w:val="177"/>
        </w:trPr>
        <w:tc>
          <w:tcPr>
            <w:tcW w:w="3140" w:type="dxa"/>
            <w:vAlign w:val="bottom"/>
          </w:tcPr>
          <w:p>
            <w:pPr>
              <w:spacing w:after="0"/>
              <w:rPr>
                <w:sz w:val="15"/>
                <w:szCs w:val="15"/>
                <w:color w:val="auto"/>
              </w:rPr>
            </w:pPr>
          </w:p>
        </w:tc>
        <w:tc>
          <w:tcPr>
            <w:tcW w:w="2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Stock, $.001 par value</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1,818,146</w:t>
            </w:r>
          </w:p>
        </w:tc>
      </w:tr>
      <w:tr>
        <w:trPr>
          <w:trHeight w:val="189"/>
        </w:trPr>
        <w:tc>
          <w:tcPr>
            <w:tcW w:w="3140" w:type="dxa"/>
            <w:vAlign w:val="bottom"/>
          </w:tcPr>
          <w:p>
            <w:pPr>
              <w:spacing w:after="0"/>
              <w:rPr>
                <w:sz w:val="16"/>
                <w:szCs w:val="16"/>
                <w:color w:val="auto"/>
              </w:rPr>
            </w:pPr>
          </w:p>
        </w:tc>
        <w:tc>
          <w:tcPr>
            <w:tcW w:w="32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740" w:type="dxa"/>
            <w:vAlign w:val="bottom"/>
          </w:tcPr>
          <w:p>
            <w:pPr>
              <w:jc w:val="right"/>
              <w:ind w:right="629"/>
              <w:spacing w:after="0"/>
              <w:rPr>
                <w:sz w:val="20"/>
                <w:szCs w:val="20"/>
                <w:color w:val="auto"/>
              </w:rPr>
            </w:pPr>
            <w:r>
              <w:rPr>
                <w:rFonts w:ascii="Times New Roman" w:cs="Times New Roman" w:eastAsia="Times New Roman" w:hAnsi="Times New Roman"/>
                <w:sz w:val="14"/>
                <w:szCs w:val="14"/>
                <w:color w:val="auto"/>
              </w:rPr>
              <w:t>107,943,750</w:t>
            </w:r>
          </w:p>
        </w:tc>
      </w:tr>
    </w:tbl>
    <w:p>
      <w:pPr>
        <w:spacing w:after="0" w:line="132" w:lineRule="exact"/>
        <w:rPr>
          <w:rFonts w:ascii="Times New Roman" w:cs="Times New Roman" w:eastAsia="Times New Roman" w:hAnsi="Times New Roman"/>
          <w:sz w:val="13"/>
          <w:szCs w:val="13"/>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3" w:lineRule="exact"/>
        <w:rPr>
          <w:rFonts w:ascii="Times New Roman" w:cs="Times New Roman" w:eastAsia="Times New Roman" w:hAnsi="Times New Roman"/>
          <w:sz w:val="13"/>
          <w:szCs w:val="13"/>
          <w:color w:val="auto"/>
        </w:rPr>
      </w:pPr>
    </w:p>
    <w:p>
      <w:pPr>
        <w:spacing w:after="0" w:line="235" w:lineRule="auto"/>
        <w:rPr>
          <w:sz w:val="20"/>
          <w:szCs w:val="20"/>
          <w:color w:val="auto"/>
        </w:rPr>
      </w:pPr>
      <w:r>
        <w:rPr>
          <w:rFonts w:ascii="Times New Roman" w:cs="Times New Roman" w:eastAsia="Times New Roman" w:hAnsi="Times New Roman"/>
          <w:sz w:val="14"/>
          <w:szCs w:val="14"/>
          <w:color w:val="auto"/>
        </w:rPr>
        <w:t>Specified portions of the Registrant's definitive proxy statement to be filed in connection with solicitation of proxies for its 2024 Annual Meeting of Shareholders are incorporated by reference into Part III of this Form 10-K. Exhibit index is located on pages 92 to 96 of this filing.</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-20955</wp:posOffset>
            </wp:positionH>
            <wp:positionV relativeFrom="paragraph">
              <wp:posOffset>323215</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782"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0" w:lineRule="exact"/>
        <w:rPr>
          <w:sz w:val="20"/>
          <w:szCs w:val="20"/>
          <w:color w:val="auto"/>
        </w:rPr>
      </w:pPr>
    </w:p>
    <w:tbl>
      <w:tblPr>
        <w:tblLayout w:type="fixed"/>
        <w:tblInd w:w="70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5"/>
        </w:trPr>
        <w:tc>
          <w:tcPr>
            <w:tcW w:w="600" w:type="dxa"/>
            <w:vAlign w:val="bottom"/>
            <w:tcBorders>
              <w:bottom w:val="single" w:sz="8" w:color="0000FF"/>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0000FF"/>
                <w:w w:val="92"/>
              </w:rPr>
              <w:t>PART I</w:t>
            </w:r>
          </w:p>
        </w:tc>
        <w:tc>
          <w:tcPr>
            <w:tcW w:w="660" w:type="dxa"/>
            <w:vAlign w:val="bottom"/>
            <w:tcBorders>
              <w:left w:val="single" w:sz="8" w:color="CCEEFF"/>
              <w:bottom w:val="single" w:sz="8" w:color="CCEEFF"/>
            </w:tcBorders>
            <w:gridSpan w:val="3"/>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520" w:type="dxa"/>
            <w:vAlign w:val="bottom"/>
            <w:tcBorders>
              <w:top w:val="single" w:sz="8" w:color="auto"/>
              <w:left w:val="single" w:sz="8" w:color="CCEEFF"/>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r>
      <w:tr>
        <w:trPr>
          <w:trHeight w:val="185"/>
        </w:trPr>
        <w:tc>
          <w:tcPr>
            <w:tcW w:w="126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0000FF"/>
              </w:rPr>
              <w:t>Item 1.</w:t>
            </w:r>
          </w:p>
        </w:tc>
        <w:tc>
          <w:tcPr>
            <w:tcW w:w="7060" w:type="dxa"/>
            <w:vAlign w:val="bottom"/>
            <w:gridSpan w:val="24"/>
          </w:tcPr>
          <w:p>
            <w:pPr>
              <w:spacing w:after="0" w:line="186" w:lineRule="exact"/>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gridSpan w:val="2"/>
          </w:tcPr>
          <w:p>
            <w:pPr>
              <w:jc w:val="center"/>
              <w:ind w:left="412"/>
              <w:spacing w:after="0" w:line="186" w:lineRule="exact"/>
              <w:rPr>
                <w:sz w:val="20"/>
                <w:szCs w:val="20"/>
                <w:color w:val="auto"/>
              </w:rPr>
            </w:pPr>
            <w:r>
              <w:rPr>
                <w:rFonts w:ascii="Times New Roman" w:cs="Times New Roman" w:eastAsia="Times New Roman" w:hAnsi="Times New Roman"/>
                <w:sz w:val="18"/>
                <w:szCs w:val="18"/>
                <w:color w:val="0000FF"/>
                <w:w w:val="88"/>
              </w:rPr>
              <w:t>2</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0"/>
        </w:trPr>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95"/>
        </w:trPr>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87"/>
              </w:rPr>
              <w:t>Item 1A.</w:t>
            </w:r>
          </w:p>
        </w:tc>
        <w:tc>
          <w:tcPr>
            <w:tcW w:w="660" w:type="dxa"/>
            <w:vAlign w:val="bottom"/>
            <w:tcBorders>
              <w:left w:val="single" w:sz="8" w:color="CCEEFF"/>
            </w:tcBorders>
            <w:gridSpan w:val="3"/>
            <w:shd w:val="clear" w:color="auto" w:fill="CCEEFF"/>
          </w:tcPr>
          <w:p>
            <w:pPr>
              <w:spacing w:after="0"/>
              <w:rPr>
                <w:sz w:val="16"/>
                <w:szCs w:val="16"/>
                <w:color w:val="auto"/>
              </w:rPr>
            </w:pPr>
          </w:p>
        </w:tc>
        <w:tc>
          <w:tcPr>
            <w:tcW w:w="90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Risk Factors</w:t>
            </w:r>
          </w:p>
        </w:tc>
        <w:tc>
          <w:tcPr>
            <w:tcW w:w="6160" w:type="dxa"/>
            <w:vAlign w:val="bottom"/>
            <w:gridSpan w:val="19"/>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38</w:t>
            </w:r>
          </w:p>
        </w:tc>
        <w:tc>
          <w:tcPr>
            <w:tcW w:w="200" w:type="dxa"/>
            <w:vAlign w:val="bottom"/>
            <w:shd w:val="clear" w:color="auto" w:fill="CCEEFF"/>
          </w:tcPr>
          <w:p>
            <w:pPr>
              <w:spacing w:after="0"/>
              <w:rPr>
                <w:sz w:val="16"/>
                <w:szCs w:val="16"/>
                <w:color w:val="auto"/>
              </w:rPr>
            </w:pPr>
          </w:p>
        </w:tc>
      </w:tr>
      <w:tr>
        <w:trPr>
          <w:trHeight w:val="40"/>
        </w:trPr>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left w:val="single" w:sz="8" w:color="0000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186"/>
        </w:trPr>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88"/>
              </w:rPr>
              <w:t>Item 1B.</w:t>
            </w:r>
          </w:p>
        </w:tc>
        <w:tc>
          <w:tcPr>
            <w:tcW w:w="660" w:type="dxa"/>
            <w:vAlign w:val="bottom"/>
            <w:gridSpan w:val="3"/>
          </w:tcPr>
          <w:p>
            <w:pPr>
              <w:spacing w:after="0"/>
              <w:rPr>
                <w:sz w:val="16"/>
                <w:szCs w:val="16"/>
                <w:color w:val="auto"/>
              </w:rPr>
            </w:pPr>
          </w:p>
        </w:tc>
        <w:tc>
          <w:tcPr>
            <w:tcW w:w="7060" w:type="dxa"/>
            <w:vAlign w:val="bottom"/>
            <w:gridSpan w:val="24"/>
          </w:tcPr>
          <w:p>
            <w:pPr>
              <w:spacing w:after="0" w:line="18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10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70</w:t>
            </w:r>
          </w:p>
        </w:tc>
        <w:tc>
          <w:tcPr>
            <w:tcW w:w="200" w:type="dxa"/>
            <w:vAlign w:val="bottom"/>
          </w:tcPr>
          <w:p>
            <w:pPr>
              <w:spacing w:after="0"/>
              <w:rPr>
                <w:sz w:val="16"/>
                <w:szCs w:val="16"/>
                <w:color w:val="auto"/>
              </w:rPr>
            </w:pPr>
          </w:p>
        </w:tc>
      </w:tr>
      <w:tr>
        <w:trPr>
          <w:trHeight w:val="30"/>
        </w:trPr>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r>
      <w:tr>
        <w:trPr>
          <w:trHeight w:val="195"/>
        </w:trPr>
        <w:tc>
          <w:tcPr>
            <w:tcW w:w="126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1C.</w:t>
            </w:r>
          </w:p>
        </w:tc>
        <w:tc>
          <w:tcPr>
            <w:tcW w:w="7060" w:type="dxa"/>
            <w:vAlign w:val="bottom"/>
            <w:gridSpan w:val="2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Cybersecurity</w:t>
            </w:r>
          </w:p>
        </w:tc>
        <w:tc>
          <w:tcPr>
            <w:tcW w:w="110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70</w:t>
            </w:r>
          </w:p>
        </w:tc>
        <w:tc>
          <w:tcPr>
            <w:tcW w:w="200" w:type="dxa"/>
            <w:vAlign w:val="bottom"/>
            <w:shd w:val="clear" w:color="auto" w:fill="CCEEFF"/>
          </w:tcPr>
          <w:p>
            <w:pPr>
              <w:spacing w:after="0"/>
              <w:rPr>
                <w:sz w:val="16"/>
                <w:szCs w:val="16"/>
                <w:color w:val="auto"/>
              </w:rPr>
            </w:pPr>
          </w:p>
        </w:tc>
      </w:tr>
      <w:tr>
        <w:trPr>
          <w:trHeight w:val="40"/>
        </w:trPr>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left w:val="single" w:sz="8" w:color="0000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185"/>
        </w:trPr>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rPr>
              <w:t>Item 2.</w:t>
            </w:r>
          </w:p>
        </w:tc>
        <w:tc>
          <w:tcPr>
            <w:tcW w:w="660" w:type="dxa"/>
            <w:vAlign w:val="bottom"/>
            <w:gridSpan w:val="3"/>
          </w:tcPr>
          <w:p>
            <w:pPr>
              <w:spacing w:after="0"/>
              <w:rPr>
                <w:sz w:val="16"/>
                <w:szCs w:val="16"/>
                <w:color w:val="auto"/>
              </w:rPr>
            </w:pPr>
          </w:p>
        </w:tc>
        <w:tc>
          <w:tcPr>
            <w:tcW w:w="1000" w:type="dxa"/>
            <w:vAlign w:val="bottom"/>
            <w:gridSpan w:val="6"/>
          </w:tcPr>
          <w:p>
            <w:pPr>
              <w:spacing w:after="0" w:line="186" w:lineRule="exact"/>
              <w:rPr>
                <w:sz w:val="20"/>
                <w:szCs w:val="20"/>
                <w:color w:val="auto"/>
              </w:rPr>
            </w:pPr>
            <w:r>
              <w:rPr>
                <w:rFonts w:ascii="Times New Roman" w:cs="Times New Roman" w:eastAsia="Times New Roman" w:hAnsi="Times New Roman"/>
                <w:sz w:val="18"/>
                <w:szCs w:val="18"/>
                <w:color w:val="0000FF"/>
              </w:rPr>
              <w:t>Properties</w:t>
            </w:r>
          </w:p>
        </w:tc>
        <w:tc>
          <w:tcPr>
            <w:tcW w:w="6060" w:type="dxa"/>
            <w:vAlign w:val="bottom"/>
            <w:gridSpan w:val="18"/>
          </w:tcPr>
          <w:p>
            <w:pPr>
              <w:spacing w:after="0"/>
              <w:rPr>
                <w:sz w:val="16"/>
                <w:szCs w:val="16"/>
                <w:color w:val="auto"/>
              </w:rPr>
            </w:pPr>
          </w:p>
        </w:tc>
        <w:tc>
          <w:tcPr>
            <w:tcW w:w="110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71</w:t>
            </w:r>
          </w:p>
        </w:tc>
        <w:tc>
          <w:tcPr>
            <w:tcW w:w="200" w:type="dxa"/>
            <w:vAlign w:val="bottom"/>
          </w:tcPr>
          <w:p>
            <w:pPr>
              <w:spacing w:after="0"/>
              <w:rPr>
                <w:sz w:val="16"/>
                <w:szCs w:val="16"/>
                <w:color w:val="auto"/>
              </w:rPr>
            </w:pPr>
          </w:p>
        </w:tc>
      </w:tr>
      <w:tr>
        <w:trPr>
          <w:trHeight w:val="30"/>
        </w:trPr>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r>
      <w:tr>
        <w:trPr>
          <w:trHeight w:val="195"/>
        </w:trPr>
        <w:tc>
          <w:tcPr>
            <w:tcW w:w="126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3.</w:t>
            </w:r>
          </w:p>
        </w:tc>
        <w:tc>
          <w:tcPr>
            <w:tcW w:w="7060" w:type="dxa"/>
            <w:vAlign w:val="bottom"/>
            <w:gridSpan w:val="2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Legal Proceedings</w:t>
            </w:r>
          </w:p>
        </w:tc>
        <w:tc>
          <w:tcPr>
            <w:tcW w:w="110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71</w:t>
            </w:r>
          </w:p>
        </w:tc>
        <w:tc>
          <w:tcPr>
            <w:tcW w:w="200" w:type="dxa"/>
            <w:vAlign w:val="bottom"/>
            <w:shd w:val="clear" w:color="auto" w:fill="CCEEFF"/>
          </w:tcPr>
          <w:p>
            <w:pPr>
              <w:spacing w:after="0"/>
              <w:rPr>
                <w:sz w:val="16"/>
                <w:szCs w:val="16"/>
                <w:color w:val="auto"/>
              </w:rPr>
            </w:pPr>
          </w:p>
        </w:tc>
      </w:tr>
      <w:tr>
        <w:trPr>
          <w:trHeight w:val="40"/>
        </w:trPr>
        <w:tc>
          <w:tcPr>
            <w:tcW w:w="50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left w:val="single" w:sz="8" w:color="0000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195"/>
        </w:trPr>
        <w:tc>
          <w:tcPr>
            <w:tcW w:w="126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0000FF"/>
              </w:rPr>
              <w:t>Item 4.</w:t>
            </w:r>
          </w:p>
        </w:tc>
        <w:tc>
          <w:tcPr>
            <w:tcW w:w="7060" w:type="dxa"/>
            <w:vAlign w:val="bottom"/>
            <w:gridSpan w:val="24"/>
          </w:tcPr>
          <w:p>
            <w:pPr>
              <w:spacing w:after="0" w:line="186" w:lineRule="exact"/>
              <w:rPr>
                <w:sz w:val="20"/>
                <w:szCs w:val="20"/>
                <w:color w:val="auto"/>
              </w:rPr>
            </w:pPr>
            <w:r>
              <w:rPr>
                <w:rFonts w:ascii="Times New Roman" w:cs="Times New Roman" w:eastAsia="Times New Roman" w:hAnsi="Times New Roman"/>
                <w:sz w:val="18"/>
                <w:szCs w:val="18"/>
                <w:color w:val="0000FF"/>
              </w:rPr>
              <w:t>Mine Safety Disclosures</w:t>
            </w:r>
          </w:p>
        </w:tc>
        <w:tc>
          <w:tcPr>
            <w:tcW w:w="110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71</w:t>
            </w:r>
          </w:p>
        </w:tc>
        <w:tc>
          <w:tcPr>
            <w:tcW w:w="200" w:type="dxa"/>
            <w:vAlign w:val="bottom"/>
          </w:tcPr>
          <w:p>
            <w:pPr>
              <w:spacing w:after="0"/>
              <w:rPr>
                <w:sz w:val="16"/>
                <w:szCs w:val="16"/>
                <w:color w:val="auto"/>
              </w:rPr>
            </w:pPr>
          </w:p>
        </w:tc>
      </w:tr>
      <w:tr>
        <w:trPr>
          <w:trHeight w:val="328"/>
        </w:trPr>
        <w:tc>
          <w:tcPr>
            <w:tcW w:w="500" w:type="dxa"/>
            <w:vAlign w:val="bottom"/>
            <w:tcBorders>
              <w:top w:val="single" w:sz="8" w:color="0000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tcBorders>
              <w:top w:val="single" w:sz="8" w:color="0000FF"/>
            </w:tcBorders>
            <w:shd w:val="clear" w:color="auto" w:fill="CCEEFF"/>
          </w:tcPr>
          <w:p>
            <w:pPr>
              <w:spacing w:after="0"/>
              <w:rPr>
                <w:sz w:val="24"/>
                <w:szCs w:val="24"/>
                <w:color w:val="auto"/>
              </w:rPr>
            </w:pPr>
          </w:p>
        </w:tc>
        <w:tc>
          <w:tcPr>
            <w:tcW w:w="340" w:type="dxa"/>
            <w:vAlign w:val="bottom"/>
            <w:tcBorders>
              <w:top w:val="single" w:sz="8" w:color="0000FF"/>
            </w:tcBorders>
            <w:shd w:val="clear" w:color="auto" w:fill="CCEEFF"/>
          </w:tcPr>
          <w:p>
            <w:pPr>
              <w:spacing w:after="0"/>
              <w:rPr>
                <w:sz w:val="24"/>
                <w:szCs w:val="24"/>
                <w:color w:val="auto"/>
              </w:rPr>
            </w:pPr>
          </w:p>
        </w:tc>
        <w:tc>
          <w:tcPr>
            <w:tcW w:w="80" w:type="dxa"/>
            <w:vAlign w:val="bottom"/>
            <w:tcBorders>
              <w:top w:val="single" w:sz="8" w:color="0000FF"/>
            </w:tcBorders>
            <w:shd w:val="clear" w:color="auto" w:fill="CCEEFF"/>
          </w:tcPr>
          <w:p>
            <w:pPr>
              <w:spacing w:after="0"/>
              <w:rPr>
                <w:sz w:val="24"/>
                <w:szCs w:val="24"/>
                <w:color w:val="auto"/>
              </w:rPr>
            </w:pPr>
          </w:p>
        </w:tc>
        <w:tc>
          <w:tcPr>
            <w:tcW w:w="60" w:type="dxa"/>
            <w:vAlign w:val="bottom"/>
            <w:tcBorders>
              <w:top w:val="single" w:sz="8" w:color="0000FF"/>
              <w:right w:val="single" w:sz="8" w:color="CCEEFF"/>
            </w:tcBorders>
            <w:shd w:val="clear" w:color="auto" w:fill="CCEEFF"/>
          </w:tcPr>
          <w:p>
            <w:pPr>
              <w:spacing w:after="0"/>
              <w:rPr>
                <w:sz w:val="24"/>
                <w:szCs w:val="24"/>
                <w:color w:val="auto"/>
              </w:rPr>
            </w:pPr>
          </w:p>
        </w:tc>
        <w:tc>
          <w:tcPr>
            <w:tcW w:w="120" w:type="dxa"/>
            <w:vAlign w:val="bottom"/>
            <w:tcBorders>
              <w:top w:val="single" w:sz="8" w:color="0000FF"/>
            </w:tcBorders>
            <w:shd w:val="clear" w:color="auto" w:fill="CCEEFF"/>
          </w:tcPr>
          <w:p>
            <w:pPr>
              <w:spacing w:after="0"/>
              <w:rPr>
                <w:sz w:val="24"/>
                <w:szCs w:val="24"/>
                <w:color w:val="auto"/>
              </w:rPr>
            </w:pPr>
          </w:p>
        </w:tc>
        <w:tc>
          <w:tcPr>
            <w:tcW w:w="100" w:type="dxa"/>
            <w:vAlign w:val="bottom"/>
            <w:tcBorders>
              <w:top w:val="single" w:sz="8" w:color="0000FF"/>
            </w:tcBorders>
            <w:shd w:val="clear" w:color="auto" w:fill="CCEEFF"/>
          </w:tcPr>
          <w:p>
            <w:pPr>
              <w:spacing w:after="0"/>
              <w:rPr>
                <w:sz w:val="24"/>
                <w:szCs w:val="24"/>
                <w:color w:val="auto"/>
              </w:rPr>
            </w:pPr>
          </w:p>
        </w:tc>
        <w:tc>
          <w:tcPr>
            <w:tcW w:w="300" w:type="dxa"/>
            <w:vAlign w:val="bottom"/>
            <w:tcBorders>
              <w:top w:val="single" w:sz="8" w:color="0000FF"/>
            </w:tcBorders>
            <w:shd w:val="clear" w:color="auto" w:fill="CCEEFF"/>
          </w:tcPr>
          <w:p>
            <w:pPr>
              <w:spacing w:after="0"/>
              <w:rPr>
                <w:sz w:val="24"/>
                <w:szCs w:val="24"/>
                <w:color w:val="auto"/>
              </w:rPr>
            </w:pPr>
          </w:p>
        </w:tc>
        <w:tc>
          <w:tcPr>
            <w:tcW w:w="140" w:type="dxa"/>
            <w:vAlign w:val="bottom"/>
            <w:tcBorders>
              <w:top w:val="single" w:sz="8" w:color="0000FF"/>
              <w:left w:val="single" w:sz="8" w:color="CCEEFF"/>
            </w:tcBorders>
            <w:shd w:val="clear" w:color="auto" w:fill="CCEEFF"/>
          </w:tcPr>
          <w:p>
            <w:pPr>
              <w:spacing w:after="0"/>
              <w:rPr>
                <w:sz w:val="24"/>
                <w:szCs w:val="24"/>
                <w:color w:val="auto"/>
              </w:rPr>
            </w:pPr>
          </w:p>
        </w:tc>
        <w:tc>
          <w:tcPr>
            <w:tcW w:w="80" w:type="dxa"/>
            <w:vAlign w:val="bottom"/>
            <w:tcBorders>
              <w:top w:val="single" w:sz="8" w:color="0000FF"/>
            </w:tcBorders>
            <w:shd w:val="clear" w:color="auto" w:fill="CCEEFF"/>
          </w:tcPr>
          <w:p>
            <w:pPr>
              <w:spacing w:after="0"/>
              <w:rPr>
                <w:sz w:val="24"/>
                <w:szCs w:val="24"/>
                <w:color w:val="auto"/>
              </w:rPr>
            </w:pPr>
          </w:p>
        </w:tc>
        <w:tc>
          <w:tcPr>
            <w:tcW w:w="260" w:type="dxa"/>
            <w:vAlign w:val="bottom"/>
            <w:tcBorders>
              <w:top w:val="single" w:sz="8" w:color="0000FF"/>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80" w:type="dxa"/>
            <w:vAlign w:val="bottom"/>
            <w:tcBorders>
              <w:top w:val="single" w:sz="8" w:color="0000FF"/>
            </w:tcBorders>
            <w:shd w:val="clear" w:color="auto" w:fill="CCEEFF"/>
          </w:tcPr>
          <w:p>
            <w:pPr>
              <w:spacing w:after="0"/>
              <w:rPr>
                <w:sz w:val="24"/>
                <w:szCs w:val="24"/>
                <w:color w:val="auto"/>
              </w:rPr>
            </w:pPr>
          </w:p>
        </w:tc>
        <w:tc>
          <w:tcPr>
            <w:tcW w:w="520" w:type="dxa"/>
            <w:vAlign w:val="bottom"/>
            <w:tcBorders>
              <w:lef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95"/>
        </w:trPr>
        <w:tc>
          <w:tcPr>
            <w:tcW w:w="126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5"/>
        </w:trPr>
        <w:tc>
          <w:tcPr>
            <w:tcW w:w="600" w:type="dxa"/>
            <w:vAlign w:val="bottom"/>
            <w:tcBorders>
              <w:top w:val="single" w:sz="8" w:color="0000FF"/>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5.</w:t>
            </w:r>
          </w:p>
        </w:tc>
        <w:tc>
          <w:tcPr>
            <w:tcW w:w="660" w:type="dxa"/>
            <w:vAlign w:val="bottom"/>
            <w:tcBorders>
              <w:left w:val="single" w:sz="8" w:color="CCEEFF"/>
            </w:tcBorders>
            <w:gridSpan w:val="3"/>
            <w:shd w:val="clear" w:color="auto" w:fill="CCEEFF"/>
          </w:tcPr>
          <w:p>
            <w:pPr>
              <w:spacing w:after="0"/>
              <w:rPr>
                <w:sz w:val="16"/>
                <w:szCs w:val="16"/>
                <w:color w:val="auto"/>
              </w:rPr>
            </w:pPr>
          </w:p>
        </w:tc>
        <w:tc>
          <w:tcPr>
            <w:tcW w:w="7060" w:type="dxa"/>
            <w:vAlign w:val="bottom"/>
            <w:gridSpan w:val="2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110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72</w:t>
            </w:r>
          </w:p>
        </w:tc>
        <w:tc>
          <w:tcPr>
            <w:tcW w:w="200" w:type="dxa"/>
            <w:vAlign w:val="bottom"/>
            <w:shd w:val="clear" w:color="auto" w:fill="CCEEFF"/>
          </w:tcPr>
          <w:p>
            <w:pPr>
              <w:spacing w:after="0"/>
              <w:rPr>
                <w:sz w:val="16"/>
                <w:szCs w:val="16"/>
                <w:color w:val="auto"/>
              </w:rPr>
            </w:pPr>
          </w:p>
        </w:tc>
      </w:tr>
      <w:tr>
        <w:trPr>
          <w:trHeight w:val="185"/>
        </w:trPr>
        <w:tc>
          <w:tcPr>
            <w:tcW w:w="50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2160" w:type="dxa"/>
            <w:vAlign w:val="bottom"/>
            <w:tcBorders>
              <w:top w:val="single" w:sz="8" w:color="0000FF"/>
              <w:bottom w:val="single" w:sz="8" w:color="0000FF"/>
            </w:tcBorders>
            <w:gridSpan w:val="12"/>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Purchases of Equity Securities</w:t>
            </w:r>
          </w:p>
        </w:tc>
        <w:tc>
          <w:tcPr>
            <w:tcW w:w="360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520" w:type="dxa"/>
            <w:vAlign w:val="bottom"/>
            <w:tcBorders>
              <w:top w:val="single" w:sz="8" w:color="CCEEFF"/>
              <w:left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6"/>
        </w:trPr>
        <w:tc>
          <w:tcPr>
            <w:tcW w:w="126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0000FF"/>
              </w:rPr>
              <w:t>Item 6.</w:t>
            </w:r>
          </w:p>
        </w:tc>
        <w:tc>
          <w:tcPr>
            <w:tcW w:w="7060" w:type="dxa"/>
            <w:vAlign w:val="bottom"/>
            <w:gridSpan w:val="24"/>
          </w:tcPr>
          <w:p>
            <w:pPr>
              <w:spacing w:after="0" w:line="186" w:lineRule="exact"/>
              <w:rPr>
                <w:sz w:val="20"/>
                <w:szCs w:val="20"/>
                <w:color w:val="auto"/>
              </w:rPr>
            </w:pPr>
            <w:r>
              <w:rPr>
                <w:rFonts w:ascii="Times New Roman" w:cs="Times New Roman" w:eastAsia="Times New Roman" w:hAnsi="Times New Roman"/>
                <w:sz w:val="18"/>
                <w:szCs w:val="18"/>
                <w:color w:val="0000FF"/>
              </w:rPr>
              <w:t>[Reserved]</w:t>
            </w:r>
          </w:p>
        </w:tc>
        <w:tc>
          <w:tcPr>
            <w:tcW w:w="110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73</w:t>
            </w:r>
          </w:p>
        </w:tc>
        <w:tc>
          <w:tcPr>
            <w:tcW w:w="200" w:type="dxa"/>
            <w:vAlign w:val="bottom"/>
          </w:tcPr>
          <w:p>
            <w:pPr>
              <w:spacing w:after="0"/>
              <w:rPr>
                <w:sz w:val="16"/>
                <w:szCs w:val="16"/>
                <w:color w:val="auto"/>
              </w:rPr>
            </w:pPr>
          </w:p>
        </w:tc>
      </w:tr>
      <w:tr>
        <w:trPr>
          <w:trHeight w:val="30"/>
        </w:trPr>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r>
      <w:tr>
        <w:trPr>
          <w:trHeight w:val="195"/>
        </w:trPr>
        <w:tc>
          <w:tcPr>
            <w:tcW w:w="126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7.</w:t>
            </w:r>
          </w:p>
        </w:tc>
        <w:tc>
          <w:tcPr>
            <w:tcW w:w="7060" w:type="dxa"/>
            <w:vAlign w:val="bottom"/>
            <w:gridSpan w:val="2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0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73</w:t>
            </w:r>
          </w:p>
        </w:tc>
        <w:tc>
          <w:tcPr>
            <w:tcW w:w="200" w:type="dxa"/>
            <w:vAlign w:val="bottom"/>
            <w:shd w:val="clear" w:color="auto" w:fill="CCEEFF"/>
          </w:tcPr>
          <w:p>
            <w:pPr>
              <w:spacing w:after="0"/>
              <w:rPr>
                <w:sz w:val="16"/>
                <w:szCs w:val="16"/>
                <w:color w:val="auto"/>
              </w:rPr>
            </w:pPr>
          </w:p>
        </w:tc>
      </w:tr>
      <w:tr>
        <w:trPr>
          <w:trHeight w:val="40"/>
        </w:trPr>
        <w:tc>
          <w:tcPr>
            <w:tcW w:w="50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left w:val="single" w:sz="8" w:color="0000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185"/>
        </w:trPr>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87"/>
              </w:rPr>
              <w:t>Item 7A.</w:t>
            </w:r>
          </w:p>
        </w:tc>
        <w:tc>
          <w:tcPr>
            <w:tcW w:w="660" w:type="dxa"/>
            <w:vAlign w:val="bottom"/>
            <w:gridSpan w:val="3"/>
          </w:tcPr>
          <w:p>
            <w:pPr>
              <w:spacing w:after="0"/>
              <w:rPr>
                <w:sz w:val="16"/>
                <w:szCs w:val="16"/>
                <w:color w:val="auto"/>
              </w:rPr>
            </w:pPr>
          </w:p>
        </w:tc>
        <w:tc>
          <w:tcPr>
            <w:tcW w:w="7060" w:type="dxa"/>
            <w:vAlign w:val="bottom"/>
            <w:gridSpan w:val="24"/>
          </w:tcPr>
          <w:p>
            <w:pPr>
              <w:spacing w:after="0" w:line="18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0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89</w:t>
            </w:r>
          </w:p>
        </w:tc>
        <w:tc>
          <w:tcPr>
            <w:tcW w:w="200" w:type="dxa"/>
            <w:vAlign w:val="bottom"/>
          </w:tcPr>
          <w:p>
            <w:pPr>
              <w:spacing w:after="0"/>
              <w:rPr>
                <w:sz w:val="16"/>
                <w:szCs w:val="16"/>
                <w:color w:val="auto"/>
              </w:rPr>
            </w:pPr>
          </w:p>
        </w:tc>
      </w:tr>
      <w:tr>
        <w:trPr>
          <w:trHeight w:val="30"/>
        </w:trPr>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r>
      <w:tr>
        <w:trPr>
          <w:trHeight w:val="195"/>
        </w:trPr>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8.</w:t>
            </w:r>
          </w:p>
        </w:tc>
        <w:tc>
          <w:tcPr>
            <w:tcW w:w="660" w:type="dxa"/>
            <w:vAlign w:val="bottom"/>
            <w:tcBorders>
              <w:left w:val="single" w:sz="8" w:color="CCEEFF"/>
            </w:tcBorders>
            <w:gridSpan w:val="3"/>
            <w:shd w:val="clear" w:color="auto" w:fill="CCEEFF"/>
          </w:tcPr>
          <w:p>
            <w:pPr>
              <w:spacing w:after="0"/>
              <w:rPr>
                <w:sz w:val="16"/>
                <w:szCs w:val="16"/>
                <w:color w:val="auto"/>
              </w:rPr>
            </w:pPr>
          </w:p>
        </w:tc>
        <w:tc>
          <w:tcPr>
            <w:tcW w:w="4280" w:type="dxa"/>
            <w:vAlign w:val="bottom"/>
            <w:gridSpan w:val="17"/>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780" w:type="dxa"/>
            <w:vAlign w:val="bottom"/>
            <w:gridSpan w:val="7"/>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90</w:t>
            </w:r>
          </w:p>
        </w:tc>
        <w:tc>
          <w:tcPr>
            <w:tcW w:w="200" w:type="dxa"/>
            <w:vAlign w:val="bottom"/>
            <w:shd w:val="clear" w:color="auto" w:fill="CCEEFF"/>
          </w:tcPr>
          <w:p>
            <w:pPr>
              <w:spacing w:after="0"/>
              <w:rPr>
                <w:sz w:val="16"/>
                <w:szCs w:val="16"/>
                <w:color w:val="auto"/>
              </w:rPr>
            </w:pPr>
          </w:p>
        </w:tc>
      </w:tr>
      <w:tr>
        <w:trPr>
          <w:trHeight w:val="40"/>
        </w:trPr>
        <w:tc>
          <w:tcPr>
            <w:tcW w:w="50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left w:val="single" w:sz="8" w:color="0000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186"/>
        </w:trPr>
        <w:tc>
          <w:tcPr>
            <w:tcW w:w="126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0000FF"/>
              </w:rPr>
              <w:t>Item 9.</w:t>
            </w:r>
          </w:p>
        </w:tc>
        <w:tc>
          <w:tcPr>
            <w:tcW w:w="7060" w:type="dxa"/>
            <w:vAlign w:val="bottom"/>
            <w:gridSpan w:val="24"/>
          </w:tcPr>
          <w:p>
            <w:pPr>
              <w:spacing w:after="0" w:line="18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110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90</w:t>
            </w:r>
          </w:p>
        </w:tc>
        <w:tc>
          <w:tcPr>
            <w:tcW w:w="200" w:type="dxa"/>
            <w:vAlign w:val="bottom"/>
          </w:tcPr>
          <w:p>
            <w:pPr>
              <w:spacing w:after="0"/>
              <w:rPr>
                <w:sz w:val="16"/>
                <w:szCs w:val="16"/>
                <w:color w:val="auto"/>
              </w:rPr>
            </w:pPr>
          </w:p>
        </w:tc>
      </w:tr>
      <w:tr>
        <w:trPr>
          <w:trHeight w:val="152"/>
        </w:trPr>
        <w:tc>
          <w:tcPr>
            <w:tcW w:w="5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560" w:type="dxa"/>
            <w:vAlign w:val="bottom"/>
            <w:tcBorders>
              <w:top w:val="single" w:sz="8" w:color="0000FF"/>
            </w:tcBorders>
            <w:gridSpan w:val="20"/>
          </w:tcPr>
          <w:p>
            <w:pPr>
              <w:spacing w:after="0" w:line="152" w:lineRule="exact"/>
              <w:rPr>
                <w:sz w:val="20"/>
                <w:szCs w:val="20"/>
                <w:color w:val="auto"/>
              </w:rPr>
            </w:pPr>
            <w:r>
              <w:rPr>
                <w:rFonts w:ascii="Times New Roman" w:cs="Times New Roman" w:eastAsia="Times New Roman" w:hAnsi="Times New Roman"/>
                <w:sz w:val="17"/>
                <w:szCs w:val="17"/>
                <w:color w:val="0000FF"/>
              </w:rPr>
              <w:t>Disclosure</w:t>
            </w:r>
          </w:p>
        </w:tc>
        <w:tc>
          <w:tcPr>
            <w:tcW w:w="120" w:type="dxa"/>
            <w:vAlign w:val="bottom"/>
          </w:tcPr>
          <w:p>
            <w:pPr>
              <w:spacing w:after="0"/>
              <w:rPr>
                <w:sz w:val="13"/>
                <w:szCs w:val="13"/>
                <w:color w:val="auto"/>
              </w:rPr>
            </w:pPr>
          </w:p>
        </w:tc>
        <w:tc>
          <w:tcPr>
            <w:tcW w:w="1380" w:type="dxa"/>
            <w:vAlign w:val="bottom"/>
            <w:gridSpan w:val="3"/>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3"/>
        </w:trPr>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6"/>
        </w:trPr>
        <w:tc>
          <w:tcPr>
            <w:tcW w:w="600" w:type="dxa"/>
            <w:vAlign w:val="bottom"/>
            <w:tcBorders>
              <w:right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87"/>
              </w:rPr>
              <w:t>Item 9A.</w:t>
            </w:r>
          </w:p>
        </w:tc>
        <w:tc>
          <w:tcPr>
            <w:tcW w:w="660" w:type="dxa"/>
            <w:vAlign w:val="bottom"/>
            <w:tcBorders>
              <w:left w:val="single" w:sz="8" w:color="CCEEFF"/>
            </w:tcBorders>
            <w:gridSpan w:val="3"/>
            <w:shd w:val="clear" w:color="auto" w:fill="CCEEFF"/>
          </w:tcPr>
          <w:p>
            <w:pPr>
              <w:spacing w:after="0"/>
              <w:rPr>
                <w:sz w:val="16"/>
                <w:szCs w:val="16"/>
                <w:color w:val="auto"/>
              </w:rPr>
            </w:pPr>
          </w:p>
        </w:tc>
        <w:tc>
          <w:tcPr>
            <w:tcW w:w="7060" w:type="dxa"/>
            <w:vAlign w:val="bottom"/>
            <w:gridSpan w:val="24"/>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1100" w:type="dxa"/>
            <w:vAlign w:val="bottom"/>
            <w:gridSpan w:val="3"/>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90</w:t>
            </w:r>
          </w:p>
        </w:tc>
        <w:tc>
          <w:tcPr>
            <w:tcW w:w="200" w:type="dxa"/>
            <w:vAlign w:val="bottom"/>
            <w:shd w:val="clear" w:color="auto" w:fill="CCEEFF"/>
          </w:tcPr>
          <w:p>
            <w:pPr>
              <w:spacing w:after="0"/>
              <w:rPr>
                <w:sz w:val="16"/>
                <w:szCs w:val="16"/>
                <w:color w:val="auto"/>
              </w:rPr>
            </w:pPr>
          </w:p>
        </w:tc>
      </w:tr>
      <w:tr>
        <w:trPr>
          <w:trHeight w:val="40"/>
        </w:trPr>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left w:val="single" w:sz="8" w:color="0000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186"/>
        </w:trPr>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88"/>
              </w:rPr>
              <w:t>Item 9B.</w:t>
            </w:r>
          </w:p>
        </w:tc>
        <w:tc>
          <w:tcPr>
            <w:tcW w:w="660" w:type="dxa"/>
            <w:vAlign w:val="bottom"/>
            <w:gridSpan w:val="3"/>
          </w:tcPr>
          <w:p>
            <w:pPr>
              <w:spacing w:after="0"/>
              <w:rPr>
                <w:sz w:val="16"/>
                <w:szCs w:val="16"/>
                <w:color w:val="auto"/>
              </w:rPr>
            </w:pPr>
          </w:p>
        </w:tc>
        <w:tc>
          <w:tcPr>
            <w:tcW w:w="1780" w:type="dxa"/>
            <w:vAlign w:val="bottom"/>
            <w:gridSpan w:val="10"/>
          </w:tcPr>
          <w:p>
            <w:pPr>
              <w:spacing w:after="0" w:line="186" w:lineRule="exact"/>
              <w:rPr>
                <w:sz w:val="20"/>
                <w:szCs w:val="20"/>
                <w:color w:val="auto"/>
              </w:rPr>
            </w:pPr>
            <w:r>
              <w:rPr>
                <w:rFonts w:ascii="Times New Roman" w:cs="Times New Roman" w:eastAsia="Times New Roman" w:hAnsi="Times New Roman"/>
                <w:sz w:val="18"/>
                <w:szCs w:val="18"/>
                <w:color w:val="0000FF"/>
              </w:rPr>
              <w:t>Other Information</w:t>
            </w:r>
          </w:p>
        </w:tc>
        <w:tc>
          <w:tcPr>
            <w:tcW w:w="5280" w:type="dxa"/>
            <w:vAlign w:val="bottom"/>
            <w:gridSpan w:val="14"/>
          </w:tcPr>
          <w:p>
            <w:pPr>
              <w:spacing w:after="0"/>
              <w:rPr>
                <w:sz w:val="16"/>
                <w:szCs w:val="16"/>
                <w:color w:val="auto"/>
              </w:rPr>
            </w:pPr>
          </w:p>
        </w:tc>
        <w:tc>
          <w:tcPr>
            <w:tcW w:w="110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91</w:t>
            </w:r>
          </w:p>
        </w:tc>
        <w:tc>
          <w:tcPr>
            <w:tcW w:w="200" w:type="dxa"/>
            <w:vAlign w:val="bottom"/>
          </w:tcPr>
          <w:p>
            <w:pPr>
              <w:spacing w:after="0"/>
              <w:rPr>
                <w:sz w:val="16"/>
                <w:szCs w:val="16"/>
                <w:color w:val="auto"/>
              </w:rPr>
            </w:pPr>
          </w:p>
        </w:tc>
      </w:tr>
      <w:tr>
        <w:trPr>
          <w:trHeight w:val="30"/>
        </w:trPr>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r>
      <w:tr>
        <w:trPr>
          <w:trHeight w:val="215"/>
        </w:trPr>
        <w:tc>
          <w:tcPr>
            <w:tcW w:w="126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Item 9C.</w:t>
            </w:r>
          </w:p>
        </w:tc>
        <w:tc>
          <w:tcPr>
            <w:tcW w:w="7060" w:type="dxa"/>
            <w:vAlign w:val="bottom"/>
            <w:gridSpan w:val="2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0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91</w:t>
            </w:r>
          </w:p>
        </w:tc>
        <w:tc>
          <w:tcPr>
            <w:tcW w:w="200" w:type="dxa"/>
            <w:vAlign w:val="bottom"/>
            <w:shd w:val="clear" w:color="auto" w:fill="CCEEFF"/>
          </w:tcPr>
          <w:p>
            <w:pPr>
              <w:spacing w:after="0"/>
              <w:rPr>
                <w:sz w:val="18"/>
                <w:szCs w:val="18"/>
                <w:color w:val="auto"/>
              </w:rPr>
            </w:pPr>
          </w:p>
        </w:tc>
      </w:tr>
      <w:tr>
        <w:trPr>
          <w:trHeight w:val="318"/>
        </w:trPr>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205"/>
        </w:trPr>
        <w:tc>
          <w:tcPr>
            <w:tcW w:w="720" w:type="dxa"/>
            <w:vAlign w:val="bottom"/>
            <w:tcBorders>
              <w:bottom w:val="single" w:sz="8" w:color="0000FF"/>
            </w:tcBorders>
            <w:gridSpan w:val="4"/>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0000FF"/>
                <w:w w:val="93"/>
              </w:rPr>
              <w:t>PART III</w:t>
            </w:r>
          </w:p>
        </w:tc>
        <w:tc>
          <w:tcPr>
            <w:tcW w:w="5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left w:val="single" w:sz="8" w:color="CCEEFF"/>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left w:val="single" w:sz="8" w:color="CCEEFF"/>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185"/>
        </w:trPr>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3"/>
              </w:rPr>
              <w:t>Item 10.</w:t>
            </w:r>
          </w:p>
        </w:tc>
        <w:tc>
          <w:tcPr>
            <w:tcW w:w="660" w:type="dxa"/>
            <w:vAlign w:val="bottom"/>
            <w:gridSpan w:val="3"/>
          </w:tcPr>
          <w:p>
            <w:pPr>
              <w:spacing w:after="0"/>
              <w:rPr>
                <w:sz w:val="16"/>
                <w:szCs w:val="16"/>
                <w:color w:val="auto"/>
              </w:rPr>
            </w:pPr>
          </w:p>
        </w:tc>
        <w:tc>
          <w:tcPr>
            <w:tcW w:w="7060" w:type="dxa"/>
            <w:vAlign w:val="bottom"/>
            <w:gridSpan w:val="24"/>
          </w:tcPr>
          <w:p>
            <w:pPr>
              <w:spacing w:after="0" w:line="18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0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91</w:t>
            </w:r>
          </w:p>
        </w:tc>
        <w:tc>
          <w:tcPr>
            <w:tcW w:w="200" w:type="dxa"/>
            <w:vAlign w:val="bottom"/>
          </w:tcPr>
          <w:p>
            <w:pPr>
              <w:spacing w:after="0"/>
              <w:rPr>
                <w:sz w:val="16"/>
                <w:szCs w:val="16"/>
                <w:color w:val="auto"/>
              </w:rPr>
            </w:pPr>
          </w:p>
        </w:tc>
      </w:tr>
      <w:tr>
        <w:trPr>
          <w:trHeight w:val="30"/>
        </w:trPr>
        <w:tc>
          <w:tcPr>
            <w:tcW w:w="5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2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r>
      <w:tr>
        <w:trPr>
          <w:trHeight w:val="195"/>
        </w:trPr>
        <w:tc>
          <w:tcPr>
            <w:tcW w:w="600" w:type="dxa"/>
            <w:vAlign w:val="bottom"/>
            <w:tcBorders>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Item 11.</w:t>
            </w:r>
          </w:p>
        </w:tc>
        <w:tc>
          <w:tcPr>
            <w:tcW w:w="660" w:type="dxa"/>
            <w:vAlign w:val="bottom"/>
            <w:tcBorders>
              <w:left w:val="single" w:sz="8" w:color="CCEEFF"/>
            </w:tcBorders>
            <w:gridSpan w:val="3"/>
            <w:shd w:val="clear" w:color="auto" w:fill="CCEEFF"/>
          </w:tcPr>
          <w:p>
            <w:pPr>
              <w:spacing w:after="0"/>
              <w:rPr>
                <w:sz w:val="16"/>
                <w:szCs w:val="16"/>
                <w:color w:val="auto"/>
              </w:rPr>
            </w:pPr>
          </w:p>
        </w:tc>
        <w:tc>
          <w:tcPr>
            <w:tcW w:w="4020" w:type="dxa"/>
            <w:vAlign w:val="bottom"/>
            <w:gridSpan w:val="1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Executive Compensation</w:t>
            </w:r>
          </w:p>
        </w:tc>
        <w:tc>
          <w:tcPr>
            <w:tcW w:w="3040" w:type="dxa"/>
            <w:vAlign w:val="bottom"/>
            <w:gridSpan w:val="8"/>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91</w:t>
            </w:r>
          </w:p>
        </w:tc>
        <w:tc>
          <w:tcPr>
            <w:tcW w:w="200" w:type="dxa"/>
            <w:vAlign w:val="bottom"/>
            <w:shd w:val="clear" w:color="auto" w:fill="CCEEFF"/>
          </w:tcPr>
          <w:p>
            <w:pPr>
              <w:spacing w:after="0"/>
              <w:rPr>
                <w:sz w:val="16"/>
                <w:szCs w:val="16"/>
                <w:color w:val="auto"/>
              </w:rPr>
            </w:pPr>
          </w:p>
        </w:tc>
      </w:tr>
      <w:tr>
        <w:trPr>
          <w:trHeight w:val="40"/>
        </w:trPr>
        <w:tc>
          <w:tcPr>
            <w:tcW w:w="500" w:type="dxa"/>
            <w:vAlign w:val="bottom"/>
            <w:shd w:val="clear" w:color="auto" w:fill="0000FF"/>
          </w:tcPr>
          <w:p>
            <w:pPr>
              <w:spacing w:after="0"/>
              <w:rPr>
                <w:sz w:val="3"/>
                <w:szCs w:val="3"/>
                <w:color w:val="auto"/>
              </w:rPr>
            </w:pPr>
          </w:p>
        </w:tc>
        <w:tc>
          <w:tcPr>
            <w:tcW w:w="100" w:type="dxa"/>
            <w:vAlign w:val="bottom"/>
            <w:tcBorders>
              <w:right w:val="single" w:sz="8" w:color="CCEEFF"/>
            </w:tcBorders>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left w:val="single" w:sz="8" w:color="0000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186"/>
        </w:trPr>
        <w:tc>
          <w:tcPr>
            <w:tcW w:w="126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color w:val="0000FF"/>
              </w:rPr>
              <w:t>Item 12.</w:t>
            </w:r>
          </w:p>
        </w:tc>
        <w:tc>
          <w:tcPr>
            <w:tcW w:w="7060" w:type="dxa"/>
            <w:vAlign w:val="bottom"/>
            <w:gridSpan w:val="24"/>
          </w:tcPr>
          <w:p>
            <w:pPr>
              <w:spacing w:after="0" w:line="18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10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91</w:t>
            </w:r>
          </w:p>
        </w:tc>
        <w:tc>
          <w:tcPr>
            <w:tcW w:w="200" w:type="dxa"/>
            <w:vAlign w:val="bottom"/>
          </w:tcPr>
          <w:p>
            <w:pPr>
              <w:spacing w:after="0"/>
              <w:rPr>
                <w:sz w:val="16"/>
                <w:szCs w:val="16"/>
                <w:color w:val="auto"/>
              </w:rPr>
            </w:pPr>
          </w:p>
        </w:tc>
      </w:tr>
      <w:tr>
        <w:trPr>
          <w:trHeight w:val="152"/>
        </w:trPr>
        <w:tc>
          <w:tcPr>
            <w:tcW w:w="5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80" w:type="dxa"/>
            <w:vAlign w:val="bottom"/>
            <w:tcBorders>
              <w:top w:val="single" w:sz="8" w:color="0000FF"/>
            </w:tcBorders>
            <w:gridSpan w:val="21"/>
          </w:tcPr>
          <w:p>
            <w:pPr>
              <w:spacing w:after="0" w:line="152" w:lineRule="exact"/>
              <w:rPr>
                <w:sz w:val="20"/>
                <w:szCs w:val="20"/>
                <w:color w:val="auto"/>
              </w:rPr>
            </w:pPr>
            <w:r>
              <w:rPr>
                <w:rFonts w:ascii="Times New Roman" w:cs="Times New Roman" w:eastAsia="Times New Roman" w:hAnsi="Times New Roman"/>
                <w:sz w:val="17"/>
                <w:szCs w:val="17"/>
                <w:color w:val="0000FF"/>
              </w:rPr>
              <w:t>Stockholder Matters</w:t>
            </w:r>
          </w:p>
        </w:tc>
        <w:tc>
          <w:tcPr>
            <w:tcW w:w="1380" w:type="dxa"/>
            <w:vAlign w:val="bottom"/>
            <w:gridSpan w:val="3"/>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3"/>
        </w:trPr>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5"/>
        </w:trPr>
        <w:tc>
          <w:tcPr>
            <w:tcW w:w="600" w:type="dxa"/>
            <w:vAlign w:val="bottom"/>
            <w:tcBorders>
              <w:right w:val="single" w:sz="8" w:color="CCEEFF"/>
            </w:tcBorders>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3"/>
              </w:rPr>
              <w:t>Item 13.</w:t>
            </w:r>
          </w:p>
        </w:tc>
        <w:tc>
          <w:tcPr>
            <w:tcW w:w="660" w:type="dxa"/>
            <w:vAlign w:val="bottom"/>
            <w:tcBorders>
              <w:left w:val="single" w:sz="8" w:color="CCEEFF"/>
            </w:tcBorders>
            <w:gridSpan w:val="3"/>
            <w:shd w:val="clear" w:color="auto" w:fill="CCEEFF"/>
          </w:tcPr>
          <w:p>
            <w:pPr>
              <w:spacing w:after="0"/>
              <w:rPr>
                <w:sz w:val="16"/>
                <w:szCs w:val="16"/>
                <w:color w:val="auto"/>
              </w:rPr>
            </w:pPr>
          </w:p>
        </w:tc>
        <w:tc>
          <w:tcPr>
            <w:tcW w:w="5360" w:type="dxa"/>
            <w:vAlign w:val="bottom"/>
            <w:gridSpan w:val="1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1700" w:type="dxa"/>
            <w:vAlign w:val="bottom"/>
            <w:gridSpan w:val="5"/>
            <w:shd w:val="clear" w:color="auto" w:fill="CCEEFF"/>
          </w:tcPr>
          <w:p>
            <w:pPr>
              <w:spacing w:after="0"/>
              <w:rPr>
                <w:sz w:val="16"/>
                <w:szCs w:val="16"/>
                <w:color w:val="auto"/>
              </w:rPr>
            </w:pPr>
          </w:p>
        </w:tc>
        <w:tc>
          <w:tcPr>
            <w:tcW w:w="1100" w:type="dxa"/>
            <w:vAlign w:val="bottom"/>
            <w:gridSpan w:val="3"/>
            <w:shd w:val="clear" w:color="auto" w:fill="CCEEFF"/>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91</w:t>
            </w:r>
          </w:p>
        </w:tc>
        <w:tc>
          <w:tcPr>
            <w:tcW w:w="200" w:type="dxa"/>
            <w:vAlign w:val="bottom"/>
            <w:shd w:val="clear" w:color="auto" w:fill="CCEEFF"/>
          </w:tcPr>
          <w:p>
            <w:pPr>
              <w:spacing w:after="0"/>
              <w:rPr>
                <w:sz w:val="16"/>
                <w:szCs w:val="16"/>
                <w:color w:val="auto"/>
              </w:rPr>
            </w:pPr>
          </w:p>
        </w:tc>
      </w:tr>
      <w:tr>
        <w:trPr>
          <w:trHeight w:val="40"/>
        </w:trPr>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left w:val="single" w:sz="8" w:color="0000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195"/>
        </w:trPr>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3"/>
              </w:rPr>
              <w:t>Item 14.</w:t>
            </w:r>
          </w:p>
        </w:tc>
        <w:tc>
          <w:tcPr>
            <w:tcW w:w="660" w:type="dxa"/>
            <w:vAlign w:val="bottom"/>
            <w:gridSpan w:val="3"/>
          </w:tcPr>
          <w:p>
            <w:pPr>
              <w:spacing w:after="0"/>
              <w:rPr>
                <w:sz w:val="16"/>
                <w:szCs w:val="16"/>
                <w:color w:val="auto"/>
              </w:rPr>
            </w:pPr>
          </w:p>
        </w:tc>
        <w:tc>
          <w:tcPr>
            <w:tcW w:w="5360" w:type="dxa"/>
            <w:vAlign w:val="bottom"/>
            <w:gridSpan w:val="19"/>
          </w:tcPr>
          <w:p>
            <w:pPr>
              <w:spacing w:after="0" w:line="18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700" w:type="dxa"/>
            <w:vAlign w:val="bottom"/>
            <w:gridSpan w:val="5"/>
          </w:tcPr>
          <w:p>
            <w:pPr>
              <w:spacing w:after="0"/>
              <w:rPr>
                <w:sz w:val="16"/>
                <w:szCs w:val="16"/>
                <w:color w:val="auto"/>
              </w:rPr>
            </w:pPr>
          </w:p>
        </w:tc>
        <w:tc>
          <w:tcPr>
            <w:tcW w:w="110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91</w:t>
            </w:r>
          </w:p>
        </w:tc>
        <w:tc>
          <w:tcPr>
            <w:tcW w:w="200" w:type="dxa"/>
            <w:vAlign w:val="bottom"/>
          </w:tcPr>
          <w:p>
            <w:pPr>
              <w:spacing w:after="0"/>
              <w:rPr>
                <w:sz w:val="16"/>
                <w:szCs w:val="16"/>
                <w:color w:val="auto"/>
              </w:rPr>
            </w:pPr>
          </w:p>
        </w:tc>
      </w:tr>
      <w:tr>
        <w:trPr>
          <w:trHeight w:val="328"/>
        </w:trPr>
        <w:tc>
          <w:tcPr>
            <w:tcW w:w="500" w:type="dxa"/>
            <w:vAlign w:val="bottom"/>
            <w:tcBorders>
              <w:top w:val="single" w:sz="8" w:color="0000FF"/>
            </w:tcBorders>
            <w:shd w:val="clear" w:color="auto" w:fill="CCEEFF"/>
          </w:tcPr>
          <w:p>
            <w:pPr>
              <w:spacing w:after="0"/>
              <w:rPr>
                <w:sz w:val="24"/>
                <w:szCs w:val="24"/>
                <w:color w:val="auto"/>
              </w:rPr>
            </w:pPr>
          </w:p>
        </w:tc>
        <w:tc>
          <w:tcPr>
            <w:tcW w:w="100" w:type="dxa"/>
            <w:vAlign w:val="bottom"/>
            <w:tcBorders>
              <w:top w:val="single" w:sz="8" w:color="0000FF"/>
              <w:right w:val="single" w:sz="8" w:color="CCEEFF"/>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tcBorders>
              <w:top w:val="single" w:sz="8" w:color="0000FF"/>
            </w:tcBorders>
            <w:shd w:val="clear" w:color="auto" w:fill="CCEEFF"/>
          </w:tcPr>
          <w:p>
            <w:pPr>
              <w:spacing w:after="0"/>
              <w:rPr>
                <w:sz w:val="24"/>
                <w:szCs w:val="24"/>
                <w:color w:val="auto"/>
              </w:rPr>
            </w:pPr>
          </w:p>
        </w:tc>
        <w:tc>
          <w:tcPr>
            <w:tcW w:w="340" w:type="dxa"/>
            <w:vAlign w:val="bottom"/>
            <w:tcBorders>
              <w:top w:val="single" w:sz="8" w:color="0000FF"/>
            </w:tcBorders>
            <w:shd w:val="clear" w:color="auto" w:fill="CCEEFF"/>
          </w:tcPr>
          <w:p>
            <w:pPr>
              <w:spacing w:after="0"/>
              <w:rPr>
                <w:sz w:val="24"/>
                <w:szCs w:val="24"/>
                <w:color w:val="auto"/>
              </w:rPr>
            </w:pPr>
          </w:p>
        </w:tc>
        <w:tc>
          <w:tcPr>
            <w:tcW w:w="80" w:type="dxa"/>
            <w:vAlign w:val="bottom"/>
            <w:tcBorders>
              <w:top w:val="single" w:sz="8" w:color="0000FF"/>
            </w:tcBorders>
            <w:shd w:val="clear" w:color="auto" w:fill="CCEEFF"/>
          </w:tcPr>
          <w:p>
            <w:pPr>
              <w:spacing w:after="0"/>
              <w:rPr>
                <w:sz w:val="24"/>
                <w:szCs w:val="24"/>
                <w:color w:val="auto"/>
              </w:rPr>
            </w:pPr>
          </w:p>
        </w:tc>
        <w:tc>
          <w:tcPr>
            <w:tcW w:w="60" w:type="dxa"/>
            <w:vAlign w:val="bottom"/>
            <w:tcBorders>
              <w:top w:val="single" w:sz="8" w:color="0000FF"/>
              <w:right w:val="single" w:sz="8" w:color="CCEEFF"/>
            </w:tcBorders>
            <w:shd w:val="clear" w:color="auto" w:fill="CCEEFF"/>
          </w:tcPr>
          <w:p>
            <w:pPr>
              <w:spacing w:after="0"/>
              <w:rPr>
                <w:sz w:val="24"/>
                <w:szCs w:val="24"/>
                <w:color w:val="auto"/>
              </w:rPr>
            </w:pPr>
          </w:p>
        </w:tc>
        <w:tc>
          <w:tcPr>
            <w:tcW w:w="120" w:type="dxa"/>
            <w:vAlign w:val="bottom"/>
            <w:tcBorders>
              <w:top w:val="single" w:sz="8" w:color="0000FF"/>
            </w:tcBorders>
            <w:shd w:val="clear" w:color="auto" w:fill="CCEEFF"/>
          </w:tcPr>
          <w:p>
            <w:pPr>
              <w:spacing w:after="0"/>
              <w:rPr>
                <w:sz w:val="24"/>
                <w:szCs w:val="24"/>
                <w:color w:val="auto"/>
              </w:rPr>
            </w:pPr>
          </w:p>
        </w:tc>
        <w:tc>
          <w:tcPr>
            <w:tcW w:w="100" w:type="dxa"/>
            <w:vAlign w:val="bottom"/>
            <w:tcBorders>
              <w:top w:val="single" w:sz="8" w:color="0000FF"/>
            </w:tcBorders>
            <w:shd w:val="clear" w:color="auto" w:fill="CCEEFF"/>
          </w:tcPr>
          <w:p>
            <w:pPr>
              <w:spacing w:after="0"/>
              <w:rPr>
                <w:sz w:val="24"/>
                <w:szCs w:val="24"/>
                <w:color w:val="auto"/>
              </w:rPr>
            </w:pPr>
          </w:p>
        </w:tc>
        <w:tc>
          <w:tcPr>
            <w:tcW w:w="300" w:type="dxa"/>
            <w:vAlign w:val="bottom"/>
            <w:tcBorders>
              <w:top w:val="single" w:sz="8" w:color="0000FF"/>
            </w:tcBorders>
            <w:shd w:val="clear" w:color="auto" w:fill="CCEEFF"/>
          </w:tcPr>
          <w:p>
            <w:pPr>
              <w:spacing w:after="0"/>
              <w:rPr>
                <w:sz w:val="24"/>
                <w:szCs w:val="24"/>
                <w:color w:val="auto"/>
              </w:rPr>
            </w:pPr>
          </w:p>
        </w:tc>
        <w:tc>
          <w:tcPr>
            <w:tcW w:w="140" w:type="dxa"/>
            <w:vAlign w:val="bottom"/>
            <w:tcBorders>
              <w:top w:val="single" w:sz="8" w:color="0000FF"/>
              <w:left w:val="single" w:sz="8" w:color="CCEEFF"/>
            </w:tcBorders>
            <w:shd w:val="clear" w:color="auto" w:fill="CCEEFF"/>
          </w:tcPr>
          <w:p>
            <w:pPr>
              <w:spacing w:after="0"/>
              <w:rPr>
                <w:sz w:val="24"/>
                <w:szCs w:val="24"/>
                <w:color w:val="auto"/>
              </w:rPr>
            </w:pPr>
          </w:p>
        </w:tc>
        <w:tc>
          <w:tcPr>
            <w:tcW w:w="80" w:type="dxa"/>
            <w:vAlign w:val="bottom"/>
            <w:tcBorders>
              <w:top w:val="single" w:sz="8" w:color="0000FF"/>
            </w:tcBorders>
            <w:shd w:val="clear" w:color="auto" w:fill="CCEEFF"/>
          </w:tcPr>
          <w:p>
            <w:pPr>
              <w:spacing w:after="0"/>
              <w:rPr>
                <w:sz w:val="24"/>
                <w:szCs w:val="24"/>
                <w:color w:val="auto"/>
              </w:rPr>
            </w:pPr>
          </w:p>
        </w:tc>
        <w:tc>
          <w:tcPr>
            <w:tcW w:w="260" w:type="dxa"/>
            <w:vAlign w:val="bottom"/>
            <w:tcBorders>
              <w:top w:val="single" w:sz="8" w:color="0000FF"/>
              <w:right w:val="single" w:sz="8" w:color="CCEEFF"/>
            </w:tcBorders>
            <w:shd w:val="clear" w:color="auto" w:fill="CCEEFF"/>
          </w:tcPr>
          <w:p>
            <w:pPr>
              <w:spacing w:after="0"/>
              <w:rPr>
                <w:sz w:val="24"/>
                <w:szCs w:val="24"/>
                <w:color w:val="auto"/>
              </w:rPr>
            </w:pPr>
          </w:p>
        </w:tc>
        <w:tc>
          <w:tcPr>
            <w:tcW w:w="240" w:type="dxa"/>
            <w:vAlign w:val="bottom"/>
            <w:tcBorders>
              <w:top w:val="single" w:sz="8" w:color="0000FF"/>
            </w:tcBorders>
            <w:shd w:val="clear" w:color="auto" w:fill="CCEEFF"/>
          </w:tcPr>
          <w:p>
            <w:pPr>
              <w:spacing w:after="0"/>
              <w:rPr>
                <w:sz w:val="24"/>
                <w:szCs w:val="24"/>
                <w:color w:val="auto"/>
              </w:rPr>
            </w:pPr>
          </w:p>
        </w:tc>
        <w:tc>
          <w:tcPr>
            <w:tcW w:w="140" w:type="dxa"/>
            <w:vAlign w:val="bottom"/>
            <w:tcBorders>
              <w:top w:val="single" w:sz="8" w:color="0000FF"/>
            </w:tcBorders>
            <w:shd w:val="clear" w:color="auto" w:fill="CCEEFF"/>
          </w:tcPr>
          <w:p>
            <w:pPr>
              <w:spacing w:after="0"/>
              <w:rPr>
                <w:sz w:val="24"/>
                <w:szCs w:val="24"/>
                <w:color w:val="auto"/>
              </w:rPr>
            </w:pPr>
          </w:p>
        </w:tc>
        <w:tc>
          <w:tcPr>
            <w:tcW w:w="640" w:type="dxa"/>
            <w:vAlign w:val="bottom"/>
            <w:tcBorders>
              <w:top w:val="single" w:sz="8" w:color="0000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80" w:type="dxa"/>
            <w:vAlign w:val="bottom"/>
            <w:tcBorders>
              <w:top w:val="single" w:sz="8" w:color="0000FF"/>
            </w:tcBorders>
            <w:shd w:val="clear" w:color="auto" w:fill="CCEEFF"/>
          </w:tcPr>
          <w:p>
            <w:pPr>
              <w:spacing w:after="0"/>
              <w:rPr>
                <w:sz w:val="24"/>
                <w:szCs w:val="24"/>
                <w:color w:val="auto"/>
              </w:rPr>
            </w:pPr>
          </w:p>
        </w:tc>
        <w:tc>
          <w:tcPr>
            <w:tcW w:w="520" w:type="dxa"/>
            <w:vAlign w:val="bottom"/>
            <w:tcBorders>
              <w:lef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95"/>
        </w:trPr>
        <w:tc>
          <w:tcPr>
            <w:tcW w:w="1260" w:type="dxa"/>
            <w:vAlign w:val="bottom"/>
            <w:gridSpan w:val="5"/>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5"/>
        </w:trPr>
        <w:tc>
          <w:tcPr>
            <w:tcW w:w="600" w:type="dxa"/>
            <w:vAlign w:val="bottom"/>
            <w:tcBorders>
              <w:top w:val="single" w:sz="8" w:color="0000FF"/>
              <w:right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3"/>
              </w:rPr>
              <w:t>Item 15.</w:t>
            </w:r>
          </w:p>
        </w:tc>
        <w:tc>
          <w:tcPr>
            <w:tcW w:w="100" w:type="dxa"/>
            <w:vAlign w:val="bottom"/>
            <w:tcBorders>
              <w:top w:val="single" w:sz="8" w:color="0000FF"/>
              <w:left w:val="single" w:sz="8" w:color="CCEEFF"/>
            </w:tcBorders>
            <w:shd w:val="clear" w:color="auto" w:fill="CCEEFF"/>
          </w:tcPr>
          <w:p>
            <w:pPr>
              <w:spacing w:after="0"/>
              <w:rPr>
                <w:sz w:val="16"/>
                <w:szCs w:val="16"/>
                <w:color w:val="auto"/>
              </w:rPr>
            </w:pPr>
          </w:p>
        </w:tc>
        <w:tc>
          <w:tcPr>
            <w:tcW w:w="560" w:type="dxa"/>
            <w:vAlign w:val="bottom"/>
            <w:gridSpan w:val="2"/>
            <w:shd w:val="clear" w:color="auto" w:fill="CCEEFF"/>
          </w:tcPr>
          <w:p>
            <w:pPr>
              <w:spacing w:after="0"/>
              <w:rPr>
                <w:sz w:val="16"/>
                <w:szCs w:val="16"/>
                <w:color w:val="auto"/>
              </w:rPr>
            </w:pPr>
          </w:p>
        </w:tc>
        <w:tc>
          <w:tcPr>
            <w:tcW w:w="7060" w:type="dxa"/>
            <w:vAlign w:val="bottom"/>
            <w:gridSpan w:val="2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10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9"/>
              </w:rPr>
              <w:t>92</w:t>
            </w:r>
          </w:p>
        </w:tc>
        <w:tc>
          <w:tcPr>
            <w:tcW w:w="200" w:type="dxa"/>
            <w:vAlign w:val="bottom"/>
            <w:shd w:val="clear" w:color="auto" w:fill="CCEEFF"/>
          </w:tcPr>
          <w:p>
            <w:pPr>
              <w:spacing w:after="0"/>
              <w:rPr>
                <w:sz w:val="16"/>
                <w:szCs w:val="16"/>
                <w:color w:val="auto"/>
              </w:rPr>
            </w:pPr>
          </w:p>
        </w:tc>
      </w:tr>
      <w:tr>
        <w:trPr>
          <w:trHeight w:val="40"/>
        </w:trPr>
        <w:tc>
          <w:tcPr>
            <w:tcW w:w="500" w:type="dxa"/>
            <w:vAlign w:val="bottom"/>
            <w:shd w:val="clear" w:color="auto" w:fill="0000FF"/>
          </w:tcPr>
          <w:p>
            <w:pPr>
              <w:spacing w:after="0"/>
              <w:rPr>
                <w:sz w:val="3"/>
                <w:szCs w:val="3"/>
                <w:color w:val="auto"/>
              </w:rPr>
            </w:pPr>
          </w:p>
        </w:tc>
        <w:tc>
          <w:tcPr>
            <w:tcW w:w="100" w:type="dxa"/>
            <w:vAlign w:val="bottom"/>
            <w:tcBorders>
              <w:right w:val="single" w:sz="8" w:color="0000FF"/>
            </w:tcBorders>
            <w:shd w:val="clear" w:color="auto" w:fill="0000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5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20" w:type="dxa"/>
            <w:vAlign w:val="bottom"/>
            <w:tcBorders>
              <w:left w:val="single" w:sz="8" w:color="0000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r>
      <w:tr>
        <w:trPr>
          <w:trHeight w:val="195"/>
        </w:trPr>
        <w:tc>
          <w:tcPr>
            <w:tcW w:w="60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color w:val="0000FF"/>
                <w:w w:val="93"/>
              </w:rPr>
              <w:t>Item 16.</w:t>
            </w:r>
          </w:p>
        </w:tc>
        <w:tc>
          <w:tcPr>
            <w:tcW w:w="660" w:type="dxa"/>
            <w:vAlign w:val="bottom"/>
            <w:gridSpan w:val="3"/>
          </w:tcPr>
          <w:p>
            <w:pPr>
              <w:spacing w:after="0"/>
              <w:rPr>
                <w:sz w:val="16"/>
                <w:szCs w:val="16"/>
                <w:color w:val="auto"/>
              </w:rPr>
            </w:pPr>
          </w:p>
        </w:tc>
        <w:tc>
          <w:tcPr>
            <w:tcW w:w="3100" w:type="dxa"/>
            <w:vAlign w:val="bottom"/>
            <w:gridSpan w:val="14"/>
          </w:tcPr>
          <w:p>
            <w:pPr>
              <w:spacing w:after="0" w:line="186" w:lineRule="exact"/>
              <w:rPr>
                <w:sz w:val="20"/>
                <w:szCs w:val="20"/>
                <w:color w:val="auto"/>
              </w:rPr>
            </w:pPr>
            <w:r>
              <w:rPr>
                <w:rFonts w:ascii="Times New Roman" w:cs="Times New Roman" w:eastAsia="Times New Roman" w:hAnsi="Times New Roman"/>
                <w:sz w:val="18"/>
                <w:szCs w:val="18"/>
                <w:color w:val="0000FF"/>
              </w:rPr>
              <w:t>Form 10-K Summary</w:t>
            </w:r>
          </w:p>
        </w:tc>
        <w:tc>
          <w:tcPr>
            <w:tcW w:w="3960" w:type="dxa"/>
            <w:vAlign w:val="bottom"/>
            <w:gridSpan w:val="10"/>
          </w:tcPr>
          <w:p>
            <w:pPr>
              <w:spacing w:after="0"/>
              <w:rPr>
                <w:sz w:val="16"/>
                <w:szCs w:val="16"/>
                <w:color w:val="auto"/>
              </w:rPr>
            </w:pPr>
          </w:p>
        </w:tc>
        <w:tc>
          <w:tcPr>
            <w:tcW w:w="110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96</w:t>
            </w:r>
          </w:p>
        </w:tc>
        <w:tc>
          <w:tcPr>
            <w:tcW w:w="200" w:type="dxa"/>
            <w:vAlign w:val="bottom"/>
          </w:tcPr>
          <w:p>
            <w:pPr>
              <w:spacing w:after="0"/>
              <w:rPr>
                <w:sz w:val="16"/>
                <w:szCs w:val="16"/>
                <w:color w:val="auto"/>
              </w:rPr>
            </w:pPr>
          </w:p>
        </w:tc>
      </w:tr>
      <w:tr>
        <w:trPr>
          <w:trHeight w:val="328"/>
        </w:trPr>
        <w:tc>
          <w:tcPr>
            <w:tcW w:w="500" w:type="dxa"/>
            <w:vAlign w:val="bottom"/>
            <w:tcBorders>
              <w:top w:val="single" w:sz="8" w:color="0000FF"/>
            </w:tcBorders>
            <w:shd w:val="clear" w:color="auto" w:fill="CCEEFF"/>
          </w:tcPr>
          <w:p>
            <w:pPr>
              <w:spacing w:after="0"/>
              <w:rPr>
                <w:sz w:val="24"/>
                <w:szCs w:val="24"/>
                <w:color w:val="auto"/>
              </w:rPr>
            </w:pPr>
          </w:p>
        </w:tc>
        <w:tc>
          <w:tcPr>
            <w:tcW w:w="100" w:type="dxa"/>
            <w:vAlign w:val="bottom"/>
            <w:tcBorders>
              <w:top w:val="single" w:sz="8" w:color="0000FF"/>
              <w:right w:val="single" w:sz="8" w:color="CCEEFF"/>
            </w:tcBorders>
            <w:shd w:val="clear" w:color="auto" w:fill="CCEEFF"/>
          </w:tcPr>
          <w:p>
            <w:pPr>
              <w:spacing w:after="0"/>
              <w:rPr>
                <w:sz w:val="24"/>
                <w:szCs w:val="24"/>
                <w:color w:val="auto"/>
              </w:rPr>
            </w:pPr>
          </w:p>
        </w:tc>
        <w:tc>
          <w:tcPr>
            <w:tcW w:w="100" w:type="dxa"/>
            <w:vAlign w:val="bottom"/>
            <w:tcBorders>
              <w:lef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tcBorders>
              <w:top w:val="single" w:sz="8" w:color="0000FF"/>
            </w:tcBorders>
            <w:shd w:val="clear" w:color="auto" w:fill="CCEEFF"/>
          </w:tcPr>
          <w:p>
            <w:pPr>
              <w:spacing w:after="0"/>
              <w:rPr>
                <w:sz w:val="24"/>
                <w:szCs w:val="24"/>
                <w:color w:val="auto"/>
              </w:rPr>
            </w:pPr>
          </w:p>
        </w:tc>
        <w:tc>
          <w:tcPr>
            <w:tcW w:w="340" w:type="dxa"/>
            <w:vAlign w:val="bottom"/>
            <w:tcBorders>
              <w:top w:val="single" w:sz="8" w:color="0000FF"/>
            </w:tcBorders>
            <w:shd w:val="clear" w:color="auto" w:fill="CCEEFF"/>
          </w:tcPr>
          <w:p>
            <w:pPr>
              <w:spacing w:after="0"/>
              <w:rPr>
                <w:sz w:val="24"/>
                <w:szCs w:val="24"/>
                <w:color w:val="auto"/>
              </w:rPr>
            </w:pPr>
          </w:p>
        </w:tc>
        <w:tc>
          <w:tcPr>
            <w:tcW w:w="80" w:type="dxa"/>
            <w:vAlign w:val="bottom"/>
            <w:tcBorders>
              <w:top w:val="single" w:sz="8" w:color="0000FF"/>
            </w:tcBorders>
            <w:shd w:val="clear" w:color="auto" w:fill="CCEEFF"/>
          </w:tcPr>
          <w:p>
            <w:pPr>
              <w:spacing w:after="0"/>
              <w:rPr>
                <w:sz w:val="24"/>
                <w:szCs w:val="24"/>
                <w:color w:val="auto"/>
              </w:rPr>
            </w:pPr>
          </w:p>
        </w:tc>
        <w:tc>
          <w:tcPr>
            <w:tcW w:w="60" w:type="dxa"/>
            <w:vAlign w:val="bottom"/>
            <w:tcBorders>
              <w:top w:val="single" w:sz="8" w:color="0000FF"/>
              <w:right w:val="single" w:sz="8" w:color="CCEEFF"/>
            </w:tcBorders>
            <w:shd w:val="clear" w:color="auto" w:fill="CCEEFF"/>
          </w:tcPr>
          <w:p>
            <w:pPr>
              <w:spacing w:after="0"/>
              <w:rPr>
                <w:sz w:val="24"/>
                <w:szCs w:val="24"/>
                <w:color w:val="auto"/>
              </w:rPr>
            </w:pPr>
          </w:p>
        </w:tc>
        <w:tc>
          <w:tcPr>
            <w:tcW w:w="120" w:type="dxa"/>
            <w:vAlign w:val="bottom"/>
            <w:tcBorders>
              <w:top w:val="single" w:sz="8" w:color="0000FF"/>
            </w:tcBorders>
            <w:shd w:val="clear" w:color="auto" w:fill="CCEEFF"/>
          </w:tcPr>
          <w:p>
            <w:pPr>
              <w:spacing w:after="0"/>
              <w:rPr>
                <w:sz w:val="24"/>
                <w:szCs w:val="24"/>
                <w:color w:val="auto"/>
              </w:rPr>
            </w:pPr>
          </w:p>
        </w:tc>
        <w:tc>
          <w:tcPr>
            <w:tcW w:w="100" w:type="dxa"/>
            <w:vAlign w:val="bottom"/>
            <w:tcBorders>
              <w:top w:val="single" w:sz="8" w:color="0000FF"/>
            </w:tcBorders>
            <w:shd w:val="clear" w:color="auto" w:fill="CCEEFF"/>
          </w:tcPr>
          <w:p>
            <w:pPr>
              <w:spacing w:after="0"/>
              <w:rPr>
                <w:sz w:val="24"/>
                <w:szCs w:val="24"/>
                <w:color w:val="auto"/>
              </w:rPr>
            </w:pPr>
          </w:p>
        </w:tc>
        <w:tc>
          <w:tcPr>
            <w:tcW w:w="300" w:type="dxa"/>
            <w:vAlign w:val="bottom"/>
            <w:tcBorders>
              <w:top w:val="single" w:sz="8" w:color="0000FF"/>
            </w:tcBorders>
            <w:shd w:val="clear" w:color="auto" w:fill="CCEEFF"/>
          </w:tcPr>
          <w:p>
            <w:pPr>
              <w:spacing w:after="0"/>
              <w:rPr>
                <w:sz w:val="24"/>
                <w:szCs w:val="24"/>
                <w:color w:val="auto"/>
              </w:rPr>
            </w:pPr>
          </w:p>
        </w:tc>
        <w:tc>
          <w:tcPr>
            <w:tcW w:w="140" w:type="dxa"/>
            <w:vAlign w:val="bottom"/>
            <w:tcBorders>
              <w:top w:val="single" w:sz="8" w:color="0000FF"/>
              <w:left w:val="single" w:sz="8" w:color="CCEEFF"/>
            </w:tcBorders>
            <w:shd w:val="clear" w:color="auto" w:fill="CCEEFF"/>
          </w:tcPr>
          <w:p>
            <w:pPr>
              <w:spacing w:after="0"/>
              <w:rPr>
                <w:sz w:val="24"/>
                <w:szCs w:val="24"/>
                <w:color w:val="auto"/>
              </w:rPr>
            </w:pPr>
          </w:p>
        </w:tc>
        <w:tc>
          <w:tcPr>
            <w:tcW w:w="80" w:type="dxa"/>
            <w:vAlign w:val="bottom"/>
            <w:tcBorders>
              <w:top w:val="single" w:sz="8" w:color="0000FF"/>
            </w:tcBorders>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spacing w:after="0"/>
              <w:rPr>
                <w:sz w:val="24"/>
                <w:szCs w:val="24"/>
                <w:color w:val="auto"/>
              </w:rPr>
            </w:pPr>
          </w:p>
        </w:tc>
        <w:tc>
          <w:tcPr>
            <w:tcW w:w="80" w:type="dxa"/>
            <w:vAlign w:val="bottom"/>
            <w:tcBorders>
              <w:top w:val="single" w:sz="8" w:color="0000FF"/>
            </w:tcBorders>
            <w:shd w:val="clear" w:color="auto" w:fill="CCEEFF"/>
          </w:tcPr>
          <w:p>
            <w:pPr>
              <w:spacing w:after="0"/>
              <w:rPr>
                <w:sz w:val="24"/>
                <w:szCs w:val="24"/>
                <w:color w:val="auto"/>
              </w:rPr>
            </w:pPr>
          </w:p>
        </w:tc>
        <w:tc>
          <w:tcPr>
            <w:tcW w:w="520" w:type="dxa"/>
            <w:vAlign w:val="bottom"/>
            <w:tcBorders>
              <w:lef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185"/>
        </w:trPr>
        <w:tc>
          <w:tcPr>
            <w:tcW w:w="8320" w:type="dxa"/>
            <w:vAlign w:val="bottom"/>
            <w:gridSpan w:val="29"/>
          </w:tcPr>
          <w:p>
            <w:pPr>
              <w:spacing w:after="0" w:line="186" w:lineRule="exact"/>
              <w:rPr>
                <w:sz w:val="20"/>
                <w:szCs w:val="20"/>
                <w:color w:val="auto"/>
              </w:rPr>
            </w:pPr>
            <w:r>
              <w:rPr>
                <w:rFonts w:ascii="Times New Roman" w:cs="Times New Roman" w:eastAsia="Times New Roman" w:hAnsi="Times New Roman"/>
                <w:sz w:val="18"/>
                <w:szCs w:val="18"/>
                <w:b w:val="1"/>
                <w:bCs w:val="1"/>
                <w:color w:val="0000FF"/>
              </w:rPr>
              <w:t>SIGNATURE PAGE</w:t>
            </w:r>
          </w:p>
        </w:tc>
        <w:tc>
          <w:tcPr>
            <w:tcW w:w="110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9"/>
              </w:rPr>
              <w:t>97</w:t>
            </w:r>
          </w:p>
        </w:tc>
        <w:tc>
          <w:tcPr>
            <w:tcW w:w="200" w:type="dxa"/>
            <w:vAlign w:val="bottom"/>
          </w:tcPr>
          <w:p>
            <w:pPr>
              <w:spacing w:after="0"/>
              <w:rPr>
                <w:sz w:val="16"/>
                <w:szCs w:val="16"/>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63" w:lineRule="exact"/>
        <w:rPr>
          <w:sz w:val="20"/>
          <w:szCs w:val="20"/>
          <w:color w:val="auto"/>
        </w:rPr>
      </w:pPr>
    </w:p>
    <w:p>
      <w:pPr>
        <w:jc w:val="both"/>
        <w:spacing w:after="0" w:line="183" w:lineRule="auto"/>
        <w:rPr>
          <w:sz w:val="20"/>
          <w:szCs w:val="20"/>
          <w:color w:val="auto"/>
        </w:rPr>
      </w:pPr>
      <w:r>
        <w:rPr>
          <w:rFonts w:ascii="Times New Roman" w:cs="Times New Roman" w:eastAsia="Times New Roman" w:hAnsi="Times New Roman"/>
          <w:sz w:val="17"/>
          <w:szCs w:val="17"/>
          <w:color w:val="auto"/>
        </w:rPr>
        <w:t>"Altibodies</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"ARCALYST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"Evkeeza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"EYLEA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"EYLEA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HD," "Inmazeb</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"Libtayo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"Praluent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(in the United States), "REGEN-COV</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"Regeneron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"Veopoz</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companies appearing in this report are, to the knowledge of Regeneron Pharmaceuticals, Inc., the property of their 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711835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00"/>
          </w:cols>
          <w:pgMar w:left="440" w:top="914"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10" w:lineRule="exact"/>
        <w:rPr>
          <w:sz w:val="20"/>
          <w:szCs w:val="20"/>
          <w:color w:val="auto"/>
        </w:rPr>
      </w:pPr>
    </w:p>
    <w:p>
      <w:pPr>
        <w:jc w:val="both"/>
        <w:ind w:left="640" w:hanging="316"/>
        <w:spacing w:after="0" w:line="238"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those discussed or referenced in this report, Regeneron's and its collaborators' earlier-stage programs, and the use of human genetics in Regeneron's research programs;</w:t>
      </w:r>
    </w:p>
    <w:p>
      <w:pPr>
        <w:spacing w:after="0" w:line="2" w:lineRule="exact"/>
        <w:rPr>
          <w:rFonts w:ascii="Times New Roman" w:cs="Times New Roman" w:eastAsia="Times New Roman" w:hAnsi="Times New Roman"/>
          <w:sz w:val="18"/>
          <w:szCs w:val="18"/>
          <w:i w:val="1"/>
          <w:iCs w:val="1"/>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and timing of achieving any of our anticipated development milestones referenced in this report;</w:t>
      </w:r>
    </w:p>
    <w:p>
      <w:pPr>
        <w:spacing w:after="0" w:line="4" w:lineRule="exact"/>
        <w:rPr>
          <w:rFonts w:ascii="Times New Roman" w:cs="Times New Roman" w:eastAsia="Times New Roman" w:hAnsi="Times New Roman"/>
          <w:sz w:val="18"/>
          <w:szCs w:val="18"/>
          <w:i w:val="1"/>
          <w:iCs w:val="1"/>
          <w:color w:val="auto"/>
        </w:rPr>
      </w:pPr>
    </w:p>
    <w:p>
      <w:pPr>
        <w:ind w:left="640" w:hanging="316"/>
        <w:spacing w:after="0" w:line="230"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1" w:lineRule="exact"/>
        <w:rPr>
          <w:rFonts w:ascii="Times New Roman" w:cs="Times New Roman" w:eastAsia="Times New Roman" w:hAnsi="Times New Roman"/>
          <w:sz w:val="18"/>
          <w:szCs w:val="18"/>
          <w:i w:val="1"/>
          <w:iCs w:val="1"/>
          <w:color w:val="auto"/>
        </w:rPr>
      </w:pPr>
    </w:p>
    <w:p>
      <w:pPr>
        <w:ind w:left="640" w:hanging="316"/>
        <w:spacing w:after="0" w:line="238"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timing, and scope of possible regulatory approval and commercial launch of our late-stage product candidates and new indications for Regeneron's Products, including without limitation those discussed or referenced in this report;</w:t>
      </w:r>
    </w:p>
    <w:p>
      <w:pPr>
        <w:ind w:left="640" w:hanging="316"/>
        <w:spacing w:after="0" w:line="237"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spacing w:after="0" w:line="1" w:lineRule="exact"/>
        <w:rPr>
          <w:rFonts w:ascii="Times New Roman" w:cs="Times New Roman" w:eastAsia="Times New Roman" w:hAnsi="Times New Roman"/>
          <w:sz w:val="18"/>
          <w:szCs w:val="18"/>
          <w:i w:val="1"/>
          <w:iCs w:val="1"/>
          <w:color w:val="auto"/>
        </w:rPr>
      </w:pPr>
    </w:p>
    <w:p>
      <w:pPr>
        <w:ind w:left="640" w:hanging="316"/>
        <w:spacing w:after="0" w:line="230"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ongoing regulatory obligations and oversight impacting Regeneron's Products, research and clinical programs, and business, including those relating to patient privacy;</w:t>
      </w:r>
    </w:p>
    <w:p>
      <w:pPr>
        <w:spacing w:after="0" w:line="1" w:lineRule="exact"/>
        <w:rPr>
          <w:rFonts w:ascii="Times New Roman" w:cs="Times New Roman" w:eastAsia="Times New Roman" w:hAnsi="Times New Roman"/>
          <w:sz w:val="18"/>
          <w:szCs w:val="18"/>
          <w:i w:val="1"/>
          <w:iCs w:val="1"/>
          <w:color w:val="auto"/>
        </w:rPr>
      </w:pPr>
    </w:p>
    <w:p>
      <w:pPr>
        <w:ind w:left="640" w:hanging="316"/>
        <w:spacing w:after="0" w:line="238"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determinations by regulatory and administrative governmental authorities which may delay or restrict our ability to continue to develop or commercialize Regeneron's Products and Regeneron's Product Candidates;</w:t>
      </w:r>
    </w:p>
    <w:p>
      <w:pPr>
        <w:ind w:left="640" w:hanging="316"/>
        <w:spacing w:after="0" w:line="237"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competing drugs and product candidates that may be superior to, or more cost effective than,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40" w:hanging="316"/>
        <w:spacing w:after="0" w:line="235"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ind w:left="640" w:hanging="316"/>
        <w:spacing w:after="0" w:line="231" w:lineRule="auto"/>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manufacture and manage supply chains for multiple products and product candidates;</w:t>
      </w:r>
    </w:p>
    <w:p>
      <w:pPr>
        <w:ind w:left="640" w:hanging="316"/>
        <w:spacing w:after="0" w:line="230"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collaborators, suppliers, or other third parties (as applicable) to perform manufacturing, filling, finishing, packaging, labeling, distribution, and other steps related to Regeneron's Products and Regeneron's Product Candidates;</w:t>
      </w:r>
    </w:p>
    <w:p>
      <w:pPr>
        <w:jc w:val="both"/>
        <w:ind w:left="640" w:hanging="316"/>
        <w:spacing w:after="0" w:line="252" w:lineRule="auto"/>
        <w:tabs>
          <w:tab w:leader="none" w:pos="635"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availability and extent of reimbursement of Regeneron's Products from third-party payors, including private payor healthcare and insurance programs, health maintenance organizations, pharmacy benefit management companies, and government programs such as Medicare and Medicaid;</w:t>
      </w:r>
    </w:p>
    <w:p>
      <w:pPr>
        <w:ind w:left="640" w:hanging="316"/>
        <w:spacing w:after="0" w:line="230" w:lineRule="auto"/>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coverage and reimbursement determinations by such payors and new policies and procedures adopted by such payors;</w:t>
      </w:r>
    </w:p>
    <w:p>
      <w:pPr>
        <w:ind w:left="640" w:hanging="316"/>
        <w:spacing w:after="0"/>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unanticipated expenses;</w:t>
      </w:r>
    </w:p>
    <w:p>
      <w:pPr>
        <w:spacing w:after="0" w:line="4" w:lineRule="exact"/>
        <w:rPr>
          <w:rFonts w:ascii="Times New Roman" w:cs="Times New Roman" w:eastAsia="Times New Roman" w:hAnsi="Times New Roman"/>
          <w:sz w:val="18"/>
          <w:szCs w:val="18"/>
          <w:i w:val="1"/>
          <w:iCs w:val="1"/>
          <w:color w:val="auto"/>
        </w:rPr>
      </w:pPr>
    </w:p>
    <w:p>
      <w:pPr>
        <w:ind w:left="640" w:hanging="316"/>
        <w:spacing w:after="0" w:line="230"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of developing, producing, and selling products; our ability to meet any of our financial projections or guidance, including without limitation capital expenditures, and changes to the assumptions underlying those projections or guidance;</w:t>
      </w:r>
    </w:p>
    <w:p>
      <w:pPr>
        <w:spacing w:after="0" w:line="1" w:lineRule="exact"/>
        <w:rPr>
          <w:rFonts w:ascii="Times New Roman" w:cs="Times New Roman" w:eastAsia="Times New Roman" w:hAnsi="Times New Roman"/>
          <w:sz w:val="18"/>
          <w:szCs w:val="18"/>
          <w:i w:val="1"/>
          <w:iCs w:val="1"/>
          <w:color w:val="auto"/>
        </w:rPr>
      </w:pPr>
    </w:p>
    <w:p>
      <w:pPr>
        <w:ind w:left="640" w:hanging="316"/>
        <w:spacing w:after="0" w:line="238"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for any license or collaboration agreement, including our agreements with Sanofi and Bayer (or their respective affiliated companies, as applicable), to be cancelled or terminated;</w:t>
      </w:r>
    </w:p>
    <w:p>
      <w:pPr>
        <w:ind w:left="640" w:hanging="316"/>
        <w:spacing w:after="0" w:line="230" w:lineRule="auto"/>
        <w:tabs>
          <w:tab w:leader="none" w:pos="6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public health outbreaks, epidemics, or pandemics (such as the COVID-19 pandemic) on our business; and</w:t>
      </w:r>
    </w:p>
    <w:p>
      <w:pPr>
        <w:jc w:val="both"/>
        <w:ind w:left="640" w:hanging="316"/>
        <w:spacing w:after="0" w:line="239" w:lineRule="auto"/>
        <w:tabs>
          <w:tab w:leader="none" w:pos="6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intellectual property of other parties and pending or future litigation relating thereto (including without limitation the patent litigation and other related proceedings described further in Note 16 to our Consolidated Financial Statements included in this report), other litigation and other proceedings and government investigations relating to the Company and/or its operations (including without limitation those described in Note 16 to our Consolidated Financial Statements included in this report), the ultimate outcome of any such proceedings and investigations, and the impact any of the foregoing may have on our business, prospects, operating results, and financial condition.</w:t>
      </w:r>
    </w:p>
    <w:p>
      <w:pPr>
        <w:spacing w:after="0" w:line="1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made based on management's current beliefs and judgment, and the reader is cautioned not to rely on any such statements. In evaluating such statements, shareholders and potential investors should specifically consider the various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factors identified under Part 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hematologic conditions, infectious diseases, and rare diseases.</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p>
      <w:pPr>
        <w:spacing w:after="0" w:line="281" w:lineRule="exact"/>
        <w:rPr>
          <w:sz w:val="20"/>
          <w:szCs w:val="20"/>
          <w:color w:val="auto"/>
        </w:rPr>
      </w:pPr>
    </w:p>
    <w:tbl>
      <w:tblPr>
        <w:tblLayout w:type="fixed"/>
        <w:tblInd w:w="2160" w:type="dxa"/>
        <w:tblCellMar>
          <w:top w:w="0" w:type="dxa"/>
          <w:left w:w="0" w:type="dxa"/>
          <w:bottom w:w="0" w:type="dxa"/>
          <w:right w:w="0" w:type="dxa"/>
        </w:tblCellMar>
      </w:tblPr>
      <w:tr>
        <w:trPr>
          <w:trHeight w:val="232"/>
        </w:trPr>
        <w:tc>
          <w:tcPr>
            <w:tcW w:w="3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Borders>
              <w:bottom w:val="single" w:sz="8" w:color="auto"/>
            </w:tcBorders>
          </w:tcPr>
          <w:p>
            <w:pPr>
              <w:spacing w:after="0"/>
              <w:rPr>
                <w:sz w:val="20"/>
                <w:szCs w:val="20"/>
                <w:color w:val="auto"/>
              </w:rPr>
            </w:pPr>
          </w:p>
        </w:tc>
      </w:tr>
      <w:tr>
        <w:trPr>
          <w:trHeight w:val="218"/>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1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16,071.7</w:t>
            </w: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8,075.3</w:t>
            </w:r>
          </w:p>
        </w:tc>
      </w:tr>
      <w:tr>
        <w:trPr>
          <w:trHeight w:val="225"/>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r>
    </w:tbl>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 Certain products have also received marketing approval in countries outside the United States, European Union ("EU"), or Japan.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32"/>
        </w:trPr>
        <w:tc>
          <w:tcPr>
            <w:tcW w:w="260" w:type="dxa"/>
            <w:vAlign w:val="bottom"/>
          </w:tcPr>
          <w:p>
            <w:pPr>
              <w:spacing w:after="0"/>
              <w:rPr>
                <w:sz w:val="20"/>
                <w:szCs w:val="20"/>
                <w:color w:val="auto"/>
              </w:rPr>
            </w:pPr>
          </w:p>
        </w:tc>
        <w:tc>
          <w:tcPr>
            <w:tcW w:w="37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Borders>
              <w:bottom w:val="single" w:sz="8" w:color="CCEEFF"/>
            </w:tcBorders>
          </w:tcPr>
          <w:p>
            <w:pPr>
              <w:spacing w:after="0"/>
              <w:rPr>
                <w:sz w:val="20"/>
                <w:szCs w:val="20"/>
                <w:color w:val="auto"/>
              </w:rPr>
            </w:pPr>
          </w:p>
        </w:tc>
        <w:tc>
          <w:tcPr>
            <w:tcW w:w="36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EU</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Japan</w:t>
            </w:r>
          </w:p>
        </w:tc>
        <w:tc>
          <w:tcPr>
            <w:tcW w:w="240" w:type="dxa"/>
            <w:vAlign w:val="bottom"/>
          </w:tcPr>
          <w:p>
            <w:pPr>
              <w:spacing w:after="0"/>
              <w:rPr>
                <w:sz w:val="20"/>
                <w:szCs w:val="20"/>
                <w:color w:val="auto"/>
              </w:rPr>
            </w:pPr>
          </w:p>
        </w:tc>
      </w:tr>
      <w:tr>
        <w:trPr>
          <w:trHeight w:val="218"/>
        </w:trPr>
        <w:tc>
          <w:tcPr>
            <w:tcW w:w="2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HD (aflibercept) Injection 8 mg</w:t>
            </w:r>
            <w:r>
              <w:rPr>
                <w:rFonts w:ascii="Times New Roman" w:cs="Times New Roman" w:eastAsia="Times New Roman" w:hAnsi="Times New Roman"/>
                <w:sz w:val="22"/>
                <w:szCs w:val="22"/>
                <w:color w:val="auto"/>
                <w:vertAlign w:val="superscript"/>
              </w:rPr>
              <w:t>(a)</w:t>
            </w:r>
          </w:p>
        </w:tc>
        <w:tc>
          <w:tcPr>
            <w:tcW w:w="12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Wet age-related macular degeneration ("wAMD")</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18"/>
        </w:trPr>
        <w:tc>
          <w:tcPr>
            <w:tcW w:w="2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19"/>
        </w:trPr>
        <w:tc>
          <w:tcPr>
            <w:tcW w:w="26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retinopathy ("DR")</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18"/>
        </w:trPr>
        <w:tc>
          <w:tcPr>
            <w:tcW w:w="260" w:type="dxa"/>
            <w:vAlign w:val="bottom"/>
          </w:tcPr>
          <w:p>
            <w:pPr>
              <w:spacing w:after="0"/>
              <w:rPr>
                <w:sz w:val="19"/>
                <w:szCs w:val="19"/>
                <w:color w:val="auto"/>
              </w:rPr>
            </w:pPr>
          </w:p>
        </w:tc>
        <w:tc>
          <w:tcPr>
            <w:tcW w:w="378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(aflibercept) Injection</w:t>
            </w:r>
            <w:r>
              <w:rPr>
                <w:rFonts w:ascii="Times New Roman" w:cs="Times New Roman" w:eastAsia="Times New Roman" w:hAnsi="Times New Roman"/>
                <w:sz w:val="22"/>
                <w:szCs w:val="22"/>
                <w:color w:val="auto"/>
                <w:vertAlign w:val="superscript"/>
              </w:rPr>
              <w:t>(a)</w:t>
            </w:r>
          </w:p>
        </w:tc>
        <w:tc>
          <w:tcPr>
            <w:tcW w:w="120" w:type="dxa"/>
            <w:vAlign w:val="bottom"/>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wAMD</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18"/>
        </w:trPr>
        <w:tc>
          <w:tcPr>
            <w:tcW w:w="2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DME</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19"/>
        </w:trPr>
        <w:tc>
          <w:tcPr>
            <w:tcW w:w="2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DR</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65"/>
        </w:trPr>
        <w:tc>
          <w:tcPr>
            <w:tcW w:w="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Pr>
          <w:p>
            <w:pPr>
              <w:spacing w:after="0" w:line="165" w:lineRule="exact"/>
              <w:rPr>
                <w:sz w:val="20"/>
                <w:szCs w:val="20"/>
                <w:color w:val="auto"/>
              </w:rPr>
            </w:pPr>
            <w:r>
              <w:rPr>
                <w:rFonts w:ascii="Times New Roman" w:cs="Times New Roman" w:eastAsia="Times New Roman" w:hAnsi="Times New Roman"/>
                <w:sz w:val="18"/>
                <w:szCs w:val="18"/>
                <w:color w:val="auto"/>
              </w:rPr>
              <w:t>Macular edema following retinal vein occlusion</w:t>
            </w:r>
          </w:p>
        </w:tc>
        <w:tc>
          <w:tcPr>
            <w:tcW w:w="100" w:type="dxa"/>
            <w:vAlign w:val="bottom"/>
          </w:tcPr>
          <w:p>
            <w:pPr>
              <w:spacing w:after="0"/>
              <w:rPr>
                <w:sz w:val="14"/>
                <w:szCs w:val="14"/>
                <w:color w:val="auto"/>
              </w:rPr>
            </w:pPr>
          </w:p>
        </w:tc>
        <w:tc>
          <w:tcPr>
            <w:tcW w:w="1060" w:type="dxa"/>
            <w:vAlign w:val="bottom"/>
            <w:gridSpan w:val="2"/>
          </w:tcPr>
          <w:p>
            <w:pPr>
              <w:jc w:val="center"/>
              <w:ind w:right="120"/>
              <w:spacing w:after="0" w:line="166"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tcPr>
          <w:p>
            <w:pPr>
              <w:jc w:val="center"/>
              <w:ind w:right="100"/>
              <w:spacing w:after="0" w:line="166" w:lineRule="exact"/>
              <w:rPr>
                <w:sz w:val="20"/>
                <w:szCs w:val="20"/>
                <w:color w:val="auto"/>
              </w:rPr>
            </w:pPr>
            <w:r>
              <w:rPr>
                <w:rFonts w:ascii="Webdings" w:cs="Webdings" w:eastAsia="Webdings" w:hAnsi="Webdings"/>
                <w:sz w:val="18"/>
                <w:szCs w:val="18"/>
                <w:b w:val="1"/>
                <w:bCs w:val="1"/>
                <w:color w:val="auto"/>
                <w:w w:val="99"/>
              </w:rPr>
              <w:t>a</w:t>
            </w:r>
          </w:p>
        </w:tc>
        <w:tc>
          <w:tcPr>
            <w:tcW w:w="1220" w:type="dxa"/>
            <w:vAlign w:val="bottom"/>
            <w:gridSpan w:val="2"/>
          </w:tcPr>
          <w:p>
            <w:pPr>
              <w:jc w:val="center"/>
              <w:ind w:right="240"/>
              <w:spacing w:after="0" w:line="166" w:lineRule="exact"/>
              <w:rPr>
                <w:sz w:val="20"/>
                <w:szCs w:val="20"/>
                <w:color w:val="auto"/>
              </w:rPr>
            </w:pPr>
            <w:r>
              <w:rPr>
                <w:rFonts w:ascii="Webdings" w:cs="Webdings" w:eastAsia="Webdings" w:hAnsi="Webdings"/>
                <w:sz w:val="18"/>
                <w:szCs w:val="18"/>
                <w:b w:val="1"/>
                <w:bCs w:val="1"/>
                <w:color w:val="auto"/>
                <w:w w:val="99"/>
              </w:rPr>
              <w:t>a</w:t>
            </w:r>
          </w:p>
        </w:tc>
      </w:tr>
      <w:tr>
        <w:trPr>
          <w:trHeight w:val="172"/>
        </w:trPr>
        <w:tc>
          <w:tcPr>
            <w:tcW w:w="2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("RVO"), which includes macular edema</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80"/>
        </w:trPr>
        <w:tc>
          <w:tcPr>
            <w:tcW w:w="2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following central retinal vein occlusion ("CRVO")</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and macular edema following branch retinal vein</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5"/>
        </w:trPr>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occlusion ("BRVO")</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2"/>
        </w:trPr>
        <w:tc>
          <w:tcPr>
            <w:tcW w:w="2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Myopic choroidal neovascularization ("mCNV")</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19"/>
        </w:trPr>
        <w:tc>
          <w:tcPr>
            <w:tcW w:w="2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Neovascular glaucoma ("NVG")</w:t>
            </w: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18"/>
        </w:trPr>
        <w:tc>
          <w:tcPr>
            <w:tcW w:w="260" w:type="dxa"/>
            <w:vAlign w:val="bottom"/>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Retinopathy of prematurity ("ROP")</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165"/>
        </w:trPr>
        <w:tc>
          <w:tcPr>
            <w:tcW w:w="260" w:type="dxa"/>
            <w:vAlign w:val="bottom"/>
          </w:tcPr>
          <w:p>
            <w:pPr>
              <w:spacing w:after="0"/>
              <w:rPr>
                <w:sz w:val="14"/>
                <w:szCs w:val="14"/>
                <w:color w:val="auto"/>
              </w:rPr>
            </w:pPr>
          </w:p>
        </w:tc>
        <w:tc>
          <w:tcPr>
            <w:tcW w:w="378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Dupixent</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(dupilumab) Injection</w:t>
            </w:r>
            <w:r>
              <w:rPr>
                <w:rFonts w:ascii="Times New Roman" w:cs="Times New Roman" w:eastAsia="Times New Roman" w:hAnsi="Times New Roman"/>
                <w:sz w:val="19"/>
                <w:szCs w:val="19"/>
                <w:color w:val="auto"/>
                <w:vertAlign w:val="superscript"/>
              </w:rPr>
              <w:t>(b)</w:t>
            </w:r>
          </w:p>
        </w:tc>
        <w:tc>
          <w:tcPr>
            <w:tcW w:w="120" w:type="dxa"/>
            <w:vAlign w:val="bottom"/>
            <w:shd w:val="clear" w:color="auto" w:fill="CCEEFF"/>
          </w:tcPr>
          <w:p>
            <w:pPr>
              <w:spacing w:after="0"/>
              <w:rPr>
                <w:sz w:val="14"/>
                <w:szCs w:val="14"/>
                <w:color w:val="auto"/>
              </w:rPr>
            </w:pPr>
          </w:p>
        </w:tc>
        <w:tc>
          <w:tcPr>
            <w:tcW w:w="36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Atopic dermatitis (in adults, adolescents, and</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right="120"/>
              <w:spacing w:after="0" w:line="166"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shd w:val="clear" w:color="auto" w:fill="CCEEFF"/>
          </w:tcPr>
          <w:p>
            <w:pPr>
              <w:jc w:val="center"/>
              <w:ind w:right="100"/>
              <w:spacing w:after="0" w:line="166"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jc w:val="center"/>
              <w:spacing w:after="0" w:line="166" w:lineRule="exact"/>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4"/>
                <w:szCs w:val="14"/>
                <w:color w:val="auto"/>
              </w:rPr>
            </w:pPr>
          </w:p>
        </w:tc>
      </w:tr>
      <w:tr>
        <w:trPr>
          <w:trHeight w:val="235"/>
        </w:trPr>
        <w:tc>
          <w:tcPr>
            <w:tcW w:w="26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pediatrics aged 6 months and older)</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222"/>
        </w:trPr>
        <w:tc>
          <w:tcPr>
            <w:tcW w:w="26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adults and adolescents)</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723"/>
        </w:trPr>
        <w:tc>
          <w:tcPr>
            <w:tcW w:w="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740" w:type="dxa"/>
            <w:vAlign w:val="bottom"/>
            <w:gridSpan w:val="2"/>
          </w:tcPr>
          <w:p>
            <w:pPr>
              <w:jc w:val="right"/>
              <w:ind w:right="20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50"/>
        </w:trPr>
        <w:tc>
          <w:tcPr>
            <w:tcW w:w="2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32"/>
        </w:trPr>
        <w:tc>
          <w:tcPr>
            <w:tcW w:w="260" w:type="dxa"/>
            <w:vAlign w:val="bottom"/>
          </w:tcPr>
          <w:p>
            <w:pPr>
              <w:spacing w:after="0"/>
              <w:rPr>
                <w:sz w:val="20"/>
                <w:szCs w:val="20"/>
                <w:color w:val="auto"/>
              </w:rPr>
            </w:pPr>
          </w:p>
        </w:tc>
        <w:tc>
          <w:tcPr>
            <w:tcW w:w="37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Borders>
              <w:bottom w:val="single" w:sz="8" w:color="CCEEFF"/>
            </w:tcBorders>
          </w:tcPr>
          <w:p>
            <w:pPr>
              <w:spacing w:after="0"/>
              <w:rPr>
                <w:sz w:val="20"/>
                <w:szCs w:val="20"/>
                <w:color w:val="auto"/>
              </w:rPr>
            </w:pPr>
          </w:p>
        </w:tc>
        <w:tc>
          <w:tcPr>
            <w:tcW w:w="36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EU</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Japan</w:t>
            </w:r>
          </w:p>
        </w:tc>
        <w:tc>
          <w:tcPr>
            <w:tcW w:w="240" w:type="dxa"/>
            <w:vAlign w:val="bottom"/>
          </w:tcPr>
          <w:p>
            <w:pPr>
              <w:spacing w:after="0"/>
              <w:rPr>
                <w:sz w:val="20"/>
                <w:szCs w:val="20"/>
                <w:color w:val="auto"/>
              </w:rPr>
            </w:pPr>
          </w:p>
        </w:tc>
      </w:tr>
      <w:tr>
        <w:trPr>
          <w:trHeight w:val="218"/>
        </w:trPr>
        <w:tc>
          <w:tcPr>
            <w:tcW w:w="2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18"/>
                <w:szCs w:val="18"/>
                <w:color w:val="auto"/>
              </w:rPr>
              <w:t>Dupixent (dupilumab) Injection</w:t>
            </w:r>
            <w:r>
              <w:rPr>
                <w:rFonts w:ascii="Times New Roman" w:cs="Times New Roman" w:eastAsia="Times New Roman" w:hAnsi="Times New Roman"/>
                <w:sz w:val="22"/>
                <w:szCs w:val="22"/>
                <w:color w:val="auto"/>
                <w:vertAlign w:val="superscript"/>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(continued)</w:t>
            </w:r>
          </w:p>
        </w:tc>
        <w:tc>
          <w:tcPr>
            <w:tcW w:w="12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pediatrics 6–11 years of age)</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174"/>
        </w:trPr>
        <w:tc>
          <w:tcPr>
            <w:tcW w:w="2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shd w:val="clear" w:color="auto" w:fill="CCEEFF"/>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jc w:val="center"/>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("CRSwNP")</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174"/>
        </w:trPr>
        <w:tc>
          <w:tcPr>
            <w:tcW w:w="2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Eosinophilic esophagitis ("EoE") (in adults and</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shd w:val="clear" w:color="auto" w:fill="CCEEFF"/>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219"/>
        </w:trPr>
        <w:tc>
          <w:tcPr>
            <w:tcW w:w="2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EoE (in pediatrics 1–11 years of age)</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218"/>
        </w:trPr>
        <w:tc>
          <w:tcPr>
            <w:tcW w:w="26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Prurigo nodularis</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174"/>
        </w:trPr>
        <w:tc>
          <w:tcPr>
            <w:tcW w:w="260" w:type="dxa"/>
            <w:vAlign w:val="bottom"/>
          </w:tcPr>
          <w:p>
            <w:pPr>
              <w:spacing w:after="0"/>
              <w:rPr>
                <w:sz w:val="15"/>
                <w:szCs w:val="15"/>
                <w:color w:val="auto"/>
              </w:rPr>
            </w:pPr>
          </w:p>
        </w:tc>
        <w:tc>
          <w:tcPr>
            <w:tcW w:w="37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Libtayo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(cemiplimab) Injection</w:t>
            </w:r>
            <w:r>
              <w:rPr>
                <w:rFonts w:ascii="Times New Roman" w:cs="Times New Roman" w:eastAsia="Times New Roman" w:hAnsi="Times New Roman"/>
                <w:sz w:val="20"/>
                <w:szCs w:val="20"/>
                <w:color w:val="auto"/>
                <w:vertAlign w:val="superscript"/>
              </w:rPr>
              <w:t>(c)</w:t>
            </w:r>
          </w:p>
        </w:tc>
        <w:tc>
          <w:tcPr>
            <w:tcW w:w="120" w:type="dxa"/>
            <w:vAlign w:val="bottom"/>
          </w:tcPr>
          <w:p>
            <w:pPr>
              <w:spacing w:after="0"/>
              <w:rPr>
                <w:sz w:val="15"/>
                <w:szCs w:val="15"/>
                <w:color w:val="auto"/>
              </w:rPr>
            </w:pPr>
          </w:p>
        </w:tc>
        <w:tc>
          <w:tcPr>
            <w:tcW w:w="36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w w:val="99"/>
              </w:rPr>
              <w:t>Metastatic or locally advanced first-line non-small</w:t>
            </w:r>
          </w:p>
        </w:tc>
        <w:tc>
          <w:tcPr>
            <w:tcW w:w="100" w:type="dxa"/>
            <w:vAlign w:val="bottom"/>
          </w:tcPr>
          <w:p>
            <w:pPr>
              <w:spacing w:after="0"/>
              <w:rPr>
                <w:sz w:val="15"/>
                <w:szCs w:val="15"/>
                <w:color w:val="auto"/>
              </w:rPr>
            </w:pPr>
          </w:p>
        </w:tc>
        <w:tc>
          <w:tcPr>
            <w:tcW w:w="1060" w:type="dxa"/>
            <w:vAlign w:val="bottom"/>
            <w:gridSpan w:val="2"/>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cell lung cancer ("NSCLC")</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74"/>
        </w:trPr>
        <w:tc>
          <w:tcPr>
            <w:tcW w:w="2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Metastatic or locally advanced first-line NSCLC</w:t>
            </w:r>
          </w:p>
        </w:tc>
        <w:tc>
          <w:tcPr>
            <w:tcW w:w="100" w:type="dxa"/>
            <w:vAlign w:val="bottom"/>
          </w:tcPr>
          <w:p>
            <w:pPr>
              <w:spacing w:after="0"/>
              <w:rPr>
                <w:sz w:val="15"/>
                <w:szCs w:val="15"/>
                <w:color w:val="auto"/>
              </w:rPr>
            </w:pPr>
          </w:p>
        </w:tc>
        <w:tc>
          <w:tcPr>
            <w:tcW w:w="1060" w:type="dxa"/>
            <w:vAlign w:val="bottom"/>
            <w:gridSpan w:val="2"/>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combination with chemotherapy)</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74"/>
        </w:trPr>
        <w:tc>
          <w:tcPr>
            <w:tcW w:w="2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Metastatic or locally advanced basal cell</w:t>
            </w:r>
          </w:p>
        </w:tc>
        <w:tc>
          <w:tcPr>
            <w:tcW w:w="100" w:type="dxa"/>
            <w:vAlign w:val="bottom"/>
          </w:tcPr>
          <w:p>
            <w:pPr>
              <w:spacing w:after="0"/>
              <w:rPr>
                <w:sz w:val="15"/>
                <w:szCs w:val="15"/>
                <w:color w:val="auto"/>
              </w:rPr>
            </w:pPr>
          </w:p>
        </w:tc>
        <w:tc>
          <w:tcPr>
            <w:tcW w:w="1060" w:type="dxa"/>
            <w:vAlign w:val="bottom"/>
            <w:gridSpan w:val="2"/>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carcinoma ("BCC")</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74"/>
        </w:trPr>
        <w:tc>
          <w:tcPr>
            <w:tcW w:w="2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Metastatic or locally advanced cutaneous</w:t>
            </w:r>
          </w:p>
        </w:tc>
        <w:tc>
          <w:tcPr>
            <w:tcW w:w="100" w:type="dxa"/>
            <w:vAlign w:val="bottom"/>
          </w:tcPr>
          <w:p>
            <w:pPr>
              <w:spacing w:after="0"/>
              <w:rPr>
                <w:sz w:val="15"/>
                <w:szCs w:val="15"/>
                <w:color w:val="auto"/>
              </w:rPr>
            </w:pPr>
          </w:p>
        </w:tc>
        <w:tc>
          <w:tcPr>
            <w:tcW w:w="1060" w:type="dxa"/>
            <w:vAlign w:val="bottom"/>
            <w:gridSpan w:val="2"/>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squamous cell carcinoma ("CSCC")</w:t>
            </w: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8"/>
        </w:trPr>
        <w:tc>
          <w:tcPr>
            <w:tcW w:w="260" w:type="dxa"/>
            <w:vAlign w:val="bottom"/>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Metastatic or recurrent second-line cervical cancer</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174"/>
        </w:trPr>
        <w:tc>
          <w:tcPr>
            <w:tcW w:w="260" w:type="dxa"/>
            <w:vAlign w:val="bottom"/>
          </w:tcPr>
          <w:p>
            <w:pPr>
              <w:spacing w:after="0"/>
              <w:rPr>
                <w:sz w:val="15"/>
                <w:szCs w:val="15"/>
                <w:color w:val="auto"/>
              </w:rPr>
            </w:pPr>
          </w:p>
        </w:tc>
        <w:tc>
          <w:tcPr>
            <w:tcW w:w="37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Praluent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(alirocumab) Injection</w:t>
            </w:r>
            <w:r>
              <w:rPr>
                <w:rFonts w:ascii="Times New Roman" w:cs="Times New Roman" w:eastAsia="Times New Roman" w:hAnsi="Times New Roman"/>
                <w:sz w:val="20"/>
                <w:szCs w:val="20"/>
                <w:color w:val="auto"/>
                <w:vertAlign w:val="superscript"/>
              </w:rPr>
              <w:t>(d)</w:t>
            </w: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shd w:val="clear" w:color="auto" w:fill="CCEEFF"/>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25"/>
        </w:trPr>
        <w:tc>
          <w:tcPr>
            <w:tcW w:w="2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atherosclerotic cardiovascular disease ("ASCVD")</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174"/>
        </w:trPr>
        <w:tc>
          <w:tcPr>
            <w:tcW w:w="2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w w:val="99"/>
              </w:rPr>
              <w:t>HeFH in pediatrics and adolescents (8–17 years of</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174"/>
        </w:trPr>
        <w:tc>
          <w:tcPr>
            <w:tcW w:w="2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Cardiovascular risk reduction in patients with</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shd w:val="clear" w:color="auto" w:fill="CCEEFF"/>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174"/>
        </w:trPr>
        <w:tc>
          <w:tcPr>
            <w:tcW w:w="2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Homozygous familial hypercholesterolemia</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37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("HoFH")</w:t>
            </w: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219"/>
        </w:trPr>
        <w:tc>
          <w:tcPr>
            <w:tcW w:w="260" w:type="dxa"/>
            <w:vAlign w:val="bottom"/>
          </w:tcPr>
          <w:p>
            <w:pPr>
              <w:spacing w:after="0"/>
              <w:rPr>
                <w:sz w:val="19"/>
                <w:szCs w:val="19"/>
                <w:color w:val="auto"/>
              </w:rPr>
            </w:pPr>
          </w:p>
        </w:tc>
        <w:tc>
          <w:tcPr>
            <w:tcW w:w="3780" w:type="dxa"/>
            <w:vAlign w:val="bottom"/>
            <w:tcBorders>
              <w:bottom w:val="single" w:sz="8" w:color="auto"/>
            </w:tcBorders>
          </w:tcPr>
          <w:p>
            <w:pPr>
              <w:spacing w:after="0" w:line="219"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2"/>
                <w:szCs w:val="22"/>
                <w:color w:val="auto"/>
                <w:vertAlign w:val="superscript"/>
              </w:rPr>
              <w:t>®(e)</w:t>
            </w:r>
          </w:p>
        </w:tc>
        <w:tc>
          <w:tcPr>
            <w:tcW w:w="120" w:type="dxa"/>
            <w:vAlign w:val="bottom"/>
            <w:tcBorders>
              <w:bottom w:val="single" w:sz="8" w:color="CCEEFF"/>
            </w:tcBorders>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COVID-19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18"/>
        </w:trPr>
        <w:tc>
          <w:tcPr>
            <w:tcW w:w="2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spacing w:after="0" w:line="219" w:lineRule="exact"/>
              <w:rPr>
                <w:sz w:val="20"/>
                <w:szCs w:val="20"/>
                <w:color w:val="auto"/>
              </w:rPr>
            </w:pPr>
            <w:r>
              <w:rPr>
                <w:rFonts w:ascii="Times New Roman" w:cs="Times New Roman" w:eastAsia="Times New Roman" w:hAnsi="Times New Roman"/>
                <w:sz w:val="18"/>
                <w:szCs w:val="18"/>
                <w:color w:val="auto"/>
              </w:rPr>
              <w:t>Kevzara (sarilumab) Injection</w:t>
            </w:r>
            <w:r>
              <w:rPr>
                <w:rFonts w:ascii="Times New Roman" w:cs="Times New Roman" w:eastAsia="Times New Roman" w:hAnsi="Times New Roman"/>
                <w:sz w:val="22"/>
                <w:szCs w:val="22"/>
                <w:color w:val="auto"/>
                <w:vertAlign w:val="superscript"/>
              </w:rPr>
              <w:t>(b)</w:t>
            </w:r>
          </w:p>
        </w:tc>
        <w:tc>
          <w:tcPr>
            <w:tcW w:w="120" w:type="dxa"/>
            <w:vAlign w:val="bottom"/>
            <w:tcBorders>
              <w:bottom w:val="single" w:sz="8" w:color="CCEEFF"/>
            </w:tcBorders>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Rheumatoid arthritis ("RA")</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240" w:type="dxa"/>
            <w:vAlign w:val="bottom"/>
          </w:tcPr>
          <w:p>
            <w:pPr>
              <w:spacing w:after="0"/>
              <w:rPr>
                <w:sz w:val="19"/>
                <w:szCs w:val="19"/>
                <w:color w:val="auto"/>
              </w:rPr>
            </w:pPr>
          </w:p>
        </w:tc>
      </w:tr>
      <w:tr>
        <w:trPr>
          <w:trHeight w:val="219"/>
        </w:trPr>
        <w:tc>
          <w:tcPr>
            <w:tcW w:w="26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Polymyalgia rheumatica ("PMR")</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174"/>
        </w:trPr>
        <w:tc>
          <w:tcPr>
            <w:tcW w:w="260" w:type="dxa"/>
            <w:vAlign w:val="bottom"/>
          </w:tcPr>
          <w:p>
            <w:pPr>
              <w:spacing w:after="0"/>
              <w:rPr>
                <w:sz w:val="15"/>
                <w:szCs w:val="15"/>
                <w:color w:val="auto"/>
              </w:rPr>
            </w:pPr>
          </w:p>
        </w:tc>
        <w:tc>
          <w:tcPr>
            <w:tcW w:w="37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Evkeeza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(evinacumab) Injection</w:t>
            </w:r>
            <w:r>
              <w:rPr>
                <w:rFonts w:ascii="Times New Roman" w:cs="Times New Roman" w:eastAsia="Times New Roman" w:hAnsi="Times New Roman"/>
                <w:sz w:val="20"/>
                <w:szCs w:val="20"/>
                <w:color w:val="auto"/>
                <w:vertAlign w:val="superscript"/>
              </w:rPr>
              <w:t>(f)</w:t>
            </w:r>
          </w:p>
        </w:tc>
        <w:tc>
          <w:tcPr>
            <w:tcW w:w="120" w:type="dxa"/>
            <w:vAlign w:val="bottom"/>
          </w:tcPr>
          <w:p>
            <w:pPr>
              <w:spacing w:after="0"/>
              <w:rPr>
                <w:sz w:val="15"/>
                <w:szCs w:val="15"/>
                <w:color w:val="auto"/>
              </w:rPr>
            </w:pPr>
          </w:p>
        </w:tc>
        <w:tc>
          <w:tcPr>
            <w:tcW w:w="36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HoFH (in adults, adolescents, and pediatrics aged</w:t>
            </w:r>
          </w:p>
        </w:tc>
        <w:tc>
          <w:tcPr>
            <w:tcW w:w="100" w:type="dxa"/>
            <w:vAlign w:val="bottom"/>
          </w:tcPr>
          <w:p>
            <w:pPr>
              <w:spacing w:after="0"/>
              <w:rPr>
                <w:sz w:val="15"/>
                <w:szCs w:val="15"/>
                <w:color w:val="auto"/>
              </w:rPr>
            </w:pPr>
          </w:p>
        </w:tc>
        <w:tc>
          <w:tcPr>
            <w:tcW w:w="1060" w:type="dxa"/>
            <w:vAlign w:val="bottom"/>
            <w:gridSpan w:val="2"/>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tcPr>
          <w:p>
            <w:pPr>
              <w:jc w:val="center"/>
              <w:ind w:right="10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1220" w:type="dxa"/>
            <w:vAlign w:val="bottom"/>
            <w:gridSpan w:val="2"/>
          </w:tcPr>
          <w:p>
            <w:pPr>
              <w:jc w:val="center"/>
              <w:ind w:right="240"/>
              <w:spacing w:after="0" w:line="174" w:lineRule="exact"/>
              <w:rPr>
                <w:sz w:val="20"/>
                <w:szCs w:val="20"/>
                <w:color w:val="auto"/>
              </w:rPr>
            </w:pPr>
            <w:r>
              <w:rPr>
                <w:rFonts w:ascii="Webdings" w:cs="Webdings" w:eastAsia="Webdings" w:hAnsi="Webdings"/>
                <w:sz w:val="18"/>
                <w:szCs w:val="18"/>
                <w:b w:val="1"/>
                <w:bCs w:val="1"/>
                <w:color w:val="auto"/>
                <w:w w:val="99"/>
              </w:rPr>
              <w:t>a</w:t>
            </w:r>
          </w:p>
        </w:tc>
      </w:tr>
      <w:tr>
        <w:trPr>
          <w:trHeight w:val="230"/>
        </w:trPr>
        <w:tc>
          <w:tcPr>
            <w:tcW w:w="260" w:type="dxa"/>
            <w:vAlign w:val="bottom"/>
          </w:tcPr>
          <w:p>
            <w:pPr>
              <w:spacing w:after="0"/>
              <w:rPr>
                <w:sz w:val="20"/>
                <w:szCs w:val="20"/>
                <w:color w:val="auto"/>
              </w:rPr>
            </w:pPr>
          </w:p>
        </w:tc>
        <w:tc>
          <w:tcPr>
            <w:tcW w:w="37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 years and older)</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174"/>
        </w:trPr>
        <w:tc>
          <w:tcPr>
            <w:tcW w:w="260" w:type="dxa"/>
            <w:vAlign w:val="bottom"/>
          </w:tcPr>
          <w:p>
            <w:pPr>
              <w:spacing w:after="0"/>
              <w:rPr>
                <w:sz w:val="15"/>
                <w:szCs w:val="15"/>
                <w:color w:val="auto"/>
              </w:rPr>
            </w:pPr>
          </w:p>
        </w:tc>
        <w:tc>
          <w:tcPr>
            <w:tcW w:w="37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Inmazeb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(atoltivimab, maftivimab, and</w:t>
            </w: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odesivimab) Injection</w:t>
            </w:r>
          </w:p>
        </w:tc>
        <w:tc>
          <w:tcPr>
            <w:tcW w:w="120" w:type="dxa"/>
            <w:vAlign w:val="bottom"/>
            <w:shd w:val="clear" w:color="auto" w:fill="CCEEFF"/>
          </w:tcPr>
          <w:p>
            <w:pPr>
              <w:spacing w:after="0"/>
              <w:rPr>
                <w:sz w:val="20"/>
                <w:szCs w:val="20"/>
                <w:color w:val="auto"/>
              </w:rPr>
            </w:pPr>
          </w:p>
        </w:tc>
        <w:tc>
          <w:tcPr>
            <w:tcW w:w="36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174"/>
        </w:trPr>
        <w:tc>
          <w:tcPr>
            <w:tcW w:w="260" w:type="dxa"/>
            <w:vAlign w:val="bottom"/>
          </w:tcPr>
          <w:p>
            <w:pPr>
              <w:spacing w:after="0"/>
              <w:rPr>
                <w:sz w:val="15"/>
                <w:szCs w:val="15"/>
                <w:color w:val="auto"/>
              </w:rPr>
            </w:pPr>
          </w:p>
        </w:tc>
        <w:tc>
          <w:tcPr>
            <w:tcW w:w="37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Veopoz</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(pozelimab) Injection</w:t>
            </w:r>
          </w:p>
        </w:tc>
        <w:tc>
          <w:tcPr>
            <w:tcW w:w="120" w:type="dxa"/>
            <w:vAlign w:val="bottom"/>
          </w:tcPr>
          <w:p>
            <w:pPr>
              <w:spacing w:after="0"/>
              <w:rPr>
                <w:sz w:val="15"/>
                <w:szCs w:val="15"/>
                <w:color w:val="auto"/>
              </w:rPr>
            </w:pPr>
          </w:p>
        </w:tc>
        <w:tc>
          <w:tcPr>
            <w:tcW w:w="362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CD55-deficient protein-losing enteropathy</w:t>
            </w:r>
          </w:p>
        </w:tc>
        <w:tc>
          <w:tcPr>
            <w:tcW w:w="100" w:type="dxa"/>
            <w:vAlign w:val="bottom"/>
          </w:tcPr>
          <w:p>
            <w:pPr>
              <w:spacing w:after="0"/>
              <w:rPr>
                <w:sz w:val="15"/>
                <w:szCs w:val="15"/>
                <w:color w:val="auto"/>
              </w:rPr>
            </w:pPr>
          </w:p>
        </w:tc>
        <w:tc>
          <w:tcPr>
            <w:tcW w:w="1060" w:type="dxa"/>
            <w:vAlign w:val="bottom"/>
            <w:gridSpan w:val="2"/>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("CHAPLE") (in adults, adolescents, and</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5"/>
        </w:trPr>
        <w:tc>
          <w:tcPr>
            <w:tcW w:w="260" w:type="dxa"/>
            <w:vAlign w:val="bottom"/>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pediatrics aged 1 year and older)</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74"/>
        </w:trPr>
        <w:tc>
          <w:tcPr>
            <w:tcW w:w="260" w:type="dxa"/>
            <w:vAlign w:val="bottom"/>
          </w:tcPr>
          <w:p>
            <w:pPr>
              <w:spacing w:after="0"/>
              <w:rPr>
                <w:sz w:val="15"/>
                <w:szCs w:val="15"/>
                <w:color w:val="auto"/>
              </w:rPr>
            </w:pPr>
          </w:p>
        </w:tc>
        <w:tc>
          <w:tcPr>
            <w:tcW w:w="37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w:t>
            </w:r>
            <w:r>
              <w:rPr>
                <w:rFonts w:ascii="Times New Roman" w:cs="Times New Roman" w:eastAsia="Times New Roman" w:hAnsi="Times New Roman"/>
                <w:sz w:val="20"/>
                <w:szCs w:val="20"/>
                <w:color w:val="auto"/>
                <w:vertAlign w:val="superscript"/>
              </w:rPr>
              <w:t>(g)</w:t>
            </w: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Cryopyrin-associated periodic syndromes</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("CAPS"), including familial cold auto-</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172"/>
        </w:trPr>
        <w:tc>
          <w:tcPr>
            <w:tcW w:w="260" w:type="dxa"/>
            <w:vAlign w:val="bottom"/>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2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inflammatory syndrome ("FCAS") and Muckle-</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tcPr>
          <w:p>
            <w:pPr>
              <w:spacing w:after="0"/>
              <w:rPr>
                <w:sz w:val="14"/>
                <w:szCs w:val="14"/>
                <w:color w:val="auto"/>
              </w:rPr>
            </w:pPr>
          </w:p>
        </w:tc>
      </w:tr>
      <w:tr>
        <w:trPr>
          <w:trHeight w:val="180"/>
        </w:trPr>
        <w:tc>
          <w:tcPr>
            <w:tcW w:w="2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Wells syndrome ("MWS") (in adults and</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174"/>
        </w:trPr>
        <w:tc>
          <w:tcPr>
            <w:tcW w:w="260" w:type="dxa"/>
            <w:vAlign w:val="bottom"/>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center"/>
              <w:ind w:right="120"/>
              <w:spacing w:after="0" w:line="174"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r>
      <w:tr>
        <w:trPr>
          <w:trHeight w:val="230"/>
        </w:trPr>
        <w:tc>
          <w:tcPr>
            <w:tcW w:w="26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("DIRA") (in adults, adolescents, and pediatrics)</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40" w:type="dxa"/>
            <w:vAlign w:val="bottom"/>
          </w:tcPr>
          <w:p>
            <w:pPr>
              <w:spacing w:after="0"/>
              <w:rPr>
                <w:sz w:val="20"/>
                <w:szCs w:val="20"/>
                <w:color w:val="auto"/>
              </w:rPr>
            </w:pPr>
          </w:p>
        </w:tc>
      </w:tr>
      <w:tr>
        <w:trPr>
          <w:trHeight w:val="219"/>
        </w:trPr>
        <w:tc>
          <w:tcPr>
            <w:tcW w:w="26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Recurrent pericarditis (in adults and adolescents)</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Pr>
          <w:p>
            <w:pPr>
              <w:spacing w:after="0"/>
              <w:rPr>
                <w:sz w:val="19"/>
                <w:szCs w:val="19"/>
                <w:color w:val="auto"/>
              </w:rPr>
            </w:pPr>
          </w:p>
        </w:tc>
      </w:tr>
      <w:tr>
        <w:trPr>
          <w:trHeight w:val="171"/>
        </w:trPr>
        <w:tc>
          <w:tcPr>
            <w:tcW w:w="260" w:type="dxa"/>
            <w:vAlign w:val="bottom"/>
          </w:tcPr>
          <w:p>
            <w:pPr>
              <w:spacing w:after="0"/>
              <w:rPr>
                <w:sz w:val="14"/>
                <w:szCs w:val="14"/>
                <w:color w:val="auto"/>
              </w:rPr>
            </w:pPr>
          </w:p>
        </w:tc>
        <w:tc>
          <w:tcPr>
            <w:tcW w:w="3780" w:type="dxa"/>
            <w:vAlign w:val="bottom"/>
          </w:tcPr>
          <w:p>
            <w:pPr>
              <w:spacing w:after="0" w:line="171" w:lineRule="exact"/>
              <w:rPr>
                <w:sz w:val="20"/>
                <w:szCs w:val="20"/>
                <w:color w:val="auto"/>
              </w:rPr>
            </w:pPr>
            <w:r>
              <w:rPr>
                <w:rFonts w:ascii="Times New Roman" w:cs="Times New Roman" w:eastAsia="Times New Roman" w:hAnsi="Times New Roman"/>
                <w:sz w:val="15"/>
                <w:szCs w:val="15"/>
                <w:color w:val="auto"/>
              </w:rPr>
              <w:t>ZALTRAP</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(ziv-aflibercept) Injection for</w:t>
            </w:r>
          </w:p>
        </w:tc>
        <w:tc>
          <w:tcPr>
            <w:tcW w:w="120" w:type="dxa"/>
            <w:vAlign w:val="bottom"/>
          </w:tcPr>
          <w:p>
            <w:pPr>
              <w:spacing w:after="0"/>
              <w:rPr>
                <w:sz w:val="14"/>
                <w:szCs w:val="14"/>
                <w:color w:val="auto"/>
              </w:rPr>
            </w:pPr>
          </w:p>
        </w:tc>
        <w:tc>
          <w:tcPr>
            <w:tcW w:w="36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00" w:type="dxa"/>
            <w:vAlign w:val="bottom"/>
          </w:tcPr>
          <w:p>
            <w:pPr>
              <w:spacing w:after="0"/>
              <w:rPr>
                <w:sz w:val="14"/>
                <w:szCs w:val="14"/>
                <w:color w:val="auto"/>
              </w:rPr>
            </w:pPr>
          </w:p>
        </w:tc>
        <w:tc>
          <w:tcPr>
            <w:tcW w:w="1060" w:type="dxa"/>
            <w:vAlign w:val="bottom"/>
            <w:gridSpan w:val="2"/>
          </w:tcPr>
          <w:p>
            <w:pPr>
              <w:jc w:val="center"/>
              <w:ind w:right="120"/>
              <w:spacing w:after="0" w:line="171" w:lineRule="exact"/>
              <w:rPr>
                <w:sz w:val="20"/>
                <w:szCs w:val="20"/>
                <w:color w:val="auto"/>
              </w:rPr>
            </w:pPr>
            <w:r>
              <w:rPr>
                <w:rFonts w:ascii="Webdings" w:cs="Webdings" w:eastAsia="Webdings" w:hAnsi="Webdings"/>
                <w:sz w:val="18"/>
                <w:szCs w:val="18"/>
                <w:b w:val="1"/>
                <w:bCs w:val="1"/>
                <w:color w:val="auto"/>
                <w:w w:val="99"/>
              </w:rPr>
              <w:t>a</w:t>
            </w:r>
          </w:p>
        </w:tc>
        <w:tc>
          <w:tcPr>
            <w:tcW w:w="1080" w:type="dxa"/>
            <w:vAlign w:val="bottom"/>
            <w:gridSpan w:val="2"/>
          </w:tcPr>
          <w:p>
            <w:pPr>
              <w:jc w:val="center"/>
              <w:ind w:right="100"/>
              <w:spacing w:after="0" w:line="171" w:lineRule="exact"/>
              <w:rPr>
                <w:sz w:val="20"/>
                <w:szCs w:val="20"/>
                <w:color w:val="auto"/>
              </w:rPr>
            </w:pPr>
            <w:r>
              <w:rPr>
                <w:rFonts w:ascii="Webdings" w:cs="Webdings" w:eastAsia="Webdings" w:hAnsi="Webdings"/>
                <w:sz w:val="18"/>
                <w:szCs w:val="18"/>
                <w:b w:val="1"/>
                <w:bCs w:val="1"/>
                <w:color w:val="auto"/>
                <w:w w:val="99"/>
              </w:rPr>
              <w:t>a</w:t>
            </w:r>
          </w:p>
        </w:tc>
        <w:tc>
          <w:tcPr>
            <w:tcW w:w="1220" w:type="dxa"/>
            <w:vAlign w:val="bottom"/>
            <w:gridSpan w:val="2"/>
          </w:tcPr>
          <w:p>
            <w:pPr>
              <w:jc w:val="center"/>
              <w:ind w:right="240"/>
              <w:spacing w:after="0" w:line="171" w:lineRule="exact"/>
              <w:rPr>
                <w:sz w:val="20"/>
                <w:szCs w:val="20"/>
                <w:color w:val="auto"/>
              </w:rPr>
            </w:pPr>
            <w:r>
              <w:rPr>
                <w:rFonts w:ascii="Webdings" w:cs="Webdings" w:eastAsia="Webdings" w:hAnsi="Webdings"/>
                <w:sz w:val="18"/>
                <w:szCs w:val="18"/>
                <w:b w:val="1"/>
                <w:bCs w:val="1"/>
                <w:color w:val="auto"/>
                <w:w w:val="99"/>
              </w:rPr>
              <w:t>a</w:t>
            </w:r>
          </w:p>
        </w:tc>
      </w:tr>
      <w:tr>
        <w:trPr>
          <w:trHeight w:val="233"/>
        </w:trPr>
        <w:tc>
          <w:tcPr>
            <w:tcW w:w="260" w:type="dxa"/>
            <w:vAlign w:val="bottom"/>
          </w:tcPr>
          <w:p>
            <w:pPr>
              <w:spacing w:after="0"/>
              <w:rPr>
                <w:sz w:val="20"/>
                <w:szCs w:val="20"/>
                <w:color w:val="auto"/>
              </w:rPr>
            </w:pPr>
          </w:p>
        </w:tc>
        <w:tc>
          <w:tcPr>
            <w:tcW w:w="3780" w:type="dxa"/>
            <w:vAlign w:val="bottom"/>
            <w:tcBorders>
              <w:bottom w:val="single" w:sz="8" w:color="auto"/>
            </w:tcBorders>
          </w:tcPr>
          <w:p>
            <w:pPr>
              <w:spacing w:after="0" w:line="233"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2"/>
                <w:szCs w:val="22"/>
                <w:color w:val="auto"/>
                <w:vertAlign w:val="superscript"/>
              </w:rPr>
              <w:t>(h)</w:t>
            </w:r>
          </w:p>
        </w:tc>
        <w:tc>
          <w:tcPr>
            <w:tcW w:w="12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776"/>
        </w:trPr>
        <w:tc>
          <w:tcPr>
            <w:tcW w:w="2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740" w:type="dxa"/>
            <w:vAlign w:val="bottom"/>
            <w:gridSpan w:val="2"/>
          </w:tcPr>
          <w:p>
            <w:pPr>
              <w:jc w:val="right"/>
              <w:ind w:right="20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50"/>
        </w:trPr>
        <w:tc>
          <w:tcPr>
            <w:tcW w:w="26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 w:right="480"/>
        <w:spacing w:after="0" w:line="255" w:lineRule="auto"/>
        <w:rPr>
          <w:sz w:val="20"/>
          <w:szCs w:val="20"/>
          <w:color w:val="auto"/>
        </w:rPr>
      </w:pPr>
      <w:r>
        <w:rPr>
          <w:rFonts w:ascii="Times New Roman" w:cs="Times New Roman" w:eastAsia="Times New Roman" w:hAnsi="Times New Roman"/>
          <w:sz w:val="15"/>
          <w:szCs w:val="15"/>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ind w:left="600" w:hanging="172"/>
        <w:spacing w:after="0" w:line="192" w:lineRule="auto"/>
        <w:tabs>
          <w:tab w:leader="none" w:pos="60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collaboration with Bayer outside the United States. Aflibercept 8 mg is known as EYLEA HD in the United States and EYLEA 8 mg in other countries.</w:t>
      </w:r>
    </w:p>
    <w:p>
      <w:pPr>
        <w:spacing w:after="0" w:line="22" w:lineRule="exact"/>
        <w:rPr>
          <w:rFonts w:ascii="Times New Roman" w:cs="Times New Roman" w:eastAsia="Times New Roman" w:hAnsi="Times New Roman"/>
          <w:sz w:val="23"/>
          <w:szCs w:val="23"/>
          <w:color w:val="auto"/>
          <w:vertAlign w:val="superscript"/>
        </w:rPr>
      </w:pPr>
    </w:p>
    <w:p>
      <w:pPr>
        <w:ind w:left="600" w:hanging="172"/>
        <w:spacing w:after="0" w:line="188" w:lineRule="auto"/>
        <w:tabs>
          <w:tab w:leader="none" w:pos="60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w:t>
      </w:r>
    </w:p>
    <w:p>
      <w:pPr>
        <w:spacing w:after="0" w:line="22" w:lineRule="exact"/>
        <w:rPr>
          <w:rFonts w:ascii="Times New Roman" w:cs="Times New Roman" w:eastAsia="Times New Roman" w:hAnsi="Times New Roman"/>
          <w:sz w:val="21"/>
          <w:szCs w:val="21"/>
          <w:color w:val="auto"/>
          <w:vertAlign w:val="superscript"/>
        </w:rPr>
      </w:pPr>
    </w:p>
    <w:p>
      <w:pPr>
        <w:ind w:left="420" w:right="1200" w:firstLine="8"/>
        <w:spacing w:after="0" w:line="202" w:lineRule="auto"/>
        <w:tabs>
          <w:tab w:leader="none" w:pos="587"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 prior to July 2022. Effective July 2022, the Company is solely responsible for the development, commercialization, and manufacturing of Libtayo. Refer to "Collaboration, License, and Other Agreements" section below for further details.</w:t>
      </w:r>
    </w:p>
    <w:p>
      <w:pPr>
        <w:spacing w:after="0" w:line="4" w:lineRule="exact"/>
        <w:rPr>
          <w:rFonts w:ascii="Times New Roman" w:cs="Times New Roman" w:eastAsia="Times New Roman" w:hAnsi="Times New Roman"/>
          <w:sz w:val="21"/>
          <w:szCs w:val="21"/>
          <w:color w:val="auto"/>
          <w:vertAlign w:val="superscript"/>
        </w:rPr>
      </w:pPr>
    </w:p>
    <w:p>
      <w:pPr>
        <w:ind w:left="420" w:right="340" w:firstLine="8"/>
        <w:spacing w:after="0" w:line="212" w:lineRule="auto"/>
        <w:tabs>
          <w:tab w:leader="none" w:pos="593"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Company is solely responsible for the development and commercialization of Praluent in the United States and Sanofi is responsible for the development and commercialization of Praluent outside the United States.</w:t>
      </w:r>
    </w:p>
    <w:p>
      <w:pPr>
        <w:ind w:left="600" w:hanging="172"/>
        <w:spacing w:after="0" w:line="212" w:lineRule="auto"/>
        <w:tabs>
          <w:tab w:leader="none" w:pos="60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collaboration with Roche. Product is known as REGEN-COV in the United States and Ronapreve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in other countries.</w:t>
      </w:r>
    </w:p>
    <w:p>
      <w:pPr>
        <w:ind w:left="420" w:right="320" w:firstLine="8"/>
        <w:spacing w:after="0" w:line="202" w:lineRule="auto"/>
        <w:tabs>
          <w:tab w:leader="none" w:pos="574"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Company is solely responsible for the development and commercialization of Evkeeza in the United States and Ultragenyx is responsible for the development and commercialization of Evkeeza outside the United States.</w:t>
      </w:r>
    </w:p>
    <w:p>
      <w:pPr>
        <w:ind w:left="600" w:hanging="172"/>
        <w:spacing w:after="0" w:line="213" w:lineRule="auto"/>
        <w:tabs>
          <w:tab w:leader="none" w:pos="60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Kiniksa is solely responsible for the development and commercialization of ARCALYST.</w:t>
      </w:r>
    </w:p>
    <w:p>
      <w:pPr>
        <w:spacing w:after="0" w:line="23" w:lineRule="exact"/>
        <w:rPr>
          <w:rFonts w:ascii="Times New Roman" w:cs="Times New Roman" w:eastAsia="Times New Roman" w:hAnsi="Times New Roman"/>
          <w:sz w:val="22"/>
          <w:szCs w:val="22"/>
          <w:color w:val="auto"/>
          <w:vertAlign w:val="superscript"/>
        </w:rPr>
      </w:pPr>
    </w:p>
    <w:p>
      <w:pPr>
        <w:ind w:left="600" w:hanging="172"/>
        <w:spacing w:after="0" w:line="188" w:lineRule="auto"/>
        <w:tabs>
          <w:tab w:leader="none" w:pos="60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is solely responsible for the development and commercialization of ZALTRAP.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of Regeneron-discovered products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18"/>
        </w:trPr>
        <w:tc>
          <w:tcPr>
            <w:tcW w:w="2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21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9"/>
                <w:szCs w:val="19"/>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120" w:type="dxa"/>
            <w:vAlign w:val="bottom"/>
          </w:tcPr>
          <w:p>
            <w:pPr>
              <w:spacing w:after="0"/>
              <w:rPr>
                <w:sz w:val="19"/>
                <w:szCs w:val="19"/>
                <w:color w:val="auto"/>
              </w:rPr>
            </w:pPr>
          </w:p>
        </w:tc>
        <w:tc>
          <w:tcPr>
            <w:tcW w:w="84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ROW</w:t>
            </w:r>
            <w:r>
              <w:rPr>
                <w:rFonts w:ascii="Times New Roman" w:cs="Times New Roman" w:eastAsia="Times New Roman" w:hAnsi="Times New Roman"/>
                <w:sz w:val="22"/>
                <w:szCs w:val="22"/>
                <w:b w:val="1"/>
                <w:bCs w:val="1"/>
                <w:color w:val="auto"/>
                <w:vertAlign w:val="superscript"/>
              </w:rPr>
              <w:t>(g)</w:t>
            </w:r>
          </w:p>
        </w:tc>
        <w:tc>
          <w:tcPr>
            <w:tcW w:w="16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180" w:type="dxa"/>
            <w:vAlign w:val="bottom"/>
          </w:tcPr>
          <w:p>
            <w:pPr>
              <w:spacing w:after="0"/>
              <w:rPr>
                <w:sz w:val="19"/>
                <w:szCs w:val="19"/>
                <w:color w:val="auto"/>
              </w:rPr>
            </w:pP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ROW</w:t>
            </w:r>
          </w:p>
        </w:tc>
        <w:tc>
          <w:tcPr>
            <w:tcW w:w="180" w:type="dxa"/>
            <w:vAlign w:val="bottom"/>
          </w:tcPr>
          <w:p>
            <w:pPr>
              <w:spacing w:after="0"/>
              <w:rPr>
                <w:sz w:val="19"/>
                <w:szCs w:val="19"/>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266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2"/>
                <w:szCs w:val="22"/>
                <w:color w:val="auto"/>
                <w:vertAlign w:val="superscript"/>
              </w:rPr>
              <w:t>(a)</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6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2"/>
                <w:szCs w:val="22"/>
                <w:color w:val="auto"/>
                <w:vertAlign w:val="superscript"/>
              </w:rPr>
              <w:t>(a)</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3,450.9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9,243.2</w:t>
            </w:r>
          </w:p>
        </w:tc>
      </w:tr>
      <w:tr>
        <w:trPr>
          <w:trHeight w:val="218"/>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EYLEA HD and EYLEA</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9,243.2</w:t>
            </w:r>
          </w:p>
        </w:tc>
      </w:tr>
      <w:tr>
        <w:trPr>
          <w:trHeight w:val="225"/>
        </w:trPr>
        <w:tc>
          <w:tcPr>
            <w:tcW w:w="26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2"/>
                <w:szCs w:val="22"/>
                <w:color w:val="auto"/>
                <w:vertAlign w:val="superscript"/>
              </w:rPr>
              <w:t>(b)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6,198.3</w:t>
            </w:r>
          </w:p>
        </w:tc>
      </w:tr>
      <w:tr>
        <w:trPr>
          <w:trHeight w:val="225"/>
        </w:trPr>
        <w:tc>
          <w:tcPr>
            <w:tcW w:w="26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2"/>
                <w:szCs w:val="22"/>
                <w:color w:val="auto"/>
                <w:vertAlign w:val="superscript"/>
              </w:rPr>
              <w:t>(c)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w:t>
            </w:r>
          </w:p>
        </w:tc>
      </w:tr>
      <w:tr>
        <w:trPr>
          <w:trHeight w:val="225"/>
        </w:trPr>
        <w:tc>
          <w:tcPr>
            <w:tcW w:w="26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2"/>
                <w:szCs w:val="22"/>
                <w:color w:val="auto"/>
                <w:vertAlign w:val="superscript"/>
              </w:rPr>
              <w:t>(d)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r>
      <w:tr>
        <w:trPr>
          <w:trHeight w:val="225"/>
        </w:trPr>
        <w:tc>
          <w:tcPr>
            <w:tcW w:w="26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2"/>
                <w:szCs w:val="22"/>
                <w:color w:val="auto"/>
                <w:vertAlign w:val="superscript"/>
              </w:rPr>
              <w:t>(e)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7,573.9</w:t>
            </w:r>
          </w:p>
        </w:tc>
      </w:tr>
      <w:tr>
        <w:trPr>
          <w:trHeight w:val="225"/>
        </w:trPr>
        <w:tc>
          <w:tcPr>
            <w:tcW w:w="26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2"/>
                <w:szCs w:val="22"/>
                <w:color w:val="auto"/>
                <w:vertAlign w:val="superscript"/>
              </w:rPr>
              <w:t>(b)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25"/>
        </w:trPr>
        <w:tc>
          <w:tcPr>
            <w:tcW w:w="26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2"/>
                <w:szCs w:val="22"/>
                <w:color w:val="auto"/>
                <w:vertAlign w:val="superscript"/>
              </w:rPr>
              <w:t>(f)</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r>
    </w:tbl>
    <w:p>
      <w:pPr>
        <w:spacing w:after="0" w:line="92" w:lineRule="exact"/>
        <w:rPr>
          <w:sz w:val="20"/>
          <w:szCs w:val="20"/>
          <w:color w:val="auto"/>
        </w:rPr>
      </w:pPr>
    </w:p>
    <w:p>
      <w:pPr>
        <w:ind w:left="240" w:right="460" w:hanging="4"/>
        <w:spacing w:after="0" w:line="196" w:lineRule="auto"/>
        <w:tabs>
          <w:tab w:leader="none" w:pos="40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Regeneron records net product sales of EYLEA HD and EYLEA in the United States, and Bayer records net product sales outside the United States. The Company records its share of profits in connection with sales outside the United States.</w:t>
      </w:r>
    </w:p>
    <w:p>
      <w:pPr>
        <w:ind w:left="400" w:hanging="164"/>
        <w:spacing w:after="0" w:line="210" w:lineRule="auto"/>
        <w:tabs>
          <w:tab w:leader="none" w:pos="40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records global net product sales of Dupixent and Kevzara. The Company records its share of profits in connection with global sales of Dupixent and Kevzara.</w:t>
      </w:r>
    </w:p>
    <w:p>
      <w:pPr>
        <w:spacing w:after="0" w:line="23" w:lineRule="exact"/>
        <w:rPr>
          <w:rFonts w:ascii="Times New Roman" w:cs="Times New Roman" w:eastAsia="Times New Roman" w:hAnsi="Times New Roman"/>
          <w:sz w:val="21"/>
          <w:szCs w:val="21"/>
          <w:color w:val="auto"/>
          <w:vertAlign w:val="superscript"/>
        </w:rPr>
      </w:pPr>
    </w:p>
    <w:p>
      <w:pPr>
        <w:ind w:left="240" w:right="60" w:hanging="4"/>
        <w:spacing w:after="0" w:line="199" w:lineRule="auto"/>
        <w:tabs>
          <w:tab w:leader="none" w:pos="40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Prior to July 1, 2022, Regeneron recorded net product sales of Libtayo in the United States and Sanofi recorded net product sales of Libtayo outside the United States. The parties equally shared profits/losses in connection with global sales of Libtayo. Effective July 1, 2022, the Company began recording net product sales of Libtayo outside the United States and pays Sanofi a royalty on global sales. Refer to "Collaboration, License, and Other Agreements" section below for further details. Included in this line item for the years ended December 31, 2023 and 2022 is approximately $6 million and $34 million, respectively, of net product sales recorded by Sanofi in connection with sales in certain markets outside the United States (Sanofi recorded net product sales in such markets during a transition period until inventory on hand as of July 1, 2022 had been sold through to the end customers).</w:t>
      </w:r>
    </w:p>
    <w:p>
      <w:pPr>
        <w:spacing w:after="0" w:line="6" w:lineRule="exact"/>
        <w:rPr>
          <w:rFonts w:ascii="Times New Roman" w:cs="Times New Roman" w:eastAsia="Times New Roman" w:hAnsi="Times New Roman"/>
          <w:sz w:val="23"/>
          <w:szCs w:val="23"/>
          <w:color w:val="auto"/>
          <w:vertAlign w:val="superscript"/>
        </w:rPr>
      </w:pPr>
    </w:p>
    <w:p>
      <w:pPr>
        <w:ind w:left="240" w:right="420" w:hanging="4"/>
        <w:spacing w:after="0" w:line="206" w:lineRule="auto"/>
        <w:tabs>
          <w:tab w:leader="none" w:pos="413"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Regeneron records net product sales of Praluent in the United States. Sanofi records net product sales of Praluent outside the United States and pays the Company a royalty on such sales.</w:t>
      </w:r>
    </w:p>
    <w:p>
      <w:pPr>
        <w:spacing w:after="0" w:line="5" w:lineRule="exact"/>
        <w:rPr>
          <w:rFonts w:ascii="Times New Roman" w:cs="Times New Roman" w:eastAsia="Times New Roman" w:hAnsi="Times New Roman"/>
          <w:sz w:val="22"/>
          <w:szCs w:val="22"/>
          <w:color w:val="auto"/>
          <w:vertAlign w:val="superscript"/>
        </w:rPr>
      </w:pPr>
    </w:p>
    <w:p>
      <w:pPr>
        <w:ind w:left="240" w:right="80" w:hanging="4"/>
        <w:spacing w:after="0" w:line="196" w:lineRule="auto"/>
        <w:tabs>
          <w:tab w:leader="none" w:pos="40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Regeneron records net product sales of REGEN-COV in the United States and Roche records net product sales of Ronapreve outside the United States. The parties share gross profits from global sales of REGEN-COV and Ronapreve based on a pre-specified formula.</w:t>
      </w:r>
    </w:p>
    <w:p>
      <w:pPr>
        <w:spacing w:after="0" w:line="4" w:lineRule="exact"/>
        <w:rPr>
          <w:rFonts w:ascii="Times New Roman" w:cs="Times New Roman" w:eastAsia="Times New Roman" w:hAnsi="Times New Roman"/>
          <w:sz w:val="23"/>
          <w:szCs w:val="23"/>
          <w:color w:val="auto"/>
          <w:vertAlign w:val="superscript"/>
        </w:rPr>
      </w:pPr>
    </w:p>
    <w:p>
      <w:pPr>
        <w:ind w:left="240" w:right="60" w:hanging="4"/>
        <w:spacing w:after="0" w:line="199" w:lineRule="auto"/>
        <w:tabs>
          <w:tab w:leader="none" w:pos="394"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Included in this line item are products which are sold by the Company and others. Refer to Part II, Item 7. "Management's Discussion and Analysis of Financial Condition and Results of Operations - Results of Operations - Revenues" for a complete listing of net product sales recorded by the Company. Not included in this line item are net product sales of ARCALYST subsequent to the first quarter of 2021, which are recorded by Kiniksa.</w:t>
      </w:r>
    </w:p>
    <w:p>
      <w:pPr>
        <w:spacing w:after="0" w:line="1" w:lineRule="exact"/>
        <w:rPr>
          <w:rFonts w:ascii="Times New Roman" w:cs="Times New Roman" w:eastAsia="Times New Roman" w:hAnsi="Times New Roman"/>
          <w:sz w:val="23"/>
          <w:szCs w:val="23"/>
          <w:color w:val="auto"/>
          <w:vertAlign w:val="superscript"/>
        </w:rPr>
      </w:pPr>
    </w:p>
    <w:p>
      <w:pPr>
        <w:ind w:left="400" w:hanging="164"/>
        <w:spacing w:after="0" w:line="210" w:lineRule="auto"/>
        <w:tabs>
          <w:tab w:leader="none" w:pos="40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Rest of world ("ROW")</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Programs in Clinical Development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in clinical development, which are being developed by us and/or our collaborators, are summarized in the table below.</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Refer to Part 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line="218" w:lineRule="auto"/>
        <w:framePr w:w="160" w:h="157" w:wrap="auto" w:vAnchor="page" w:hAnchor="page" w:x="5860" w:y="11205"/>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w:t>
      </w:r>
    </w:p>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06" w:lineRule="exact"/>
        <w:rPr>
          <w:rFonts w:ascii="Times New Roman" w:cs="Times New Roman" w:eastAsia="Times New Roman" w:hAnsi="Times New Roman"/>
          <w:sz w:val="15"/>
          <w:szCs w:val="15"/>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6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2023 and 2024</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5"/>
        </w:trPr>
        <w:tc>
          <w:tcPr>
            <w:tcW w:w="1840" w:type="dxa"/>
            <w:vAlign w:val="bottom"/>
            <w:gridSpan w:val="2"/>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1200" w:type="dxa"/>
            <w:vAlign w:val="bottom"/>
            <w:gridSpan w:val="2"/>
          </w:tcPr>
          <w:p>
            <w:pPr>
              <w:jc w:val="center"/>
              <w:ind w:right="180"/>
              <w:spacing w:after="0" w:line="236" w:lineRule="exact"/>
              <w:rPr>
                <w:sz w:val="20"/>
                <w:szCs w:val="20"/>
                <w:color w:val="auto"/>
              </w:rPr>
            </w:pPr>
            <w:r>
              <w:rPr>
                <w:rFonts w:ascii="Times New Roman" w:cs="Times New Roman" w:eastAsia="Times New Roman" w:hAnsi="Times New Roman"/>
                <w:sz w:val="18"/>
                <w:szCs w:val="18"/>
                <w:b w:val="1"/>
                <w:bCs w:val="1"/>
                <w:color w:val="auto"/>
                <w:w w:val="94"/>
              </w:rPr>
              <w:t>Review</w:t>
            </w:r>
            <w:r>
              <w:rPr>
                <w:rFonts w:ascii="Times New Roman" w:cs="Times New Roman" w:eastAsia="Times New Roman" w:hAnsi="Times New Roman"/>
                <w:sz w:val="22"/>
                <w:szCs w:val="22"/>
                <w:b w:val="1"/>
                <w:bCs w:val="1"/>
                <w:color w:val="auto"/>
                <w:w w:val="94"/>
                <w:vertAlign w:val="superscript"/>
              </w:rPr>
              <w:t>(h)</w:t>
            </w:r>
          </w:p>
        </w:tc>
        <w:tc>
          <w:tcPr>
            <w:tcW w:w="19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73"/>
        </w:trPr>
        <w:tc>
          <w:tcPr>
            <w:tcW w:w="17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17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4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660" w:type="dxa"/>
            <w:vAlign w:val="bottom"/>
            <w:gridSpan w:val="3"/>
            <w:shd w:val="clear" w:color="auto" w:fill="ACACAC"/>
          </w:tcPr>
          <w:p>
            <w:pPr>
              <w:ind w:left="40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11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EYLEA HD</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–RVO</w:t>
            </w: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–Approved by U.S. Food</w:t>
            </w:r>
          </w:p>
        </w:tc>
        <w:tc>
          <w:tcPr>
            <w:tcW w:w="1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–Initiate Phase 3 study</w:t>
            </w:r>
          </w:p>
        </w:tc>
        <w:tc>
          <w:tcPr>
            <w:tcW w:w="0" w:type="dxa"/>
            <w:vAlign w:val="bottom"/>
          </w:tcPr>
          <w:p>
            <w:pPr>
              <w:spacing w:after="0"/>
              <w:rPr>
                <w:sz w:val="1"/>
                <w:szCs w:val="1"/>
                <w:color w:val="auto"/>
              </w:rPr>
            </w:pPr>
          </w:p>
        </w:tc>
      </w:tr>
      <w:tr>
        <w:trPr>
          <w:trHeight w:val="182"/>
        </w:trPr>
        <w:tc>
          <w:tcPr>
            <w:tcW w:w="184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(aflibercept) 8 mg</w:t>
            </w:r>
            <w:r>
              <w:rPr>
                <w:rFonts w:ascii="Times New Roman" w:cs="Times New Roman" w:eastAsia="Times New Roman" w:hAnsi="Times New Roman"/>
                <w:sz w:val="21"/>
                <w:szCs w:val="21"/>
                <w:b w:val="1"/>
                <w:bCs w:val="1"/>
                <w:color w:val="auto"/>
                <w:vertAlign w:val="superscript"/>
              </w:rPr>
              <w:t>(a)</w:t>
            </w: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and Drug Administration</w:t>
            </w:r>
          </w:p>
        </w:tc>
        <w:tc>
          <w:tcPr>
            <w:tcW w:w="18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in RVO (mid-2024) to</w:t>
            </w:r>
          </w:p>
        </w:tc>
        <w:tc>
          <w:tcPr>
            <w:tcW w:w="0" w:type="dxa"/>
            <w:vAlign w:val="bottom"/>
          </w:tcPr>
          <w:p>
            <w:pPr>
              <w:spacing w:after="0"/>
              <w:rPr>
                <w:sz w:val="1"/>
                <w:szCs w:val="1"/>
                <w:color w:val="auto"/>
              </w:rPr>
            </w:pPr>
          </w:p>
        </w:tc>
      </w:tr>
      <w:tr>
        <w:trPr>
          <w:trHeight w:val="172"/>
        </w:trPr>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("FDA") for wAMD,</w:t>
            </w:r>
          </w:p>
        </w:tc>
        <w:tc>
          <w:tcPr>
            <w:tcW w:w="18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enable FDA submission</w:t>
            </w: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DME, and DR</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European</w:t>
            </w: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Commission ("EC") and</w:t>
            </w: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Japan's Ministry of</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Health, Labour and</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Welfare ("MHLW") for</w:t>
            </w: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1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wAMD and DME</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positive two-</w:t>
            </w:r>
          </w:p>
        </w:tc>
        <w:tc>
          <w:tcPr>
            <w:tcW w:w="1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year data from Phase 3</w:t>
            </w: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studies in wAMD and</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DME</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EYLEA (aflibercept)</w:t>
            </w:r>
            <w:r>
              <w:rPr>
                <w:rFonts w:ascii="Times New Roman" w:cs="Times New Roman" w:eastAsia="Times New Roman" w:hAnsi="Times New Roman"/>
                <w:sz w:val="20"/>
                <w:szCs w:val="20"/>
                <w:b w:val="1"/>
                <w:bCs w:val="1"/>
                <w:color w:val="auto"/>
                <w:vertAlign w:val="superscript"/>
              </w:rPr>
              <w:t>(a)</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–Approved by FDA for</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2"/>
                <w:szCs w:val="22"/>
                <w:b w:val="1"/>
                <w:bCs w:val="1"/>
                <w:color w:val="auto"/>
                <w:vertAlign w:val="superscript"/>
              </w:rPr>
              <w:t>(f)</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ROP</w:t>
            </w:r>
          </w:p>
        </w:tc>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–Initiate Phase 3 study</w:t>
            </w:r>
          </w:p>
        </w:tc>
        <w:tc>
          <w:tcPr>
            <w:tcW w:w="0" w:type="dxa"/>
            <w:vAlign w:val="bottom"/>
          </w:tcPr>
          <w:p>
            <w:pPr>
              <w:spacing w:after="0"/>
              <w:rPr>
                <w:sz w:val="1"/>
                <w:szCs w:val="1"/>
                <w:color w:val="auto"/>
              </w:rPr>
            </w:pPr>
          </w:p>
        </w:tc>
      </w:tr>
      <w:tr>
        <w:trPr>
          <w:trHeight w:val="177"/>
        </w:trPr>
        <w:tc>
          <w:tcPr>
            <w:tcW w:w="1840" w:type="dxa"/>
            <w:vAlign w:val="bottom"/>
            <w:gridSpan w:val="2"/>
            <w:vMerge w:val="continue"/>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(REGN3918)</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in combination with</w:t>
            </w:r>
          </w:p>
        </w:tc>
        <w:tc>
          <w:tcPr>
            <w:tcW w:w="0" w:type="dxa"/>
            <w:vAlign w:val="bottom"/>
          </w:tcPr>
          <w:p>
            <w:pPr>
              <w:spacing w:after="0"/>
              <w:rPr>
                <w:sz w:val="1"/>
                <w:szCs w:val="1"/>
                <w:color w:val="auto"/>
              </w:rPr>
            </w:pPr>
          </w:p>
        </w:tc>
      </w:tr>
      <w:tr>
        <w:trPr>
          <w:trHeight w:val="187"/>
        </w:trPr>
        <w:tc>
          <w:tcPr>
            <w:tcW w:w="184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i w:val="1"/>
                <w:iCs w:val="1"/>
                <w:color w:val="auto"/>
              </w:rPr>
              <w:t>Antibody to C5</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cemdisiran in</w:t>
            </w: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12065</wp:posOffset>
            </wp:positionH>
            <wp:positionV relativeFrom="paragraph">
              <wp:posOffset>-345440</wp:posOffset>
            </wp:positionV>
            <wp:extent cx="7126605" cy="5975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6605" cy="597535"/>
                    </a:xfrm>
                    <a:prstGeom prst="rect">
                      <a:avLst/>
                    </a:prstGeom>
                    <a:noFill/>
                  </pic:spPr>
                </pic:pic>
              </a:graphicData>
            </a:graphic>
          </wp:anchor>
        </w:drawing>
      </w:r>
    </w:p>
    <w:p>
      <w:pPr>
        <w:ind w:left="9440"/>
        <w:spacing w:after="0" w:line="215" w:lineRule="auto"/>
        <w:rPr>
          <w:sz w:val="20"/>
          <w:szCs w:val="20"/>
          <w:color w:val="auto"/>
        </w:rPr>
      </w:pPr>
      <w:r>
        <w:rPr>
          <w:rFonts w:ascii="Times New Roman" w:cs="Times New Roman" w:eastAsia="Times New Roman" w:hAnsi="Times New Roman"/>
          <w:sz w:val="18"/>
          <w:szCs w:val="18"/>
          <w:color w:val="auto"/>
        </w:rPr>
        <w:t>geographic atrophy</w:t>
      </w:r>
    </w:p>
    <w:p>
      <w:pPr>
        <w:ind w:left="9440"/>
        <w:spacing w:after="0"/>
        <w:rPr>
          <w:sz w:val="20"/>
          <w:szCs w:val="20"/>
          <w:color w:val="auto"/>
        </w:rPr>
      </w:pPr>
      <w:r>
        <w:rPr>
          <w:rFonts w:ascii="Times New Roman" w:cs="Times New Roman" w:eastAsia="Times New Roman" w:hAnsi="Times New Roman"/>
          <w:sz w:val="18"/>
          <w:szCs w:val="18"/>
          <w:color w:val="auto"/>
        </w:rPr>
        <w:t>(second half 2024)</w:t>
      </w:r>
    </w:p>
    <w:p>
      <w:pPr>
        <w:spacing w:after="0" w:line="49"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Immunology &amp; Inflammation</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12065</wp:posOffset>
            </wp:positionH>
            <wp:positionV relativeFrom="paragraph">
              <wp:posOffset>-126365</wp:posOffset>
            </wp:positionV>
            <wp:extent cx="7126605" cy="142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6605" cy="14287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8" w:lineRule="exact"/>
        <w:rPr>
          <w:rFonts w:ascii="Times New Roman" w:cs="Times New Roman" w:eastAsia="Times New Roman" w:hAnsi="Times New Roman"/>
          <w:sz w:val="15"/>
          <w:szCs w:val="15"/>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Dupixent (dupilumab)</w:t>
      </w:r>
    </w:p>
    <w:p>
      <w:pPr>
        <w:ind w:left="40"/>
        <w:spacing w:after="0"/>
        <w:rPr>
          <w:sz w:val="20"/>
          <w:szCs w:val="20"/>
          <w:color w:val="auto"/>
        </w:rPr>
      </w:pPr>
      <w:r>
        <w:rPr>
          <w:rFonts w:ascii="Times New Roman" w:cs="Times New Roman" w:eastAsia="Times New Roman" w:hAnsi="Times New Roman"/>
          <w:sz w:val="11"/>
          <w:szCs w:val="11"/>
          <w:b w:val="1"/>
          <w:bCs w:val="1"/>
          <w:color w:val="auto"/>
        </w:rPr>
        <w:t>(b)</w:t>
      </w:r>
    </w:p>
    <w:p>
      <w:pPr>
        <w:spacing w:after="0" w:line="22" w:lineRule="exact"/>
        <w:rPr>
          <w:rFonts w:ascii="Times New Roman" w:cs="Times New Roman" w:eastAsia="Times New Roman" w:hAnsi="Times New Roman"/>
          <w:sz w:val="15"/>
          <w:szCs w:val="15"/>
          <w:color w:val="auto"/>
        </w:rPr>
      </w:pPr>
    </w:p>
    <w:p>
      <w:pPr>
        <w:ind w:left="40" w:right="660"/>
        <w:spacing w:after="0" w:line="245" w:lineRule="auto"/>
        <w:rPr>
          <w:sz w:val="20"/>
          <w:szCs w:val="20"/>
          <w:color w:val="auto"/>
        </w:rPr>
      </w:pPr>
      <w:r>
        <w:rPr>
          <w:rFonts w:ascii="Times New Roman" w:cs="Times New Roman" w:eastAsia="Times New Roman" w:hAnsi="Times New Roman"/>
          <w:sz w:val="18"/>
          <w:szCs w:val="18"/>
          <w:i w:val="1"/>
          <w:iCs w:val="1"/>
          <w:color w:val="auto"/>
        </w:rPr>
        <w:t>Antibody to IL-4R alpha subunit</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br w:type="column"/>
      </w:r>
    </w:p>
    <w:p>
      <w:pPr>
        <w:spacing w:after="0" w:line="53"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7"/>
          <w:szCs w:val="17"/>
          <w:color w:val="auto"/>
        </w:rPr>
        <w:t>–Ulcerative colitis</w:t>
      </w:r>
    </w:p>
    <w:p>
      <w:pPr>
        <w:spacing w:after="0" w:line="214"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8"/>
          <w:szCs w:val="18"/>
          <w:color w:val="auto"/>
        </w:rPr>
        <w:t>–Eosinophilic</w:t>
      </w:r>
    </w:p>
    <w:p>
      <w:pPr>
        <w:spacing w:after="0" w:line="199" w:lineRule="auto"/>
        <w:rPr>
          <w:sz w:val="20"/>
          <w:szCs w:val="20"/>
          <w:color w:val="auto"/>
        </w:rPr>
      </w:pPr>
      <w:r>
        <w:rPr>
          <w:rFonts w:ascii="Times New Roman" w:cs="Times New Roman" w:eastAsia="Times New Roman" w:hAnsi="Times New Roman"/>
          <w:sz w:val="18"/>
          <w:szCs w:val="18"/>
          <w:color w:val="auto"/>
        </w:rPr>
        <w:t>gastroenteritis</w:t>
      </w:r>
    </w:p>
    <w:p>
      <w:pPr>
        <w:spacing w:after="0" w:line="1" w:lineRule="exact"/>
        <w:rPr>
          <w:rFonts w:ascii="Times New Roman" w:cs="Times New Roman" w:eastAsia="Times New Roman" w:hAnsi="Times New Roman"/>
          <w:sz w:val="15"/>
          <w:szCs w:val="15"/>
          <w:color w:val="auto"/>
        </w:rPr>
      </w:pPr>
    </w:p>
    <w:p>
      <w:pPr>
        <w:spacing w:after="0"/>
        <w:rPr>
          <w:sz w:val="20"/>
          <w:szCs w:val="20"/>
          <w:color w:val="auto"/>
        </w:rPr>
      </w:pPr>
      <w:r>
        <w:rPr>
          <w:rFonts w:ascii="Times New Roman" w:cs="Times New Roman" w:eastAsia="Times New Roman" w:hAnsi="Times New Roman"/>
          <w:sz w:val="18"/>
          <w:szCs w:val="18"/>
          <w:color w:val="auto"/>
        </w:rPr>
        <w:t>(Phase 2/3)</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br w:type="column"/>
      </w:r>
    </w:p>
    <w:p>
      <w:pPr>
        <w:spacing w:after="0" w:line="32" w:lineRule="exact"/>
        <w:rPr>
          <w:rFonts w:ascii="Times New Roman" w:cs="Times New Roman" w:eastAsia="Times New Roman" w:hAnsi="Times New Roman"/>
          <w:sz w:val="15"/>
          <w:szCs w:val="15"/>
          <w:color w:val="auto"/>
        </w:rPr>
      </w:pP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–Chronic</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–EoE in</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by EC for</w:t>
            </w:r>
          </w:p>
        </w:tc>
        <w:tc>
          <w:tcPr>
            <w:tcW w:w="1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77"/>
        </w:trPr>
        <w:tc>
          <w:tcPr>
            <w:tcW w:w="15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obstructive</w:t>
            </w:r>
          </w:p>
        </w:tc>
        <w:tc>
          <w:tcPr>
            <w:tcW w:w="128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pediatrics (1–11</w:t>
            </w:r>
          </w:p>
        </w:tc>
        <w:tc>
          <w:tcPr>
            <w:tcW w:w="188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atopic dermatitis in</w:t>
            </w:r>
          </w:p>
        </w:tc>
        <w:tc>
          <w:tcPr>
            <w:tcW w:w="182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172"/>
        </w:trPr>
        <w:tc>
          <w:tcPr>
            <w:tcW w:w="150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pulmonary disease</w:t>
            </w:r>
          </w:p>
        </w:tc>
        <w:tc>
          <w:tcPr>
            <w:tcW w:w="1280" w:type="dxa"/>
            <w:vAlign w:val="bottom"/>
          </w:tcPr>
          <w:p>
            <w:pPr>
              <w:ind w:left="60"/>
              <w:spacing w:after="0" w:line="172" w:lineRule="exact"/>
              <w:rPr>
                <w:sz w:val="20"/>
                <w:szCs w:val="20"/>
                <w:color w:val="auto"/>
              </w:rPr>
            </w:pPr>
            <w:r>
              <w:rPr>
                <w:rFonts w:ascii="Times New Roman" w:cs="Times New Roman" w:eastAsia="Times New Roman" w:hAnsi="Times New Roman"/>
                <w:sz w:val="18"/>
                <w:szCs w:val="18"/>
                <w:color w:val="auto"/>
              </w:rPr>
              <w:t>years of age)</w:t>
            </w:r>
          </w:p>
        </w:tc>
        <w:tc>
          <w:tcPr>
            <w:tcW w:w="1880" w:type="dxa"/>
            <w:vAlign w:val="bottom"/>
          </w:tcPr>
          <w:p>
            <w:pPr>
              <w:ind w:left="80"/>
              <w:spacing w:after="0" w:line="172" w:lineRule="exact"/>
              <w:rPr>
                <w:sz w:val="20"/>
                <w:szCs w:val="20"/>
                <w:color w:val="auto"/>
              </w:rPr>
            </w:pPr>
            <w:r>
              <w:rPr>
                <w:rFonts w:ascii="Times New Roman" w:cs="Times New Roman" w:eastAsia="Times New Roman" w:hAnsi="Times New Roman"/>
                <w:sz w:val="18"/>
                <w:szCs w:val="18"/>
                <w:color w:val="auto"/>
              </w:rPr>
              <w:t>pediatrics (6 months–5</w:t>
            </w:r>
          </w:p>
        </w:tc>
        <w:tc>
          <w:tcPr>
            <w:tcW w:w="182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for EoE in pediatrics</w:t>
            </w:r>
          </w:p>
        </w:tc>
        <w:tc>
          <w:tcPr>
            <w:tcW w:w="0" w:type="dxa"/>
            <w:vAlign w:val="bottom"/>
          </w:tcPr>
          <w:p>
            <w:pPr>
              <w:spacing w:after="0"/>
              <w:rPr>
                <w:sz w:val="1"/>
                <w:szCs w:val="1"/>
                <w:color w:val="auto"/>
              </w:rPr>
            </w:pPr>
          </w:p>
        </w:tc>
      </w:tr>
      <w:tr>
        <w:trPr>
          <w:trHeight w:val="3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("COPD")</w:t>
            </w:r>
            <w:r>
              <w:rPr>
                <w:rFonts w:ascii="Times New Roman" w:cs="Times New Roman" w:eastAsia="Times New Roman" w:hAnsi="Times New Roman"/>
                <w:sz w:val="22"/>
                <w:szCs w:val="22"/>
                <w:color w:val="auto"/>
                <w:vertAlign w:val="superscript"/>
              </w:rPr>
              <w:t>(d)</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(EU)</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years of age)</w:t>
            </w:r>
          </w:p>
        </w:tc>
        <w:tc>
          <w:tcPr>
            <w:tcW w:w="1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(second half 2024)</w:t>
            </w:r>
          </w:p>
        </w:tc>
        <w:tc>
          <w:tcPr>
            <w:tcW w:w="0" w:type="dxa"/>
            <w:vAlign w:val="bottom"/>
          </w:tcPr>
          <w:p>
            <w:pPr>
              <w:spacing w:after="0"/>
              <w:rPr>
                <w:sz w:val="1"/>
                <w:szCs w:val="1"/>
                <w:color w:val="auto"/>
              </w:rPr>
            </w:pPr>
          </w:p>
        </w:tc>
      </w:tr>
      <w:tr>
        <w:trPr>
          <w:trHeight w:val="29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–Bullous</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–COPD with</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by MHLW</w:t>
            </w:r>
          </w:p>
        </w:tc>
        <w:tc>
          <w:tcPr>
            <w:tcW w:w="1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–FDA decision on</w:t>
            </w:r>
          </w:p>
        </w:tc>
        <w:tc>
          <w:tcPr>
            <w:tcW w:w="0" w:type="dxa"/>
            <w:vAlign w:val="bottom"/>
          </w:tcPr>
          <w:p>
            <w:pPr>
              <w:spacing w:after="0"/>
              <w:rPr>
                <w:sz w:val="1"/>
                <w:szCs w:val="1"/>
                <w:color w:val="auto"/>
              </w:rPr>
            </w:pPr>
          </w:p>
        </w:tc>
      </w:tr>
      <w:tr>
        <w:trPr>
          <w:trHeight w:val="172"/>
        </w:trPr>
        <w:tc>
          <w:tcPr>
            <w:tcW w:w="1500" w:type="dxa"/>
            <w:vAlign w:val="bottom"/>
          </w:tcPr>
          <w:p>
            <w:pPr>
              <w:spacing w:after="0" w:line="173" w:lineRule="exact"/>
              <w:rPr>
                <w:sz w:val="20"/>
                <w:szCs w:val="20"/>
                <w:color w:val="auto"/>
              </w:rPr>
            </w:pPr>
            <w:r>
              <w:rPr>
                <w:rFonts w:ascii="Times New Roman" w:cs="Times New Roman" w:eastAsia="Times New Roman" w:hAnsi="Times New Roman"/>
                <w:sz w:val="15"/>
                <w:szCs w:val="15"/>
                <w:color w:val="auto"/>
              </w:rPr>
              <w:t>pemphigoid</w:t>
            </w:r>
            <w:r>
              <w:rPr>
                <w:rFonts w:ascii="Times New Roman" w:cs="Times New Roman" w:eastAsia="Times New Roman" w:hAnsi="Times New Roman"/>
                <w:sz w:val="19"/>
                <w:szCs w:val="19"/>
                <w:color w:val="auto"/>
                <w:vertAlign w:val="superscript"/>
              </w:rPr>
              <w:t>(c)</w:t>
            </w:r>
          </w:p>
        </w:tc>
        <w:tc>
          <w:tcPr>
            <w:tcW w:w="1280" w:type="dxa"/>
            <w:vAlign w:val="bottom"/>
          </w:tcPr>
          <w:p>
            <w:pPr>
              <w:ind w:left="60"/>
              <w:spacing w:after="0" w:line="172" w:lineRule="exact"/>
              <w:rPr>
                <w:sz w:val="20"/>
                <w:szCs w:val="20"/>
                <w:color w:val="auto"/>
              </w:rPr>
            </w:pPr>
            <w:r>
              <w:rPr>
                <w:rFonts w:ascii="Times New Roman" w:cs="Times New Roman" w:eastAsia="Times New Roman" w:hAnsi="Times New Roman"/>
                <w:sz w:val="18"/>
                <w:szCs w:val="18"/>
                <w:color w:val="auto"/>
              </w:rPr>
              <w:t>type 2</w:t>
            </w:r>
          </w:p>
        </w:tc>
        <w:tc>
          <w:tcPr>
            <w:tcW w:w="1880" w:type="dxa"/>
            <w:vAlign w:val="bottom"/>
          </w:tcPr>
          <w:p>
            <w:pPr>
              <w:ind w:left="80"/>
              <w:spacing w:after="0" w:line="172" w:lineRule="exact"/>
              <w:rPr>
                <w:sz w:val="20"/>
                <w:szCs w:val="20"/>
                <w:color w:val="auto"/>
              </w:rPr>
            </w:pPr>
            <w:r>
              <w:rPr>
                <w:rFonts w:ascii="Times New Roman" w:cs="Times New Roman" w:eastAsia="Times New Roman" w:hAnsi="Times New Roman"/>
                <w:sz w:val="18"/>
                <w:szCs w:val="18"/>
                <w:color w:val="auto"/>
              </w:rPr>
              <w:t>for atopic dermatitis in</w:t>
            </w:r>
          </w:p>
        </w:tc>
        <w:tc>
          <w:tcPr>
            <w:tcW w:w="182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w w:val="99"/>
              </w:rPr>
              <w:t>supplemental Biologics</w:t>
            </w: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12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inflammatory</w:t>
            </w:r>
          </w:p>
        </w:tc>
        <w:tc>
          <w:tcPr>
            <w:tcW w:w="18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pediatrics and</w:t>
            </w:r>
          </w:p>
        </w:tc>
        <w:tc>
          <w:tcPr>
            <w:tcW w:w="182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License Application</w:t>
            </w:r>
          </w:p>
        </w:tc>
        <w:tc>
          <w:tcPr>
            <w:tcW w:w="0" w:type="dxa"/>
            <w:vAlign w:val="bottom"/>
          </w:tcPr>
          <w:p>
            <w:pPr>
              <w:spacing w:after="0"/>
              <w:rPr>
                <w:sz w:val="1"/>
                <w:szCs w:val="1"/>
                <w:color w:val="auto"/>
              </w:rPr>
            </w:pPr>
          </w:p>
        </w:tc>
      </w:tr>
      <w:tr>
        <w:trPr>
          <w:trHeight w:val="192"/>
        </w:trPr>
        <w:tc>
          <w:tcPr>
            <w:tcW w:w="15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–Chronic</w:t>
            </w:r>
          </w:p>
        </w:tc>
        <w:tc>
          <w:tcPr>
            <w:tcW w:w="1280" w:type="dxa"/>
            <w:vAlign w:val="bottom"/>
          </w:tcPr>
          <w:p>
            <w:pPr>
              <w:ind w:left="60"/>
              <w:spacing w:after="0" w:line="192" w:lineRule="exact"/>
              <w:rPr>
                <w:sz w:val="20"/>
                <w:szCs w:val="20"/>
                <w:color w:val="auto"/>
              </w:rPr>
            </w:pPr>
            <w:r>
              <w:rPr>
                <w:rFonts w:ascii="Times New Roman" w:cs="Times New Roman" w:eastAsia="Times New Roman" w:hAnsi="Times New Roman"/>
                <w:sz w:val="18"/>
                <w:szCs w:val="18"/>
                <w:color w:val="auto"/>
              </w:rPr>
              <w:t>phenotype (U.S.</w:t>
            </w:r>
          </w:p>
        </w:tc>
        <w:tc>
          <w:tcPr>
            <w:tcW w:w="1880" w:type="dxa"/>
            <w:vAlign w:val="bottom"/>
          </w:tcPr>
          <w:p>
            <w:pPr>
              <w:ind w:left="80"/>
              <w:spacing w:after="0" w:line="192" w:lineRule="exact"/>
              <w:rPr>
                <w:sz w:val="20"/>
                <w:szCs w:val="20"/>
                <w:color w:val="auto"/>
              </w:rPr>
            </w:pPr>
            <w:r>
              <w:rPr>
                <w:rFonts w:ascii="Times New Roman" w:cs="Times New Roman" w:eastAsia="Times New Roman" w:hAnsi="Times New Roman"/>
                <w:sz w:val="18"/>
                <w:szCs w:val="18"/>
                <w:color w:val="auto"/>
              </w:rPr>
              <w:t>adolescents (6 months–</w:t>
            </w:r>
          </w:p>
        </w:tc>
        <w:tc>
          <w:tcPr>
            <w:tcW w:w="1820" w:type="dxa"/>
            <w:vAlign w:val="bottom"/>
          </w:tcPr>
          <w:p>
            <w:pPr>
              <w:ind w:left="120"/>
              <w:spacing w:after="0" w:line="192" w:lineRule="exact"/>
              <w:rPr>
                <w:sz w:val="20"/>
                <w:szCs w:val="20"/>
                <w:color w:val="auto"/>
              </w:rPr>
            </w:pPr>
            <w:r>
              <w:rPr>
                <w:rFonts w:ascii="Times New Roman" w:cs="Times New Roman" w:eastAsia="Times New Roman" w:hAnsi="Times New Roman"/>
                <w:sz w:val="18"/>
                <w:szCs w:val="18"/>
                <w:color w:val="auto"/>
              </w:rPr>
              <w:t>("sBLA") (mid/second</w:t>
            </w:r>
          </w:p>
        </w:tc>
        <w:tc>
          <w:tcPr>
            <w:tcW w:w="0" w:type="dxa"/>
            <w:vAlign w:val="bottom"/>
          </w:tcPr>
          <w:p>
            <w:pPr>
              <w:spacing w:after="0"/>
              <w:rPr>
                <w:sz w:val="1"/>
                <w:szCs w:val="1"/>
                <w:color w:val="auto"/>
              </w:rPr>
            </w:pPr>
          </w:p>
        </w:tc>
      </w:tr>
      <w:tr>
        <w:trPr>
          <w:trHeight w:val="157"/>
        </w:trPr>
        <w:tc>
          <w:tcPr>
            <w:tcW w:w="1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spontaneous</w:t>
            </w:r>
          </w:p>
        </w:tc>
        <w:tc>
          <w:tcPr>
            <w:tcW w:w="1280" w:type="dxa"/>
            <w:vAlign w:val="bottom"/>
          </w:tcPr>
          <w:p>
            <w:pPr>
              <w:ind w:left="60"/>
              <w:spacing w:after="0" w:line="157" w:lineRule="exact"/>
              <w:rPr>
                <w:sz w:val="20"/>
                <w:szCs w:val="20"/>
                <w:color w:val="auto"/>
              </w:rPr>
            </w:pPr>
            <w:r>
              <w:rPr>
                <w:rFonts w:ascii="Times New Roman" w:cs="Times New Roman" w:eastAsia="Times New Roman" w:hAnsi="Times New Roman"/>
                <w:sz w:val="18"/>
                <w:szCs w:val="18"/>
                <w:color w:val="auto"/>
              </w:rPr>
              <w:t>and EU)</w:t>
            </w:r>
          </w:p>
        </w:tc>
        <w:tc>
          <w:tcPr>
            <w:tcW w:w="1880" w:type="dxa"/>
            <w:vAlign w:val="bottom"/>
          </w:tcPr>
          <w:p>
            <w:pPr>
              <w:ind w:left="80"/>
              <w:spacing w:after="0" w:line="157" w:lineRule="exact"/>
              <w:rPr>
                <w:sz w:val="20"/>
                <w:szCs w:val="20"/>
                <w:color w:val="auto"/>
              </w:rPr>
            </w:pPr>
            <w:r>
              <w:rPr>
                <w:rFonts w:ascii="Times New Roman" w:cs="Times New Roman" w:eastAsia="Times New Roman" w:hAnsi="Times New Roman"/>
                <w:sz w:val="18"/>
                <w:szCs w:val="18"/>
                <w:color w:val="auto"/>
              </w:rPr>
              <w:t>14 years of age)</w:t>
            </w:r>
          </w:p>
        </w:tc>
        <w:tc>
          <w:tcPr>
            <w:tcW w:w="1820" w:type="dxa"/>
            <w:vAlign w:val="bottom"/>
          </w:tcPr>
          <w:p>
            <w:pPr>
              <w:ind w:left="120"/>
              <w:spacing w:after="0" w:line="157" w:lineRule="exact"/>
              <w:rPr>
                <w:sz w:val="20"/>
                <w:szCs w:val="20"/>
                <w:color w:val="auto"/>
              </w:rPr>
            </w:pPr>
            <w:r>
              <w:rPr>
                <w:rFonts w:ascii="Times New Roman" w:cs="Times New Roman" w:eastAsia="Times New Roman" w:hAnsi="Times New Roman"/>
                <w:sz w:val="18"/>
                <w:szCs w:val="18"/>
                <w:color w:val="auto"/>
              </w:rPr>
              <w:t>half 2024) and EC</w:t>
            </w:r>
          </w:p>
        </w:tc>
        <w:tc>
          <w:tcPr>
            <w:tcW w:w="0" w:type="dxa"/>
            <w:vAlign w:val="bottom"/>
          </w:tcPr>
          <w:p>
            <w:pPr>
              <w:spacing w:after="0"/>
              <w:rPr>
                <w:sz w:val="1"/>
                <w:szCs w:val="1"/>
                <w:color w:val="auto"/>
              </w:rPr>
            </w:pPr>
          </w:p>
        </w:tc>
      </w:tr>
      <w:tr>
        <w:trPr>
          <w:trHeight w:val="66"/>
        </w:trPr>
        <w:tc>
          <w:tcPr>
            <w:tcW w:w="150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20" w:type="dxa"/>
            <w:vAlign w:val="bottom"/>
            <w:vMerge w:val="restart"/>
          </w:tcPr>
          <w:p>
            <w:pPr>
              <w:ind w:left="120"/>
              <w:spacing w:after="0" w:line="181" w:lineRule="exact"/>
              <w:rPr>
                <w:sz w:val="20"/>
                <w:szCs w:val="20"/>
                <w:color w:val="auto"/>
              </w:rPr>
            </w:pPr>
            <w:r>
              <w:rPr>
                <w:rFonts w:ascii="Times New Roman" w:cs="Times New Roman" w:eastAsia="Times New Roman" w:hAnsi="Times New Roman"/>
                <w:sz w:val="18"/>
                <w:szCs w:val="18"/>
                <w:color w:val="auto"/>
              </w:rPr>
              <w:t>decision on regulatory</w:t>
            </w:r>
          </w:p>
        </w:tc>
        <w:tc>
          <w:tcPr>
            <w:tcW w:w="0" w:type="dxa"/>
            <w:vAlign w:val="bottom"/>
          </w:tcPr>
          <w:p>
            <w:pPr>
              <w:spacing w:after="0"/>
              <w:rPr>
                <w:sz w:val="1"/>
                <w:szCs w:val="1"/>
                <w:color w:val="auto"/>
              </w:rPr>
            </w:pPr>
          </w:p>
        </w:tc>
      </w:tr>
      <w:tr>
        <w:trPr>
          <w:trHeight w:val="114"/>
        </w:trPr>
        <w:tc>
          <w:tcPr>
            <w:tcW w:w="1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urticaria ("CSU")</w:t>
            </w:r>
          </w:p>
        </w:tc>
        <w:tc>
          <w:tcPr>
            <w:tcW w:w="12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50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–CSU in adults</w:t>
            </w:r>
          </w:p>
        </w:tc>
        <w:tc>
          <w:tcPr>
            <w:tcW w:w="1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–Approved by FDA for</w:t>
            </w:r>
          </w:p>
        </w:tc>
        <w:tc>
          <w:tcPr>
            <w:tcW w:w="1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6"/>
              </w:rPr>
              <w:t>submission (second half</w:t>
            </w:r>
          </w:p>
        </w:tc>
        <w:tc>
          <w:tcPr>
            <w:tcW w:w="0" w:type="dxa"/>
            <w:vAlign w:val="bottom"/>
          </w:tcPr>
          <w:p>
            <w:pPr>
              <w:spacing w:after="0"/>
              <w:rPr>
                <w:sz w:val="1"/>
                <w:szCs w:val="1"/>
                <w:color w:val="auto"/>
              </w:rPr>
            </w:pPr>
          </w:p>
        </w:tc>
      </w:tr>
      <w:tr>
        <w:trPr>
          <w:trHeight w:val="113"/>
        </w:trPr>
        <w:tc>
          <w:tcPr>
            <w:tcW w:w="15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1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–Chronic pruritus of</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and adolescents</w:t>
            </w:r>
          </w:p>
        </w:tc>
        <w:tc>
          <w:tcPr>
            <w:tcW w:w="1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EoE in pediatrics (1–11</w:t>
            </w:r>
          </w:p>
        </w:tc>
        <w:tc>
          <w:tcPr>
            <w:tcW w:w="1820" w:type="dxa"/>
            <w:vAlign w:val="bottom"/>
          </w:tcPr>
          <w:p>
            <w:pPr>
              <w:ind w:left="120"/>
              <w:spacing w:after="0" w:line="119" w:lineRule="exact"/>
              <w:rPr>
                <w:sz w:val="20"/>
                <w:szCs w:val="20"/>
                <w:color w:val="auto"/>
              </w:rPr>
            </w:pPr>
            <w:r>
              <w:rPr>
                <w:rFonts w:ascii="Times New Roman" w:cs="Times New Roman" w:eastAsia="Times New Roman" w:hAnsi="Times New Roman"/>
                <w:sz w:val="13"/>
                <w:szCs w:val="13"/>
                <w:color w:val="auto"/>
              </w:rPr>
              <w:t>2024) for COPD with</w:t>
            </w:r>
          </w:p>
        </w:tc>
        <w:tc>
          <w:tcPr>
            <w:tcW w:w="0" w:type="dxa"/>
            <w:vAlign w:val="bottom"/>
          </w:tcPr>
          <w:p>
            <w:pPr>
              <w:spacing w:after="0"/>
              <w:rPr>
                <w:sz w:val="1"/>
                <w:szCs w:val="1"/>
                <w:color w:val="auto"/>
              </w:rPr>
            </w:pPr>
          </w:p>
        </w:tc>
      </w:tr>
      <w:tr>
        <w:trPr>
          <w:trHeight w:val="172"/>
        </w:trPr>
        <w:tc>
          <w:tcPr>
            <w:tcW w:w="15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880" w:type="dxa"/>
            <w:vAlign w:val="bottom"/>
            <w:vMerge w:val="continue"/>
          </w:tcPr>
          <w:p>
            <w:pPr>
              <w:spacing w:after="0"/>
              <w:rPr>
                <w:sz w:val="14"/>
                <w:szCs w:val="14"/>
                <w:color w:val="auto"/>
              </w:rPr>
            </w:pPr>
          </w:p>
        </w:tc>
        <w:tc>
          <w:tcPr>
            <w:tcW w:w="182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type 2 inflammatory</w:t>
            </w:r>
          </w:p>
        </w:tc>
        <w:tc>
          <w:tcPr>
            <w:tcW w:w="0" w:type="dxa"/>
            <w:vAlign w:val="bottom"/>
          </w:tcPr>
          <w:p>
            <w:pPr>
              <w:spacing w:after="0"/>
              <w:rPr>
                <w:sz w:val="1"/>
                <w:szCs w:val="1"/>
                <w:color w:val="auto"/>
              </w:rPr>
            </w:pPr>
          </w:p>
        </w:tc>
      </w:tr>
      <w:tr>
        <w:trPr>
          <w:trHeight w:val="186"/>
        </w:trPr>
        <w:tc>
          <w:tcPr>
            <w:tcW w:w="1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unknown origin</w:t>
            </w:r>
          </w:p>
        </w:tc>
        <w:tc>
          <w:tcPr>
            <w:tcW w:w="1280" w:type="dxa"/>
            <w:vAlign w:val="bottom"/>
          </w:tcPr>
          <w:p>
            <w:pPr>
              <w:ind w:left="60"/>
              <w:spacing w:after="0" w:line="186" w:lineRule="exact"/>
              <w:rPr>
                <w:sz w:val="20"/>
                <w:szCs w:val="20"/>
                <w:color w:val="auto"/>
              </w:rPr>
            </w:pPr>
            <w:r>
              <w:rPr>
                <w:rFonts w:ascii="Times New Roman" w:cs="Times New Roman" w:eastAsia="Times New Roman" w:hAnsi="Times New Roman"/>
                <w:sz w:val="18"/>
                <w:szCs w:val="18"/>
                <w:color w:val="auto"/>
              </w:rPr>
              <w:t>(Japan)</w:t>
            </w:r>
          </w:p>
        </w:tc>
        <w:tc>
          <w:tcPr>
            <w:tcW w:w="1880" w:type="dxa"/>
            <w:vAlign w:val="bottom"/>
          </w:tcPr>
          <w:p>
            <w:pPr>
              <w:ind w:left="80"/>
              <w:spacing w:after="0" w:line="186" w:lineRule="exact"/>
              <w:rPr>
                <w:sz w:val="20"/>
                <w:szCs w:val="20"/>
                <w:color w:val="auto"/>
              </w:rPr>
            </w:pPr>
            <w:r>
              <w:rPr>
                <w:rFonts w:ascii="Times New Roman" w:cs="Times New Roman" w:eastAsia="Times New Roman" w:hAnsi="Times New Roman"/>
                <w:sz w:val="18"/>
                <w:szCs w:val="18"/>
                <w:color w:val="auto"/>
              </w:rPr>
              <w:t>years of age)</w:t>
            </w:r>
          </w:p>
        </w:tc>
        <w:tc>
          <w:tcPr>
            <w:tcW w:w="1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phenotype</w:t>
            </w:r>
          </w:p>
        </w:tc>
        <w:tc>
          <w:tcPr>
            <w:tcW w:w="0" w:type="dxa"/>
            <w:vAlign w:val="bottom"/>
          </w:tcPr>
          <w:p>
            <w:pPr>
              <w:spacing w:after="0"/>
              <w:rPr>
                <w:sz w:val="1"/>
                <w:szCs w:val="1"/>
                <w:color w:val="auto"/>
              </w:rPr>
            </w:pPr>
          </w:p>
        </w:tc>
      </w:tr>
      <w:tr>
        <w:trPr>
          <w:trHeight w:val="54"/>
        </w:trPr>
        <w:tc>
          <w:tcPr>
            <w:tcW w:w="1500" w:type="dxa"/>
            <w:vAlign w:val="bottom"/>
            <w:vMerge w:val="continue"/>
          </w:tcPr>
          <w:p>
            <w:pPr>
              <w:spacing w:after="0"/>
              <w:rPr>
                <w:sz w:val="4"/>
                <w:szCs w:val="4"/>
                <w:color w:val="auto"/>
              </w:rPr>
            </w:pPr>
          </w:p>
        </w:tc>
        <w:tc>
          <w:tcPr>
            <w:tcW w:w="12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rFonts w:ascii="Times New Roman" w:cs="Times New Roman" w:eastAsia="Times New Roman" w:hAnsi="Times New Roman"/>
          <w:sz w:val="15"/>
          <w:szCs w:val="15"/>
          <w:color w:val="auto"/>
        </w:rPr>
      </w:pPr>
    </w:p>
    <w:p>
      <w:pPr>
        <w:sectPr>
          <w:pgSz w:w="11900" w:h="16838" w:orient="portrait"/>
          <w:cols w:equalWidth="0" w:num="3">
            <w:col w:w="2420" w:space="720"/>
            <w:col w:w="1300" w:space="220"/>
            <w:col w:w="6580"/>
          </w:cols>
          <w:pgMar w:left="320" w:top="364" w:right="339" w:bottom="1440" w:gutter="0" w:footer="0" w:header="0"/>
          <w:type w:val="continuous"/>
        </w:sectPr>
      </w:pPr>
    </w:p>
    <w:p>
      <w:pPr>
        <w:ind w:left="7520"/>
        <w:spacing w:after="0"/>
        <w:rPr>
          <w:sz w:val="20"/>
          <w:szCs w:val="20"/>
          <w:color w:val="auto"/>
        </w:rPr>
      </w:pPr>
      <w:r>
        <w:rPr>
          <w:rFonts w:ascii="Times New Roman" w:cs="Times New Roman" w:eastAsia="Times New Roman" w:hAnsi="Times New Roman"/>
          <w:sz w:val="18"/>
          <w:szCs w:val="18"/>
          <w:color w:val="auto"/>
        </w:rPr>
        <w:t>–Approved by EC for</w:t>
      </w:r>
    </w:p>
    <w:p>
      <w:pPr>
        <w:ind w:left="7520"/>
        <w:spacing w:after="0" w:line="199" w:lineRule="auto"/>
        <w:rPr>
          <w:sz w:val="20"/>
          <w:szCs w:val="20"/>
          <w:color w:val="auto"/>
        </w:rPr>
      </w:pPr>
      <w:r>
        <w:rPr>
          <w:rFonts w:ascii="Times New Roman" w:cs="Times New Roman" w:eastAsia="Times New Roman" w:hAnsi="Times New Roman"/>
          <w:sz w:val="18"/>
          <w:szCs w:val="18"/>
          <w:color w:val="auto"/>
        </w:rPr>
        <w:t>EoE in adults and</w:t>
      </w:r>
    </w:p>
    <w:p>
      <w:pPr>
        <w:spacing w:after="0" w:line="1" w:lineRule="exact"/>
        <w:rPr>
          <w:rFonts w:ascii="Times New Roman" w:cs="Times New Roman" w:eastAsia="Times New Roman" w:hAnsi="Times New Roman"/>
          <w:sz w:val="15"/>
          <w:szCs w:val="15"/>
          <w:color w:val="auto"/>
        </w:rPr>
      </w:pPr>
    </w:p>
    <w:p>
      <w:pPr>
        <w:ind w:left="7520"/>
        <w:spacing w:after="0"/>
        <w:rPr>
          <w:sz w:val="20"/>
          <w:szCs w:val="20"/>
          <w:color w:val="auto"/>
        </w:rPr>
      </w:pPr>
      <w:r>
        <w:rPr>
          <w:rFonts w:ascii="Times New Roman" w:cs="Times New Roman" w:eastAsia="Times New Roman" w:hAnsi="Times New Roman"/>
          <w:sz w:val="18"/>
          <w:szCs w:val="18"/>
          <w:color w:val="auto"/>
        </w:rPr>
        <w:t>adolescents</w:t>
      </w:r>
    </w:p>
    <w:p>
      <w:pPr>
        <w:spacing w:after="0" w:line="184" w:lineRule="exact"/>
        <w:rPr>
          <w:rFonts w:ascii="Times New Roman" w:cs="Times New Roman" w:eastAsia="Times New Roman" w:hAnsi="Times New Roman"/>
          <w:sz w:val="15"/>
          <w:szCs w:val="15"/>
          <w:color w:val="auto"/>
        </w:rPr>
      </w:pPr>
    </w:p>
    <w:p>
      <w:pPr>
        <w:ind w:left="7520"/>
        <w:spacing w:after="0"/>
        <w:rPr>
          <w:sz w:val="20"/>
          <w:szCs w:val="20"/>
          <w:color w:val="auto"/>
        </w:rPr>
      </w:pPr>
      <w:r>
        <w:rPr>
          <w:rFonts w:ascii="Times New Roman" w:cs="Times New Roman" w:eastAsia="Times New Roman" w:hAnsi="Times New Roman"/>
          <w:sz w:val="17"/>
          <w:szCs w:val="17"/>
          <w:color w:val="auto"/>
        </w:rPr>
        <w:t>–Approved by MHLW</w:t>
      </w:r>
    </w:p>
    <w:p>
      <w:pPr>
        <w:spacing w:after="0" w:line="10" w:lineRule="exact"/>
        <w:rPr>
          <w:rFonts w:ascii="Times New Roman" w:cs="Times New Roman" w:eastAsia="Times New Roman" w:hAnsi="Times New Roman"/>
          <w:sz w:val="15"/>
          <w:szCs w:val="15"/>
          <w:color w:val="auto"/>
        </w:rPr>
      </w:pPr>
    </w:p>
    <w:p>
      <w:pPr>
        <w:ind w:left="7520"/>
        <w:spacing w:after="0"/>
        <w:rPr>
          <w:sz w:val="20"/>
          <w:szCs w:val="20"/>
          <w:color w:val="auto"/>
        </w:rPr>
      </w:pPr>
      <w:r>
        <w:rPr>
          <w:rFonts w:ascii="Times New Roman" w:cs="Times New Roman" w:eastAsia="Times New Roman" w:hAnsi="Times New Roman"/>
          <w:sz w:val="18"/>
          <w:szCs w:val="18"/>
          <w:color w:val="auto"/>
        </w:rPr>
        <w:t>for prurigo nodularis</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-8255</wp:posOffset>
            </wp:positionH>
            <wp:positionV relativeFrom="paragraph">
              <wp:posOffset>654050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Clinical Program</w:t>
            </w: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Regulatory</w:t>
            </w:r>
          </w:p>
        </w:tc>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2023 and 2024</w:t>
            </w:r>
          </w:p>
        </w:tc>
        <w:tc>
          <w:tcPr>
            <w:tcW w:w="0" w:type="dxa"/>
            <w:vAlign w:val="bottom"/>
          </w:tcPr>
          <w:p>
            <w:pPr>
              <w:spacing w:after="0"/>
              <w:rPr>
                <w:sz w:val="1"/>
                <w:szCs w:val="1"/>
                <w:color w:val="auto"/>
              </w:rPr>
            </w:pPr>
          </w:p>
        </w:tc>
      </w:tr>
      <w:tr>
        <w:trPr>
          <w:trHeight w:val="235"/>
        </w:trPr>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w w:val="97"/>
              </w:rPr>
              <w:t>(continued)</w:t>
            </w:r>
          </w:p>
        </w:tc>
        <w:tc>
          <w:tcPr>
            <w:tcW w:w="128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300" w:type="dxa"/>
            <w:vAlign w:val="bottom"/>
            <w:gridSpan w:val="2"/>
          </w:tcPr>
          <w:p>
            <w:pPr>
              <w:jc w:val="center"/>
              <w:ind w:right="100"/>
              <w:spacing w:after="0" w:line="236" w:lineRule="exact"/>
              <w:rPr>
                <w:sz w:val="20"/>
                <w:szCs w:val="20"/>
                <w:color w:val="auto"/>
              </w:rPr>
            </w:pPr>
            <w:r>
              <w:rPr>
                <w:rFonts w:ascii="Times New Roman" w:cs="Times New Roman" w:eastAsia="Times New Roman" w:hAnsi="Times New Roman"/>
                <w:sz w:val="18"/>
                <w:szCs w:val="18"/>
                <w:b w:val="1"/>
                <w:bCs w:val="1"/>
                <w:color w:val="auto"/>
                <w:w w:val="91"/>
              </w:rPr>
              <w:t>Review</w:t>
            </w:r>
            <w:r>
              <w:rPr>
                <w:rFonts w:ascii="Times New Roman" w:cs="Times New Roman" w:eastAsia="Times New Roman" w:hAnsi="Times New Roman"/>
                <w:sz w:val="22"/>
                <w:szCs w:val="22"/>
                <w:b w:val="1"/>
                <w:bCs w:val="1"/>
                <w:color w:val="auto"/>
                <w:w w:val="91"/>
                <w:vertAlign w:val="superscript"/>
              </w:rPr>
              <w:t>(h)</w:t>
            </w:r>
          </w:p>
        </w:tc>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0" w:type="dxa"/>
            <w:vAlign w:val="bottom"/>
          </w:tcPr>
          <w:p>
            <w:pPr>
              <w:spacing w:after="0"/>
              <w:rPr>
                <w:sz w:val="1"/>
                <w:szCs w:val="1"/>
                <w:color w:val="auto"/>
              </w:rPr>
            </w:pPr>
          </w:p>
        </w:tc>
      </w:tr>
      <w:tr>
        <w:trPr>
          <w:trHeight w:val="165"/>
        </w:trPr>
        <w:tc>
          <w:tcPr>
            <w:tcW w:w="176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Dupixent (dupilumab)</w:t>
            </w: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rPr>
              <w:t>–Reported that Phase 3</w:t>
            </w:r>
          </w:p>
        </w:tc>
        <w:tc>
          <w:tcPr>
            <w:tcW w:w="0" w:type="dxa"/>
            <w:vAlign w:val="bottom"/>
          </w:tcPr>
          <w:p>
            <w:pPr>
              <w:spacing w:after="0"/>
              <w:rPr>
                <w:sz w:val="1"/>
                <w:szCs w:val="1"/>
                <w:color w:val="auto"/>
              </w:rPr>
            </w:pPr>
          </w:p>
        </w:tc>
      </w:tr>
      <w:tr>
        <w:trPr>
          <w:trHeight w:val="112"/>
        </w:trPr>
        <w:tc>
          <w:tcPr>
            <w:tcW w:w="1840" w:type="dxa"/>
            <w:vAlign w:val="bottom"/>
            <w:gridSpan w:val="2"/>
          </w:tcPr>
          <w:p>
            <w:pPr>
              <w:ind w:left="20"/>
              <w:spacing w:after="0" w:line="112" w:lineRule="exact"/>
              <w:rPr>
                <w:sz w:val="20"/>
                <w:szCs w:val="20"/>
                <w:color w:val="auto"/>
              </w:rPr>
            </w:pPr>
            <w:r>
              <w:rPr>
                <w:rFonts w:ascii="Times New Roman" w:cs="Times New Roman" w:eastAsia="Times New Roman" w:hAnsi="Times New Roman"/>
                <w:sz w:val="11"/>
                <w:szCs w:val="11"/>
                <w:b w:val="1"/>
                <w:bCs w:val="1"/>
                <w:color w:val="auto"/>
              </w:rPr>
              <w:t>(b)</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vMerge w:val="restart"/>
          </w:tcPr>
          <w:p>
            <w:pPr>
              <w:spacing w:after="0" w:line="186" w:lineRule="exact"/>
              <w:rPr>
                <w:sz w:val="20"/>
                <w:szCs w:val="20"/>
                <w:color w:val="auto"/>
              </w:rPr>
            </w:pPr>
            <w:r>
              <w:rPr>
                <w:rFonts w:ascii="Times New Roman" w:cs="Times New Roman" w:eastAsia="Times New Roman" w:hAnsi="Times New Roman"/>
                <w:sz w:val="18"/>
                <w:szCs w:val="18"/>
                <w:color w:val="auto"/>
              </w:rPr>
              <w:t>BOREAS trial in COPD</w:t>
            </w:r>
          </w:p>
        </w:tc>
        <w:tc>
          <w:tcPr>
            <w:tcW w:w="0" w:type="dxa"/>
            <w:vAlign w:val="bottom"/>
          </w:tcPr>
          <w:p>
            <w:pPr>
              <w:spacing w:after="0"/>
              <w:rPr>
                <w:sz w:val="1"/>
                <w:szCs w:val="1"/>
                <w:color w:val="auto"/>
              </w:rPr>
            </w:pPr>
          </w:p>
        </w:tc>
      </w:tr>
      <w:tr>
        <w:trPr>
          <w:trHeight w:val="73"/>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84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with evidence of type 2</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inflammation met its</w:t>
            </w:r>
          </w:p>
        </w:tc>
        <w:tc>
          <w:tcPr>
            <w:tcW w:w="0" w:type="dxa"/>
            <w:vAlign w:val="bottom"/>
          </w:tcPr>
          <w:p>
            <w:pPr>
              <w:spacing w:after="0"/>
              <w:rPr>
                <w:sz w:val="1"/>
                <w:szCs w:val="1"/>
                <w:color w:val="auto"/>
              </w:rPr>
            </w:pPr>
          </w:p>
        </w:tc>
      </w:tr>
      <w:tr>
        <w:trPr>
          <w:trHeight w:val="177"/>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primary and all key</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secondary endpoints;</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presented at 2023</w:t>
            </w:r>
          </w:p>
        </w:tc>
        <w:tc>
          <w:tcPr>
            <w:tcW w:w="0" w:type="dxa"/>
            <w:vAlign w:val="bottom"/>
          </w:tcPr>
          <w:p>
            <w:pPr>
              <w:spacing w:after="0"/>
              <w:rPr>
                <w:sz w:val="1"/>
                <w:szCs w:val="1"/>
                <w:color w:val="auto"/>
              </w:rPr>
            </w:pPr>
          </w:p>
        </w:tc>
      </w:tr>
      <w:tr>
        <w:trPr>
          <w:trHeight w:val="177"/>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American Thoracic</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Society International</w:t>
            </w:r>
          </w:p>
        </w:tc>
        <w:tc>
          <w:tcPr>
            <w:tcW w:w="0" w:type="dxa"/>
            <w:vAlign w:val="bottom"/>
          </w:tcPr>
          <w:p>
            <w:pPr>
              <w:spacing w:after="0"/>
              <w:rPr>
                <w:sz w:val="1"/>
                <w:szCs w:val="1"/>
                <w:color w:val="auto"/>
              </w:rPr>
            </w:pPr>
          </w:p>
        </w:tc>
      </w:tr>
      <w:tr>
        <w:trPr>
          <w:trHeight w:val="178"/>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Conference and</w:t>
            </w:r>
          </w:p>
        </w:tc>
        <w:tc>
          <w:tcPr>
            <w:tcW w:w="0" w:type="dxa"/>
            <w:vAlign w:val="bottom"/>
          </w:tcPr>
          <w:p>
            <w:pPr>
              <w:spacing w:after="0"/>
              <w:rPr>
                <w:sz w:val="1"/>
                <w:szCs w:val="1"/>
                <w:color w:val="auto"/>
              </w:rPr>
            </w:pPr>
          </w:p>
        </w:tc>
      </w:tr>
      <w:tr>
        <w:trPr>
          <w:trHeight w:val="179"/>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New</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line="172" w:lineRule="exact"/>
              <w:rPr>
                <w:sz w:val="20"/>
                <w:szCs w:val="20"/>
                <w:color w:val="auto"/>
              </w:rPr>
            </w:pPr>
            <w:r>
              <w:rPr>
                <w:rFonts w:ascii="Times New Roman" w:cs="Times New Roman" w:eastAsia="Times New Roman" w:hAnsi="Times New Roman"/>
                <w:sz w:val="18"/>
                <w:szCs w:val="18"/>
                <w:i w:val="1"/>
                <w:iCs w:val="1"/>
                <w:color w:val="auto"/>
              </w:rPr>
              <w:t>England Journal of</w:t>
            </w:r>
          </w:p>
        </w:tc>
        <w:tc>
          <w:tcPr>
            <w:tcW w:w="0" w:type="dxa"/>
            <w:vAlign w:val="bottom"/>
          </w:tcPr>
          <w:p>
            <w:pPr>
              <w:spacing w:after="0"/>
              <w:rPr>
                <w:sz w:val="1"/>
                <w:szCs w:val="1"/>
                <w:color w:val="auto"/>
              </w:rPr>
            </w:pPr>
          </w:p>
        </w:tc>
      </w:tr>
      <w:tr>
        <w:trPr>
          <w:trHeight w:val="233"/>
        </w:trPr>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Medicine</w:t>
            </w:r>
          </w:p>
        </w:tc>
        <w:tc>
          <w:tcPr>
            <w:tcW w:w="0" w:type="dxa"/>
            <w:vAlign w:val="bottom"/>
          </w:tcPr>
          <w:p>
            <w:pPr>
              <w:spacing w:after="0"/>
              <w:rPr>
                <w:sz w:val="1"/>
                <w:szCs w:val="1"/>
                <w:color w:val="auto"/>
              </w:rPr>
            </w:pPr>
          </w:p>
        </w:tc>
      </w:tr>
      <w:tr>
        <w:trPr>
          <w:trHeight w:val="363"/>
        </w:trPr>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–Reported that results</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from interim analysis of</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replicate Phase 3</w:t>
            </w:r>
          </w:p>
        </w:tc>
        <w:tc>
          <w:tcPr>
            <w:tcW w:w="0" w:type="dxa"/>
            <w:vAlign w:val="bottom"/>
          </w:tcPr>
          <w:p>
            <w:pPr>
              <w:spacing w:after="0"/>
              <w:rPr>
                <w:sz w:val="1"/>
                <w:szCs w:val="1"/>
                <w:color w:val="auto"/>
              </w:rPr>
            </w:pPr>
          </w:p>
        </w:tc>
      </w:tr>
      <w:tr>
        <w:trPr>
          <w:trHeight w:val="177"/>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NOTUS trial in COPD</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with evidence of type 2</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inflammation met its</w:t>
            </w:r>
          </w:p>
        </w:tc>
        <w:tc>
          <w:tcPr>
            <w:tcW w:w="0" w:type="dxa"/>
            <w:vAlign w:val="bottom"/>
          </w:tcPr>
          <w:p>
            <w:pPr>
              <w:spacing w:after="0"/>
              <w:rPr>
                <w:sz w:val="1"/>
                <w:szCs w:val="1"/>
                <w:color w:val="auto"/>
              </w:rPr>
            </w:pPr>
          </w:p>
        </w:tc>
      </w:tr>
      <w:tr>
        <w:trPr>
          <w:trHeight w:val="231"/>
        </w:trPr>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primary endpoint</w:t>
            </w:r>
          </w:p>
        </w:tc>
        <w:tc>
          <w:tcPr>
            <w:tcW w:w="0" w:type="dxa"/>
            <w:vAlign w:val="bottom"/>
          </w:tcPr>
          <w:p>
            <w:pPr>
              <w:spacing w:after="0"/>
              <w:rPr>
                <w:sz w:val="1"/>
                <w:szCs w:val="1"/>
                <w:color w:val="auto"/>
              </w:rPr>
            </w:pPr>
          </w:p>
        </w:tc>
      </w:tr>
      <w:tr>
        <w:trPr>
          <w:trHeight w:val="357"/>
        </w:trPr>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–FDA issued Complete</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w w:val="99"/>
              </w:rPr>
              <w:t>Response Letter ("CRL")</w:t>
            </w:r>
          </w:p>
        </w:tc>
        <w:tc>
          <w:tcPr>
            <w:tcW w:w="0" w:type="dxa"/>
            <w:vAlign w:val="bottom"/>
          </w:tcPr>
          <w:p>
            <w:pPr>
              <w:spacing w:after="0"/>
              <w:rPr>
                <w:sz w:val="1"/>
                <w:szCs w:val="1"/>
                <w:color w:val="auto"/>
              </w:rPr>
            </w:pPr>
          </w:p>
        </w:tc>
      </w:tr>
      <w:tr>
        <w:trPr>
          <w:trHeight w:val="177"/>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w w:val="99"/>
              </w:rPr>
              <w:t>for sBLA for CSU due to</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requirement for</w:t>
            </w:r>
          </w:p>
        </w:tc>
        <w:tc>
          <w:tcPr>
            <w:tcW w:w="0" w:type="dxa"/>
            <w:vAlign w:val="bottom"/>
          </w:tcPr>
          <w:p>
            <w:pPr>
              <w:spacing w:after="0"/>
              <w:rPr>
                <w:sz w:val="1"/>
                <w:szCs w:val="1"/>
                <w:color w:val="auto"/>
              </w:rPr>
            </w:pPr>
          </w:p>
        </w:tc>
      </w:tr>
      <w:tr>
        <w:trPr>
          <w:trHeight w:val="231"/>
        </w:trPr>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additional efficacy data</w:t>
            </w:r>
          </w:p>
        </w:tc>
        <w:tc>
          <w:tcPr>
            <w:tcW w:w="0" w:type="dxa"/>
            <w:vAlign w:val="bottom"/>
          </w:tcPr>
          <w:p>
            <w:pPr>
              <w:spacing w:after="0"/>
              <w:rPr>
                <w:sz w:val="1"/>
                <w:szCs w:val="1"/>
                <w:color w:val="auto"/>
              </w:rPr>
            </w:pPr>
          </w:p>
        </w:tc>
      </w:tr>
      <w:tr>
        <w:trPr>
          <w:trHeight w:val="365"/>
        </w:trPr>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–Phase 3 trial in chronic</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cold induced urticaria</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did not meet its required</w:t>
            </w:r>
          </w:p>
        </w:tc>
        <w:tc>
          <w:tcPr>
            <w:tcW w:w="0" w:type="dxa"/>
            <w:vAlign w:val="bottom"/>
          </w:tcPr>
          <w:p>
            <w:pPr>
              <w:spacing w:after="0"/>
              <w:rPr>
                <w:sz w:val="1"/>
                <w:szCs w:val="1"/>
                <w:color w:val="auto"/>
              </w:rPr>
            </w:pPr>
          </w:p>
        </w:tc>
      </w:tr>
      <w:tr>
        <w:trPr>
          <w:trHeight w:val="231"/>
        </w:trPr>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efficacy endpoints</w:t>
            </w:r>
          </w:p>
        </w:tc>
        <w:tc>
          <w:tcPr>
            <w:tcW w:w="0" w:type="dxa"/>
            <w:vAlign w:val="bottom"/>
          </w:tcPr>
          <w:p>
            <w:pPr>
              <w:spacing w:after="0"/>
              <w:rPr>
                <w:sz w:val="1"/>
                <w:szCs w:val="1"/>
                <w:color w:val="auto"/>
              </w:rPr>
            </w:pPr>
          </w:p>
        </w:tc>
      </w:tr>
      <w:tr>
        <w:trPr>
          <w:trHeight w:val="357"/>
        </w:trPr>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–Discontinued further</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clinical development in</w:t>
            </w:r>
          </w:p>
        </w:tc>
        <w:tc>
          <w:tcPr>
            <w:tcW w:w="0" w:type="dxa"/>
            <w:vAlign w:val="bottom"/>
          </w:tcPr>
          <w:p>
            <w:pPr>
              <w:spacing w:after="0"/>
              <w:rPr>
                <w:sz w:val="1"/>
                <w:szCs w:val="1"/>
                <w:color w:val="auto"/>
              </w:rPr>
            </w:pPr>
          </w:p>
        </w:tc>
      </w:tr>
      <w:tr>
        <w:trPr>
          <w:trHeight w:val="177"/>
        </w:trPr>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allergic fungal</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rhinosinusitis and</w:t>
            </w:r>
          </w:p>
        </w:tc>
        <w:tc>
          <w:tcPr>
            <w:tcW w:w="0" w:type="dxa"/>
            <w:vAlign w:val="bottom"/>
          </w:tcPr>
          <w:p>
            <w:pPr>
              <w:spacing w:after="0"/>
              <w:rPr>
                <w:sz w:val="1"/>
                <w:szCs w:val="1"/>
                <w:color w:val="auto"/>
              </w:rPr>
            </w:pPr>
          </w:p>
        </w:tc>
      </w:tr>
      <w:tr>
        <w:trPr>
          <w:trHeight w:val="172"/>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chronic rhinosinusitis</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without nasal polyposis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1160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–MHLW decision on</w:t>
      </w:r>
    </w:p>
    <w:p>
      <w:pPr>
        <w:jc w:val="both"/>
        <w:ind w:right="260"/>
        <w:spacing w:after="0" w:line="216" w:lineRule="auto"/>
        <w:rPr>
          <w:sz w:val="20"/>
          <w:szCs w:val="20"/>
          <w:color w:val="auto"/>
        </w:rPr>
      </w:pPr>
      <w:r>
        <w:rPr>
          <w:rFonts w:ascii="Times New Roman" w:cs="Times New Roman" w:eastAsia="Times New Roman" w:hAnsi="Times New Roman"/>
          <w:sz w:val="17"/>
          <w:szCs w:val="17"/>
          <w:color w:val="auto"/>
        </w:rPr>
        <w:t>regulatory submission for CSU in adults and adolescents (first half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84" w:lineRule="exact"/>
        <w:rPr>
          <w:sz w:val="20"/>
          <w:szCs w:val="20"/>
          <w:color w:val="auto"/>
        </w:rPr>
      </w:pPr>
    </w:p>
    <w:p>
      <w:pPr>
        <w:jc w:val="both"/>
        <w:ind w:right="140"/>
        <w:spacing w:after="0" w:line="231" w:lineRule="auto"/>
        <w:rPr>
          <w:sz w:val="20"/>
          <w:szCs w:val="20"/>
          <w:color w:val="auto"/>
        </w:rPr>
      </w:pPr>
      <w:r>
        <w:rPr>
          <w:rFonts w:ascii="Times New Roman" w:cs="Times New Roman" w:eastAsia="Times New Roman" w:hAnsi="Times New Roman"/>
          <w:sz w:val="17"/>
          <w:szCs w:val="17"/>
          <w:color w:val="auto"/>
        </w:rPr>
        <w:t>–Report results from ongoing Phase 3 trial in</w:t>
      </w:r>
    </w:p>
    <w:p>
      <w:pPr>
        <w:spacing w:after="0" w:line="1" w:lineRule="exact"/>
        <w:rPr>
          <w:sz w:val="20"/>
          <w:szCs w:val="20"/>
          <w:color w:val="auto"/>
        </w:rPr>
      </w:pPr>
    </w:p>
    <w:p>
      <w:pPr>
        <w:jc w:val="both"/>
        <w:ind w:right="120"/>
        <w:spacing w:after="0" w:line="214" w:lineRule="auto"/>
        <w:rPr>
          <w:sz w:val="20"/>
          <w:szCs w:val="20"/>
          <w:color w:val="auto"/>
        </w:rPr>
      </w:pPr>
      <w:r>
        <w:rPr>
          <w:rFonts w:ascii="Times New Roman" w:cs="Times New Roman" w:eastAsia="Times New Roman" w:hAnsi="Times New Roman"/>
          <w:sz w:val="18"/>
          <w:szCs w:val="18"/>
          <w:color w:val="auto"/>
        </w:rPr>
        <w:t>CSU (in biologic-naïve patients) (fourth quarter 2024)</w:t>
      </w:r>
    </w:p>
    <w:p>
      <w:pPr>
        <w:spacing w:after="0" w:line="195" w:lineRule="exact"/>
        <w:rPr>
          <w:sz w:val="20"/>
          <w:szCs w:val="20"/>
          <w:color w:val="auto"/>
        </w:rPr>
      </w:pPr>
    </w:p>
    <w:p>
      <w:pPr>
        <w:ind w:right="60"/>
        <w:spacing w:after="0" w:line="225" w:lineRule="auto"/>
        <w:rPr>
          <w:sz w:val="20"/>
          <w:szCs w:val="20"/>
          <w:color w:val="auto"/>
        </w:rPr>
      </w:pPr>
      <w:r>
        <w:rPr>
          <w:rFonts w:ascii="Times New Roman" w:cs="Times New Roman" w:eastAsia="Times New Roman" w:hAnsi="Times New Roman"/>
          <w:sz w:val="17"/>
          <w:szCs w:val="17"/>
          <w:color w:val="auto"/>
        </w:rPr>
        <w:t>–Report results from Phase 3 trial in bullous pemphigoid (second half</w:t>
      </w:r>
    </w:p>
    <w:p>
      <w:pPr>
        <w:spacing w:after="0"/>
        <w:rPr>
          <w:sz w:val="20"/>
          <w:szCs w:val="20"/>
          <w:color w:val="auto"/>
        </w:rPr>
      </w:pPr>
      <w:r>
        <w:rPr>
          <w:rFonts w:ascii="Times New Roman" w:cs="Times New Roman" w:eastAsia="Times New Roman" w:hAnsi="Times New Roman"/>
          <w:sz w:val="18"/>
          <w:szCs w:val="18"/>
          <w:color w:val="auto"/>
        </w:rPr>
        <w:t>2024)</w:t>
      </w:r>
    </w:p>
    <w:p>
      <w:pPr>
        <w:spacing w:after="0" w:line="184"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8"/>
          <w:szCs w:val="18"/>
          <w:color w:val="auto"/>
        </w:rPr>
        <w:t>–Initiate Phase 1 study in severe food allergy</w:t>
      </w:r>
    </w:p>
    <w:p>
      <w:pPr>
        <w:ind w:right="120"/>
        <w:spacing w:after="0" w:line="214" w:lineRule="auto"/>
        <w:rPr>
          <w:sz w:val="20"/>
          <w:szCs w:val="20"/>
          <w:color w:val="auto"/>
        </w:rPr>
      </w:pPr>
      <w:r>
        <w:rPr>
          <w:rFonts w:ascii="Times New Roman" w:cs="Times New Roman" w:eastAsia="Times New Roman" w:hAnsi="Times New Roman"/>
          <w:sz w:val="18"/>
          <w:szCs w:val="18"/>
          <w:color w:val="auto"/>
        </w:rPr>
        <w:t>following transient linvoseltamab treatment (2024)</w:t>
      </w:r>
    </w:p>
    <w:p>
      <w:pPr>
        <w:spacing w:after="0" w:line="3060" w:lineRule="exact"/>
        <w:rPr>
          <w:sz w:val="20"/>
          <w:szCs w:val="20"/>
          <w:color w:val="auto"/>
        </w:rPr>
      </w:pPr>
    </w:p>
    <w:p>
      <w:pPr>
        <w:sectPr>
          <w:pgSz w:w="11900" w:h="16838" w:orient="portrait"/>
          <w:cols w:equalWidth="0" w:num="2">
            <w:col w:w="9340" w:space="80"/>
            <w:col w:w="1820"/>
          </w:cols>
          <w:pgMar w:left="320" w:top="364"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4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b w:val="1"/>
                <w:bCs w:val="1"/>
                <w:color w:val="auto"/>
              </w:rPr>
              <w:t>Kevzara (sarilumab)</w:t>
            </w:r>
            <w:r>
              <w:rPr>
                <w:rFonts w:ascii="Times New Roman" w:cs="Times New Roman" w:eastAsia="Times New Roman" w:hAnsi="Times New Roman"/>
                <w:sz w:val="21"/>
                <w:szCs w:val="21"/>
                <w:b w:val="1"/>
                <w:bCs w:val="1"/>
                <w:color w:val="auto"/>
                <w:vertAlign w:val="superscript"/>
              </w:rPr>
              <w:t>(b)</w:t>
            </w:r>
          </w:p>
        </w:tc>
        <w:tc>
          <w:tcPr>
            <w:tcW w:w="2600" w:type="dxa"/>
            <w:vAlign w:val="bottom"/>
            <w:shd w:val="clear" w:color="auto" w:fill="CCEEFF"/>
          </w:tcPr>
          <w:p>
            <w:pPr>
              <w:ind w:left="700"/>
              <w:spacing w:after="0" w:line="188" w:lineRule="exact"/>
              <w:rPr>
                <w:sz w:val="20"/>
                <w:szCs w:val="20"/>
                <w:color w:val="auto"/>
              </w:rPr>
            </w:pPr>
            <w:r>
              <w:rPr>
                <w:rFonts w:ascii="Times New Roman" w:cs="Times New Roman" w:eastAsia="Times New Roman" w:hAnsi="Times New Roman"/>
                <w:sz w:val="18"/>
                <w:szCs w:val="18"/>
                <w:color w:val="auto"/>
              </w:rPr>
              <w:t>–Polyarticular-</w:t>
            </w:r>
          </w:p>
        </w:tc>
        <w:tc>
          <w:tcPr>
            <w:tcW w:w="2280" w:type="dxa"/>
            <w:vAlign w:val="bottom"/>
            <w:shd w:val="clear" w:color="auto" w:fill="CCEEFF"/>
          </w:tcPr>
          <w:p>
            <w:pPr>
              <w:ind w:left="1160"/>
              <w:spacing w:after="0" w:line="188" w:lineRule="exact"/>
              <w:rPr>
                <w:sz w:val="20"/>
                <w:szCs w:val="20"/>
                <w:color w:val="auto"/>
              </w:rPr>
            </w:pPr>
            <w:r>
              <w:rPr>
                <w:rFonts w:ascii="Times New Roman" w:cs="Times New Roman" w:eastAsia="Times New Roman" w:hAnsi="Times New Roman"/>
                <w:sz w:val="18"/>
                <w:szCs w:val="18"/>
                <w:color w:val="auto"/>
              </w:rPr>
              <w:t>–PMR (EU)</w:t>
            </w:r>
          </w:p>
        </w:tc>
        <w:tc>
          <w:tcPr>
            <w:tcW w:w="1980" w:type="dxa"/>
            <w:vAlign w:val="bottom"/>
            <w:shd w:val="clear" w:color="auto" w:fill="CCEEFF"/>
          </w:tcPr>
          <w:p>
            <w:pPr>
              <w:ind w:left="180"/>
              <w:spacing w:after="0" w:line="188" w:lineRule="exact"/>
              <w:rPr>
                <w:sz w:val="20"/>
                <w:szCs w:val="20"/>
                <w:color w:val="auto"/>
              </w:rPr>
            </w:pPr>
            <w:r>
              <w:rPr>
                <w:rFonts w:ascii="Times New Roman" w:cs="Times New Roman" w:eastAsia="Times New Roman" w:hAnsi="Times New Roman"/>
                <w:sz w:val="18"/>
                <w:szCs w:val="18"/>
                <w:color w:val="auto"/>
              </w:rPr>
              <w:t>–Approved by FDA for</w:t>
            </w:r>
          </w:p>
        </w:tc>
        <w:tc>
          <w:tcPr>
            <w:tcW w:w="19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2600" w:type="dxa"/>
            <w:vAlign w:val="bottom"/>
            <w:shd w:val="clear" w:color="auto" w:fill="CCEEFF"/>
          </w:tcPr>
          <w:p>
            <w:pPr>
              <w:ind w:left="700"/>
              <w:spacing w:after="0" w:line="172" w:lineRule="exact"/>
              <w:rPr>
                <w:sz w:val="20"/>
                <w:szCs w:val="20"/>
                <w:color w:val="auto"/>
              </w:rPr>
            </w:pPr>
            <w:r>
              <w:rPr>
                <w:rFonts w:ascii="Times New Roman" w:cs="Times New Roman" w:eastAsia="Times New Roman" w:hAnsi="Times New Roman"/>
                <w:sz w:val="18"/>
                <w:szCs w:val="18"/>
                <w:color w:val="auto"/>
              </w:rPr>
              <w:t>course juvenile</w:t>
            </w:r>
          </w:p>
        </w:tc>
        <w:tc>
          <w:tcPr>
            <w:tcW w:w="2280" w:type="dxa"/>
            <w:vAlign w:val="bottom"/>
            <w:shd w:val="clear" w:color="auto" w:fill="CCEEFF"/>
          </w:tcPr>
          <w:p>
            <w:pPr>
              <w:spacing w:after="0"/>
              <w:rPr>
                <w:sz w:val="14"/>
                <w:szCs w:val="14"/>
                <w:color w:val="auto"/>
              </w:rPr>
            </w:pPr>
          </w:p>
        </w:tc>
        <w:tc>
          <w:tcPr>
            <w:tcW w:w="198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PMR</w:t>
            </w:r>
          </w:p>
        </w:tc>
        <w:tc>
          <w:tcPr>
            <w:tcW w:w="19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600" w:type="dxa"/>
            <w:vAlign w:val="bottom"/>
            <w:shd w:val="clear" w:color="auto" w:fill="CCEEFF"/>
          </w:tcPr>
          <w:p>
            <w:pPr>
              <w:ind w:left="700"/>
              <w:spacing w:after="0" w:line="172" w:lineRule="exact"/>
              <w:rPr>
                <w:sz w:val="20"/>
                <w:szCs w:val="20"/>
                <w:color w:val="auto"/>
              </w:rPr>
            </w:pPr>
            <w:r>
              <w:rPr>
                <w:rFonts w:ascii="Times New Roman" w:cs="Times New Roman" w:eastAsia="Times New Roman" w:hAnsi="Times New Roman"/>
                <w:sz w:val="18"/>
                <w:szCs w:val="18"/>
                <w:color w:val="auto"/>
              </w:rPr>
              <w:t>idiopathic arthritis</w:t>
            </w:r>
          </w:p>
        </w:tc>
        <w:tc>
          <w:tcPr>
            <w:tcW w:w="2280" w:type="dxa"/>
            <w:vAlign w:val="bottom"/>
            <w:vMerge w:val="restart"/>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–pcJIA (U.S.</w:t>
            </w:r>
          </w:p>
        </w:tc>
        <w:tc>
          <w:tcPr>
            <w:tcW w:w="1980" w:type="dxa"/>
            <w:vAlign w:val="bottom"/>
            <w:shd w:val="clear" w:color="auto" w:fill="CCEEFF"/>
          </w:tcPr>
          <w:p>
            <w:pPr>
              <w:spacing w:after="0"/>
              <w:rPr>
                <w:sz w:val="14"/>
                <w:szCs w:val="14"/>
                <w:color w:val="auto"/>
              </w:rPr>
            </w:pPr>
          </w:p>
        </w:tc>
        <w:tc>
          <w:tcPr>
            <w:tcW w:w="19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for PMR (second half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2600" w:type="dxa"/>
            <w:vAlign w:val="bottom"/>
            <w:vMerge w:val="restart"/>
            <w:shd w:val="clear" w:color="auto" w:fill="CCEEFF"/>
          </w:tcPr>
          <w:p>
            <w:pPr>
              <w:ind w:left="700"/>
              <w:spacing w:after="0" w:line="181" w:lineRule="exact"/>
              <w:rPr>
                <w:sz w:val="20"/>
                <w:szCs w:val="20"/>
                <w:color w:val="auto"/>
              </w:rPr>
            </w:pPr>
            <w:r>
              <w:rPr>
                <w:rFonts w:ascii="Times New Roman" w:cs="Times New Roman" w:eastAsia="Times New Roman" w:hAnsi="Times New Roman"/>
                <w:sz w:val="18"/>
                <w:szCs w:val="18"/>
                <w:color w:val="auto"/>
              </w:rPr>
              <w:t>("pcJIA") (pivotal</w:t>
            </w:r>
          </w:p>
        </w:tc>
        <w:tc>
          <w:tcPr>
            <w:tcW w:w="2280" w:type="dxa"/>
            <w:vAlign w:val="bottom"/>
            <w:vMerge w:val="continue"/>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1940" w:type="dxa"/>
            <w:vAlign w:val="bottom"/>
            <w:vMerge w:val="restart"/>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420" w:type="dxa"/>
            <w:vAlign w:val="bottom"/>
            <w:shd w:val="clear" w:color="auto" w:fill="CCEEFF"/>
          </w:tcPr>
          <w:p>
            <w:pPr>
              <w:spacing w:after="0"/>
              <w:rPr>
                <w:sz w:val="4"/>
                <w:szCs w:val="4"/>
                <w:color w:val="auto"/>
              </w:rPr>
            </w:pPr>
          </w:p>
        </w:tc>
        <w:tc>
          <w:tcPr>
            <w:tcW w:w="2600" w:type="dxa"/>
            <w:vAlign w:val="bottom"/>
            <w:vMerge w:val="continue"/>
            <w:shd w:val="clear" w:color="auto" w:fill="CCEEFF"/>
          </w:tcPr>
          <w:p>
            <w:pPr>
              <w:spacing w:after="0"/>
              <w:rPr>
                <w:sz w:val="4"/>
                <w:szCs w:val="4"/>
                <w:color w:val="auto"/>
              </w:rPr>
            </w:pPr>
          </w:p>
        </w:tc>
        <w:tc>
          <w:tcPr>
            <w:tcW w:w="2280" w:type="dxa"/>
            <w:vAlign w:val="bottom"/>
            <w:vMerge w:val="restart"/>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and EU)</w:t>
            </w:r>
          </w:p>
        </w:tc>
        <w:tc>
          <w:tcPr>
            <w:tcW w:w="1980" w:type="dxa"/>
            <w:vAlign w:val="bottom"/>
            <w:shd w:val="clear" w:color="auto" w:fill="CCEEFF"/>
          </w:tcPr>
          <w:p>
            <w:pPr>
              <w:spacing w:after="0"/>
              <w:rPr>
                <w:sz w:val="4"/>
                <w:szCs w:val="4"/>
                <w:color w:val="auto"/>
              </w:rPr>
            </w:pPr>
          </w:p>
        </w:tc>
        <w:tc>
          <w:tcPr>
            <w:tcW w:w="19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26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study)</w:t>
            </w:r>
          </w:p>
        </w:tc>
        <w:tc>
          <w:tcPr>
            <w:tcW w:w="2280" w:type="dxa"/>
            <w:vAlign w:val="bottom"/>
            <w:vMerge w:val="continue"/>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260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–Systemic juvenile</w:t>
            </w:r>
          </w:p>
        </w:tc>
        <w:tc>
          <w:tcPr>
            <w:tcW w:w="22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94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8"/>
                <w:szCs w:val="18"/>
                <w:color w:val="auto"/>
              </w:rPr>
              <w:t>–FDA decision on sBLA</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20" w:type="dxa"/>
            <w:vAlign w:val="bottom"/>
            <w:shd w:val="clear" w:color="auto" w:fill="CCEEFF"/>
          </w:tcPr>
          <w:p>
            <w:pPr>
              <w:spacing w:after="0"/>
              <w:rPr>
                <w:sz w:val="9"/>
                <w:szCs w:val="9"/>
                <w:color w:val="auto"/>
              </w:rPr>
            </w:pPr>
          </w:p>
        </w:tc>
        <w:tc>
          <w:tcPr>
            <w:tcW w:w="2600" w:type="dxa"/>
            <w:vAlign w:val="bottom"/>
            <w:vMerge w:val="continue"/>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1940" w:type="dxa"/>
            <w:vAlign w:val="bottom"/>
            <w:vMerge w:val="restart"/>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(target action date of</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420" w:type="dxa"/>
            <w:vAlign w:val="bottom"/>
            <w:shd w:val="clear" w:color="auto" w:fill="CCEEFF"/>
          </w:tcPr>
          <w:p>
            <w:pPr>
              <w:spacing w:after="0"/>
              <w:rPr>
                <w:sz w:val="5"/>
                <w:szCs w:val="5"/>
                <w:color w:val="auto"/>
              </w:rPr>
            </w:pPr>
          </w:p>
        </w:tc>
        <w:tc>
          <w:tcPr>
            <w:tcW w:w="2600" w:type="dxa"/>
            <w:vAlign w:val="bottom"/>
            <w:vMerge w:val="restart"/>
            <w:shd w:val="clear" w:color="auto" w:fill="CCEEFF"/>
          </w:tcPr>
          <w:p>
            <w:pPr>
              <w:ind w:left="700"/>
              <w:spacing w:after="0" w:line="181" w:lineRule="exact"/>
              <w:rPr>
                <w:sz w:val="20"/>
                <w:szCs w:val="20"/>
                <w:color w:val="auto"/>
              </w:rPr>
            </w:pPr>
            <w:r>
              <w:rPr>
                <w:rFonts w:ascii="Times New Roman" w:cs="Times New Roman" w:eastAsia="Times New Roman" w:hAnsi="Times New Roman"/>
                <w:sz w:val="18"/>
                <w:szCs w:val="18"/>
                <w:color w:val="auto"/>
              </w:rPr>
              <w:t>idiopathic arthritis</w:t>
            </w:r>
          </w:p>
        </w:tc>
        <w:tc>
          <w:tcPr>
            <w:tcW w:w="2280" w:type="dxa"/>
            <w:vAlign w:val="bottom"/>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20" w:type="dxa"/>
            <w:vAlign w:val="bottom"/>
            <w:shd w:val="clear" w:color="auto" w:fill="CCEEFF"/>
          </w:tcPr>
          <w:p>
            <w:pPr>
              <w:spacing w:after="0"/>
              <w:rPr>
                <w:sz w:val="9"/>
                <w:szCs w:val="9"/>
                <w:color w:val="auto"/>
              </w:rPr>
            </w:pPr>
          </w:p>
        </w:tc>
        <w:tc>
          <w:tcPr>
            <w:tcW w:w="2600" w:type="dxa"/>
            <w:vAlign w:val="bottom"/>
            <w:vMerge w:val="continue"/>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1940" w:type="dxa"/>
            <w:vAlign w:val="bottom"/>
            <w:vMerge w:val="restart"/>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rPr>
              <w:t>June 10, 2024) and EC</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420" w:type="dxa"/>
            <w:vAlign w:val="bottom"/>
            <w:shd w:val="clear" w:color="auto" w:fill="CCEEFF"/>
          </w:tcPr>
          <w:p>
            <w:pPr>
              <w:spacing w:after="0"/>
              <w:rPr>
                <w:sz w:val="5"/>
                <w:szCs w:val="5"/>
                <w:color w:val="auto"/>
              </w:rPr>
            </w:pPr>
          </w:p>
        </w:tc>
        <w:tc>
          <w:tcPr>
            <w:tcW w:w="2600" w:type="dxa"/>
            <w:vAlign w:val="bottom"/>
            <w:vMerge w:val="restart"/>
            <w:shd w:val="clear" w:color="auto" w:fill="CCEEFF"/>
          </w:tcPr>
          <w:p>
            <w:pPr>
              <w:ind w:left="700"/>
              <w:spacing w:after="0" w:line="177" w:lineRule="exact"/>
              <w:rPr>
                <w:sz w:val="20"/>
                <w:szCs w:val="20"/>
                <w:color w:val="auto"/>
              </w:rPr>
            </w:pPr>
            <w:r>
              <w:rPr>
                <w:rFonts w:ascii="Times New Roman" w:cs="Times New Roman" w:eastAsia="Times New Roman" w:hAnsi="Times New Roman"/>
                <w:sz w:val="18"/>
                <w:szCs w:val="18"/>
                <w:color w:val="auto"/>
              </w:rPr>
              <w:t>("sJIA") (pivotal</w:t>
            </w:r>
          </w:p>
        </w:tc>
        <w:tc>
          <w:tcPr>
            <w:tcW w:w="2280" w:type="dxa"/>
            <w:vAlign w:val="bottom"/>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20" w:type="dxa"/>
            <w:vAlign w:val="bottom"/>
            <w:shd w:val="clear" w:color="auto" w:fill="CCEEFF"/>
          </w:tcPr>
          <w:p>
            <w:pPr>
              <w:spacing w:after="0"/>
              <w:rPr>
                <w:sz w:val="9"/>
                <w:szCs w:val="9"/>
                <w:color w:val="auto"/>
              </w:rPr>
            </w:pPr>
          </w:p>
        </w:tc>
        <w:tc>
          <w:tcPr>
            <w:tcW w:w="2600" w:type="dxa"/>
            <w:vAlign w:val="bottom"/>
            <w:vMerge w:val="continue"/>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1940" w:type="dxa"/>
            <w:vAlign w:val="bottom"/>
            <w:vMerge w:val="restart"/>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decision (second half</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420" w:type="dxa"/>
            <w:vAlign w:val="bottom"/>
            <w:shd w:val="clear" w:color="auto" w:fill="CCEEFF"/>
          </w:tcPr>
          <w:p>
            <w:pPr>
              <w:spacing w:after="0"/>
              <w:rPr>
                <w:sz w:val="5"/>
                <w:szCs w:val="5"/>
                <w:color w:val="auto"/>
              </w:rPr>
            </w:pPr>
          </w:p>
        </w:tc>
        <w:tc>
          <w:tcPr>
            <w:tcW w:w="260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study)</w:t>
            </w:r>
          </w:p>
        </w:tc>
        <w:tc>
          <w:tcPr>
            <w:tcW w:w="2280" w:type="dxa"/>
            <w:vAlign w:val="bottom"/>
            <w:shd w:val="clear" w:color="auto" w:fill="CCEEFF"/>
          </w:tcPr>
          <w:p>
            <w:pPr>
              <w:spacing w:after="0"/>
              <w:rPr>
                <w:sz w:val="5"/>
                <w:szCs w:val="5"/>
                <w:color w:val="auto"/>
              </w:rPr>
            </w:pPr>
          </w:p>
        </w:tc>
        <w:tc>
          <w:tcPr>
            <w:tcW w:w="1980" w:type="dxa"/>
            <w:vAlign w:val="bottom"/>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600" w:type="dxa"/>
            <w:vAlign w:val="bottom"/>
            <w:vMerge w:val="continue"/>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9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2024) on regulatory</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submission for pcJIA</w:t>
            </w: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80" w:type="dxa"/>
            <w:vAlign w:val="bottom"/>
          </w:tcPr>
          <w:p>
            <w:pPr>
              <w:jc w:val="right"/>
              <w:ind w:right="1572"/>
              <w:spacing w:after="0"/>
              <w:rPr>
                <w:sz w:val="20"/>
                <w:szCs w:val="20"/>
                <w:color w:val="auto"/>
              </w:rPr>
            </w:pPr>
            <w:r>
              <w:rPr>
                <w:rFonts w:ascii="Times New Roman" w:cs="Times New Roman" w:eastAsia="Times New Roman" w:hAnsi="Times New Roman"/>
                <w:sz w:val="18"/>
                <w:szCs w:val="18"/>
                <w:color w:val="auto"/>
              </w:rPr>
              <w:t>8</w:t>
            </w:r>
          </w:p>
        </w:tc>
        <w:tc>
          <w:tcPr>
            <w:tcW w:w="1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FF"/>
        </w:rPr>
        <w:t>Table of Contents</w:t>
      </w:r>
    </w:p>
    <w:p>
      <w:pPr>
        <w:sectPr>
          <w:pgSz w:w="11900" w:h="16838" w:orient="portrait"/>
          <w:cols w:equalWidth="0" w:num="1">
            <w:col w:w="11200"/>
          </w:cols>
          <w:pgMar w:left="320" w:top="36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Regulatory</w:t>
            </w:r>
          </w:p>
        </w:tc>
        <w:tc>
          <w:tcPr>
            <w:tcW w:w="18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2023 and 2024</w:t>
            </w:r>
          </w:p>
        </w:tc>
        <w:tc>
          <w:tcPr>
            <w:tcW w:w="0" w:type="dxa"/>
            <w:vAlign w:val="bottom"/>
          </w:tcPr>
          <w:p>
            <w:pPr>
              <w:spacing w:after="0"/>
              <w:rPr>
                <w:sz w:val="1"/>
                <w:szCs w:val="1"/>
                <w:color w:val="auto"/>
              </w:rPr>
            </w:pPr>
          </w:p>
        </w:tc>
      </w:tr>
      <w:tr>
        <w:trPr>
          <w:trHeight w:val="235"/>
        </w:trPr>
        <w:tc>
          <w:tcPr>
            <w:tcW w:w="18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8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280" w:type="dxa"/>
            <w:vAlign w:val="bottom"/>
            <w:gridSpan w:val="2"/>
          </w:tcPr>
          <w:p>
            <w:pPr>
              <w:jc w:val="center"/>
              <w:ind w:right="80"/>
              <w:spacing w:after="0" w:line="236" w:lineRule="exact"/>
              <w:rPr>
                <w:sz w:val="20"/>
                <w:szCs w:val="20"/>
                <w:color w:val="auto"/>
              </w:rPr>
            </w:pPr>
            <w:r>
              <w:rPr>
                <w:rFonts w:ascii="Times New Roman" w:cs="Times New Roman" w:eastAsia="Times New Roman" w:hAnsi="Times New Roman"/>
                <w:sz w:val="18"/>
                <w:szCs w:val="18"/>
                <w:b w:val="1"/>
                <w:bCs w:val="1"/>
                <w:color w:val="auto"/>
                <w:w w:val="91"/>
              </w:rPr>
              <w:t>Review</w:t>
            </w:r>
            <w:r>
              <w:rPr>
                <w:rFonts w:ascii="Times New Roman" w:cs="Times New Roman" w:eastAsia="Times New Roman" w:hAnsi="Times New Roman"/>
                <w:sz w:val="22"/>
                <w:szCs w:val="22"/>
                <w:b w:val="1"/>
                <w:bCs w:val="1"/>
                <w:color w:val="auto"/>
                <w:w w:val="91"/>
                <w:vertAlign w:val="superscript"/>
              </w:rPr>
              <w:t>(h)</w:t>
            </w:r>
          </w:p>
        </w:tc>
        <w:tc>
          <w:tcPr>
            <w:tcW w:w="18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0" w:type="dxa"/>
            <w:vAlign w:val="bottom"/>
          </w:tcPr>
          <w:p>
            <w:pPr>
              <w:spacing w:after="0"/>
              <w:rPr>
                <w:sz w:val="1"/>
                <w:szCs w:val="1"/>
                <w:color w:val="auto"/>
              </w:rPr>
            </w:pPr>
          </w:p>
        </w:tc>
      </w:tr>
      <w:tr>
        <w:trPr>
          <w:trHeight w:val="172"/>
        </w:trPr>
        <w:tc>
          <w:tcPr>
            <w:tcW w:w="178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Itepekimab</w:t>
            </w:r>
            <w:r>
              <w:rPr>
                <w:rFonts w:ascii="Times New Roman" w:cs="Times New Roman" w:eastAsia="Times New Roman" w:hAnsi="Times New Roman"/>
                <w:sz w:val="19"/>
                <w:szCs w:val="19"/>
                <w:b w:val="1"/>
                <w:bCs w:val="1"/>
                <w:color w:val="auto"/>
                <w:vertAlign w:val="superscript"/>
              </w:rPr>
              <w:t>(b)</w:t>
            </w: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jc w:val="right"/>
              <w:ind w:right="695"/>
              <w:spacing w:after="0" w:line="172" w:lineRule="exact"/>
              <w:rPr>
                <w:sz w:val="20"/>
                <w:szCs w:val="20"/>
                <w:color w:val="auto"/>
              </w:rPr>
            </w:pPr>
            <w:r>
              <w:rPr>
                <w:rFonts w:ascii="Times New Roman" w:cs="Times New Roman" w:eastAsia="Times New Roman" w:hAnsi="Times New Roman"/>
                <w:sz w:val="15"/>
                <w:szCs w:val="15"/>
                <w:color w:val="auto"/>
              </w:rPr>
              <w:t>–COPD</w:t>
            </w:r>
            <w:r>
              <w:rPr>
                <w:rFonts w:ascii="Times New Roman" w:cs="Times New Roman" w:eastAsia="Times New Roman" w:hAnsi="Times New Roman"/>
                <w:sz w:val="19"/>
                <w:szCs w:val="19"/>
                <w:color w:val="auto"/>
                <w:vertAlign w:val="superscript"/>
              </w:rPr>
              <w:t>(e)</w:t>
            </w: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–Phase 3 COPD program</w:t>
            </w:r>
          </w:p>
        </w:tc>
        <w:tc>
          <w:tcPr>
            <w:tcW w:w="0" w:type="dxa"/>
            <w:vAlign w:val="bottom"/>
          </w:tcPr>
          <w:p>
            <w:pPr>
              <w:spacing w:after="0"/>
              <w:rPr>
                <w:sz w:val="1"/>
                <w:szCs w:val="1"/>
                <w:color w:val="auto"/>
              </w:rPr>
            </w:pPr>
          </w:p>
        </w:tc>
      </w:tr>
      <w:tr>
        <w:trPr>
          <w:trHeight w:val="179"/>
        </w:trPr>
        <w:tc>
          <w:tcPr>
            <w:tcW w:w="18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passed interim futility</w:t>
            </w:r>
          </w:p>
        </w:tc>
        <w:tc>
          <w:tcPr>
            <w:tcW w:w="0" w:type="dxa"/>
            <w:vAlign w:val="bottom"/>
          </w:tcPr>
          <w:p>
            <w:pPr>
              <w:spacing w:after="0"/>
              <w:rPr>
                <w:sz w:val="1"/>
                <w:szCs w:val="1"/>
                <w:color w:val="auto"/>
              </w:rPr>
            </w:pPr>
          </w:p>
        </w:tc>
      </w:tr>
      <w:tr>
        <w:trPr>
          <w:trHeight w:val="172"/>
        </w:trPr>
        <w:tc>
          <w:tcPr>
            <w:tcW w:w="186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Antibody to IL-33</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analysis conducted by</w:t>
            </w: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Independent Data</w:t>
            </w:r>
          </w:p>
        </w:tc>
        <w:tc>
          <w:tcPr>
            <w:tcW w:w="0" w:type="dxa"/>
            <w:vAlign w:val="bottom"/>
          </w:tcPr>
          <w:p>
            <w:pPr>
              <w:spacing w:after="0"/>
              <w:rPr>
                <w:sz w:val="1"/>
                <w:szCs w:val="1"/>
                <w:color w:val="auto"/>
              </w:rPr>
            </w:pPr>
          </w:p>
        </w:tc>
      </w:tr>
      <w:tr>
        <w:trPr>
          <w:trHeight w:val="177"/>
        </w:trPr>
        <w:tc>
          <w:tcPr>
            <w:tcW w:w="1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Monitoring Committee</w:t>
            </w:r>
          </w:p>
        </w:tc>
        <w:tc>
          <w:tcPr>
            <w:tcW w:w="0" w:type="dxa"/>
            <w:vAlign w:val="bottom"/>
          </w:tcPr>
          <w:p>
            <w:pPr>
              <w:spacing w:after="0"/>
              <w:rPr>
                <w:sz w:val="1"/>
                <w:szCs w:val="1"/>
                <w:color w:val="auto"/>
              </w:rPr>
            </w:pPr>
          </w:p>
        </w:tc>
      </w:tr>
      <w:tr>
        <w:trPr>
          <w:trHeight w:val="231"/>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REGN5713-5714-5715</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w w:val="96"/>
              </w:rPr>
              <w:t>–Birch allergy</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("IDMC")</w:t>
            </w:r>
          </w:p>
        </w:tc>
        <w:tc>
          <w:tcPr>
            <w:tcW w:w="0" w:type="dxa"/>
            <w:vAlign w:val="bottom"/>
          </w:tcPr>
          <w:p>
            <w:pPr>
              <w:spacing w:after="0"/>
              <w:rPr>
                <w:sz w:val="1"/>
                <w:szCs w:val="1"/>
                <w:color w:val="auto"/>
              </w:rPr>
            </w:pPr>
          </w:p>
        </w:tc>
      </w:tr>
      <w:tr>
        <w:trPr>
          <w:trHeight w:val="172"/>
        </w:trPr>
        <w:tc>
          <w:tcPr>
            <w:tcW w:w="186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Multi-antibody therapy</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to Bet v 1</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-374650</wp:posOffset>
            </wp:positionV>
            <wp:extent cx="7126605" cy="370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6605" cy="370205"/>
                    </a:xfrm>
                    <a:prstGeom prst="rect">
                      <a:avLst/>
                    </a:prstGeom>
                    <a:noFill/>
                  </pic:spPr>
                </pic:pic>
              </a:graphicData>
            </a:graphic>
          </wp:anchor>
        </w:drawing>
      </w:r>
    </w:p>
    <w:p>
      <w:pPr>
        <w:spacing w:after="0" w:line="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Solid Organ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-126365</wp:posOffset>
            </wp:positionV>
            <wp:extent cx="7126605"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6605"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1152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25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–Report results from</w:t>
      </w:r>
    </w:p>
    <w:p>
      <w:pPr>
        <w:ind w:right="100"/>
        <w:spacing w:after="0" w:line="222" w:lineRule="auto"/>
        <w:rPr>
          <w:sz w:val="20"/>
          <w:szCs w:val="20"/>
          <w:color w:val="auto"/>
        </w:rPr>
      </w:pPr>
      <w:r>
        <w:rPr>
          <w:rFonts w:ascii="Times New Roman" w:cs="Times New Roman" w:eastAsia="Times New Roman" w:hAnsi="Times New Roman"/>
          <w:sz w:val="18"/>
          <w:szCs w:val="18"/>
          <w:color w:val="auto"/>
        </w:rPr>
        <w:t>Phase 3 study in COPD (2025)</w:t>
      </w:r>
    </w:p>
    <w:p>
      <w:pPr>
        <w:spacing w:after="0" w:line="1409" w:lineRule="exact"/>
        <w:rPr>
          <w:sz w:val="20"/>
          <w:szCs w:val="20"/>
          <w:color w:val="auto"/>
        </w:rPr>
      </w:pPr>
    </w:p>
    <w:p>
      <w:pPr>
        <w:sectPr>
          <w:pgSz w:w="11900" w:h="16838" w:orient="portrait"/>
          <w:cols w:equalWidth="0" w:num="2">
            <w:col w:w="9340" w:space="100"/>
            <w:col w:w="1760"/>
          </w:cols>
          <w:pgMar w:left="320" w:top="364" w:right="37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Libtayo (cemiplimab)</w:t>
            </w:r>
          </w:p>
        </w:tc>
        <w:tc>
          <w:tcPr>
            <w:tcW w:w="1240" w:type="dxa"/>
            <w:vAlign w:val="bottom"/>
          </w:tcPr>
          <w:p>
            <w:pPr>
              <w:spacing w:after="0"/>
              <w:rPr>
                <w:sz w:val="17"/>
                <w:szCs w:val="17"/>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–Neoadjuvant</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–Adjuvant CSCC</w:t>
            </w:r>
          </w:p>
        </w:tc>
        <w:tc>
          <w:tcPr>
            <w:tcW w:w="0" w:type="dxa"/>
            <w:vAlign w:val="bottom"/>
          </w:tcPr>
          <w:p>
            <w:pPr>
              <w:spacing w:after="0"/>
              <w:rPr>
                <w:sz w:val="1"/>
                <w:szCs w:val="1"/>
                <w:color w:val="auto"/>
              </w:rPr>
            </w:pPr>
          </w:p>
        </w:tc>
      </w:tr>
      <w:tr>
        <w:trPr>
          <w:trHeight w:val="112"/>
        </w:trPr>
        <w:tc>
          <w:tcPr>
            <w:tcW w:w="1740" w:type="dxa"/>
            <w:vAlign w:val="bottom"/>
          </w:tcPr>
          <w:p>
            <w:pPr>
              <w:spacing w:after="0" w:line="112" w:lineRule="exact"/>
              <w:rPr>
                <w:sz w:val="20"/>
                <w:szCs w:val="20"/>
                <w:color w:val="auto"/>
              </w:rPr>
            </w:pPr>
            <w:r>
              <w:rPr>
                <w:rFonts w:ascii="Times New Roman" w:cs="Times New Roman" w:eastAsia="Times New Roman" w:hAnsi="Times New Roman"/>
                <w:sz w:val="11"/>
                <w:szCs w:val="11"/>
                <w:b w:val="1"/>
                <w:bCs w:val="1"/>
                <w:color w:val="auto"/>
              </w:rPr>
              <w:t>(g)</w:t>
            </w:r>
          </w:p>
        </w:tc>
        <w:tc>
          <w:tcPr>
            <w:tcW w:w="1240" w:type="dxa"/>
            <w:vAlign w:val="bottom"/>
          </w:tcPr>
          <w:p>
            <w:pPr>
              <w:spacing w:after="0"/>
              <w:rPr>
                <w:sz w:val="9"/>
                <w:szCs w:val="9"/>
                <w:color w:val="auto"/>
              </w:rPr>
            </w:pP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CSCC</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Antibody to PD-1</w:t>
            </w:r>
          </w:p>
        </w:tc>
        <w:tc>
          <w:tcPr>
            <w:tcW w:w="12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74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17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–First-line</w:t>
            </w: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1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NSCLC,</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4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BNT116</w:t>
            </w:r>
            <w:r>
              <w:rPr>
                <w:rFonts w:ascii="Times New Roman" w:cs="Times New Roman" w:eastAsia="Times New Roman" w:hAnsi="Times New Roman"/>
                <w:sz w:val="20"/>
                <w:szCs w:val="20"/>
                <w:color w:val="auto"/>
                <w:vertAlign w:val="superscript"/>
              </w:rPr>
              <w:t>(r)</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Fianlimab</w:t>
            </w:r>
            <w:r>
              <w:rPr>
                <w:rFonts w:ascii="Times New Roman" w:cs="Times New Roman" w:eastAsia="Times New Roman" w:hAnsi="Times New Roman"/>
                <w:sz w:val="22"/>
                <w:szCs w:val="22"/>
                <w:b w:val="1"/>
                <w:bCs w:val="1"/>
                <w:color w:val="auto"/>
                <w:vertAlign w:val="superscript"/>
              </w:rPr>
              <w:t>(f)</w:t>
            </w:r>
          </w:p>
        </w:tc>
        <w:tc>
          <w:tcPr>
            <w:tcW w:w="1240" w:type="dxa"/>
            <w:vAlign w:val="bottom"/>
          </w:tcPr>
          <w:p>
            <w:pPr>
              <w:spacing w:after="0"/>
              <w:rPr>
                <w:sz w:val="19"/>
                <w:szCs w:val="19"/>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combination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40" w:type="dxa"/>
            <w:vAlign w:val="bottom"/>
            <w:vMerge w:val="continue"/>
          </w:tcPr>
          <w:p>
            <w:pPr>
              <w:spacing w:after="0"/>
              <w:rPr>
                <w:sz w:val="15"/>
                <w:szCs w:val="15"/>
                <w:color w:val="auto"/>
              </w:rPr>
            </w:pPr>
          </w:p>
        </w:tc>
        <w:tc>
          <w:tcPr>
            <w:tcW w:w="1240" w:type="dxa"/>
            <w:vAlign w:val="bottom"/>
          </w:tcPr>
          <w:p>
            <w:pPr>
              <w:ind w:left="100"/>
              <w:spacing w:after="0" w:line="183" w:lineRule="exact"/>
              <w:rPr>
                <w:sz w:val="20"/>
                <w:szCs w:val="20"/>
                <w:color w:val="auto"/>
              </w:rPr>
            </w:pPr>
            <w:r>
              <w:rPr>
                <w:rFonts w:ascii="Times New Roman" w:cs="Times New Roman" w:eastAsia="Times New Roman" w:hAnsi="Times New Roman"/>
                <w:sz w:val="18"/>
                <w:szCs w:val="18"/>
                <w:color w:val="auto"/>
              </w:rPr>
              <w:t>–Solid tumors</w:t>
            </w:r>
          </w:p>
        </w:tc>
        <w:tc>
          <w:tcPr>
            <w:tcW w:w="1540" w:type="dxa"/>
            <w:vAlign w:val="bottom"/>
          </w:tcPr>
          <w:p>
            <w:pPr>
              <w:ind w:left="160"/>
              <w:spacing w:after="0" w:line="183" w:lineRule="exact"/>
              <w:rPr>
                <w:sz w:val="20"/>
                <w:szCs w:val="20"/>
                <w:color w:val="auto"/>
              </w:rPr>
            </w:pPr>
            <w:r>
              <w:rPr>
                <w:rFonts w:ascii="Times New Roman" w:cs="Times New Roman" w:eastAsia="Times New Roman" w:hAnsi="Times New Roman"/>
                <w:sz w:val="18"/>
                <w:szCs w:val="18"/>
                <w:color w:val="auto"/>
              </w:rPr>
              <w:t>–First-line</w:t>
            </w:r>
          </w:p>
        </w:tc>
        <w:tc>
          <w:tcPr>
            <w:tcW w:w="1500" w:type="dxa"/>
            <w:vAlign w:val="bottom"/>
          </w:tcPr>
          <w:p>
            <w:pPr>
              <w:ind w:left="100"/>
              <w:spacing w:after="0" w:line="183" w:lineRule="exact"/>
              <w:rPr>
                <w:sz w:val="20"/>
                <w:szCs w:val="20"/>
                <w:color w:val="auto"/>
              </w:rPr>
            </w:pPr>
            <w:r>
              <w:rPr>
                <w:rFonts w:ascii="Times New Roman" w:cs="Times New Roman" w:eastAsia="Times New Roman" w:hAnsi="Times New Roman"/>
                <w:sz w:val="18"/>
                <w:szCs w:val="18"/>
                <w:color w:val="auto"/>
              </w:rPr>
              <w:t>–First-line</w:t>
            </w:r>
          </w:p>
        </w:tc>
        <w:tc>
          <w:tcPr>
            <w:tcW w:w="0" w:type="dxa"/>
            <w:vAlign w:val="bottom"/>
          </w:tcPr>
          <w:p>
            <w:pPr>
              <w:spacing w:after="0"/>
              <w:rPr>
                <w:sz w:val="1"/>
                <w:szCs w:val="1"/>
                <w:color w:val="auto"/>
              </w:rPr>
            </w:pPr>
          </w:p>
        </w:tc>
      </w:tr>
      <w:tr>
        <w:trPr>
          <w:trHeight w:val="179"/>
        </w:trPr>
        <w:tc>
          <w:tcPr>
            <w:tcW w:w="1740" w:type="dxa"/>
            <w:vAlign w:val="bottom"/>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(REGN3767)</w:t>
            </w:r>
          </w:p>
        </w:tc>
        <w:tc>
          <w:tcPr>
            <w:tcW w:w="1240" w:type="dxa"/>
            <w:vAlign w:val="bottom"/>
          </w:tcPr>
          <w:p>
            <w:pPr>
              <w:ind w:left="100"/>
              <w:spacing w:after="0" w:line="179" w:lineRule="exact"/>
              <w:rPr>
                <w:sz w:val="20"/>
                <w:szCs w:val="20"/>
                <w:color w:val="auto"/>
              </w:rPr>
            </w:pPr>
            <w:r>
              <w:rPr>
                <w:rFonts w:ascii="Times New Roman" w:cs="Times New Roman" w:eastAsia="Times New Roman" w:hAnsi="Times New Roman"/>
                <w:sz w:val="18"/>
                <w:szCs w:val="18"/>
                <w:color w:val="auto"/>
              </w:rPr>
              <w:t>and advanced</w:t>
            </w:r>
          </w:p>
        </w:tc>
        <w:tc>
          <w:tcPr>
            <w:tcW w:w="1540" w:type="dxa"/>
            <w:vAlign w:val="bottom"/>
          </w:tcPr>
          <w:p>
            <w:pPr>
              <w:ind w:left="160"/>
              <w:spacing w:after="0" w:line="179" w:lineRule="exact"/>
              <w:rPr>
                <w:sz w:val="20"/>
                <w:szCs w:val="20"/>
                <w:color w:val="auto"/>
              </w:rPr>
            </w:pPr>
            <w:r>
              <w:rPr>
                <w:rFonts w:ascii="Times New Roman" w:cs="Times New Roman" w:eastAsia="Times New Roman" w:hAnsi="Times New Roman"/>
                <w:sz w:val="18"/>
                <w:szCs w:val="18"/>
                <w:color w:val="auto"/>
              </w:rPr>
              <w:t>advanced NSCLC</w:t>
            </w:r>
          </w:p>
        </w:tc>
        <w:tc>
          <w:tcPr>
            <w:tcW w:w="1500" w:type="dxa"/>
            <w:vAlign w:val="bottom"/>
          </w:tcPr>
          <w:p>
            <w:pPr>
              <w:ind w:left="100"/>
              <w:spacing w:after="0" w:line="179" w:lineRule="exact"/>
              <w:rPr>
                <w:sz w:val="20"/>
                <w:szCs w:val="20"/>
                <w:color w:val="auto"/>
              </w:rPr>
            </w:pPr>
            <w:r>
              <w:rPr>
                <w:rFonts w:ascii="Times New Roman" w:cs="Times New Roman" w:eastAsia="Times New Roman" w:hAnsi="Times New Roman"/>
                <w:sz w:val="18"/>
                <w:szCs w:val="18"/>
                <w:color w:val="auto"/>
              </w:rPr>
              <w:t>metastatic</w:t>
            </w:r>
          </w:p>
        </w:tc>
        <w:tc>
          <w:tcPr>
            <w:tcW w:w="0" w:type="dxa"/>
            <w:vAlign w:val="bottom"/>
          </w:tcPr>
          <w:p>
            <w:pPr>
              <w:spacing w:after="0"/>
              <w:rPr>
                <w:sz w:val="1"/>
                <w:szCs w:val="1"/>
                <w:color w:val="auto"/>
              </w:rPr>
            </w:pPr>
          </w:p>
        </w:tc>
      </w:tr>
      <w:tr>
        <w:trPr>
          <w:trHeight w:val="172"/>
        </w:trPr>
        <w:tc>
          <w:tcPr>
            <w:tcW w:w="1740" w:type="dxa"/>
            <w:vAlign w:val="bottom"/>
          </w:tcPr>
          <w:p>
            <w:pPr>
              <w:spacing w:after="0" w:line="172" w:lineRule="exact"/>
              <w:rPr>
                <w:sz w:val="20"/>
                <w:szCs w:val="20"/>
                <w:color w:val="auto"/>
              </w:rPr>
            </w:pPr>
            <w:r>
              <w:rPr>
                <w:rFonts w:ascii="Times New Roman" w:cs="Times New Roman" w:eastAsia="Times New Roman" w:hAnsi="Times New Roman"/>
                <w:sz w:val="18"/>
                <w:szCs w:val="18"/>
                <w:i w:val="1"/>
                <w:iCs w:val="1"/>
                <w:color w:val="auto"/>
              </w:rPr>
              <w:t>Antibody to LAG-3</w:t>
            </w:r>
          </w:p>
        </w:tc>
        <w:tc>
          <w:tcPr>
            <w:tcW w:w="124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rPr>
              <w:t>hematologic</w:t>
            </w:r>
          </w:p>
        </w:tc>
        <w:tc>
          <w:tcPr>
            <w:tcW w:w="1540" w:type="dxa"/>
            <w:vAlign w:val="bottom"/>
          </w:tcPr>
          <w:p>
            <w:pPr>
              <w:ind w:left="160"/>
              <w:spacing w:after="0" w:line="172" w:lineRule="exact"/>
              <w:rPr>
                <w:sz w:val="20"/>
                <w:szCs w:val="20"/>
                <w:color w:val="auto"/>
              </w:rPr>
            </w:pPr>
            <w:r>
              <w:rPr>
                <w:rFonts w:ascii="Times New Roman" w:cs="Times New Roman" w:eastAsia="Times New Roman" w:hAnsi="Times New Roman"/>
                <w:sz w:val="18"/>
                <w:szCs w:val="18"/>
                <w:color w:val="auto"/>
              </w:rPr>
              <w:t>(Phase 2/3)</w:t>
            </w:r>
          </w:p>
        </w:tc>
        <w:tc>
          <w:tcPr>
            <w:tcW w:w="1500" w:type="dxa"/>
            <w:vAlign w:val="bottom"/>
          </w:tcPr>
          <w:p>
            <w:pPr>
              <w:ind w:left="100"/>
              <w:spacing w:after="0" w:line="173" w:lineRule="exact"/>
              <w:rPr>
                <w:sz w:val="20"/>
                <w:szCs w:val="20"/>
                <w:color w:val="auto"/>
              </w:rPr>
            </w:pPr>
            <w:r>
              <w:rPr>
                <w:rFonts w:ascii="Times New Roman" w:cs="Times New Roman" w:eastAsia="Times New Roman" w:hAnsi="Times New Roman"/>
                <w:sz w:val="15"/>
                <w:szCs w:val="15"/>
                <w:color w:val="auto"/>
              </w:rPr>
              <w:t>melanoma</w:t>
            </w:r>
            <w:r>
              <w:rPr>
                <w:rFonts w:ascii="Times New Roman" w:cs="Times New Roman" w:eastAsia="Times New Roman" w:hAnsi="Times New Roman"/>
                <w:sz w:val="19"/>
                <w:szCs w:val="19"/>
                <w:color w:val="auto"/>
                <w:vertAlign w:val="superscript"/>
              </w:rPr>
              <w:t>(e)</w:t>
            </w:r>
          </w:p>
        </w:tc>
        <w:tc>
          <w:tcPr>
            <w:tcW w:w="0" w:type="dxa"/>
            <w:vAlign w:val="bottom"/>
          </w:tcPr>
          <w:p>
            <w:pPr>
              <w:spacing w:after="0"/>
              <w:rPr>
                <w:sz w:val="1"/>
                <w:szCs w:val="1"/>
                <w:color w:val="auto"/>
              </w:rPr>
            </w:pPr>
          </w:p>
        </w:tc>
      </w:tr>
      <w:tr>
        <w:trPr>
          <w:trHeight w:val="231"/>
        </w:trPr>
        <w:tc>
          <w:tcPr>
            <w:tcW w:w="1740" w:type="dxa"/>
            <w:vAlign w:val="bottom"/>
          </w:tcPr>
          <w:p>
            <w:pPr>
              <w:spacing w:after="0"/>
              <w:rPr>
                <w:sz w:val="20"/>
                <w:szCs w:val="20"/>
                <w:color w:val="auto"/>
              </w:rPr>
            </w:pPr>
          </w:p>
        </w:tc>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malignancies</w:t>
            </w: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(pivotal study)</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7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w w:val="97"/>
              </w:rPr>
              <w:t>–First-line adjuvant</w:t>
            </w:r>
          </w:p>
        </w:tc>
        <w:tc>
          <w:tcPr>
            <w:tcW w:w="0" w:type="dxa"/>
            <w:vAlign w:val="bottom"/>
          </w:tcPr>
          <w:p>
            <w:pPr>
              <w:spacing w:after="0"/>
              <w:rPr>
                <w:sz w:val="1"/>
                <w:szCs w:val="1"/>
                <w:color w:val="auto"/>
              </w:rPr>
            </w:pPr>
          </w:p>
        </w:tc>
      </w:tr>
      <w:tr>
        <w:trPr>
          <w:trHeight w:val="231"/>
        </w:trPr>
        <w:tc>
          <w:tcPr>
            <w:tcW w:w="1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melanoma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-748665</wp:posOffset>
            </wp:positionV>
            <wp:extent cx="7126605" cy="34410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6605" cy="3441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EC for</w:t>
      </w:r>
    </w:p>
    <w:p>
      <w:pPr>
        <w:spacing w:after="0" w:line="199" w:lineRule="auto"/>
        <w:rPr>
          <w:sz w:val="20"/>
          <w:szCs w:val="20"/>
          <w:color w:val="auto"/>
        </w:rPr>
      </w:pPr>
      <w:r>
        <w:rPr>
          <w:rFonts w:ascii="Times New Roman" w:cs="Times New Roman" w:eastAsia="Times New Roman" w:hAnsi="Times New Roman"/>
          <w:sz w:val="18"/>
          <w:szCs w:val="18"/>
          <w:color w:val="auto"/>
        </w:rPr>
        <w:t>first-line NSCLC,</w:t>
      </w:r>
    </w:p>
    <w:p>
      <w:pPr>
        <w:spacing w:after="0" w:line="200" w:lineRule="auto"/>
        <w:rPr>
          <w:sz w:val="20"/>
          <w:szCs w:val="20"/>
          <w:color w:val="auto"/>
        </w:rPr>
      </w:pPr>
      <w:r>
        <w:rPr>
          <w:rFonts w:ascii="Times New Roman" w:cs="Times New Roman" w:eastAsia="Times New Roman" w:hAnsi="Times New Roman"/>
          <w:sz w:val="18"/>
          <w:szCs w:val="18"/>
          <w:color w:val="auto"/>
        </w:rPr>
        <w:t>chemotherapy</w:t>
      </w:r>
    </w:p>
    <w:p>
      <w:pPr>
        <w:spacing w:after="0"/>
        <w:rPr>
          <w:sz w:val="20"/>
          <w:szCs w:val="20"/>
          <w:color w:val="auto"/>
        </w:rPr>
      </w:pPr>
      <w:r>
        <w:rPr>
          <w:rFonts w:ascii="Times New Roman" w:cs="Times New Roman" w:eastAsia="Times New Roman" w:hAnsi="Times New Roman"/>
          <w:sz w:val="18"/>
          <w:szCs w:val="18"/>
          <w:color w:val="auto"/>
        </w:rPr>
        <w:t>combination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–Presented positive data</w:t>
      </w:r>
    </w:p>
    <w:p>
      <w:pPr>
        <w:spacing w:after="0" w:line="211" w:lineRule="auto"/>
        <w:rPr>
          <w:sz w:val="20"/>
          <w:szCs w:val="20"/>
          <w:color w:val="auto"/>
        </w:rPr>
      </w:pPr>
      <w:r>
        <w:rPr>
          <w:rFonts w:ascii="Times New Roman" w:cs="Times New Roman" w:eastAsia="Times New Roman" w:hAnsi="Times New Roman"/>
          <w:sz w:val="18"/>
          <w:szCs w:val="18"/>
          <w:color w:val="auto"/>
        </w:rPr>
        <w:t>from Phase 1 trial (in</w:t>
      </w:r>
    </w:p>
    <w:p>
      <w:pPr>
        <w:spacing w:after="0" w:line="200" w:lineRule="auto"/>
        <w:rPr>
          <w:sz w:val="20"/>
          <w:szCs w:val="20"/>
          <w:color w:val="auto"/>
        </w:rPr>
      </w:pPr>
      <w:r>
        <w:rPr>
          <w:rFonts w:ascii="Times New Roman" w:cs="Times New Roman" w:eastAsia="Times New Roman" w:hAnsi="Times New Roman"/>
          <w:sz w:val="18"/>
          <w:szCs w:val="18"/>
          <w:color w:val="auto"/>
        </w:rPr>
        <w:t>combination with</w:t>
      </w:r>
    </w:p>
    <w:p>
      <w:pPr>
        <w:spacing w:after="0" w:line="215" w:lineRule="auto"/>
        <w:rPr>
          <w:sz w:val="20"/>
          <w:szCs w:val="20"/>
          <w:color w:val="auto"/>
        </w:rPr>
      </w:pPr>
      <w:r>
        <w:rPr>
          <w:rFonts w:ascii="Times New Roman" w:cs="Times New Roman" w:eastAsia="Times New Roman" w:hAnsi="Times New Roman"/>
          <w:sz w:val="18"/>
          <w:szCs w:val="18"/>
          <w:color w:val="auto"/>
        </w:rPr>
        <w:t>Libtayo) in advanced</w:t>
      </w:r>
    </w:p>
    <w:p>
      <w:pPr>
        <w:spacing w:after="0" w:line="199" w:lineRule="auto"/>
        <w:rPr>
          <w:sz w:val="20"/>
          <w:szCs w:val="20"/>
          <w:color w:val="auto"/>
        </w:rPr>
      </w:pPr>
      <w:r>
        <w:rPr>
          <w:rFonts w:ascii="Times New Roman" w:cs="Times New Roman" w:eastAsia="Times New Roman" w:hAnsi="Times New Roman"/>
          <w:sz w:val="18"/>
          <w:szCs w:val="18"/>
          <w:color w:val="auto"/>
        </w:rPr>
        <w:t>melanoma at 2023</w:t>
      </w:r>
    </w:p>
    <w:p>
      <w:pPr>
        <w:spacing w:after="0" w:line="200" w:lineRule="auto"/>
        <w:rPr>
          <w:sz w:val="20"/>
          <w:szCs w:val="20"/>
          <w:color w:val="auto"/>
        </w:rPr>
      </w:pPr>
      <w:r>
        <w:rPr>
          <w:rFonts w:ascii="Times New Roman" w:cs="Times New Roman" w:eastAsia="Times New Roman" w:hAnsi="Times New Roman"/>
          <w:sz w:val="18"/>
          <w:szCs w:val="18"/>
          <w:color w:val="auto"/>
        </w:rPr>
        <w:t>American Society of</w:t>
      </w:r>
    </w:p>
    <w:p>
      <w:pPr>
        <w:spacing w:after="0" w:line="215" w:lineRule="auto"/>
        <w:rPr>
          <w:sz w:val="20"/>
          <w:szCs w:val="20"/>
          <w:color w:val="auto"/>
        </w:rPr>
      </w:pPr>
      <w:r>
        <w:rPr>
          <w:rFonts w:ascii="Times New Roman" w:cs="Times New Roman" w:eastAsia="Times New Roman" w:hAnsi="Times New Roman"/>
          <w:sz w:val="18"/>
          <w:szCs w:val="18"/>
          <w:color w:val="auto"/>
        </w:rPr>
        <w:t>Clinical Oncology</w:t>
      </w:r>
    </w:p>
    <w:p>
      <w:pPr>
        <w:spacing w:after="0" w:line="200" w:lineRule="auto"/>
        <w:rPr>
          <w:sz w:val="20"/>
          <w:szCs w:val="20"/>
          <w:color w:val="auto"/>
        </w:rPr>
      </w:pPr>
      <w:r>
        <w:rPr>
          <w:rFonts w:ascii="Times New Roman" w:cs="Times New Roman" w:eastAsia="Times New Roman" w:hAnsi="Times New Roman"/>
          <w:sz w:val="18"/>
          <w:szCs w:val="18"/>
          <w:color w:val="auto"/>
        </w:rPr>
        <w:t>("ASCO") Annual</w:t>
      </w: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interim</w:t>
      </w:r>
    </w:p>
    <w:p>
      <w:pPr>
        <w:ind w:right="40"/>
        <w:spacing w:after="0" w:line="227" w:lineRule="auto"/>
        <w:rPr>
          <w:sz w:val="20"/>
          <w:szCs w:val="20"/>
          <w:color w:val="auto"/>
        </w:rPr>
      </w:pPr>
      <w:r>
        <w:rPr>
          <w:rFonts w:ascii="Times New Roman" w:cs="Times New Roman" w:eastAsia="Times New Roman" w:hAnsi="Times New Roman"/>
          <w:sz w:val="17"/>
          <w:szCs w:val="17"/>
          <w:color w:val="auto"/>
        </w:rPr>
        <w:t>analysis from Phase 3 study in adjuvant CSCC (second half 2024)</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–Initiate potentially</w:t>
      </w:r>
    </w:p>
    <w:p>
      <w:pPr>
        <w:spacing w:after="0" w:line="216" w:lineRule="auto"/>
        <w:rPr>
          <w:sz w:val="20"/>
          <w:szCs w:val="20"/>
          <w:color w:val="auto"/>
        </w:rPr>
      </w:pPr>
      <w:r>
        <w:rPr>
          <w:rFonts w:ascii="Times New Roman" w:cs="Times New Roman" w:eastAsia="Times New Roman" w:hAnsi="Times New Roman"/>
          <w:sz w:val="17"/>
          <w:szCs w:val="17"/>
          <w:color w:val="auto"/>
        </w:rPr>
        <w:t>pivotal Phase 2 study (in combination with Libtayo) in perioperative</w:t>
      </w:r>
    </w:p>
    <w:p>
      <w:pPr>
        <w:spacing w:after="0" w:line="2" w:lineRule="exact"/>
        <w:rPr>
          <w:sz w:val="20"/>
          <w:szCs w:val="20"/>
          <w:color w:val="auto"/>
        </w:rPr>
      </w:pPr>
    </w:p>
    <w:p>
      <w:pPr>
        <w:ind w:right="320"/>
        <w:spacing w:after="0" w:line="222" w:lineRule="auto"/>
        <w:rPr>
          <w:sz w:val="20"/>
          <w:szCs w:val="20"/>
          <w:color w:val="auto"/>
        </w:rPr>
      </w:pPr>
      <w:r>
        <w:rPr>
          <w:rFonts w:ascii="Times New Roman" w:cs="Times New Roman" w:eastAsia="Times New Roman" w:hAnsi="Times New Roman"/>
          <w:sz w:val="18"/>
          <w:szCs w:val="18"/>
          <w:color w:val="auto"/>
        </w:rPr>
        <w:t>melanoma (first half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–Initiate Phase 2 study</w:t>
      </w:r>
    </w:p>
    <w:p>
      <w:pPr>
        <w:spacing w:after="0" w:line="227" w:lineRule="auto"/>
        <w:rPr>
          <w:sz w:val="20"/>
          <w:szCs w:val="20"/>
          <w:color w:val="auto"/>
        </w:rPr>
      </w:pPr>
      <w:r>
        <w:rPr>
          <w:rFonts w:ascii="Times New Roman" w:cs="Times New Roman" w:eastAsia="Times New Roman" w:hAnsi="Times New Roman"/>
          <w:sz w:val="17"/>
          <w:szCs w:val="17"/>
          <w:color w:val="auto"/>
        </w:rPr>
        <w:t>(in combination with Libtayo) in perioperative NSCLC (first half 2024)</w:t>
      </w:r>
    </w:p>
    <w:p>
      <w:pPr>
        <w:spacing w:after="0" w:line="194"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–Initiate Phase 2 study (in combination with Libtayo) in perioperative</w:t>
      </w:r>
    </w:p>
    <w:p>
      <w:pPr>
        <w:spacing w:after="0" w:line="235" w:lineRule="auto"/>
        <w:rPr>
          <w:sz w:val="20"/>
          <w:szCs w:val="20"/>
          <w:color w:val="auto"/>
        </w:rPr>
      </w:pPr>
      <w:r>
        <w:rPr>
          <w:rFonts w:ascii="Times New Roman" w:cs="Times New Roman" w:eastAsia="Times New Roman" w:hAnsi="Times New Roman"/>
          <w:sz w:val="17"/>
          <w:szCs w:val="17"/>
          <w:color w:val="auto"/>
        </w:rPr>
        <w:t>head and neck squamous cell carcinoma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potentially</w:t>
      </w:r>
    </w:p>
    <w:p>
      <w:pPr>
        <w:ind w:right="80"/>
        <w:spacing w:after="0" w:line="204" w:lineRule="auto"/>
        <w:rPr>
          <w:sz w:val="20"/>
          <w:szCs w:val="20"/>
          <w:color w:val="auto"/>
        </w:rPr>
      </w:pPr>
      <w:r>
        <w:rPr>
          <w:rFonts w:ascii="Times New Roman" w:cs="Times New Roman" w:eastAsia="Times New Roman" w:hAnsi="Times New Roman"/>
          <w:sz w:val="18"/>
          <w:szCs w:val="18"/>
          <w:color w:val="auto"/>
        </w:rPr>
        <w:t>pivotal initial results from Phase 2/3 study in first-line metastatic</w:t>
      </w:r>
    </w:p>
    <w:p>
      <w:pPr>
        <w:spacing w:after="0" w:line="2"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melanoma (second half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 initial data from</w:t>
      </w:r>
    </w:p>
    <w:p>
      <w:pPr>
        <w:spacing w:after="0" w:line="10" w:lineRule="exact"/>
        <w:rPr>
          <w:sz w:val="20"/>
          <w:szCs w:val="20"/>
          <w:color w:val="auto"/>
        </w:rPr>
      </w:pPr>
    </w:p>
    <w:p>
      <w:pPr>
        <w:jc w:val="both"/>
        <w:ind w:right="80"/>
        <w:spacing w:after="0" w:line="227" w:lineRule="auto"/>
        <w:rPr>
          <w:sz w:val="20"/>
          <w:szCs w:val="20"/>
          <w:color w:val="auto"/>
        </w:rPr>
      </w:pPr>
      <w:r>
        <w:rPr>
          <w:rFonts w:ascii="Times New Roman" w:cs="Times New Roman" w:eastAsia="Times New Roman" w:hAnsi="Times New Roman"/>
          <w:sz w:val="17"/>
          <w:szCs w:val="17"/>
          <w:color w:val="auto"/>
        </w:rPr>
        <w:t>Phase 2/3 study in first-line advanced NSCLC (second half 2024)</w:t>
      </w:r>
    </w:p>
    <w:p>
      <w:pPr>
        <w:spacing w:after="0" w:line="1" w:lineRule="exact"/>
        <w:rPr>
          <w:sz w:val="20"/>
          <w:szCs w:val="20"/>
          <w:color w:val="auto"/>
        </w:rPr>
      </w:pPr>
    </w:p>
    <w:p>
      <w:pPr>
        <w:sectPr>
          <w:pgSz w:w="11900" w:h="16838" w:orient="portrait"/>
          <w:cols w:equalWidth="0" w:num="3">
            <w:col w:w="6800" w:space="720"/>
            <w:col w:w="1720" w:space="200"/>
            <w:col w:w="1760"/>
          </w:cols>
          <w:pgMar w:left="320" w:top="364" w:right="379" w:bottom="1440" w:gutter="0" w:footer="0" w:header="0"/>
          <w:type w:val="continuous"/>
        </w:sectPr>
      </w:pPr>
    </w:p>
    <w:p>
      <w:pPr>
        <w:ind w:left="40"/>
        <w:spacing w:after="0" w:line="232" w:lineRule="auto"/>
        <w:tabs>
          <w:tab w:leader="none" w:pos="3160" w:val="left"/>
        </w:tabs>
        <w:rPr>
          <w:sz w:val="20"/>
          <w:szCs w:val="20"/>
          <w:color w:val="auto"/>
        </w:rPr>
      </w:pPr>
      <w:r>
        <w:rPr>
          <w:rFonts w:ascii="Times New Roman" w:cs="Times New Roman" w:eastAsia="Times New Roman" w:hAnsi="Times New Roman"/>
          <w:sz w:val="18"/>
          <w:szCs w:val="18"/>
          <w:b w:val="1"/>
          <w:bCs w:val="1"/>
          <w:color w:val="auto"/>
        </w:rPr>
        <w:t>Vidutolimod</w:t>
      </w:r>
      <w:r>
        <w:rPr>
          <w:sz w:val="20"/>
          <w:szCs w:val="20"/>
          <w:color w:val="auto"/>
        </w:rPr>
        <w:tab/>
      </w:r>
      <w:r>
        <w:rPr>
          <w:rFonts w:ascii="Times New Roman" w:cs="Times New Roman" w:eastAsia="Times New Roman" w:hAnsi="Times New Roman"/>
          <w:sz w:val="18"/>
          <w:szCs w:val="18"/>
          <w:color w:val="auto"/>
        </w:rPr>
        <w:t>–Solid tumors</w:t>
      </w:r>
    </w:p>
    <w:p>
      <w:pPr>
        <w:ind w:left="40"/>
        <w:spacing w:after="0" w:line="200" w:lineRule="auto"/>
        <w:rPr>
          <w:sz w:val="20"/>
          <w:szCs w:val="20"/>
          <w:color w:val="auto"/>
        </w:rPr>
      </w:pPr>
      <w:r>
        <w:rPr>
          <w:rFonts w:ascii="Times New Roman" w:cs="Times New Roman" w:eastAsia="Times New Roman" w:hAnsi="Times New Roman"/>
          <w:sz w:val="18"/>
          <w:szCs w:val="18"/>
          <w:i w:val="1"/>
          <w:iCs w:val="1"/>
          <w:color w:val="auto"/>
        </w:rPr>
        <w:t>Immune activator</w:t>
      </w:r>
    </w:p>
    <w:p>
      <w:pPr>
        <w:ind w:left="40"/>
        <w:spacing w:after="0"/>
        <w:rPr>
          <w:sz w:val="20"/>
          <w:szCs w:val="20"/>
          <w:color w:val="auto"/>
        </w:rPr>
      </w:pPr>
      <w:r>
        <w:rPr>
          <w:rFonts w:ascii="Times New Roman" w:cs="Times New Roman" w:eastAsia="Times New Roman" w:hAnsi="Times New Roman"/>
          <w:sz w:val="18"/>
          <w:szCs w:val="18"/>
          <w:i w:val="1"/>
          <w:iCs w:val="1"/>
          <w:color w:val="auto"/>
        </w:rPr>
        <w:t>targeting TLR9</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242570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4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2023 and 2024</w:t>
            </w:r>
          </w:p>
        </w:tc>
        <w:tc>
          <w:tcPr>
            <w:tcW w:w="18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5"/>
        </w:trPr>
        <w:tc>
          <w:tcPr>
            <w:tcW w:w="18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30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300" w:type="dxa"/>
            <w:vAlign w:val="bottom"/>
            <w:gridSpan w:val="2"/>
          </w:tcPr>
          <w:p>
            <w:pPr>
              <w:jc w:val="center"/>
              <w:ind w:right="80"/>
              <w:spacing w:after="0" w:line="236" w:lineRule="exact"/>
              <w:rPr>
                <w:sz w:val="20"/>
                <w:szCs w:val="20"/>
                <w:color w:val="auto"/>
              </w:rPr>
            </w:pPr>
            <w:r>
              <w:rPr>
                <w:rFonts w:ascii="Times New Roman" w:cs="Times New Roman" w:eastAsia="Times New Roman" w:hAnsi="Times New Roman"/>
                <w:sz w:val="18"/>
                <w:szCs w:val="18"/>
                <w:b w:val="1"/>
                <w:bCs w:val="1"/>
                <w:color w:val="auto"/>
                <w:w w:val="94"/>
              </w:rPr>
              <w:t>Review</w:t>
            </w:r>
            <w:r>
              <w:rPr>
                <w:rFonts w:ascii="Times New Roman" w:cs="Times New Roman" w:eastAsia="Times New Roman" w:hAnsi="Times New Roman"/>
                <w:sz w:val="22"/>
                <w:szCs w:val="22"/>
                <w:b w:val="1"/>
                <w:bCs w:val="1"/>
                <w:color w:val="auto"/>
                <w:w w:val="94"/>
                <w:vertAlign w:val="superscript"/>
              </w:rPr>
              <w:t>(h)</w:t>
            </w:r>
          </w:p>
        </w:tc>
        <w:tc>
          <w:tcPr>
            <w:tcW w:w="19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2"/>
        </w:trPr>
        <w:tc>
          <w:tcPr>
            <w:tcW w:w="178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Ubamatamab</w:t>
            </w:r>
            <w:r>
              <w:rPr>
                <w:rFonts w:ascii="Times New Roman" w:cs="Times New Roman" w:eastAsia="Times New Roman" w:hAnsi="Times New Roman"/>
                <w:sz w:val="19"/>
                <w:szCs w:val="19"/>
                <w:b w:val="1"/>
                <w:bCs w:val="1"/>
                <w:color w:val="auto"/>
                <w:vertAlign w:val="superscript"/>
              </w:rPr>
              <w:t>(f)</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w w:val="99"/>
              </w:rPr>
              <w:t>–Platinum-resistant</w:t>
            </w:r>
          </w:p>
        </w:tc>
        <w:tc>
          <w:tcPr>
            <w:tcW w:w="6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–Presented results from</w:t>
            </w: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ovarian cancer</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Phase 1/2 study (in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combination with</w:t>
            </w: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Libtayo) in platinum-</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CD3</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resistant ovarian cancer</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at European Society for</w:t>
            </w: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Medical Oncology</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("ESMO") Congress</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REGN5668</w:t>
            </w:r>
            <w:r>
              <w:rPr>
                <w:rFonts w:ascii="Times New Roman" w:cs="Times New Roman" w:eastAsia="Times New Roman" w:hAnsi="Times New Roman"/>
                <w:sz w:val="20"/>
                <w:szCs w:val="20"/>
                <w:b w:val="1"/>
                <w:bCs w:val="1"/>
                <w:color w:val="auto"/>
                <w:vertAlign w:val="superscript"/>
              </w:rPr>
              <w:t>(n)</w:t>
            </w:r>
          </w:p>
        </w:tc>
        <w:tc>
          <w:tcPr>
            <w:tcW w:w="130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–Platinum-</w:t>
            </w: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resistant ovarian</w:t>
            </w: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6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30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cancer</w:t>
            </w: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REGN5678</w:t>
            </w:r>
          </w:p>
        </w:tc>
        <w:tc>
          <w:tcPr>
            <w:tcW w:w="130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–Prostate cancer</w:t>
            </w: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–Discontinued</w:t>
            </w:r>
          </w:p>
        </w:tc>
        <w:tc>
          <w:tcPr>
            <w:tcW w:w="182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–Initiate cohorts in</w:t>
            </w:r>
          </w:p>
        </w:tc>
        <w:tc>
          <w:tcPr>
            <w:tcW w:w="0" w:type="dxa"/>
            <w:vAlign w:val="bottom"/>
          </w:tcPr>
          <w:p>
            <w:pPr>
              <w:spacing w:after="0"/>
              <w:rPr>
                <w:sz w:val="1"/>
                <w:szCs w:val="1"/>
                <w:color w:val="auto"/>
              </w:rPr>
            </w:pPr>
          </w:p>
        </w:tc>
      </w:tr>
      <w:tr>
        <w:trPr>
          <w:trHeight w:val="179"/>
        </w:trPr>
        <w:tc>
          <w:tcPr>
            <w:tcW w:w="18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enrollment in cohorts in</w:t>
            </w:r>
          </w:p>
        </w:tc>
        <w:tc>
          <w:tcPr>
            <w:tcW w:w="18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combination with</w:t>
            </w:r>
          </w:p>
        </w:tc>
        <w:tc>
          <w:tcPr>
            <w:tcW w:w="0" w:type="dxa"/>
            <w:vAlign w:val="bottom"/>
          </w:tcPr>
          <w:p>
            <w:pPr>
              <w:spacing w:after="0"/>
              <w:rPr>
                <w:sz w:val="1"/>
                <w:szCs w:val="1"/>
                <w:color w:val="auto"/>
              </w:rPr>
            </w:pPr>
          </w:p>
        </w:tc>
      </w:tr>
      <w:tr>
        <w:trPr>
          <w:trHeight w:val="172"/>
        </w:trPr>
        <w:tc>
          <w:tcPr>
            <w:tcW w:w="18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combination with full-</w:t>
            </w:r>
          </w:p>
        </w:tc>
        <w:tc>
          <w:tcPr>
            <w:tcW w:w="18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8"/>
              </w:rPr>
              <w:t>REGN4336 in metastatic</w:t>
            </w:r>
          </w:p>
        </w:tc>
        <w:tc>
          <w:tcPr>
            <w:tcW w:w="0" w:type="dxa"/>
            <w:vAlign w:val="bottom"/>
          </w:tcPr>
          <w:p>
            <w:pPr>
              <w:spacing w:after="0"/>
              <w:rPr>
                <w:sz w:val="1"/>
                <w:szCs w:val="1"/>
                <w:color w:val="auto"/>
              </w:rPr>
            </w:pPr>
          </w:p>
        </w:tc>
      </w:tr>
      <w:tr>
        <w:trPr>
          <w:trHeight w:val="180"/>
        </w:trPr>
        <w:tc>
          <w:tcPr>
            <w:tcW w:w="18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dose Libtayo</w:t>
            </w: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castration-resistant</w:t>
            </w:r>
          </w:p>
        </w:tc>
        <w:tc>
          <w:tcPr>
            <w:tcW w:w="0" w:type="dxa"/>
            <w:vAlign w:val="bottom"/>
          </w:tcPr>
          <w:p>
            <w:pPr>
              <w:spacing w:after="0"/>
              <w:rPr>
                <w:sz w:val="1"/>
                <w:szCs w:val="1"/>
                <w:color w:val="auto"/>
              </w:rPr>
            </w:pPr>
          </w:p>
        </w:tc>
      </w:tr>
      <w:tr>
        <w:trPr>
          <w:trHeight w:val="177"/>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(cemiplimab)</w:t>
            </w:r>
          </w:p>
        </w:tc>
        <w:tc>
          <w:tcPr>
            <w:tcW w:w="18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w w:val="98"/>
              </w:rPr>
              <w:t>prostate cancer (first half</w:t>
            </w:r>
          </w:p>
        </w:tc>
        <w:tc>
          <w:tcPr>
            <w:tcW w:w="0" w:type="dxa"/>
            <w:vAlign w:val="bottom"/>
          </w:tcPr>
          <w:p>
            <w:pPr>
              <w:spacing w:after="0"/>
              <w:rPr>
                <w:sz w:val="1"/>
                <w:szCs w:val="1"/>
                <w:color w:val="auto"/>
              </w:rPr>
            </w:pPr>
          </w:p>
        </w:tc>
      </w:tr>
      <w:tr>
        <w:trPr>
          <w:trHeight w:val="231"/>
        </w:trPr>
        <w:tc>
          <w:tcPr>
            <w:tcW w:w="1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79"/>
        </w:trPr>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–Expanded enrollment in</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monotherapy cohort</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REGN4336</w:t>
            </w:r>
          </w:p>
        </w:tc>
        <w:tc>
          <w:tcPr>
            <w:tcW w:w="130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–Prostate cancer</w:t>
            </w: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6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targeting PSMA and</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Davutamig</w:t>
            </w:r>
          </w:p>
        </w:tc>
        <w:tc>
          <w:tcPr>
            <w:tcW w:w="130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–MET-altered</w:t>
            </w: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(REGN5093)</w:t>
            </w:r>
          </w:p>
        </w:tc>
        <w:tc>
          <w:tcPr>
            <w:tcW w:w="130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advanced</w:t>
            </w: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NSCLC</w:t>
            </w:r>
          </w:p>
        </w:tc>
        <w:tc>
          <w:tcPr>
            <w:tcW w:w="1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MET epitopes</w:t>
            </w: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REGN5093-M114</w:t>
            </w:r>
          </w:p>
        </w:tc>
        <w:tc>
          <w:tcPr>
            <w:tcW w:w="130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–MET</w:t>
            </w: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overexpressing</w:t>
            </w: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86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drug conjugate</w:t>
            </w:r>
          </w:p>
        </w:tc>
        <w:tc>
          <w:tcPr>
            <w:tcW w:w="130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advanced cancer</w:t>
            </w: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i w:val="1"/>
                <w:iCs w:val="1"/>
                <w:color w:val="auto"/>
              </w:rPr>
              <w:t>targeting two distinct</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MET epitopes</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REGN6569</w:t>
            </w:r>
          </w:p>
        </w:tc>
        <w:tc>
          <w:tcPr>
            <w:tcW w:w="130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–Solid tumors</w:t>
            </w:r>
          </w:p>
        </w:tc>
        <w:tc>
          <w:tcPr>
            <w:tcW w:w="1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GITR</w:t>
            </w: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8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REGN7075</w:t>
            </w:r>
          </w:p>
        </w:tc>
        <w:tc>
          <w:tcPr>
            <w:tcW w:w="130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–Solid tumors</w:t>
            </w: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–Initiate dose-expansion</w:t>
            </w:r>
          </w:p>
        </w:tc>
        <w:tc>
          <w:tcPr>
            <w:tcW w:w="0" w:type="dxa"/>
            <w:vAlign w:val="bottom"/>
          </w:tcPr>
          <w:p>
            <w:pPr>
              <w:spacing w:after="0"/>
              <w:rPr>
                <w:sz w:val="1"/>
                <w:szCs w:val="1"/>
                <w:color w:val="auto"/>
              </w:rPr>
            </w:pPr>
          </w:p>
        </w:tc>
      </w:tr>
      <w:tr>
        <w:trPr>
          <w:trHeight w:val="179"/>
        </w:trPr>
        <w:tc>
          <w:tcPr>
            <w:tcW w:w="18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cohorts (in combination</w:t>
            </w:r>
          </w:p>
        </w:tc>
        <w:tc>
          <w:tcPr>
            <w:tcW w:w="0" w:type="dxa"/>
            <w:vAlign w:val="bottom"/>
          </w:tcPr>
          <w:p>
            <w:pPr>
              <w:spacing w:after="0"/>
              <w:rPr>
                <w:sz w:val="1"/>
                <w:szCs w:val="1"/>
                <w:color w:val="auto"/>
              </w:rPr>
            </w:pPr>
          </w:p>
        </w:tc>
      </w:tr>
      <w:tr>
        <w:trPr>
          <w:trHeight w:val="172"/>
        </w:trPr>
        <w:tc>
          <w:tcPr>
            <w:tcW w:w="186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targeting EGFR and</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with Libtayo) in EGFR-</w:t>
            </w:r>
          </w:p>
        </w:tc>
        <w:tc>
          <w:tcPr>
            <w:tcW w:w="0" w:type="dxa"/>
            <w:vAlign w:val="bottom"/>
          </w:tcPr>
          <w:p>
            <w:pPr>
              <w:spacing w:after="0"/>
              <w:rPr>
                <w:sz w:val="1"/>
                <w:szCs w:val="1"/>
                <w:color w:val="auto"/>
              </w:rPr>
            </w:pPr>
          </w:p>
        </w:tc>
      </w:tr>
      <w:tr>
        <w:trPr>
          <w:trHeight w:val="180"/>
        </w:trPr>
        <w:tc>
          <w:tcPr>
            <w:tcW w:w="18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CD28</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high tumors (first half</w:t>
            </w:r>
          </w:p>
        </w:tc>
        <w:tc>
          <w:tcPr>
            <w:tcW w:w="0" w:type="dxa"/>
            <w:vAlign w:val="bottom"/>
          </w:tcPr>
          <w:p>
            <w:pPr>
              <w:spacing w:after="0"/>
              <w:rPr>
                <w:sz w:val="1"/>
                <w:szCs w:val="1"/>
                <w:color w:val="auto"/>
              </w:rPr>
            </w:pPr>
          </w:p>
        </w:tc>
      </w:tr>
      <w:tr>
        <w:trPr>
          <w:trHeight w:val="231"/>
        </w:trPr>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Clinical Program</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6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Regulatory</w:t>
            </w:r>
          </w:p>
        </w:tc>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2023 and 2024</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Select Upcoming</w:t>
            </w:r>
          </w:p>
        </w:tc>
        <w:tc>
          <w:tcPr>
            <w:tcW w:w="0" w:type="dxa"/>
            <w:vAlign w:val="bottom"/>
          </w:tcPr>
          <w:p>
            <w:pPr>
              <w:spacing w:after="0"/>
              <w:rPr>
                <w:sz w:val="1"/>
                <w:szCs w:val="1"/>
                <w:color w:val="auto"/>
              </w:rPr>
            </w:pPr>
          </w:p>
        </w:tc>
      </w:tr>
      <w:tr>
        <w:trPr>
          <w:trHeight w:val="235"/>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7"/>
              </w:rPr>
              <w:t>(continued)</w:t>
            </w:r>
          </w:p>
        </w:tc>
        <w:tc>
          <w:tcPr>
            <w:tcW w:w="1300" w:type="dxa"/>
            <w:vAlign w:val="bottom"/>
            <w:gridSpan w:val="2"/>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680" w:type="dxa"/>
            <w:vAlign w:val="bottom"/>
            <w:gridSpan w:val="3"/>
            <w:vMerge w:val="continue"/>
          </w:tcPr>
          <w:p>
            <w:pPr>
              <w:spacing w:after="0"/>
              <w:rPr>
                <w:sz w:val="20"/>
                <w:szCs w:val="20"/>
                <w:color w:val="auto"/>
              </w:rPr>
            </w:pPr>
          </w:p>
        </w:tc>
        <w:tc>
          <w:tcPr>
            <w:tcW w:w="1360" w:type="dxa"/>
            <w:vAlign w:val="bottom"/>
            <w:gridSpan w:val="2"/>
          </w:tcPr>
          <w:p>
            <w:pPr>
              <w:jc w:val="center"/>
              <w:ind w:right="240"/>
              <w:spacing w:after="0" w:line="236" w:lineRule="exact"/>
              <w:rPr>
                <w:sz w:val="20"/>
                <w:szCs w:val="20"/>
                <w:color w:val="auto"/>
              </w:rPr>
            </w:pPr>
            <w:r>
              <w:rPr>
                <w:rFonts w:ascii="Times New Roman" w:cs="Times New Roman" w:eastAsia="Times New Roman" w:hAnsi="Times New Roman"/>
                <w:sz w:val="18"/>
                <w:szCs w:val="18"/>
                <w:b w:val="1"/>
                <w:bCs w:val="1"/>
                <w:color w:val="auto"/>
                <w:w w:val="91"/>
              </w:rPr>
              <w:t>Review</w:t>
            </w:r>
            <w:r>
              <w:rPr>
                <w:rFonts w:ascii="Times New Roman" w:cs="Times New Roman" w:eastAsia="Times New Roman" w:hAnsi="Times New Roman"/>
                <w:sz w:val="22"/>
                <w:szCs w:val="22"/>
                <w:b w:val="1"/>
                <w:bCs w:val="1"/>
                <w:color w:val="auto"/>
                <w:w w:val="91"/>
                <w:vertAlign w:val="superscript"/>
              </w:rPr>
              <w:t>(h)</w:t>
            </w:r>
          </w:p>
        </w:tc>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Milestones</w:t>
            </w:r>
          </w:p>
        </w:tc>
        <w:tc>
          <w:tcPr>
            <w:tcW w:w="0" w:type="dxa"/>
            <w:vAlign w:val="bottom"/>
          </w:tcPr>
          <w:p>
            <w:pPr>
              <w:spacing w:after="0"/>
              <w:rPr>
                <w:sz w:val="1"/>
                <w:szCs w:val="1"/>
                <w:color w:val="auto"/>
              </w:rPr>
            </w:pPr>
          </w:p>
        </w:tc>
      </w:tr>
      <w:tr>
        <w:trPr>
          <w:trHeight w:val="33"/>
        </w:trPr>
        <w:tc>
          <w:tcPr>
            <w:tcW w:w="17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3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680" w:type="dxa"/>
            <w:vAlign w:val="bottom"/>
            <w:gridSpan w:val="3"/>
            <w:shd w:val="clear" w:color="auto" w:fill="ACACAC"/>
          </w:tcPr>
          <w:p>
            <w:pPr>
              <w:ind w:left="620"/>
              <w:spacing w:after="0"/>
              <w:rPr>
                <w:sz w:val="20"/>
                <w:szCs w:val="20"/>
                <w:color w:val="auto"/>
              </w:rPr>
            </w:pPr>
            <w:r>
              <w:rPr>
                <w:rFonts w:ascii="Times New Roman" w:cs="Times New Roman" w:eastAsia="Times New Roman" w:hAnsi="Times New Roman"/>
                <w:sz w:val="18"/>
                <w:szCs w:val="18"/>
                <w:b w:val="1"/>
                <w:bCs w:val="1"/>
                <w:color w:val="auto"/>
              </w:rPr>
              <w:t>Hematology</w:t>
            </w:r>
          </w:p>
        </w:tc>
        <w:tc>
          <w:tcPr>
            <w:tcW w:w="12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0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78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7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Pozelimab</w:t>
            </w:r>
            <w:r>
              <w:rPr>
                <w:rFonts w:ascii="Times New Roman" w:cs="Times New Roman" w:eastAsia="Times New Roman" w:hAnsi="Times New Roman"/>
                <w:sz w:val="20"/>
                <w:szCs w:val="20"/>
                <w:b w:val="1"/>
                <w:bCs w:val="1"/>
                <w:color w:val="auto"/>
                <w:vertAlign w:val="superscript"/>
              </w:rPr>
              <w:t>(f)</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–Myasthenia</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–Veopoz (pozelimab)</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(REGN3918)</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gravis, cemdisiran</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approved by FDA for</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7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Antibody to C5</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gridSpan w:val="3"/>
            <w:shd w:val="clear" w:color="auto" w:fill="CCEEFF"/>
          </w:tcPr>
          <w:p>
            <w:pPr>
              <w:spacing w:after="0" w:line="173" w:lineRule="exact"/>
              <w:rPr>
                <w:sz w:val="20"/>
                <w:szCs w:val="20"/>
                <w:color w:val="auto"/>
              </w:rPr>
            </w:pPr>
            <w:r>
              <w:rPr>
                <w:rFonts w:ascii="Times New Roman" w:cs="Times New Roman" w:eastAsia="Times New Roman" w:hAnsi="Times New Roman"/>
                <w:sz w:val="15"/>
                <w:szCs w:val="15"/>
                <w:color w:val="auto"/>
              </w:rPr>
              <w:t>combination</w:t>
            </w:r>
            <w:r>
              <w:rPr>
                <w:rFonts w:ascii="Times New Roman" w:cs="Times New Roman" w:eastAsia="Times New Roman" w:hAnsi="Times New Roman"/>
                <w:sz w:val="19"/>
                <w:szCs w:val="19"/>
                <w:color w:val="auto"/>
                <w:vertAlign w:val="superscript"/>
              </w:rPr>
              <w:t>(c)(s)</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CHAPLE in adults and</w:t>
            </w: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children aged 1 year and</w:t>
            </w: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–Paroxysmal</w:t>
            </w: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older, monotherapy</w:t>
            </w:r>
          </w:p>
        </w:tc>
        <w:tc>
          <w:tcPr>
            <w:tcW w:w="1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nocturnal</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80" w:type="dxa"/>
            <w:vAlign w:val="bottom"/>
            <w:gridSpan w:val="3"/>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hemoglobinuria</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("PNH"),</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cemdisiran</w:t>
            </w: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2"/>
                <w:szCs w:val="22"/>
                <w:color w:val="auto"/>
                <w:vertAlign w:val="superscript"/>
              </w:rPr>
              <w:t>(c)(s)</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4" w:right="339" w:bottom="1440" w:gutter="0" w:footer="0" w:header="0"/>
        </w:sectPr>
      </w:pPr>
    </w:p>
    <w:tbl>
      <w:tblPr>
        <w:tblLayout w:type="fixed"/>
        <w:tblInd w:w="40" w:type="dxa"/>
        <w:tblCellMar>
          <w:top w:w="0" w:type="dxa"/>
          <w:left w:w="0" w:type="dxa"/>
          <w:bottom w:w="0" w:type="dxa"/>
          <w:right w:w="0" w:type="dxa"/>
        </w:tblCellMar>
      </w:tblPr>
      <w:tr>
        <w:trPr>
          <w:trHeight w:val="177"/>
        </w:trPr>
        <w:tc>
          <w:tcPr>
            <w:tcW w:w="1600" w:type="dxa"/>
            <w:vAlign w:val="bottom"/>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Odronextamab</w:t>
            </w:r>
            <w:r>
              <w:rPr>
                <w:rFonts w:ascii="Times New Roman" w:cs="Times New Roman" w:eastAsia="Times New Roman" w:hAnsi="Times New Roman"/>
                <w:sz w:val="20"/>
                <w:szCs w:val="20"/>
                <w:b w:val="1"/>
                <w:bCs w:val="1"/>
                <w:color w:val="auto"/>
                <w:vertAlign w:val="superscript"/>
              </w:rPr>
              <w:t>(m)</w:t>
            </w:r>
          </w:p>
        </w:tc>
        <w:tc>
          <w:tcPr>
            <w:tcW w:w="13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–Certain B-cell</w:t>
            </w:r>
          </w:p>
        </w:tc>
        <w:tc>
          <w:tcPr>
            <w:tcW w:w="11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–B-cell non-</w:t>
            </w:r>
          </w:p>
        </w:tc>
      </w:tr>
      <w:tr>
        <w:trPr>
          <w:trHeight w:val="180"/>
        </w:trPr>
        <w:tc>
          <w:tcPr>
            <w:tcW w:w="1600" w:type="dxa"/>
            <w:vAlign w:val="bottom"/>
          </w:tcPr>
          <w:p>
            <w:pPr>
              <w:spacing w:after="0" w:line="181" w:lineRule="exact"/>
              <w:rPr>
                <w:sz w:val="20"/>
                <w:szCs w:val="20"/>
                <w:color w:val="auto"/>
              </w:rPr>
            </w:pPr>
            <w:r>
              <w:rPr>
                <w:rFonts w:ascii="Times New Roman" w:cs="Times New Roman" w:eastAsia="Times New Roman" w:hAnsi="Times New Roman"/>
                <w:sz w:val="18"/>
                <w:szCs w:val="18"/>
                <w:b w:val="1"/>
                <w:bCs w:val="1"/>
                <w:color w:val="auto"/>
              </w:rPr>
              <w:t>(REGN1979)</w:t>
            </w:r>
          </w:p>
        </w:tc>
        <w:tc>
          <w:tcPr>
            <w:tcW w:w="1360" w:type="dxa"/>
            <w:vAlign w:val="bottom"/>
          </w:tcPr>
          <w:p>
            <w:pPr>
              <w:ind w:left="180"/>
              <w:spacing w:after="0" w:line="181" w:lineRule="exact"/>
              <w:rPr>
                <w:sz w:val="20"/>
                <w:szCs w:val="20"/>
                <w:color w:val="auto"/>
              </w:rPr>
            </w:pPr>
            <w:r>
              <w:rPr>
                <w:rFonts w:ascii="Times New Roman" w:cs="Times New Roman" w:eastAsia="Times New Roman" w:hAnsi="Times New Roman"/>
                <w:sz w:val="16"/>
                <w:szCs w:val="16"/>
                <w:color w:val="auto"/>
              </w:rPr>
              <w:t>malignancies</w:t>
            </w:r>
            <w:r>
              <w:rPr>
                <w:rFonts w:ascii="Times New Roman" w:cs="Times New Roman" w:eastAsia="Times New Roman" w:hAnsi="Times New Roman"/>
                <w:sz w:val="20"/>
                <w:szCs w:val="20"/>
                <w:color w:val="auto"/>
                <w:vertAlign w:val="superscript"/>
              </w:rPr>
              <w:t>(c)</w:t>
            </w:r>
          </w:p>
        </w:tc>
        <w:tc>
          <w:tcPr>
            <w:tcW w:w="114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Hodgkin</w:t>
            </w:r>
          </w:p>
        </w:tc>
      </w:tr>
      <w:tr>
        <w:trPr>
          <w:trHeight w:val="172"/>
        </w:trPr>
        <w:tc>
          <w:tcPr>
            <w:tcW w:w="1600" w:type="dxa"/>
            <w:vAlign w:val="bottom"/>
          </w:tcPr>
          <w:p>
            <w:pPr>
              <w:spacing w:after="0" w:line="17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60" w:type="dxa"/>
            <w:vAlign w:val="bottom"/>
          </w:tcPr>
          <w:p>
            <w:pPr>
              <w:spacing w:after="0"/>
              <w:rPr>
                <w:sz w:val="14"/>
                <w:szCs w:val="14"/>
                <w:color w:val="auto"/>
              </w:rPr>
            </w:pPr>
          </w:p>
        </w:tc>
        <w:tc>
          <w:tcPr>
            <w:tcW w:w="114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color w:val="auto"/>
              </w:rPr>
              <w:t>lymphoma</w:t>
            </w:r>
          </w:p>
        </w:tc>
      </w:tr>
      <w:tr>
        <w:trPr>
          <w:trHeight w:val="178"/>
        </w:trPr>
        <w:tc>
          <w:tcPr>
            <w:tcW w:w="1600" w:type="dxa"/>
            <w:vAlign w:val="bottom"/>
          </w:tcPr>
          <w:p>
            <w:pPr>
              <w:spacing w:after="0" w:line="178" w:lineRule="exact"/>
              <w:rPr>
                <w:sz w:val="20"/>
                <w:szCs w:val="20"/>
                <w:color w:val="auto"/>
              </w:rPr>
            </w:pPr>
            <w:r>
              <w:rPr>
                <w:rFonts w:ascii="Times New Roman" w:cs="Times New Roman" w:eastAsia="Times New Roman" w:hAnsi="Times New Roman"/>
                <w:sz w:val="18"/>
                <w:szCs w:val="18"/>
                <w:i w:val="1"/>
                <w:iCs w:val="1"/>
                <w:color w:val="auto"/>
              </w:rPr>
              <w:t>targeting CD20 and</w:t>
            </w:r>
          </w:p>
        </w:tc>
        <w:tc>
          <w:tcPr>
            <w:tcW w:w="1360" w:type="dxa"/>
            <w:vAlign w:val="bottom"/>
          </w:tcPr>
          <w:p>
            <w:pPr>
              <w:spacing w:after="0"/>
              <w:rPr>
                <w:sz w:val="15"/>
                <w:szCs w:val="15"/>
                <w:color w:val="auto"/>
              </w:rPr>
            </w:pPr>
          </w:p>
        </w:tc>
        <w:tc>
          <w:tcPr>
            <w:tcW w:w="1140" w:type="dxa"/>
            <w:vAlign w:val="bottom"/>
          </w:tcPr>
          <w:p>
            <w:pPr>
              <w:ind w:left="140"/>
              <w:spacing w:after="0" w:line="178" w:lineRule="exact"/>
              <w:rPr>
                <w:sz w:val="20"/>
                <w:szCs w:val="20"/>
                <w:color w:val="auto"/>
              </w:rPr>
            </w:pPr>
            <w:r>
              <w:rPr>
                <w:rFonts w:ascii="Times New Roman" w:cs="Times New Roman" w:eastAsia="Times New Roman" w:hAnsi="Times New Roman"/>
                <w:sz w:val="18"/>
                <w:szCs w:val="18"/>
                <w:color w:val="auto"/>
              </w:rPr>
              <w:t>("B-NHL")</w:t>
            </w:r>
          </w:p>
        </w:tc>
      </w:tr>
      <w:tr>
        <w:trPr>
          <w:trHeight w:val="233"/>
        </w:trPr>
        <w:tc>
          <w:tcPr>
            <w:tcW w:w="1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CD3</w:t>
            </w:r>
          </w:p>
        </w:tc>
        <w:tc>
          <w:tcPr>
            <w:tcW w:w="136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(pivotal study)</w:t>
            </w:r>
          </w:p>
        </w:tc>
      </w:tr>
      <w:tr>
        <w:trPr>
          <w:trHeight w:val="707"/>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REGN5837</w:t>
            </w:r>
            <w:r>
              <w:rPr>
                <w:rFonts w:ascii="Times New Roman" w:cs="Times New Roman" w:eastAsia="Times New Roman" w:hAnsi="Times New Roman"/>
                <w:sz w:val="22"/>
                <w:szCs w:val="22"/>
                <w:b w:val="1"/>
                <w:bCs w:val="1"/>
                <w:color w:val="auto"/>
                <w:vertAlign w:val="superscript"/>
              </w:rPr>
              <w:t>(p)</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–B-NHL</w:t>
            </w:r>
          </w:p>
        </w:tc>
        <w:tc>
          <w:tcPr>
            <w:tcW w:w="1140" w:type="dxa"/>
            <w:vAlign w:val="bottom"/>
          </w:tcPr>
          <w:p>
            <w:pPr>
              <w:spacing w:after="0"/>
              <w:rPr>
                <w:sz w:val="24"/>
                <w:szCs w:val="24"/>
                <w:color w:val="auto"/>
              </w:rPr>
            </w:pPr>
          </w:p>
        </w:tc>
      </w:tr>
      <w:tr>
        <w:trPr>
          <w:trHeight w:val="179"/>
        </w:trPr>
        <w:tc>
          <w:tcPr>
            <w:tcW w:w="1600" w:type="dxa"/>
            <w:vAlign w:val="bottom"/>
          </w:tcPr>
          <w:p>
            <w:pPr>
              <w:spacing w:after="0" w:line="17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2"/>
        </w:trPr>
        <w:tc>
          <w:tcPr>
            <w:tcW w:w="1600" w:type="dxa"/>
            <w:vAlign w:val="bottom"/>
          </w:tcPr>
          <w:p>
            <w:pPr>
              <w:spacing w:after="0" w:line="172" w:lineRule="exact"/>
              <w:rPr>
                <w:sz w:val="20"/>
                <w:szCs w:val="20"/>
                <w:color w:val="auto"/>
              </w:rPr>
            </w:pPr>
            <w:r>
              <w:rPr>
                <w:rFonts w:ascii="Times New Roman" w:cs="Times New Roman" w:eastAsia="Times New Roman" w:hAnsi="Times New Roman"/>
                <w:sz w:val="18"/>
                <w:szCs w:val="18"/>
                <w:i w:val="1"/>
                <w:iCs w:val="1"/>
                <w:color w:val="auto"/>
              </w:rPr>
              <w:t>targeting CD22 and</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3"/>
        </w:trPr>
        <w:tc>
          <w:tcPr>
            <w:tcW w:w="1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CD28</w:t>
            </w: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4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–Follicular</w:t>
            </w:r>
          </w:p>
        </w:tc>
        <w:tc>
          <w:tcPr>
            <w:tcW w:w="15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–Presented updated data</w:t>
            </w:r>
          </w:p>
        </w:tc>
        <w:tc>
          <w:tcPr>
            <w:tcW w:w="17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w w:val="96"/>
              </w:rPr>
              <w:t>–FDA decision on BLA</w:t>
            </w:r>
          </w:p>
        </w:tc>
        <w:tc>
          <w:tcPr>
            <w:tcW w:w="0" w:type="dxa"/>
            <w:vAlign w:val="bottom"/>
          </w:tcPr>
          <w:p>
            <w:pPr>
              <w:spacing w:after="0"/>
              <w:rPr>
                <w:sz w:val="1"/>
                <w:szCs w:val="1"/>
                <w:color w:val="auto"/>
              </w:rPr>
            </w:pPr>
          </w:p>
        </w:tc>
      </w:tr>
      <w:tr>
        <w:trPr>
          <w:trHeight w:val="177"/>
        </w:trPr>
        <w:tc>
          <w:tcPr>
            <w:tcW w:w="14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lymphoma ("FL")</w:t>
            </w:r>
          </w:p>
        </w:tc>
        <w:tc>
          <w:tcPr>
            <w:tcW w:w="15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Relapsed/refractory</w:t>
            </w:r>
          </w:p>
        </w:tc>
        <w:tc>
          <w:tcPr>
            <w:tcW w:w="18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from trials in patients</w:t>
            </w:r>
          </w:p>
        </w:tc>
        <w:tc>
          <w:tcPr>
            <w:tcW w:w="17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(target action date of</w:t>
            </w:r>
          </w:p>
        </w:tc>
        <w:tc>
          <w:tcPr>
            <w:tcW w:w="0" w:type="dxa"/>
            <w:vAlign w:val="bottom"/>
          </w:tcPr>
          <w:p>
            <w:pPr>
              <w:spacing w:after="0"/>
              <w:rPr>
                <w:sz w:val="1"/>
                <w:szCs w:val="1"/>
                <w:color w:val="auto"/>
              </w:rPr>
            </w:pPr>
          </w:p>
        </w:tc>
      </w:tr>
      <w:tr>
        <w:trPr>
          <w:trHeight w:val="172"/>
        </w:trPr>
        <w:tc>
          <w:tcPr>
            <w:tcW w:w="1420" w:type="dxa"/>
            <w:vAlign w:val="bottom"/>
          </w:tcPr>
          <w:p>
            <w:pPr>
              <w:spacing w:after="0"/>
              <w:rPr>
                <w:sz w:val="14"/>
                <w:szCs w:val="14"/>
                <w:color w:val="auto"/>
              </w:rPr>
            </w:pPr>
          </w:p>
        </w:tc>
        <w:tc>
          <w:tcPr>
            <w:tcW w:w="158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FL and DLBCL</w:t>
            </w:r>
          </w:p>
        </w:tc>
        <w:tc>
          <w:tcPr>
            <w:tcW w:w="1860" w:type="dxa"/>
            <w:vAlign w:val="bottom"/>
          </w:tcPr>
          <w:p>
            <w:pPr>
              <w:ind w:left="60"/>
              <w:spacing w:after="0" w:line="172" w:lineRule="exact"/>
              <w:rPr>
                <w:sz w:val="20"/>
                <w:szCs w:val="20"/>
                <w:color w:val="auto"/>
              </w:rPr>
            </w:pPr>
            <w:r>
              <w:rPr>
                <w:rFonts w:ascii="Times New Roman" w:cs="Times New Roman" w:eastAsia="Times New Roman" w:hAnsi="Times New Roman"/>
                <w:sz w:val="18"/>
                <w:szCs w:val="18"/>
                <w:color w:val="auto"/>
              </w:rPr>
              <w:t>with relapsed/refractory</w:t>
            </w:r>
          </w:p>
        </w:tc>
        <w:tc>
          <w:tcPr>
            <w:tcW w:w="1760" w:type="dxa"/>
            <w:vAlign w:val="bottom"/>
          </w:tcPr>
          <w:p>
            <w:pPr>
              <w:ind w:left="80"/>
              <w:spacing w:after="0" w:line="172" w:lineRule="exact"/>
              <w:rPr>
                <w:sz w:val="20"/>
                <w:szCs w:val="20"/>
                <w:color w:val="auto"/>
              </w:rPr>
            </w:pPr>
            <w:r>
              <w:rPr>
                <w:rFonts w:ascii="Times New Roman" w:cs="Times New Roman" w:eastAsia="Times New Roman" w:hAnsi="Times New Roman"/>
                <w:sz w:val="18"/>
                <w:szCs w:val="18"/>
                <w:color w:val="auto"/>
              </w:rPr>
              <w:t>March 31, 2024) and</w:t>
            </w:r>
          </w:p>
        </w:tc>
        <w:tc>
          <w:tcPr>
            <w:tcW w:w="0" w:type="dxa"/>
            <w:vAlign w:val="bottom"/>
          </w:tcPr>
          <w:p>
            <w:pPr>
              <w:spacing w:after="0"/>
              <w:rPr>
                <w:sz w:val="1"/>
                <w:szCs w:val="1"/>
                <w:color w:val="auto"/>
              </w:rPr>
            </w:pPr>
          </w:p>
        </w:tc>
      </w:tr>
      <w:tr>
        <w:trPr>
          <w:trHeight w:val="180"/>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–Diffuse large B-</w:t>
            </w:r>
          </w:p>
        </w:tc>
        <w:tc>
          <w:tcPr>
            <w:tcW w:w="15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(U.S. and EU)</w:t>
            </w:r>
          </w:p>
        </w:tc>
        <w:tc>
          <w:tcPr>
            <w:tcW w:w="18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FL and DLBCL at</w:t>
            </w:r>
          </w:p>
        </w:tc>
        <w:tc>
          <w:tcPr>
            <w:tcW w:w="17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1580" w:type="dxa"/>
            <w:vAlign w:val="bottom"/>
          </w:tcPr>
          <w:p>
            <w:pPr>
              <w:spacing w:after="0"/>
              <w:rPr>
                <w:sz w:val="5"/>
                <w:szCs w:val="5"/>
                <w:color w:val="auto"/>
              </w:rPr>
            </w:pPr>
          </w:p>
        </w:tc>
        <w:tc>
          <w:tcPr>
            <w:tcW w:w="1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American Society of</w:t>
            </w:r>
          </w:p>
        </w:tc>
        <w:tc>
          <w:tcPr>
            <w:tcW w:w="17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172"/>
        </w:trPr>
        <w:tc>
          <w:tcPr>
            <w:tcW w:w="142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cell lymphoma</w:t>
            </w:r>
          </w:p>
        </w:tc>
        <w:tc>
          <w:tcPr>
            <w:tcW w:w="158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("DLBCL")</w:t>
            </w:r>
          </w:p>
        </w:tc>
        <w:tc>
          <w:tcPr>
            <w:tcW w:w="1580" w:type="dxa"/>
            <w:vAlign w:val="bottom"/>
          </w:tcPr>
          <w:p>
            <w:pPr>
              <w:spacing w:after="0"/>
              <w:rPr>
                <w:sz w:val="10"/>
                <w:szCs w:val="10"/>
                <w:color w:val="auto"/>
              </w:rPr>
            </w:pPr>
          </w:p>
        </w:tc>
        <w:tc>
          <w:tcPr>
            <w:tcW w:w="1860" w:type="dxa"/>
            <w:vAlign w:val="bottom"/>
          </w:tcPr>
          <w:p>
            <w:pPr>
              <w:ind w:left="60"/>
              <w:spacing w:after="0" w:line="119" w:lineRule="exact"/>
              <w:rPr>
                <w:sz w:val="20"/>
                <w:szCs w:val="20"/>
                <w:color w:val="auto"/>
              </w:rPr>
            </w:pPr>
            <w:r>
              <w:rPr>
                <w:rFonts w:ascii="Times New Roman" w:cs="Times New Roman" w:eastAsia="Times New Roman" w:hAnsi="Times New Roman"/>
                <w:sz w:val="13"/>
                <w:szCs w:val="13"/>
                <w:color w:val="auto"/>
              </w:rPr>
              <w:t>Hematology ("ASH")</w:t>
            </w:r>
          </w:p>
        </w:tc>
        <w:tc>
          <w:tcPr>
            <w:tcW w:w="1760" w:type="dxa"/>
            <w:vAlign w:val="bottom"/>
          </w:tcPr>
          <w:p>
            <w:pPr>
              <w:ind w:left="80"/>
              <w:spacing w:after="0" w:line="119" w:lineRule="exact"/>
              <w:rPr>
                <w:sz w:val="20"/>
                <w:szCs w:val="20"/>
                <w:color w:val="auto"/>
              </w:rPr>
            </w:pPr>
            <w:r>
              <w:rPr>
                <w:rFonts w:ascii="Times New Roman" w:cs="Times New Roman" w:eastAsia="Times New Roman" w:hAnsi="Times New Roman"/>
                <w:sz w:val="13"/>
                <w:szCs w:val="13"/>
                <w:color w:val="auto"/>
              </w:rPr>
              <w:t>(second half 2024) for</w:t>
            </w:r>
          </w:p>
        </w:tc>
        <w:tc>
          <w:tcPr>
            <w:tcW w:w="0" w:type="dxa"/>
            <w:vAlign w:val="bottom"/>
          </w:tcPr>
          <w:p>
            <w:pPr>
              <w:spacing w:after="0"/>
              <w:rPr>
                <w:sz w:val="1"/>
                <w:szCs w:val="1"/>
                <w:color w:val="auto"/>
              </w:rPr>
            </w:pPr>
          </w:p>
        </w:tc>
      </w:tr>
      <w:tr>
        <w:trPr>
          <w:trHeight w:val="120"/>
        </w:trPr>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860" w:type="dxa"/>
            <w:vAlign w:val="bottom"/>
            <w:vMerge w:val="restart"/>
          </w:tcPr>
          <w:p>
            <w:pPr>
              <w:ind w:left="60"/>
              <w:spacing w:after="0" w:line="181" w:lineRule="exact"/>
              <w:rPr>
                <w:sz w:val="20"/>
                <w:szCs w:val="20"/>
                <w:color w:val="auto"/>
              </w:rPr>
            </w:pPr>
            <w:r>
              <w:rPr>
                <w:rFonts w:ascii="Times New Roman" w:cs="Times New Roman" w:eastAsia="Times New Roman" w:hAnsi="Times New Roman"/>
                <w:sz w:val="18"/>
                <w:szCs w:val="18"/>
                <w:color w:val="auto"/>
              </w:rPr>
              <w:t>Annual Meeting</w:t>
            </w:r>
          </w:p>
        </w:tc>
        <w:tc>
          <w:tcPr>
            <w:tcW w:w="1760" w:type="dxa"/>
            <w:vAlign w:val="bottom"/>
            <w:vMerge w:val="restart"/>
          </w:tcPr>
          <w:p>
            <w:pPr>
              <w:ind w:left="80"/>
              <w:spacing w:after="0" w:line="181" w:lineRule="exact"/>
              <w:rPr>
                <w:sz w:val="20"/>
                <w:szCs w:val="20"/>
                <w:color w:val="auto"/>
              </w:rPr>
            </w:pPr>
            <w:r>
              <w:rPr>
                <w:rFonts w:ascii="Times New Roman" w:cs="Times New Roman" w:eastAsia="Times New Roman" w:hAnsi="Times New Roman"/>
                <w:sz w:val="18"/>
                <w:szCs w:val="18"/>
                <w:color w:val="auto"/>
              </w:rPr>
              <w:t>relapsed/refractory FL</w:t>
            </w:r>
          </w:p>
        </w:tc>
        <w:tc>
          <w:tcPr>
            <w:tcW w:w="0" w:type="dxa"/>
            <w:vAlign w:val="bottom"/>
          </w:tcPr>
          <w:p>
            <w:pPr>
              <w:spacing w:after="0"/>
              <w:rPr>
                <w:sz w:val="1"/>
                <w:szCs w:val="1"/>
                <w:color w:val="auto"/>
              </w:rPr>
            </w:pPr>
          </w:p>
        </w:tc>
      </w:tr>
      <w:tr>
        <w:trPr>
          <w:trHeight w:val="60"/>
        </w:trPr>
        <w:tc>
          <w:tcPr>
            <w:tcW w:w="14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1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 DLBCL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0</wp:posOffset>
            </wp:positionV>
            <wp:extent cx="7126605" cy="479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6605" cy="479425"/>
                    </a:xfrm>
                    <a:prstGeom prst="rect">
                      <a:avLst/>
                    </a:prstGeom>
                    <a:noFill/>
                  </pic:spPr>
                </pic:pic>
              </a:graphicData>
            </a:graphic>
          </wp:anchor>
        </w:drawing>
      </w:r>
    </w:p>
    <w:p>
      <w:pPr>
        <w:spacing w:after="0" w:line="763" w:lineRule="exact"/>
        <w:rPr>
          <w:sz w:val="20"/>
          <w:szCs w:val="20"/>
          <w:color w:val="auto"/>
        </w:rPr>
      </w:pPr>
    </w:p>
    <w:p>
      <w:pPr>
        <w:sectPr>
          <w:pgSz w:w="11900" w:h="16838" w:orient="portrait"/>
          <w:cols w:equalWidth="0" w:num="2">
            <w:col w:w="4140" w:space="400"/>
            <w:col w:w="6700"/>
          </w:cols>
          <w:pgMar w:left="320" w:top="364" w:right="339" w:bottom="1440" w:gutter="0" w:footer="0" w:header="0"/>
          <w:type w:val="continuous"/>
        </w:sectPr>
      </w:pPr>
    </w:p>
    <w:tbl>
      <w:tblPr>
        <w:tblLayout w:type="fixed"/>
        <w:tblInd w:w="20" w:type="dxa"/>
        <w:tblCellMar>
          <w:top w:w="0" w:type="dxa"/>
          <w:left w:w="0" w:type="dxa"/>
          <w:bottom w:w="0" w:type="dxa"/>
          <w:right w:w="0" w:type="dxa"/>
        </w:tblCellMar>
      </w:tblPr>
      <w:tr>
        <w:trPr>
          <w:trHeight w:val="169"/>
        </w:trPr>
        <w:tc>
          <w:tcPr>
            <w:tcW w:w="168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Linvoseltamab</w:t>
            </w:r>
            <w:r>
              <w:rPr>
                <w:rFonts w:ascii="Times New Roman" w:cs="Times New Roman" w:eastAsia="Times New Roman" w:hAnsi="Times New Roman"/>
                <w:sz w:val="19"/>
                <w:szCs w:val="19"/>
                <w:b w:val="1"/>
                <w:bCs w:val="1"/>
                <w:color w:val="auto"/>
                <w:vertAlign w:val="superscript"/>
              </w:rPr>
              <w:t>(f)</w:t>
            </w:r>
          </w:p>
        </w:tc>
        <w:tc>
          <w:tcPr>
            <w:tcW w:w="1300" w:type="dxa"/>
            <w:vAlign w:val="bottom"/>
          </w:tcPr>
          <w:p>
            <w:pPr>
              <w:ind w:left="120"/>
              <w:spacing w:after="0" w:line="170" w:lineRule="exact"/>
              <w:rPr>
                <w:sz w:val="20"/>
                <w:szCs w:val="20"/>
                <w:color w:val="auto"/>
              </w:rPr>
            </w:pPr>
            <w:r>
              <w:rPr>
                <w:rFonts w:ascii="Times New Roman" w:cs="Times New Roman" w:eastAsia="Times New Roman" w:hAnsi="Times New Roman"/>
                <w:sz w:val="18"/>
                <w:szCs w:val="18"/>
                <w:color w:val="auto"/>
              </w:rPr>
              <w:t>–Multiple</w:t>
            </w:r>
          </w:p>
        </w:tc>
        <w:tc>
          <w:tcPr>
            <w:tcW w:w="1480" w:type="dxa"/>
            <w:vAlign w:val="bottom"/>
          </w:tcPr>
          <w:p>
            <w:pPr>
              <w:ind w:left="100"/>
              <w:spacing w:after="0" w:line="170" w:lineRule="exact"/>
              <w:rPr>
                <w:sz w:val="20"/>
                <w:szCs w:val="20"/>
                <w:color w:val="auto"/>
              </w:rPr>
            </w:pPr>
            <w:r>
              <w:rPr>
                <w:rFonts w:ascii="Times New Roman" w:cs="Times New Roman" w:eastAsia="Times New Roman" w:hAnsi="Times New Roman"/>
                <w:sz w:val="18"/>
                <w:szCs w:val="18"/>
                <w:color w:val="auto"/>
              </w:rPr>
              <w:t>–Multiple</w:t>
            </w:r>
          </w:p>
        </w:tc>
        <w:tc>
          <w:tcPr>
            <w:tcW w:w="1440" w:type="dxa"/>
            <w:vAlign w:val="bottom"/>
          </w:tcPr>
          <w:p>
            <w:pPr>
              <w:ind w:left="60"/>
              <w:spacing w:after="0" w:line="170" w:lineRule="exact"/>
              <w:rPr>
                <w:sz w:val="20"/>
                <w:szCs w:val="20"/>
                <w:color w:val="auto"/>
              </w:rPr>
            </w:pPr>
            <w:r>
              <w:rPr>
                <w:rFonts w:ascii="Times New Roman" w:cs="Times New Roman" w:eastAsia="Times New Roman" w:hAnsi="Times New Roman"/>
                <w:sz w:val="18"/>
                <w:szCs w:val="18"/>
                <w:color w:val="auto"/>
              </w:rPr>
              <w:t>–Multiple</w:t>
            </w:r>
          </w:p>
        </w:tc>
        <w:tc>
          <w:tcPr>
            <w:tcW w:w="162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60"/>
              <w:spacing w:after="0" w:line="170" w:lineRule="exact"/>
              <w:rPr>
                <w:sz w:val="20"/>
                <w:szCs w:val="20"/>
                <w:color w:val="auto"/>
              </w:rPr>
            </w:pPr>
            <w:r>
              <w:rPr>
                <w:rFonts w:ascii="Times New Roman" w:cs="Times New Roman" w:eastAsia="Times New Roman" w:hAnsi="Times New Roman"/>
                <w:sz w:val="18"/>
                <w:szCs w:val="18"/>
                <w:color w:val="auto"/>
              </w:rPr>
              <w:t>–Presented updated</w:t>
            </w:r>
          </w:p>
        </w:tc>
        <w:tc>
          <w:tcPr>
            <w:tcW w:w="1880" w:type="dxa"/>
            <w:vAlign w:val="bottom"/>
          </w:tcPr>
          <w:p>
            <w:pPr>
              <w:ind w:left="120"/>
              <w:spacing w:after="0" w:line="170" w:lineRule="exact"/>
              <w:rPr>
                <w:sz w:val="20"/>
                <w:szCs w:val="20"/>
                <w:color w:val="auto"/>
              </w:rPr>
            </w:pPr>
            <w:r>
              <w:rPr>
                <w:rFonts w:ascii="Times New Roman" w:cs="Times New Roman" w:eastAsia="Times New Roman" w:hAnsi="Times New Roman"/>
                <w:sz w:val="18"/>
                <w:szCs w:val="18"/>
                <w:color w:val="auto"/>
              </w:rPr>
              <w:t>–FDA decision on BLA</w:t>
            </w:r>
          </w:p>
        </w:tc>
        <w:tc>
          <w:tcPr>
            <w:tcW w:w="0" w:type="dxa"/>
            <w:vAlign w:val="bottom"/>
          </w:tcPr>
          <w:p>
            <w:pPr>
              <w:spacing w:after="0"/>
              <w:rPr>
                <w:sz w:val="1"/>
                <w:szCs w:val="1"/>
                <w:color w:val="auto"/>
              </w:rPr>
            </w:pPr>
          </w:p>
        </w:tc>
      </w:tr>
      <w:tr>
        <w:trPr>
          <w:trHeight w:val="180"/>
        </w:trPr>
        <w:tc>
          <w:tcPr>
            <w:tcW w:w="1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(REGN5458)</w:t>
            </w:r>
          </w:p>
        </w:tc>
        <w:tc>
          <w:tcPr>
            <w:tcW w:w="1300" w:type="dxa"/>
            <w:vAlign w:val="bottom"/>
          </w:tcPr>
          <w:p>
            <w:pPr>
              <w:ind w:left="120"/>
              <w:spacing w:after="0" w:line="181" w:lineRule="exact"/>
              <w:rPr>
                <w:sz w:val="20"/>
                <w:szCs w:val="20"/>
                <w:color w:val="auto"/>
              </w:rPr>
            </w:pPr>
            <w:r>
              <w:rPr>
                <w:rFonts w:ascii="Times New Roman" w:cs="Times New Roman" w:eastAsia="Times New Roman" w:hAnsi="Times New Roman"/>
                <w:sz w:val="16"/>
                <w:szCs w:val="16"/>
                <w:color w:val="auto"/>
              </w:rPr>
              <w:t>myeloma</w:t>
            </w:r>
            <w:r>
              <w:rPr>
                <w:rFonts w:ascii="Times New Roman" w:cs="Times New Roman" w:eastAsia="Times New Roman" w:hAnsi="Times New Roman"/>
                <w:sz w:val="20"/>
                <w:szCs w:val="20"/>
                <w:color w:val="auto"/>
                <w:vertAlign w:val="superscript"/>
              </w:rPr>
              <w:t>(c)(e)</w:t>
            </w:r>
          </w:p>
        </w:tc>
        <w:tc>
          <w:tcPr>
            <w:tcW w:w="14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myeloma (pivotal</w:t>
            </w:r>
          </w:p>
        </w:tc>
        <w:tc>
          <w:tcPr>
            <w:tcW w:w="1440" w:type="dxa"/>
            <w:vAlign w:val="bottom"/>
          </w:tcPr>
          <w:p>
            <w:pPr>
              <w:ind w:left="60"/>
              <w:spacing w:after="0" w:line="181" w:lineRule="exact"/>
              <w:rPr>
                <w:sz w:val="20"/>
                <w:szCs w:val="20"/>
                <w:color w:val="auto"/>
              </w:rPr>
            </w:pPr>
            <w:r>
              <w:rPr>
                <w:rFonts w:ascii="Times New Roman" w:cs="Times New Roman" w:eastAsia="Times New Roman" w:hAnsi="Times New Roman"/>
                <w:sz w:val="16"/>
                <w:szCs w:val="16"/>
                <w:color w:val="auto"/>
              </w:rPr>
              <w:t>myeloma</w:t>
            </w:r>
            <w:r>
              <w:rPr>
                <w:rFonts w:ascii="Times New Roman" w:cs="Times New Roman" w:eastAsia="Times New Roman" w:hAnsi="Times New Roman"/>
                <w:sz w:val="20"/>
                <w:szCs w:val="20"/>
                <w:color w:val="auto"/>
                <w:vertAlign w:val="superscript"/>
              </w:rPr>
              <w:t>(c)(e)</w:t>
            </w:r>
          </w:p>
        </w:tc>
        <w:tc>
          <w:tcPr>
            <w:tcW w:w="162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Relapsed/refractory</w:t>
            </w:r>
          </w:p>
        </w:tc>
        <w:tc>
          <w:tcPr>
            <w:tcW w:w="18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positive data from</w:t>
            </w:r>
          </w:p>
        </w:tc>
        <w:tc>
          <w:tcPr>
            <w:tcW w:w="18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(second half 2024) and</w:t>
            </w:r>
          </w:p>
        </w:tc>
        <w:tc>
          <w:tcPr>
            <w:tcW w:w="0" w:type="dxa"/>
            <w:vAlign w:val="bottom"/>
          </w:tcPr>
          <w:p>
            <w:pPr>
              <w:spacing w:after="0"/>
              <w:rPr>
                <w:sz w:val="1"/>
                <w:szCs w:val="1"/>
                <w:color w:val="auto"/>
              </w:rPr>
            </w:pPr>
          </w:p>
        </w:tc>
      </w:tr>
      <w:tr>
        <w:trPr>
          <w:trHeight w:val="172"/>
        </w:trPr>
        <w:tc>
          <w:tcPr>
            <w:tcW w:w="16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tcPr>
          <w:p>
            <w:pPr>
              <w:spacing w:after="0"/>
              <w:rPr>
                <w:sz w:val="14"/>
                <w:szCs w:val="14"/>
                <w:color w:val="auto"/>
              </w:rPr>
            </w:pPr>
          </w:p>
        </w:tc>
        <w:tc>
          <w:tcPr>
            <w:tcW w:w="1480" w:type="dxa"/>
            <w:vAlign w:val="bottom"/>
          </w:tcPr>
          <w:p>
            <w:pPr>
              <w:ind w:left="100"/>
              <w:spacing w:after="0" w:line="173" w:lineRule="exact"/>
              <w:rPr>
                <w:sz w:val="20"/>
                <w:szCs w:val="20"/>
                <w:color w:val="auto"/>
              </w:rPr>
            </w:pPr>
            <w:r>
              <w:rPr>
                <w:rFonts w:ascii="Times New Roman" w:cs="Times New Roman" w:eastAsia="Times New Roman" w:hAnsi="Times New Roman"/>
                <w:sz w:val="15"/>
                <w:szCs w:val="15"/>
                <w:color w:val="auto"/>
              </w:rPr>
              <w:t>study)</w:t>
            </w:r>
            <w:r>
              <w:rPr>
                <w:rFonts w:ascii="Times New Roman" w:cs="Times New Roman" w:eastAsia="Times New Roman" w:hAnsi="Times New Roman"/>
                <w:sz w:val="19"/>
                <w:szCs w:val="19"/>
                <w:color w:val="auto"/>
                <w:vertAlign w:val="superscript"/>
              </w:rPr>
              <w:t>(c)(e)</w:t>
            </w:r>
          </w:p>
        </w:tc>
        <w:tc>
          <w:tcPr>
            <w:tcW w:w="1440" w:type="dxa"/>
            <w:vAlign w:val="bottom"/>
          </w:tcPr>
          <w:p>
            <w:pPr>
              <w:spacing w:after="0"/>
              <w:rPr>
                <w:sz w:val="14"/>
                <w:szCs w:val="14"/>
                <w:color w:val="auto"/>
              </w:rPr>
            </w:pPr>
          </w:p>
        </w:tc>
        <w:tc>
          <w:tcPr>
            <w:tcW w:w="1620" w:type="dxa"/>
            <w:vAlign w:val="bottom"/>
          </w:tcPr>
          <w:p>
            <w:pPr>
              <w:ind w:left="160"/>
              <w:spacing w:after="0" w:line="172" w:lineRule="exact"/>
              <w:rPr>
                <w:sz w:val="20"/>
                <w:szCs w:val="20"/>
                <w:color w:val="auto"/>
              </w:rPr>
            </w:pPr>
            <w:r>
              <w:rPr>
                <w:rFonts w:ascii="Times New Roman" w:cs="Times New Roman" w:eastAsia="Times New Roman" w:hAnsi="Times New Roman"/>
                <w:sz w:val="18"/>
                <w:szCs w:val="18"/>
                <w:color w:val="auto"/>
              </w:rPr>
              <w:t>multiple myeloma</w:t>
            </w:r>
          </w:p>
        </w:tc>
        <w:tc>
          <w:tcPr>
            <w:tcW w:w="1820" w:type="dxa"/>
            <w:vAlign w:val="bottom"/>
          </w:tcPr>
          <w:p>
            <w:pPr>
              <w:ind w:left="60"/>
              <w:spacing w:after="0" w:line="172" w:lineRule="exact"/>
              <w:rPr>
                <w:sz w:val="20"/>
                <w:szCs w:val="20"/>
                <w:color w:val="auto"/>
              </w:rPr>
            </w:pPr>
            <w:r>
              <w:rPr>
                <w:rFonts w:ascii="Times New Roman" w:cs="Times New Roman" w:eastAsia="Times New Roman" w:hAnsi="Times New Roman"/>
                <w:sz w:val="18"/>
                <w:szCs w:val="18"/>
                <w:color w:val="auto"/>
              </w:rPr>
              <w:t>pivotal trial in multiple</w:t>
            </w:r>
          </w:p>
        </w:tc>
        <w:tc>
          <w:tcPr>
            <w:tcW w:w="188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78"/>
        </w:trPr>
        <w:tc>
          <w:tcPr>
            <w:tcW w:w="168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ind w:left="160"/>
              <w:spacing w:after="0" w:line="178" w:lineRule="exact"/>
              <w:rPr>
                <w:sz w:val="20"/>
                <w:szCs w:val="20"/>
                <w:color w:val="auto"/>
              </w:rPr>
            </w:pPr>
            <w:r>
              <w:rPr>
                <w:rFonts w:ascii="Times New Roman" w:cs="Times New Roman" w:eastAsia="Times New Roman" w:hAnsi="Times New Roman"/>
                <w:sz w:val="18"/>
                <w:szCs w:val="18"/>
                <w:color w:val="auto"/>
              </w:rPr>
              <w:t>(U.S. and EU)</w:t>
            </w:r>
          </w:p>
        </w:tc>
        <w:tc>
          <w:tcPr>
            <w:tcW w:w="1820" w:type="dxa"/>
            <w:vAlign w:val="bottom"/>
          </w:tcPr>
          <w:p>
            <w:pPr>
              <w:ind w:left="60"/>
              <w:spacing w:after="0" w:line="178" w:lineRule="exact"/>
              <w:rPr>
                <w:sz w:val="20"/>
                <w:szCs w:val="20"/>
                <w:color w:val="auto"/>
              </w:rPr>
            </w:pPr>
            <w:r>
              <w:rPr>
                <w:rFonts w:ascii="Times New Roman" w:cs="Times New Roman" w:eastAsia="Times New Roman" w:hAnsi="Times New Roman"/>
                <w:sz w:val="18"/>
                <w:szCs w:val="18"/>
                <w:color w:val="auto"/>
              </w:rPr>
              <w:t>myeloma at ASCO and</w:t>
            </w:r>
          </w:p>
        </w:tc>
        <w:tc>
          <w:tcPr>
            <w:tcW w:w="1880" w:type="dxa"/>
            <w:vAlign w:val="bottom"/>
          </w:tcPr>
          <w:p>
            <w:pPr>
              <w:ind w:left="120"/>
              <w:spacing w:after="0" w:line="178" w:lineRule="exact"/>
              <w:rPr>
                <w:sz w:val="20"/>
                <w:szCs w:val="20"/>
                <w:color w:val="auto"/>
              </w:rPr>
            </w:pPr>
            <w:r>
              <w:rPr>
                <w:rFonts w:ascii="Times New Roman" w:cs="Times New Roman" w:eastAsia="Times New Roman" w:hAnsi="Times New Roman"/>
                <w:sz w:val="18"/>
                <w:szCs w:val="18"/>
                <w:color w:val="auto"/>
              </w:rPr>
              <w:t>regulatory submission</w:t>
            </w:r>
          </w:p>
        </w:tc>
        <w:tc>
          <w:tcPr>
            <w:tcW w:w="0" w:type="dxa"/>
            <w:vAlign w:val="bottom"/>
          </w:tcPr>
          <w:p>
            <w:pPr>
              <w:spacing w:after="0"/>
              <w:rPr>
                <w:sz w:val="1"/>
                <w:szCs w:val="1"/>
                <w:color w:val="auto"/>
              </w:rPr>
            </w:pPr>
          </w:p>
        </w:tc>
      </w:tr>
      <w:tr>
        <w:trPr>
          <w:trHeight w:val="23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CD3</w:t>
            </w:r>
          </w:p>
        </w:tc>
        <w:tc>
          <w:tcPr>
            <w:tcW w:w="1300" w:type="dxa"/>
            <w:vAlign w:val="bottom"/>
          </w:tcPr>
          <w:p>
            <w:pPr>
              <w:spacing w:after="0"/>
              <w:rPr>
                <w:sz w:val="20"/>
                <w:szCs w:val="20"/>
                <w:color w:val="auto"/>
              </w:rPr>
            </w:pPr>
          </w:p>
        </w:tc>
        <w:tc>
          <w:tcPr>
            <w:tcW w:w="1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–Earlier (pre-</w:t>
            </w:r>
          </w:p>
        </w:tc>
        <w:tc>
          <w:tcPr>
            <w:tcW w:w="1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ASH Annual Meetings</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half 2025) for</w:t>
            </w:r>
          </w:p>
        </w:tc>
        <w:tc>
          <w:tcPr>
            <w:tcW w:w="0" w:type="dxa"/>
            <w:vAlign w:val="bottom"/>
          </w:tcPr>
          <w:p>
            <w:pPr>
              <w:spacing w:after="0"/>
              <w:rPr>
                <w:sz w:val="1"/>
                <w:szCs w:val="1"/>
                <w:color w:val="auto"/>
              </w:rPr>
            </w:pPr>
          </w:p>
        </w:tc>
      </w:tr>
      <w:tr>
        <w:trPr>
          <w:trHeight w:val="119"/>
        </w:trPr>
        <w:tc>
          <w:tcPr>
            <w:tcW w:w="16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80" w:type="dxa"/>
            <w:vAlign w:val="bottom"/>
            <w:vMerge w:val="restart"/>
          </w:tcPr>
          <w:p>
            <w:pPr>
              <w:ind w:left="100"/>
              <w:spacing w:after="0" w:line="186" w:lineRule="exact"/>
              <w:rPr>
                <w:sz w:val="20"/>
                <w:szCs w:val="20"/>
                <w:color w:val="auto"/>
              </w:rPr>
            </w:pPr>
            <w:r>
              <w:rPr>
                <w:rFonts w:ascii="Times New Roman" w:cs="Times New Roman" w:eastAsia="Times New Roman" w:hAnsi="Times New Roman"/>
                <w:sz w:val="18"/>
                <w:szCs w:val="18"/>
                <w:color w:val="auto"/>
              </w:rPr>
              <w:t>malignant)</w:t>
            </w:r>
          </w:p>
        </w:tc>
        <w:tc>
          <w:tcPr>
            <w:tcW w:w="14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80" w:type="dxa"/>
            <w:vAlign w:val="bottom"/>
          </w:tcPr>
          <w:p>
            <w:pPr>
              <w:ind w:left="120"/>
              <w:spacing w:after="0" w:line="119" w:lineRule="exact"/>
              <w:rPr>
                <w:sz w:val="20"/>
                <w:szCs w:val="20"/>
                <w:color w:val="auto"/>
              </w:rPr>
            </w:pPr>
            <w:r>
              <w:rPr>
                <w:rFonts w:ascii="Times New Roman" w:cs="Times New Roman" w:eastAsia="Times New Roman" w:hAnsi="Times New Roman"/>
                <w:sz w:val="13"/>
                <w:szCs w:val="13"/>
                <w:color w:val="auto"/>
              </w:rPr>
              <w:t>relapsed/refractory</w:t>
            </w:r>
          </w:p>
        </w:tc>
        <w:tc>
          <w:tcPr>
            <w:tcW w:w="0" w:type="dxa"/>
            <w:vAlign w:val="bottom"/>
          </w:tcPr>
          <w:p>
            <w:pPr>
              <w:spacing w:after="0"/>
              <w:rPr>
                <w:sz w:val="1"/>
                <w:szCs w:val="1"/>
                <w:color w:val="auto"/>
              </w:rPr>
            </w:pPr>
          </w:p>
        </w:tc>
      </w:tr>
      <w:tr>
        <w:trPr>
          <w:trHeight w:val="66"/>
        </w:trPr>
        <w:tc>
          <w:tcPr>
            <w:tcW w:w="16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multiple myeloma</w:t>
            </w: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multiple myeloma</w:t>
            </w: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6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REGN5459</w:t>
            </w:r>
            <w:r>
              <w:rPr>
                <w:rFonts w:ascii="Times New Roman" w:cs="Times New Roman" w:eastAsia="Times New Roman" w:hAnsi="Times New Roman"/>
                <w:sz w:val="20"/>
                <w:szCs w:val="20"/>
                <w:b w:val="1"/>
                <w:bCs w:val="1"/>
                <w:color w:val="auto"/>
                <w:vertAlign w:val="superscript"/>
              </w:rPr>
              <w:t>(f)</w:t>
            </w:r>
          </w:p>
        </w:tc>
        <w:tc>
          <w:tcPr>
            <w:tcW w:w="1300" w:type="dxa"/>
            <w:vAlign w:val="bottom"/>
            <w:shd w:val="clear" w:color="auto" w:fill="CCEEFF"/>
          </w:tcPr>
          <w:p>
            <w:pPr>
              <w:ind w:left="120"/>
              <w:spacing w:after="0" w:line="178" w:lineRule="exact"/>
              <w:rPr>
                <w:sz w:val="20"/>
                <w:szCs w:val="20"/>
                <w:color w:val="auto"/>
              </w:rPr>
            </w:pPr>
            <w:r>
              <w:rPr>
                <w:rFonts w:ascii="Times New Roman" w:cs="Times New Roman" w:eastAsia="Times New Roman" w:hAnsi="Times New Roman"/>
                <w:sz w:val="18"/>
                <w:szCs w:val="18"/>
                <w:color w:val="auto"/>
              </w:rPr>
              <w:t>–Transplant</w:t>
            </w:r>
          </w:p>
        </w:tc>
        <w:tc>
          <w:tcPr>
            <w:tcW w:w="14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300" w:type="dxa"/>
            <w:vAlign w:val="bottom"/>
            <w:shd w:val="clear" w:color="auto" w:fill="CCEEFF"/>
          </w:tcPr>
          <w:p>
            <w:pPr>
              <w:ind w:left="120"/>
              <w:spacing w:after="0" w:line="179" w:lineRule="exact"/>
              <w:rPr>
                <w:sz w:val="20"/>
                <w:szCs w:val="20"/>
                <w:color w:val="auto"/>
              </w:rPr>
            </w:pPr>
            <w:r>
              <w:rPr>
                <w:rFonts w:ascii="Times New Roman" w:cs="Times New Roman" w:eastAsia="Times New Roman" w:hAnsi="Times New Roman"/>
                <w:sz w:val="18"/>
                <w:szCs w:val="18"/>
                <w:color w:val="auto"/>
              </w:rPr>
              <w:t>desensitization</w:t>
            </w:r>
          </w:p>
        </w:tc>
        <w:tc>
          <w:tcPr>
            <w:tcW w:w="14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targeting BCMA and</w:t>
            </w:r>
          </w:p>
        </w:tc>
        <w:tc>
          <w:tcPr>
            <w:tcW w:w="130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in patients with</w:t>
            </w:r>
          </w:p>
        </w:tc>
        <w:tc>
          <w:tcPr>
            <w:tcW w:w="14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CD3</w:t>
            </w:r>
          </w:p>
        </w:tc>
        <w:tc>
          <w:tcPr>
            <w:tcW w:w="130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rPr>
              <w:t>chronic kidney</w:t>
            </w:r>
          </w:p>
        </w:tc>
        <w:tc>
          <w:tcPr>
            <w:tcW w:w="14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spacing w:after="0"/>
              <w:rPr>
                <w:sz w:val="20"/>
                <w:szCs w:val="20"/>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disease</w:t>
            </w:r>
          </w:p>
        </w:tc>
        <w:tc>
          <w:tcPr>
            <w:tcW w:w="14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8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1300" w:type="dxa"/>
            <w:vAlign w:val="bottom"/>
          </w:tcPr>
          <w:p>
            <w:pPr>
              <w:ind w:left="120"/>
              <w:spacing w:after="0" w:line="178" w:lineRule="exact"/>
              <w:rPr>
                <w:sz w:val="20"/>
                <w:szCs w:val="20"/>
                <w:color w:val="auto"/>
              </w:rPr>
            </w:pPr>
            <w:r>
              <w:rPr>
                <w:rFonts w:ascii="Times New Roman" w:cs="Times New Roman" w:eastAsia="Times New Roman" w:hAnsi="Times New Roman"/>
                <w:sz w:val="18"/>
                <w:szCs w:val="18"/>
                <w:color w:val="auto"/>
              </w:rPr>
              <w:t>–Aplastic</w:t>
            </w:r>
          </w:p>
        </w:tc>
        <w:tc>
          <w:tcPr>
            <w:tcW w:w="1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anemia</w:t>
            </w:r>
          </w:p>
        </w:tc>
        <w:tc>
          <w:tcPr>
            <w:tcW w:w="1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6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NTLA-2001</w:t>
            </w:r>
            <w:r>
              <w:rPr>
                <w:rFonts w:ascii="Times New Roman" w:cs="Times New Roman" w:eastAsia="Times New Roman" w:hAnsi="Times New Roman"/>
                <w:sz w:val="20"/>
                <w:szCs w:val="20"/>
                <w:b w:val="1"/>
                <w:bCs w:val="1"/>
                <w:color w:val="auto"/>
                <w:vertAlign w:val="superscript"/>
              </w:rPr>
              <w:t>(j)</w:t>
            </w:r>
          </w:p>
        </w:tc>
        <w:tc>
          <w:tcPr>
            <w:tcW w:w="1300" w:type="dxa"/>
            <w:vAlign w:val="bottom"/>
            <w:shd w:val="clear" w:color="auto" w:fill="CCEEFF"/>
          </w:tcPr>
          <w:p>
            <w:pPr>
              <w:ind w:left="120"/>
              <w:spacing w:after="0" w:line="178" w:lineRule="exact"/>
              <w:rPr>
                <w:sz w:val="20"/>
                <w:szCs w:val="20"/>
                <w:color w:val="auto"/>
              </w:rPr>
            </w:pPr>
            <w:r>
              <w:rPr>
                <w:rFonts w:ascii="Times New Roman" w:cs="Times New Roman" w:eastAsia="Times New Roman" w:hAnsi="Times New Roman"/>
                <w:sz w:val="18"/>
                <w:szCs w:val="18"/>
                <w:color w:val="auto"/>
              </w:rPr>
              <w:t>–Transthyretin</w:t>
            </w:r>
          </w:p>
        </w:tc>
        <w:tc>
          <w:tcPr>
            <w:tcW w:w="1480" w:type="dxa"/>
            <w:vAlign w:val="bottom"/>
            <w:shd w:val="clear" w:color="auto" w:fill="CCEEFF"/>
          </w:tcPr>
          <w:p>
            <w:pPr>
              <w:spacing w:after="0"/>
              <w:rPr>
                <w:sz w:val="15"/>
                <w:szCs w:val="15"/>
                <w:color w:val="auto"/>
              </w:rPr>
            </w:pPr>
          </w:p>
        </w:tc>
        <w:tc>
          <w:tcPr>
            <w:tcW w:w="1440" w:type="dxa"/>
            <w:vAlign w:val="bottom"/>
            <w:shd w:val="clear" w:color="auto" w:fill="CCEEFF"/>
          </w:tcPr>
          <w:p>
            <w:pPr>
              <w:ind w:left="60"/>
              <w:spacing w:after="0" w:line="178" w:lineRule="exact"/>
              <w:rPr>
                <w:sz w:val="20"/>
                <w:szCs w:val="20"/>
                <w:color w:val="auto"/>
              </w:rPr>
            </w:pPr>
            <w:r>
              <w:rPr>
                <w:rFonts w:ascii="Times New Roman" w:cs="Times New Roman" w:eastAsia="Times New Roman" w:hAnsi="Times New Roman"/>
                <w:sz w:val="18"/>
                <w:szCs w:val="18"/>
                <w:color w:val="auto"/>
              </w:rPr>
              <w:t>–ATTR</w:t>
            </w:r>
          </w:p>
        </w:tc>
        <w:tc>
          <w:tcPr>
            <w:tcW w:w="16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TTR gene knockout</w:t>
            </w:r>
          </w:p>
        </w:tc>
        <w:tc>
          <w:tcPr>
            <w:tcW w:w="1300" w:type="dxa"/>
            <w:vAlign w:val="bottom"/>
            <w:shd w:val="clear" w:color="auto" w:fill="CCEEFF"/>
          </w:tcPr>
          <w:p>
            <w:pPr>
              <w:ind w:left="120"/>
              <w:spacing w:after="0" w:line="179" w:lineRule="exact"/>
              <w:rPr>
                <w:sz w:val="20"/>
                <w:szCs w:val="20"/>
                <w:color w:val="auto"/>
              </w:rPr>
            </w:pPr>
            <w:r>
              <w:rPr>
                <w:rFonts w:ascii="Times New Roman" w:cs="Times New Roman" w:eastAsia="Times New Roman" w:hAnsi="Times New Roman"/>
                <w:sz w:val="18"/>
                <w:szCs w:val="18"/>
                <w:color w:val="auto"/>
              </w:rPr>
              <w:t>("ATTR")</w:t>
            </w:r>
          </w:p>
        </w:tc>
        <w:tc>
          <w:tcPr>
            <w:tcW w:w="1480" w:type="dxa"/>
            <w:vAlign w:val="bottom"/>
            <w:shd w:val="clear" w:color="auto" w:fill="CCEEFF"/>
          </w:tcPr>
          <w:p>
            <w:pPr>
              <w:spacing w:after="0"/>
              <w:rPr>
                <w:sz w:val="15"/>
                <w:szCs w:val="15"/>
                <w:color w:val="auto"/>
              </w:rPr>
            </w:pPr>
          </w:p>
        </w:tc>
        <w:tc>
          <w:tcPr>
            <w:tcW w:w="1440" w:type="dxa"/>
            <w:vAlign w:val="bottom"/>
            <w:shd w:val="clear" w:color="auto" w:fill="CCEEFF"/>
          </w:tcPr>
          <w:p>
            <w:pPr>
              <w:ind w:left="60"/>
              <w:spacing w:after="0" w:line="179" w:lineRule="exact"/>
              <w:rPr>
                <w:sz w:val="20"/>
                <w:szCs w:val="20"/>
                <w:color w:val="auto"/>
              </w:rPr>
            </w:pPr>
            <w:r>
              <w:rPr>
                <w:rFonts w:ascii="Times New Roman" w:cs="Times New Roman" w:eastAsia="Times New Roman" w:hAnsi="Times New Roman"/>
                <w:sz w:val="18"/>
                <w:szCs w:val="18"/>
                <w:color w:val="auto"/>
              </w:rPr>
              <w:t>amyloidosis with</w:t>
            </w:r>
          </w:p>
        </w:tc>
        <w:tc>
          <w:tcPr>
            <w:tcW w:w="16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using CRISPR/Cas9</w:t>
            </w:r>
          </w:p>
        </w:tc>
        <w:tc>
          <w:tcPr>
            <w:tcW w:w="130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5"/>
                <w:szCs w:val="15"/>
                <w:color w:val="auto"/>
              </w:rPr>
              <w:t>amyloidosis</w:t>
            </w:r>
            <w:r>
              <w:rPr>
                <w:rFonts w:ascii="Times New Roman" w:cs="Times New Roman" w:eastAsia="Times New Roman" w:hAnsi="Times New Roman"/>
                <w:sz w:val="19"/>
                <w:szCs w:val="19"/>
                <w:color w:val="auto"/>
                <w:vertAlign w:val="superscript"/>
              </w:rPr>
              <w:t>(c)</w:t>
            </w:r>
          </w:p>
        </w:tc>
        <w:tc>
          <w:tcPr>
            <w:tcW w:w="1480" w:type="dxa"/>
            <w:vAlign w:val="bottom"/>
            <w:shd w:val="clear" w:color="auto" w:fill="CCEEFF"/>
          </w:tcPr>
          <w:p>
            <w:pPr>
              <w:spacing w:after="0"/>
              <w:rPr>
                <w:sz w:val="14"/>
                <w:szCs w:val="14"/>
                <w:color w:val="auto"/>
              </w:rPr>
            </w:pPr>
          </w:p>
        </w:tc>
        <w:tc>
          <w:tcPr>
            <w:tcW w:w="1440" w:type="dxa"/>
            <w:vAlign w:val="bottom"/>
            <w:shd w:val="clear" w:color="auto" w:fill="CCEEFF"/>
          </w:tcPr>
          <w:p>
            <w:pPr>
              <w:ind w:left="60"/>
              <w:spacing w:after="0" w:line="172" w:lineRule="exact"/>
              <w:rPr>
                <w:sz w:val="20"/>
                <w:szCs w:val="20"/>
                <w:color w:val="auto"/>
              </w:rPr>
            </w:pPr>
            <w:r>
              <w:rPr>
                <w:rFonts w:ascii="Times New Roman" w:cs="Times New Roman" w:eastAsia="Times New Roman" w:hAnsi="Times New Roman"/>
                <w:sz w:val="18"/>
                <w:szCs w:val="18"/>
                <w:color w:val="auto"/>
              </w:rPr>
              <w:t>cardiomyopathy</w:t>
            </w:r>
          </w:p>
        </w:tc>
        <w:tc>
          <w:tcPr>
            <w:tcW w:w="16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("ATTR-CM")</w:t>
            </w:r>
          </w:p>
        </w:tc>
        <w:tc>
          <w:tcPr>
            <w:tcW w:w="16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68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REGN9933</w:t>
            </w:r>
          </w:p>
        </w:tc>
        <w:tc>
          <w:tcPr>
            <w:tcW w:w="1300" w:type="dxa"/>
            <w:vAlign w:val="bottom"/>
          </w:tcPr>
          <w:p>
            <w:pPr>
              <w:spacing w:after="0"/>
              <w:rPr>
                <w:sz w:val="15"/>
                <w:szCs w:val="15"/>
                <w:color w:val="auto"/>
              </w:rPr>
            </w:pPr>
          </w:p>
        </w:tc>
        <w:tc>
          <w:tcPr>
            <w:tcW w:w="1480" w:type="dxa"/>
            <w:vAlign w:val="bottom"/>
          </w:tcPr>
          <w:p>
            <w:pPr>
              <w:ind w:left="100"/>
              <w:spacing w:after="0" w:line="178" w:lineRule="exact"/>
              <w:rPr>
                <w:sz w:val="20"/>
                <w:szCs w:val="20"/>
                <w:color w:val="auto"/>
              </w:rPr>
            </w:pPr>
            <w:r>
              <w:rPr>
                <w:rFonts w:ascii="Times New Roman" w:cs="Times New Roman" w:eastAsia="Times New Roman" w:hAnsi="Times New Roman"/>
                <w:sz w:val="18"/>
                <w:szCs w:val="18"/>
                <w:color w:val="auto"/>
              </w:rPr>
              <w:t>–Thrombosis</w:t>
            </w: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80" w:type="dxa"/>
            <w:vAlign w:val="bottom"/>
          </w:tcPr>
          <w:p>
            <w:pPr>
              <w:ind w:left="120"/>
              <w:spacing w:after="0" w:line="178" w:lineRule="exact"/>
              <w:rPr>
                <w:sz w:val="20"/>
                <w:szCs w:val="20"/>
                <w:color w:val="auto"/>
              </w:rPr>
            </w:pPr>
            <w:r>
              <w:rPr>
                <w:rFonts w:ascii="Times New Roman" w:cs="Times New Roman" w:eastAsia="Times New Roman" w:hAnsi="Times New Roman"/>
                <w:sz w:val="18"/>
                <w:szCs w:val="18"/>
                <w:color w:val="auto"/>
              </w:rPr>
              <w:t>–Report results from</w:t>
            </w:r>
          </w:p>
        </w:tc>
        <w:tc>
          <w:tcPr>
            <w:tcW w:w="0" w:type="dxa"/>
            <w:vAlign w:val="bottom"/>
          </w:tcPr>
          <w:p>
            <w:pPr>
              <w:spacing w:after="0"/>
              <w:rPr>
                <w:sz w:val="1"/>
                <w:szCs w:val="1"/>
                <w:color w:val="auto"/>
              </w:rPr>
            </w:pPr>
          </w:p>
        </w:tc>
      </w:tr>
      <w:tr>
        <w:trPr>
          <w:trHeight w:val="179"/>
        </w:trPr>
        <w:tc>
          <w:tcPr>
            <w:tcW w:w="168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Antibody to Factor XI</w:t>
            </w: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80" w:type="dxa"/>
            <w:vAlign w:val="bottom"/>
          </w:tcPr>
          <w:p>
            <w:pPr>
              <w:ind w:left="120"/>
              <w:spacing w:after="0" w:line="179" w:lineRule="exact"/>
              <w:rPr>
                <w:sz w:val="20"/>
                <w:szCs w:val="20"/>
                <w:color w:val="auto"/>
              </w:rPr>
            </w:pPr>
            <w:r>
              <w:rPr>
                <w:rFonts w:ascii="Times New Roman" w:cs="Times New Roman" w:eastAsia="Times New Roman" w:hAnsi="Times New Roman"/>
                <w:sz w:val="18"/>
                <w:szCs w:val="18"/>
                <w:color w:val="auto"/>
              </w:rPr>
              <w:t>Phase 2 study in</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8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thrombosis (second half</w:t>
            </w:r>
          </w:p>
        </w:tc>
        <w:tc>
          <w:tcPr>
            <w:tcW w:w="0" w:type="dxa"/>
            <w:vAlign w:val="bottom"/>
          </w:tcPr>
          <w:p>
            <w:pPr>
              <w:spacing w:after="0"/>
              <w:rPr>
                <w:sz w:val="1"/>
                <w:szCs w:val="1"/>
                <w:color w:val="auto"/>
              </w:rPr>
            </w:pPr>
          </w:p>
        </w:tc>
      </w:tr>
      <w:tr>
        <w:trPr>
          <w:trHeight w:val="225"/>
        </w:trPr>
        <w:tc>
          <w:tcPr>
            <w:tcW w:w="1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78"/>
        </w:trPr>
        <w:tc>
          <w:tcPr>
            <w:tcW w:w="16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REGN7508</w:t>
            </w:r>
          </w:p>
        </w:tc>
        <w:tc>
          <w:tcPr>
            <w:tcW w:w="1300" w:type="dxa"/>
            <w:vAlign w:val="bottom"/>
            <w:shd w:val="clear" w:color="auto" w:fill="CCEEFF"/>
          </w:tcPr>
          <w:p>
            <w:pPr>
              <w:ind w:left="120"/>
              <w:spacing w:after="0" w:line="178" w:lineRule="exact"/>
              <w:rPr>
                <w:sz w:val="20"/>
                <w:szCs w:val="20"/>
                <w:color w:val="auto"/>
              </w:rPr>
            </w:pPr>
            <w:r>
              <w:rPr>
                <w:rFonts w:ascii="Times New Roman" w:cs="Times New Roman" w:eastAsia="Times New Roman" w:hAnsi="Times New Roman"/>
                <w:sz w:val="18"/>
                <w:szCs w:val="18"/>
                <w:color w:val="auto"/>
              </w:rPr>
              <w:t>–Thrombosis</w:t>
            </w:r>
          </w:p>
        </w:tc>
        <w:tc>
          <w:tcPr>
            <w:tcW w:w="14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Factor XI</w:t>
            </w:r>
          </w:p>
        </w:tc>
        <w:tc>
          <w:tcPr>
            <w:tcW w:w="1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0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2023 and 2024</w:t>
            </w:r>
          </w:p>
        </w:tc>
        <w:tc>
          <w:tcPr>
            <w:tcW w:w="1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9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26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300" w:type="dxa"/>
            <w:vAlign w:val="bottom"/>
            <w:gridSpan w:val="2"/>
          </w:tcPr>
          <w:p>
            <w:pPr>
              <w:ind w:left="260"/>
              <w:spacing w:after="0" w:line="236"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2"/>
                <w:szCs w:val="22"/>
                <w:b w:val="1"/>
                <w:bCs w:val="1"/>
                <w:color w:val="auto"/>
                <w:vertAlign w:val="superscript"/>
              </w:rPr>
              <w:t>(h)</w:t>
            </w:r>
          </w:p>
        </w:tc>
        <w:tc>
          <w:tcPr>
            <w:tcW w:w="19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18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20" w:type="dxa"/>
            <w:vAlign w:val="bottom"/>
            <w:tcBorders>
              <w:top w:val="single" w:sz="8" w:color="auto"/>
            </w:tcBorders>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REGN7999</w:t>
            </w:r>
          </w:p>
        </w:tc>
        <w:tc>
          <w:tcPr>
            <w:tcW w:w="80" w:type="dxa"/>
            <w:vAlign w:val="bottom"/>
          </w:tcPr>
          <w:p>
            <w:pPr>
              <w:spacing w:after="0"/>
              <w:rPr>
                <w:sz w:val="14"/>
                <w:szCs w:val="14"/>
                <w:color w:val="auto"/>
              </w:rPr>
            </w:pPr>
          </w:p>
        </w:tc>
        <w:tc>
          <w:tcPr>
            <w:tcW w:w="1180" w:type="dxa"/>
            <w:vAlign w:val="bottom"/>
            <w:tcBorders>
              <w:top w:val="single" w:sz="8" w:color="auto"/>
            </w:tcBorders>
          </w:tcPr>
          <w:p>
            <w:pPr>
              <w:spacing w:after="0" w:line="172" w:lineRule="exact"/>
              <w:rPr>
                <w:sz w:val="20"/>
                <w:szCs w:val="20"/>
                <w:color w:val="auto"/>
              </w:rPr>
            </w:pPr>
            <w:r>
              <w:rPr>
                <w:rFonts w:ascii="Times New Roman" w:cs="Times New Roman" w:eastAsia="Times New Roman" w:hAnsi="Times New Roman"/>
                <w:sz w:val="18"/>
                <w:szCs w:val="18"/>
                <w:color w:val="auto"/>
              </w:rPr>
              <w:t>–Transfusion</w:t>
            </w:r>
          </w:p>
        </w:tc>
        <w:tc>
          <w:tcPr>
            <w:tcW w:w="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Antibody to TMPRSS6</w:t>
            </w:r>
          </w:p>
        </w:tc>
        <w:tc>
          <w:tcPr>
            <w:tcW w:w="126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dependent iron</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overload</w:t>
            </w: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30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1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040" w:type="dxa"/>
            <w:vAlign w:val="bottom"/>
            <w:shd w:val="clear" w:color="auto" w:fill="ACACAC"/>
          </w:tcPr>
          <w:p>
            <w:pPr>
              <w:spacing w:after="0"/>
              <w:rPr>
                <w:sz w:val="19"/>
                <w:szCs w:val="19"/>
                <w:color w:val="auto"/>
              </w:rPr>
            </w:pPr>
          </w:p>
        </w:tc>
        <w:tc>
          <w:tcPr>
            <w:tcW w:w="3320" w:type="dxa"/>
            <w:vAlign w:val="bottom"/>
            <w:gridSpan w:val="6"/>
            <w:shd w:val="clear" w:color="auto" w:fill="ACACAC"/>
          </w:tcPr>
          <w:p>
            <w:pPr>
              <w:spacing w:after="0"/>
              <w:rPr>
                <w:sz w:val="20"/>
                <w:szCs w:val="20"/>
                <w:color w:val="auto"/>
              </w:rPr>
            </w:pPr>
            <w:r>
              <w:rPr>
                <w:rFonts w:ascii="Times New Roman" w:cs="Times New Roman" w:eastAsia="Times New Roman" w:hAnsi="Times New Roman"/>
                <w:sz w:val="18"/>
                <w:szCs w:val="18"/>
                <w:b w:val="1"/>
                <w:bCs w:val="1"/>
                <w:color w:val="auto"/>
              </w:rPr>
              <w:t>Internal Medicine/Genetic Medicines</w:t>
            </w:r>
          </w:p>
        </w:tc>
        <w:tc>
          <w:tcPr>
            <w:tcW w:w="182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8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Praluent (alirocumab)</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–HeFH in pediatrics</w:t>
            </w:r>
          </w:p>
        </w:tc>
        <w:tc>
          <w:tcPr>
            <w:tcW w:w="13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–HeFH in</w:t>
            </w:r>
          </w:p>
        </w:tc>
        <w:tc>
          <w:tcPr>
            <w:tcW w:w="190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–Approved by EC for</w:t>
            </w:r>
          </w:p>
        </w:tc>
        <w:tc>
          <w:tcPr>
            <w:tcW w:w="180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w w:val="98"/>
              </w:rPr>
              <w:t>–FDA decision on sBLA</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Antibody to PCSK9</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and adolescents</w:t>
            </w:r>
          </w:p>
        </w:tc>
        <w:tc>
          <w:tcPr>
            <w:tcW w:w="13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pediatrics and</w:t>
            </w:r>
          </w:p>
        </w:tc>
        <w:tc>
          <w:tcPr>
            <w:tcW w:w="190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HeFH in pediatrics and</w:t>
            </w:r>
          </w:p>
        </w:tc>
        <w:tc>
          <w:tcPr>
            <w:tcW w:w="18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for HeFH in pediatrics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adolescents (8–</w:t>
            </w:r>
          </w:p>
        </w:tc>
        <w:tc>
          <w:tcPr>
            <w:tcW w:w="19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adolescents (8–17 years</w:t>
            </w:r>
          </w:p>
        </w:tc>
        <w:tc>
          <w:tcPr>
            <w:tcW w:w="18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and adolescents (target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17 years of age)</w:t>
            </w:r>
          </w:p>
        </w:tc>
        <w:tc>
          <w:tcPr>
            <w:tcW w:w="19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of age)</w:t>
            </w:r>
          </w:p>
        </w:tc>
        <w:tc>
          <w:tcPr>
            <w:tcW w:w="18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action date of March 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Evkeeza</w:t>
            </w:r>
            <w:r>
              <w:rPr>
                <w:rFonts w:ascii="Times New Roman" w:cs="Times New Roman" w:eastAsia="Times New Roman" w:hAnsi="Times New Roman"/>
                <w:sz w:val="20"/>
                <w:szCs w:val="20"/>
                <w:b w:val="1"/>
                <w:bCs w:val="1"/>
                <w:color w:val="auto"/>
                <w:vertAlign w:val="superscript"/>
              </w:rPr>
              <w:t>(f)(l)</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–Approved by FDA and</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(evinacumab)</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EC for HoFH in</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Antibody to ANGPTL3</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pediatrics (5–11 years of</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age) and MHLW for</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HoFH in adults,</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adolescents, and</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pediatrics</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Garetosmab</w:t>
            </w:r>
            <w:r>
              <w:rPr>
                <w:rFonts w:ascii="Times New Roman" w:cs="Times New Roman" w:eastAsia="Times New Roman" w:hAnsi="Times New Roman"/>
                <w:sz w:val="20"/>
                <w:szCs w:val="20"/>
                <w:b w:val="1"/>
                <w:bCs w:val="1"/>
                <w:color w:val="auto"/>
                <w:vertAlign w:val="superscript"/>
              </w:rPr>
              <w:t>(f)</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–Fibrodysplasia</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ossificans</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Antibody to Activin A</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progressiva</w:t>
            </w: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26"/>
                <w:szCs w:val="26"/>
                <w:color w:val="auto"/>
                <w:vertAlign w:val="subscript"/>
              </w:rPr>
              <w:t>("FOP")</w:t>
            </w:r>
            <w:r>
              <w:rPr>
                <w:rFonts w:ascii="Times New Roman" w:cs="Times New Roman" w:eastAsia="Times New Roman" w:hAnsi="Times New Roman"/>
                <w:sz w:val="10"/>
                <w:szCs w:val="10"/>
                <w:color w:val="auto"/>
              </w:rPr>
              <w:t>(c)(d)(e)</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Trevogrumab</w:t>
            </w:r>
            <w:r>
              <w:rPr>
                <w:rFonts w:ascii="Times New Roman" w:cs="Times New Roman" w:eastAsia="Times New Roman" w:hAnsi="Times New Roman"/>
                <w:sz w:val="20"/>
                <w:szCs w:val="20"/>
                <w:b w:val="1"/>
                <w:bCs w:val="1"/>
                <w:color w:val="auto"/>
                <w:vertAlign w:val="superscript"/>
              </w:rPr>
              <w:t>(f)</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–Initiate Phase 2 study</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(REGN1033)</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in combination with</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Antibody to myostatin</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semaglutide with and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(GDF8)</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without garetosmab</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(mid-2024)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90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Mibavademab</w:t>
            </w:r>
            <w:r>
              <w:rPr>
                <w:rFonts w:ascii="Times New Roman" w:cs="Times New Roman" w:eastAsia="Times New Roman" w:hAnsi="Times New Roman"/>
                <w:sz w:val="20"/>
                <w:szCs w:val="20"/>
                <w:b w:val="1"/>
                <w:bCs w:val="1"/>
                <w:color w:val="auto"/>
                <w:vertAlign w:val="superscript"/>
              </w:rPr>
              <w:t>(f)</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–Generalized</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–Presented results from</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60" w:type="dxa"/>
            <w:vAlign w:val="bottom"/>
            <w:gridSpan w:val="5"/>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lipodystrophy</w:t>
            </w:r>
            <w:r>
              <w:rPr>
                <w:rFonts w:ascii="Times New Roman" w:cs="Times New Roman" w:eastAsia="Times New Roman" w:hAnsi="Times New Roman"/>
                <w:sz w:val="20"/>
                <w:szCs w:val="20"/>
                <w:color w:val="auto"/>
                <w:vertAlign w:val="superscript"/>
              </w:rPr>
              <w:t>(d)(e)</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Phase 2 study in</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generalized</w:t>
            </w: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leptin receptor ("LEPR")</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lipodystrophy at ENDO</w:t>
            </w: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REGN5381/REGN9035</w:t>
            </w:r>
          </w:p>
        </w:tc>
        <w:tc>
          <w:tcPr>
            <w:tcW w:w="126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–Reversal agent</w:t>
            </w:r>
          </w:p>
        </w:tc>
        <w:tc>
          <w:tcPr>
            <w:tcW w:w="10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–Heart failure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–Resumed enrollment in</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Agonist antibody to</w:t>
            </w:r>
          </w:p>
        </w:tc>
        <w:tc>
          <w:tcPr>
            <w:tcW w:w="126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in healthy</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previously paused Phase</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NPR1/reversal agent to</w:t>
            </w:r>
          </w:p>
        </w:tc>
        <w:tc>
          <w:tcPr>
            <w:tcW w:w="126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volunteers</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1 and Phase 2 studies</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REGN5381</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following protocol</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amendments</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positive</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initial data from Phase 1</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trial in healthy</w:t>
            </w: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volunteers</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REGN7544</w:t>
            </w:r>
          </w:p>
        </w:tc>
        <w:tc>
          <w:tcPr>
            <w:tcW w:w="126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–Healthy</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Antagonist antibody to</w:t>
            </w:r>
          </w:p>
        </w:tc>
        <w:tc>
          <w:tcPr>
            <w:tcW w:w="1260" w:type="dxa"/>
            <w:vAlign w:val="bottom"/>
            <w:gridSpan w:val="2"/>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volunteers</w:t>
            </w:r>
          </w:p>
        </w:tc>
        <w:tc>
          <w:tcPr>
            <w:tcW w:w="1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NPR1</w:t>
            </w: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ALN-HSD</w:t>
            </w:r>
            <w:r>
              <w:rPr>
                <w:rFonts w:ascii="Times New Roman" w:cs="Times New Roman" w:eastAsia="Times New Roman" w:hAnsi="Times New Roman"/>
                <w:sz w:val="20"/>
                <w:szCs w:val="20"/>
                <w:b w:val="1"/>
                <w:bCs w:val="1"/>
                <w:color w:val="auto"/>
                <w:vertAlign w:val="superscript"/>
              </w:rPr>
              <w:t>(o)</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w w:val="96"/>
              </w:rPr>
              <w:t>–Nonalcoholic</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line="179" w:lineRule="exact"/>
              <w:rPr>
                <w:sz w:val="20"/>
                <w:szCs w:val="20"/>
                <w:color w:val="auto"/>
              </w:rPr>
            </w:pPr>
            <w:r>
              <w:rPr>
                <w:rFonts w:ascii="Times New Roman" w:cs="Times New Roman" w:eastAsia="Times New Roman" w:hAnsi="Times New Roman"/>
                <w:sz w:val="18"/>
                <w:szCs w:val="18"/>
                <w:color w:val="auto"/>
                <w:w w:val="98"/>
              </w:rPr>
              <w:t>steatohepatitis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HSD17B13</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("NASH")</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0"/>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40" w:type="dxa"/>
            <w:vAlign w:val="bottom"/>
            <w:gridSpan w:val="3"/>
          </w:tcPr>
          <w:p>
            <w:pPr>
              <w:jc w:val="right"/>
              <w:ind w:right="357"/>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5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2023 and 2024</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Select Upcoming</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8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300" w:type="dxa"/>
            <w:vAlign w:val="bottom"/>
            <w:gridSpan w:val="2"/>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300" w:type="dxa"/>
            <w:vAlign w:val="bottom"/>
            <w:gridSpan w:val="2"/>
          </w:tcPr>
          <w:p>
            <w:pPr>
              <w:jc w:val="center"/>
              <w:ind w:right="80"/>
              <w:spacing w:after="0" w:line="236" w:lineRule="exact"/>
              <w:rPr>
                <w:sz w:val="20"/>
                <w:szCs w:val="20"/>
                <w:color w:val="auto"/>
              </w:rPr>
            </w:pPr>
            <w:r>
              <w:rPr>
                <w:rFonts w:ascii="Times New Roman" w:cs="Times New Roman" w:eastAsia="Times New Roman" w:hAnsi="Times New Roman"/>
                <w:sz w:val="18"/>
                <w:szCs w:val="18"/>
                <w:b w:val="1"/>
                <w:bCs w:val="1"/>
                <w:color w:val="auto"/>
                <w:w w:val="94"/>
              </w:rPr>
              <w:t>Review</w:t>
            </w:r>
            <w:r>
              <w:rPr>
                <w:rFonts w:ascii="Times New Roman" w:cs="Times New Roman" w:eastAsia="Times New Roman" w:hAnsi="Times New Roman"/>
                <w:sz w:val="22"/>
                <w:szCs w:val="22"/>
                <w:b w:val="1"/>
                <w:bCs w:val="1"/>
                <w:color w:val="auto"/>
                <w:w w:val="94"/>
                <w:vertAlign w:val="superscript"/>
              </w:rPr>
              <w:t>(h)</w:t>
            </w:r>
          </w:p>
        </w:tc>
        <w:tc>
          <w:tcPr>
            <w:tcW w:w="19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Events to Date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Milestones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6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5"/>
                <w:szCs w:val="15"/>
                <w:b w:val="1"/>
                <w:bCs w:val="1"/>
                <w:color w:val="auto"/>
              </w:rPr>
              <w:t>ALN-PNP</w:t>
            </w:r>
            <w:r>
              <w:rPr>
                <w:rFonts w:ascii="Times New Roman" w:cs="Times New Roman" w:eastAsia="Times New Roman" w:hAnsi="Times New Roman"/>
                <w:sz w:val="19"/>
                <w:szCs w:val="19"/>
                <w:b w:val="1"/>
                <w:bCs w:val="1"/>
                <w:color w:val="auto"/>
                <w:vertAlign w:val="superscript"/>
              </w:rPr>
              <w:t>(k)</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–NASH</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84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PNPLA3</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ALN-APP</w:t>
            </w:r>
            <w:r>
              <w:rPr>
                <w:rFonts w:ascii="Times New Roman" w:cs="Times New Roman" w:eastAsia="Times New Roman" w:hAnsi="Times New Roman"/>
                <w:sz w:val="20"/>
                <w:szCs w:val="20"/>
                <w:b w:val="1"/>
                <w:bCs w:val="1"/>
                <w:color w:val="auto"/>
                <w:vertAlign w:val="superscript"/>
              </w:rPr>
              <w:t>(k)</w:t>
            </w:r>
          </w:p>
        </w:tc>
        <w:tc>
          <w:tcPr>
            <w:tcW w:w="130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–Early-onset</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–Reported positive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8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RNAi therapeutic</w:t>
            </w:r>
          </w:p>
        </w:tc>
        <w:tc>
          <w:tcPr>
            <w:tcW w:w="130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Alzheimer’s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color w:val="auto"/>
              </w:rPr>
              <w:t>interim data from single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targeting APP</w:t>
            </w:r>
          </w:p>
        </w:tc>
        <w:tc>
          <w:tcPr>
            <w:tcW w:w="130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5"/>
                <w:szCs w:val="15"/>
                <w:color w:val="auto"/>
              </w:rPr>
              <w:t>disease</w:t>
            </w:r>
            <w:r>
              <w:rPr>
                <w:rFonts w:ascii="Times New Roman" w:cs="Times New Roman" w:eastAsia="Times New Roman" w:hAnsi="Times New Roman"/>
                <w:sz w:val="19"/>
                <w:szCs w:val="19"/>
                <w:color w:val="auto"/>
                <w:vertAlign w:val="superscript"/>
              </w:rPr>
              <w:t>(q)</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dose part of Phase 1 trial</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 early-onset</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Alzheimer’s disease</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4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DB-OTO</w:t>
            </w:r>
          </w:p>
        </w:tc>
        <w:tc>
          <w:tcPr>
            <w:tcW w:w="130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–Hearing loss in</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–Reported preliminary,</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8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i w:val="1"/>
                <w:iCs w:val="1"/>
                <w:color w:val="auto"/>
              </w:rPr>
              <w:t>AAV-based gene</w:t>
            </w:r>
          </w:p>
        </w:tc>
        <w:tc>
          <w:tcPr>
            <w:tcW w:w="13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pediatrics</w:t>
            </w:r>
            <w:r>
              <w:rPr>
                <w:rFonts w:ascii="Times New Roman" w:cs="Times New Roman" w:eastAsia="Times New Roman" w:hAnsi="Times New Roman"/>
                <w:sz w:val="20"/>
                <w:szCs w:val="20"/>
                <w:color w:val="auto"/>
                <w:vertAlign w:val="superscript"/>
              </w:rPr>
              <w:t>(c)</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positive safety and</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therapy</w:t>
            </w:r>
          </w:p>
        </w:tc>
        <w:tc>
          <w:tcPr>
            <w:tcW w:w="130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(Phase 1/2)</w:t>
            </w: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efficacy results from first</w:t>
            </w: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patient dosed in Phase</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1/2 trial in pediatrics</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hearing loss</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"Next Generation"</w:t>
            </w:r>
          </w:p>
        </w:tc>
        <w:tc>
          <w:tcPr>
            <w:tcW w:w="1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–Healthy</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Covid Antibody</w:t>
            </w:r>
            <w:r>
              <w:rPr>
                <w:rFonts w:ascii="Times New Roman" w:cs="Times New Roman" w:eastAsia="Times New Roman" w:hAnsi="Times New Roman"/>
                <w:sz w:val="21"/>
                <w:szCs w:val="21"/>
                <w:b w:val="1"/>
                <w:bCs w:val="1"/>
                <w:color w:val="auto"/>
                <w:vertAlign w:val="superscript"/>
              </w:rPr>
              <w:t>(i)</w:t>
            </w:r>
          </w:p>
        </w:tc>
        <w:tc>
          <w:tcPr>
            <w:tcW w:w="13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volunteers</w:t>
            </w: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Antibody to SARS-CoV-</w:t>
            </w: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2 variants</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4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REGN13335</w:t>
            </w:r>
          </w:p>
        </w:tc>
        <w:tc>
          <w:tcPr>
            <w:tcW w:w="13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–Healthy</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84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Antagonist antibody to</w:t>
            </w:r>
          </w:p>
        </w:tc>
        <w:tc>
          <w:tcPr>
            <w:tcW w:w="130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volunteers</w:t>
            </w: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PDGF-B</w:t>
            </w: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3"/>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220" w:right="720"/>
        <w:spacing w:after="0" w:line="236" w:lineRule="auto"/>
        <w:rPr>
          <w:sz w:val="20"/>
          <w:szCs w:val="20"/>
          <w:color w:val="auto"/>
        </w:rPr>
      </w:pPr>
      <w:r>
        <w:rPr>
          <w:rFonts w:ascii="Times New Roman" w:cs="Times New Roman" w:eastAsia="Times New Roman" w:hAnsi="Times New Roman"/>
          <w:sz w:val="16"/>
          <w:szCs w:val="16"/>
          <w:color w:val="auto"/>
        </w:rPr>
        <w:t>Note: For purposes of the table above, a program is classified in Phase 1, 2, or 3 clinical development after recruitment for the corresponding study or studies has commenced.</w:t>
      </w:r>
    </w:p>
    <w:p>
      <w:pPr>
        <w:ind w:left="400" w:hanging="171"/>
        <w:spacing w:after="0" w:line="196" w:lineRule="auto"/>
        <w:tabs>
          <w:tab w:leader="none" w:pos="4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23" w:lineRule="exact"/>
        <w:rPr>
          <w:rFonts w:ascii="Times New Roman" w:cs="Times New Roman" w:eastAsia="Times New Roman" w:hAnsi="Times New Roman"/>
          <w:sz w:val="23"/>
          <w:szCs w:val="23"/>
          <w:color w:val="auto"/>
          <w:vertAlign w:val="superscript"/>
        </w:rPr>
      </w:pPr>
    </w:p>
    <w:p>
      <w:pPr>
        <w:ind w:left="400" w:hanging="171"/>
        <w:spacing w:after="0" w:line="188" w:lineRule="auto"/>
        <w:tabs>
          <w:tab w:leader="none" w:pos="4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Sanofi</w:t>
      </w:r>
    </w:p>
    <w:p>
      <w:pPr>
        <w:spacing w:after="0" w:line="22" w:lineRule="exact"/>
        <w:rPr>
          <w:rFonts w:ascii="Times New Roman" w:cs="Times New Roman" w:eastAsia="Times New Roman" w:hAnsi="Times New Roman"/>
          <w:sz w:val="21"/>
          <w:szCs w:val="21"/>
          <w:color w:val="auto"/>
          <w:vertAlign w:val="superscript"/>
        </w:rPr>
      </w:pPr>
    </w:p>
    <w:p>
      <w:pPr>
        <w:ind w:left="400" w:hanging="171"/>
        <w:spacing w:after="0" w:line="188" w:lineRule="auto"/>
        <w:tabs>
          <w:tab w:leader="none" w:pos="4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orphan drug designation</w:t>
      </w:r>
    </w:p>
    <w:p>
      <w:pPr>
        <w:spacing w:after="0" w:line="22" w:lineRule="exact"/>
        <w:rPr>
          <w:rFonts w:ascii="Times New Roman" w:cs="Times New Roman" w:eastAsia="Times New Roman" w:hAnsi="Times New Roman"/>
          <w:sz w:val="21"/>
          <w:szCs w:val="21"/>
          <w:color w:val="auto"/>
          <w:vertAlign w:val="superscript"/>
        </w:rPr>
      </w:pPr>
    </w:p>
    <w:p>
      <w:pPr>
        <w:ind w:left="400" w:hanging="171"/>
        <w:spacing w:after="0" w:line="188" w:lineRule="auto"/>
        <w:tabs>
          <w:tab w:leader="none" w:pos="4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Breakthrough Therapy designation</w:t>
      </w:r>
    </w:p>
    <w:p>
      <w:pPr>
        <w:spacing w:after="0" w:line="22" w:lineRule="exact"/>
        <w:rPr>
          <w:rFonts w:ascii="Times New Roman" w:cs="Times New Roman" w:eastAsia="Times New Roman" w:hAnsi="Times New Roman"/>
          <w:sz w:val="21"/>
          <w:szCs w:val="21"/>
          <w:color w:val="auto"/>
          <w:vertAlign w:val="superscript"/>
        </w:rPr>
      </w:pPr>
    </w:p>
    <w:p>
      <w:pPr>
        <w:ind w:left="400" w:hanging="171"/>
        <w:spacing w:after="0" w:line="188" w:lineRule="auto"/>
        <w:tabs>
          <w:tab w:leader="none" w:pos="4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Fast Track designation</w:t>
      </w:r>
    </w:p>
    <w:p>
      <w:pPr>
        <w:spacing w:after="0" w:line="22" w:lineRule="exact"/>
        <w:rPr>
          <w:rFonts w:ascii="Times New Roman" w:cs="Times New Roman" w:eastAsia="Times New Roman" w:hAnsi="Times New Roman"/>
          <w:sz w:val="21"/>
          <w:szCs w:val="21"/>
          <w:color w:val="auto"/>
          <w:vertAlign w:val="superscript"/>
        </w:rPr>
      </w:pPr>
    </w:p>
    <w:p>
      <w:pPr>
        <w:ind w:left="220" w:right="20" w:firstLine="9"/>
        <w:spacing w:after="0" w:line="202" w:lineRule="auto"/>
        <w:tabs>
          <w:tab w:leader="none" w:pos="374"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did not opt-in to or elected not to continue to co-develop the product candidate. Under the terms of our agreement, Sanofi is entitled to receive royalties on sales of the product, if any.</w:t>
      </w:r>
    </w:p>
    <w:p>
      <w:pPr>
        <w:ind w:left="400" w:hanging="171"/>
        <w:spacing w:after="0" w:line="223" w:lineRule="auto"/>
        <w:tabs>
          <w:tab w:leader="none" w:pos="4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Studied as monotherapy and in combination with other antibodies and treatments</w:t>
      </w:r>
    </w:p>
    <w:p>
      <w:pPr>
        <w:spacing w:after="0" w:line="23" w:lineRule="exact"/>
        <w:rPr>
          <w:rFonts w:ascii="Times New Roman" w:cs="Times New Roman" w:eastAsia="Times New Roman" w:hAnsi="Times New Roman"/>
          <w:sz w:val="21"/>
          <w:szCs w:val="21"/>
          <w:color w:val="auto"/>
          <w:vertAlign w:val="superscript"/>
        </w:rPr>
      </w:pPr>
    </w:p>
    <w:p>
      <w:pPr>
        <w:ind w:left="400" w:hanging="171"/>
        <w:spacing w:after="0" w:line="188" w:lineRule="auto"/>
        <w:tabs>
          <w:tab w:leader="none" w:pos="4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Information in this column relates to U.S., EU, and Japan regulatory submissions only</w:t>
      </w:r>
    </w:p>
    <w:p>
      <w:pPr>
        <w:spacing w:after="0" w:line="22" w:lineRule="exact"/>
        <w:rPr>
          <w:rFonts w:ascii="Times New Roman" w:cs="Times New Roman" w:eastAsia="Times New Roman" w:hAnsi="Times New Roman"/>
          <w:sz w:val="21"/>
          <w:szCs w:val="21"/>
          <w:color w:val="auto"/>
          <w:vertAlign w:val="superscript"/>
        </w:rPr>
      </w:pPr>
    </w:p>
    <w:p>
      <w:pPr>
        <w:ind w:left="220" w:right="240" w:firstLine="9"/>
        <w:spacing w:after="0" w:line="196" w:lineRule="auto"/>
        <w:tabs>
          <w:tab w:leader="none" w:pos="36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We and the Biomedical Advanced Research and Development Authority ("BARDA") of the U.S. Department of Health and Human Services ("HHS") are parties to an agreement whereby HHS provides certain funding to support research and development activities.</w:t>
      </w:r>
    </w:p>
    <w:p>
      <w:pPr>
        <w:spacing w:after="0" w:line="1" w:lineRule="exact"/>
        <w:rPr>
          <w:rFonts w:ascii="Times New Roman" w:cs="Times New Roman" w:eastAsia="Times New Roman" w:hAnsi="Times New Roman"/>
          <w:sz w:val="22"/>
          <w:szCs w:val="22"/>
          <w:color w:val="auto"/>
          <w:vertAlign w:val="superscript"/>
        </w:rPr>
      </w:pPr>
    </w:p>
    <w:p>
      <w:pPr>
        <w:ind w:left="380" w:hanging="151"/>
        <w:spacing w:after="0" w:line="192" w:lineRule="auto"/>
        <w:tabs>
          <w:tab w:leader="none" w:pos="38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collaboration with Intellia</w:t>
      </w:r>
    </w:p>
    <w:p>
      <w:pPr>
        <w:spacing w:after="0" w:line="22" w:lineRule="exact"/>
        <w:rPr>
          <w:rFonts w:ascii="Times New Roman" w:cs="Times New Roman" w:eastAsia="Times New Roman" w:hAnsi="Times New Roman"/>
          <w:sz w:val="23"/>
          <w:szCs w:val="23"/>
          <w:color w:val="auto"/>
          <w:vertAlign w:val="superscript"/>
        </w:rPr>
      </w:pPr>
    </w:p>
    <w:p>
      <w:pPr>
        <w:ind w:left="400" w:hanging="171"/>
        <w:spacing w:after="0" w:line="188" w:lineRule="auto"/>
        <w:tabs>
          <w:tab w:leader="none" w:pos="4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Alnylam</w:t>
      </w:r>
    </w:p>
    <w:p>
      <w:pPr>
        <w:spacing w:after="0" w:line="22" w:lineRule="exact"/>
        <w:rPr>
          <w:rFonts w:ascii="Times New Roman" w:cs="Times New Roman" w:eastAsia="Times New Roman" w:hAnsi="Times New Roman"/>
          <w:sz w:val="21"/>
          <w:szCs w:val="21"/>
          <w:color w:val="auto"/>
          <w:vertAlign w:val="superscript"/>
        </w:rPr>
      </w:pPr>
    </w:p>
    <w:p>
      <w:pPr>
        <w:ind w:left="380" w:hanging="151"/>
        <w:spacing w:after="0" w:line="188" w:lineRule="auto"/>
        <w:tabs>
          <w:tab w:leader="none" w:pos="3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collaboration with Ultragenyx outside the United States</w:t>
      </w:r>
    </w:p>
    <w:p>
      <w:pPr>
        <w:spacing w:after="0" w:line="22" w:lineRule="exact"/>
        <w:rPr>
          <w:rFonts w:ascii="Times New Roman" w:cs="Times New Roman" w:eastAsia="Times New Roman" w:hAnsi="Times New Roman"/>
          <w:sz w:val="21"/>
          <w:szCs w:val="21"/>
          <w:color w:val="auto"/>
          <w:vertAlign w:val="superscript"/>
        </w:rPr>
      </w:pPr>
    </w:p>
    <w:p>
      <w:pPr>
        <w:ind w:left="440" w:hanging="211"/>
        <w:spacing w:after="0" w:line="188" w:lineRule="auto"/>
        <w:tabs>
          <w:tab w:leader="none" w:pos="44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Fast Track designation for follicular lymphoma and diffuse large B-cell lymphoma</w:t>
      </w:r>
    </w:p>
    <w:p>
      <w:pPr>
        <w:spacing w:after="0" w:line="36" w:lineRule="exact"/>
        <w:rPr>
          <w:rFonts w:ascii="Times New Roman" w:cs="Times New Roman" w:eastAsia="Times New Roman" w:hAnsi="Times New Roman"/>
          <w:sz w:val="21"/>
          <w:szCs w:val="21"/>
          <w:color w:val="auto"/>
          <w:vertAlign w:val="superscript"/>
        </w:rPr>
      </w:pPr>
    </w:p>
    <w:p>
      <w:pPr>
        <w:ind w:left="400" w:hanging="171"/>
        <w:spacing w:after="0" w:line="188" w:lineRule="auto"/>
        <w:tabs>
          <w:tab w:leader="none" w:pos="4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Studied in combination with ubamatamab</w:t>
      </w:r>
    </w:p>
    <w:p>
      <w:pPr>
        <w:spacing w:after="0" w:line="22" w:lineRule="exact"/>
        <w:rPr>
          <w:rFonts w:ascii="Times New Roman" w:cs="Times New Roman" w:eastAsia="Times New Roman" w:hAnsi="Times New Roman"/>
          <w:sz w:val="21"/>
          <w:szCs w:val="21"/>
          <w:color w:val="auto"/>
          <w:vertAlign w:val="superscript"/>
        </w:rPr>
      </w:pPr>
    </w:p>
    <w:p>
      <w:pPr>
        <w:ind w:left="400" w:hanging="171"/>
        <w:spacing w:after="0" w:line="188" w:lineRule="auto"/>
        <w:tabs>
          <w:tab w:leader="none" w:pos="4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Alnylam elected to opt-out of the product candidate. Under the terms of our agreement, Alnylam is entitled to receive royalties on sales of the product, if any.</w:t>
      </w:r>
    </w:p>
    <w:p>
      <w:pPr>
        <w:spacing w:after="0" w:line="36" w:lineRule="exact"/>
        <w:rPr>
          <w:rFonts w:ascii="Times New Roman" w:cs="Times New Roman" w:eastAsia="Times New Roman" w:hAnsi="Times New Roman"/>
          <w:sz w:val="21"/>
          <w:szCs w:val="21"/>
          <w:color w:val="auto"/>
          <w:vertAlign w:val="superscript"/>
        </w:rPr>
      </w:pPr>
    </w:p>
    <w:p>
      <w:pPr>
        <w:ind w:left="400" w:hanging="171"/>
        <w:spacing w:after="0" w:line="188" w:lineRule="auto"/>
        <w:tabs>
          <w:tab w:leader="none" w:pos="4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Studied in combination with odronextamab</w:t>
      </w:r>
    </w:p>
    <w:p>
      <w:pPr>
        <w:spacing w:after="0" w:line="36" w:lineRule="exact"/>
        <w:rPr>
          <w:rFonts w:ascii="Times New Roman" w:cs="Times New Roman" w:eastAsia="Times New Roman" w:hAnsi="Times New Roman"/>
          <w:sz w:val="21"/>
          <w:szCs w:val="21"/>
          <w:color w:val="auto"/>
          <w:vertAlign w:val="superscript"/>
        </w:rPr>
      </w:pPr>
    </w:p>
    <w:p>
      <w:pPr>
        <w:ind w:left="400" w:hanging="171"/>
        <w:spacing w:after="0" w:line="188" w:lineRule="auto"/>
        <w:tabs>
          <w:tab w:leader="none" w:pos="40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Part B of the study (multi-dose regimen) placed on partial clinical hold in the U.S. by the FDA due to findings observed in prior non-clinical chronic toxicology studies</w:t>
      </w:r>
    </w:p>
    <w:p>
      <w:pPr>
        <w:spacing w:after="0" w:line="22" w:lineRule="exact"/>
        <w:rPr>
          <w:rFonts w:ascii="Times New Roman" w:cs="Times New Roman" w:eastAsia="Times New Roman" w:hAnsi="Times New Roman"/>
          <w:sz w:val="21"/>
          <w:szCs w:val="21"/>
          <w:color w:val="auto"/>
          <w:vertAlign w:val="superscript"/>
        </w:rPr>
      </w:pPr>
    </w:p>
    <w:p>
      <w:pPr>
        <w:ind w:left="380" w:hanging="151"/>
        <w:spacing w:after="0" w:line="188" w:lineRule="auto"/>
        <w:tabs>
          <w:tab w:leader="none" w:pos="3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BioNTech's BNT116 is an mRNA cancer vaccine.</w:t>
      </w:r>
    </w:p>
    <w:p>
      <w:pPr>
        <w:spacing w:after="0" w:line="22" w:lineRule="exact"/>
        <w:rPr>
          <w:rFonts w:ascii="Times New Roman" w:cs="Times New Roman" w:eastAsia="Times New Roman" w:hAnsi="Times New Roman"/>
          <w:sz w:val="21"/>
          <w:szCs w:val="21"/>
          <w:color w:val="auto"/>
          <w:vertAlign w:val="superscript"/>
        </w:rPr>
      </w:pPr>
    </w:p>
    <w:p>
      <w:pPr>
        <w:ind w:left="220" w:firstLine="9"/>
        <w:spacing w:after="0" w:line="202" w:lineRule="auto"/>
        <w:tabs>
          <w:tab w:leader="none" w:pos="381"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Under the terms of our license agreement for the combination consisting of cemdisiran and pozelimab, Alnylam is entitled to receive royalties on sales of the combination (if any), as well as sales milestones.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 Clinical Development Programs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EYLEA HD (aflibercept) 8 mg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2023, the FDA approved the BLA for EYLEA HD for the treatment of patients with wAMD, DME, and DR.</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Previously, in June 2023, the FDA issued a CRL for the EYLEA HD BLA. The CRL was issued solely due to unresolved observations resulting from a May 2023 FDA inspection at a third-party contract manufacturing organization, Catalent, that the Company engaged to complete vial-filling for EYLEA HD. With the approval of EYLEA HD, the pre-approval inspection issues related to the BLA had been addressed.</w:t>
      </w:r>
    </w:p>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June 2023 and August 2023, the Company announced top-line, two-year (96 weeks) data for EYLEA HD from the pivotal PHOTON trial in patients with DME and the pivotal PULSAR trial in patients with wAMD, respectively. In addition, in July 2023, the results from the PHOTON trial were presented at the American Society of Retina Specialists annual meeting. During both trials, EYLEA HD patients were initially randomized to either 12- or 16-week dosing intervals (after three initial monthly doses) and were able to shorten or extend dosing intervals if pre-specified criteria were met. The longer-term data among EYLEA HD patients who completed the trials demonstrated that the vast majority of patients were able to maintain or further extend these dosing intervals through two years with: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PHOTON:</w:t>
      </w:r>
    </w:p>
    <w:p>
      <w:pPr>
        <w:spacing w:after="0" w:line="151" w:lineRule="exact"/>
        <w:rPr>
          <w:sz w:val="20"/>
          <w:szCs w:val="20"/>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maintaining ≥12-week dosing intervals through two years, compared to 93% through one year (48 weeks)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maintaining ≥16-week dosing intervals through two years, compared to 89% maintaining a 16-week dosing interval through one year</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meeting the criteria for ≥20-week dosing intervals by week 96, including 17% and 27% who were eligible for 20- and 24-week dosing intervals,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PULSAR:</w:t>
      </w:r>
    </w:p>
    <w:p>
      <w:pPr>
        <w:spacing w:after="0" w:line="151" w:lineRule="exact"/>
        <w:rPr>
          <w:sz w:val="20"/>
          <w:szCs w:val="20"/>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on a ≥12-week dosing interval at the end of two years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maintaining ≥12-week dosing intervals through two years, compared to 83% throughout the first year of study (48 weeks)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meeting the extension criteria for even longer dosing intervals, including 47% for ≥20-week intervals and 28% for 24-week intervals</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assigned to ≥16-week dosing regimen at baseline, 70% maintaining ≥16-week dosing intervals throughout the two-year study period; at the end of two years, 78% were eligible for ≥16-week dosing, with 53% eligible for ≥20-dosing week intervals.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visual gains for EYLEA HD remained consistent with the first year of the trials. In both PHOTON and PULSAR, the safety of EYLEA HD also continued to be similar to EYLEA through two years and remained consistent with the known safety profile of EYLEA from previous clinical trials for DME and wAMD.</w:t>
      </w:r>
    </w:p>
    <w:p>
      <w:pPr>
        <w:spacing w:after="0" w:line="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May 2023, Bayer announced that it initiated a Phase 3 study to evaluate the efficacy and safety of EYLEA HD at extended dosing intervals compared to the standard of care, EYLEA, in RVO to support potential future regulatory submissions outside the United States.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Dupixent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COPD</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March 2023, the Company and Sanofi announced that the primary and all key secondary endpoints were met in the BOREAS trial (the first of two Phase 3 trials) in adults currently on maximal standard-of-care inhaled therapy (triple therapy) with uncontrolled COPD and evidence of type 2 inflammation. In this trial, patients receiving Dupixent experienced a 30% reduction in moderate or severe acute COPD exacerbations (rapid and acute worsening of respiratory symptoms) compared to placebo over 52 weeks, while also demonstrating significant improvements in lung function, quality of life, and COPD respiratory symptoms.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2023, the Company and Sanofi announced that the replicate Phase 3 NOTUS trial met its primary endpoint, showing Dupixent significantly reduced exacerbations by 34% compared to placebo over 52 weeks in patients with moderate-to-severe COPD with evidence of type 2 inflammation, confirming results from the BOREAS pivotal trial. Given the overwhelming positive efficacy of the primary endpoint in the interim analysis from the NOTUS trial, the results will be considered the primary analysis of the trial. In December 2023, the Company and Sanofi submitted the data from this interim analysis of the NOTUS trial, along with the results from the Phase 3 BOREAS trial, to the FDA.</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600"/>
        <w:spacing w:after="0" w:line="407" w:lineRule="auto"/>
        <w:rPr>
          <w:sz w:val="20"/>
          <w:szCs w:val="20"/>
          <w:color w:val="auto"/>
        </w:rPr>
      </w:pPr>
      <w:r>
        <w:rPr>
          <w:rFonts w:ascii="Times New Roman" w:cs="Times New Roman" w:eastAsia="Times New Roman" w:hAnsi="Times New Roman"/>
          <w:sz w:val="18"/>
          <w:szCs w:val="18"/>
          <w:color w:val="auto"/>
        </w:rPr>
        <w:t xml:space="preserve">The safety results for the BOREAS and NOTUS trials were generally consistent with the known safety profile of Dupixent in its approved indications. </w:t>
      </w:r>
      <w:r>
        <w:rPr>
          <w:rFonts w:ascii="Times New Roman" w:cs="Times New Roman" w:eastAsia="Times New Roman" w:hAnsi="Times New Roman"/>
          <w:sz w:val="18"/>
          <w:szCs w:val="18"/>
          <w:i w:val="1"/>
          <w:iCs w:val="1"/>
          <w:u w:val="single" w:color="auto"/>
          <w:color w:val="auto"/>
        </w:rPr>
        <w:t>CSU</w:t>
      </w:r>
    </w:p>
    <w:p>
      <w:pPr>
        <w:jc w:val="both"/>
        <w:spacing w:after="0" w:line="259" w:lineRule="auto"/>
        <w:rPr>
          <w:sz w:val="20"/>
          <w:szCs w:val="20"/>
          <w:color w:val="auto"/>
        </w:rPr>
      </w:pPr>
      <w:r>
        <w:rPr>
          <w:rFonts w:ascii="Times New Roman" w:cs="Times New Roman" w:eastAsia="Times New Roman" w:hAnsi="Times New Roman"/>
          <w:sz w:val="18"/>
          <w:szCs w:val="18"/>
          <w:color w:val="auto"/>
        </w:rPr>
        <w:t>In October 2023, the FDA issued a CRL for the sBLA for Dupixent in CSU. The CRL states that additional efficacy data are required to support an approval; it did not identify any issues with safety or manufacturing. An ongoing Phase 3 clinical trial (in biologic-naïve patients) continues to enroll patients, with results expected in late 2024.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REGN5678</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ongoing Phase 1 study of REGN5678, the Company has observed antitumor activity in combination with Libtayo as well as with REGN5678 monotherapy. Due to the emerging safety profile, including two immune-mediated Grade 5 adverse events (death), the Company discontinued enrollment of patients receiving the combination of REGN5678 and full-dose Libtayo (cemiplimab). The Company has since expanded enrollment in a REGN5678 monotherapy cohort and plans to explore other REGN5678 combinations.</w:t>
      </w:r>
    </w:p>
    <w:p>
      <w:pPr>
        <w:spacing w:after="0" w:line="110" w:lineRule="exact"/>
        <w:rPr>
          <w:sz w:val="20"/>
          <w:szCs w:val="20"/>
          <w:color w:val="auto"/>
        </w:rPr>
      </w:pPr>
    </w:p>
    <w:p>
      <w:pPr>
        <w:ind w:right="1800"/>
        <w:spacing w:after="0" w:line="40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Descriptions of Marketed Products Studied in Additional Indications and Product Candidates in Late-Stage Clinical Development </w:t>
      </w:r>
      <w:r>
        <w:rPr>
          <w:rFonts w:ascii="Times New Roman" w:cs="Times New Roman" w:eastAsia="Times New Roman" w:hAnsi="Times New Roman"/>
          <w:sz w:val="18"/>
          <w:szCs w:val="18"/>
          <w:i w:val="1"/>
          <w:iCs w:val="1"/>
          <w:color w:val="auto"/>
        </w:rPr>
        <w:t>EYLEA HD (aflibercept) 8 mg</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EYLEA HD is a soluble fusion protein that acts as a vascular endothelial growth factor ("VEGF") inhibitor. Through a novel formulation, it is designed to deliver a concentrated dose of aflibercept to block VEGF-A and PLGF and inhibit the growth of new blood vessels and decrease vascular permeability to treat various retinal diseases, including wAMD, DME, and DR.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Dupixent (dupilumab)</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Dupixent is a fully human monoclonal antibody that inhibits signaling of the IL-4 and IL-13 pathways, and is not an immunosuppressant. IL-4 and IL-13 are key and central drivers of the type 2 inflammation that plays a major role in atopic dermatitis, asthma, CRSwNP, EoE, prurigo nodularis, and potentially other chronic allergic and inflammatory diseases, including COPD.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Kevzara (sarilumab)</w:t>
      </w:r>
    </w:p>
    <w:p>
      <w:pPr>
        <w:spacing w:after="0" w:line="15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Kevzara is a fully human monoclonal antibody that binds specifically to the IL-6 receptor and inhibits IL-6-mediated signaling. IL-6 is an immune system protein produced in increased quantities in patients with RA and has been associated with disease activity, joint destruction, and other systemic problems.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Itepekimab</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Itepekimab is an investigational, fully human monoclonal antibody that inhibits IL-33, a protein that is believed to play a key role in lung inflammation in COPD.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REGN5713-5714-5715</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REGN5713-5714-5715 is an investigational combination of three fully human monoclonal antibodies designed to treat allergic inflammatory conditions caused by the allergen Betv1, which is the main allergen responsible for birch pollen allergies. Birch pollen allergy is one of the most common causes of seasonal allergies that occur in the spring, and is also believed to trigger "oral allergy syndrome" food reactions to related allergens found in nuts and fruits such as apples, pears, and cherries.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Libtayo (cemiplimab)</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Libtayo is a fully human monoclonal antibody targeting the immune checkpoint receptor PD-1 on T-cells that has been approved by regulatory authorities for five different cancers. The PD-1/PD-L1 immune checkpoint pathway is a well-known mechanism by which cancers evade immune destruction. Regeneron is studying Libtayo as monotherapy and in combination with either conventional or novel therapeutic approaches in various solid tumors and blood cancers. It is also being studied in combination with proprietary anti-cancer assets of other companies.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Fianlimab</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Fianlimab is an investigational, fully human monoclonal antibody targeting the immune checkpoint receptor LAG-3 on T-cells. In melanoma, LAG-3 expression in the tumor microenvironment may be associated with therapeutic resistance to PD-1 inhibitors. Fianlimab is being investigated in combination with Libtayo to determine whether concurrent blockade of LAG-3 and PD-1 can help overcome this resistance and release the brakes on T-cell activation.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Pozelimab</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Pozelimab is a fully human monoclonal antibody designed to block complement factor C5 in order to treat diseases mediated by abnormal complement pathway activity, and is approved by the FDA for CHAPLE. Pozelimab is being studied in investigational combinations with an investigational small interfering RNA ("siRNA") therapy, cemdisiran, in PNH and myasthenia gravis.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Odronextamab</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Odronextamab is an investigational bispecific monoclonal antibody designed to bind to a component of the T-cell receptor ("TCR") complex (CD3), while also binding and bridging T-cells to a protein expressed on B-cells (CD20). We are studying whether odronextamab may help to activate T-cells via their CD3 receptors and trigger targeted, T-cell mediated killing of cancerous cells in several types of B-cell non-Hodgkin lymphoma.</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Linvoseltamab</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Linvoseltamab is an investigational bispecific monoclonal antibody designed to bind to CD3 while also binding and bridging T-cells to the BCMA protein on multiple myeloma cells. We are studying whether linvoseltamab may help to activate T-cells via their CD3 receptors and trigger targeted, T-cell mediated killing of multiple myeloma.</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NTLA-2001</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NTLA-2001 is an investigational CRISPR-based therapy to be systemically delivered to edit genes inside the human body and is being studied as a treatment for ATTR amyloidosis. ATTR amyloidosis is a progressive and fatal disorder resulting from deposition of insoluble amyloid fibrils into multiple organs and tissues leading to systemic failure. Delivered with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technology, NTLA-2001 offers the possibility of halting and reversing the disease by driving a deep, consistent, and potentially lifelong reduction in transthyretin ("TTR") protein after a single dose.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Praluent (alirocumab)</w:t>
      </w:r>
    </w:p>
    <w:p>
      <w:pPr>
        <w:spacing w:after="0" w:line="15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Praluent is a fully human monoclonal antibody that inhibits the binding of PCSK9 to the LDL receptor. Through inhibiting PCSK9, Praluent increases the number of available LDL receptors on the surface of liver cells to clear LDL, which lowers LDL cholesterol levels in the blood.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Evkeeza (evinacumab)</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Evkeeza is a fully human monoclonal antibody that specifically binds to and blocks ANGPTL3. ANGPTL3 plays a key role in regulating plasma lipid levels, including triglycerides, LDL cholesterol, and HDL cholesterol, through inhibition of lipase enzymes (lipoprotein lipase and endothelial lipase).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Garetosmab</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Garetosmab is an investigational, fully-human monoclonal antibody that binds to and neutralizes Activin A, which drives the abnormal bone formation that is the main pathology of the ultra-rare genetic disorder FOP. This abnormal bone formation in soft tissue outside of the normal skeleton, a process known as heterotopic ossification, leads to loss of mobility and premature death in FOP patients. Garetosmab is being investigated to determine whether it can help reduce and/or prevent the formation of heterotopic bone lesions by neutralizing the Activin A protein.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Programs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preclinical research programs include the areas of oncology/immuno-oncology, angiogenesis, ophthalmology, metabolic and related diseases, muscle diseases and disorders, inflammation and immune diseases, bone and cartilage, pain and neurobiology, auditory conditions, enzyme replacement therapy, cardiovascular diseases, infectious diseases, and diseases related to aging. These preclinical research programs include both rare diseases and those involving broader populations.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Technologies</w:t>
      </w:r>
    </w:p>
    <w:p>
      <w:pPr>
        <w:spacing w:after="0" w:line="15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Many proteins that play an important role in biology and disease are secreted by cells or located on the cell surface. Moreover, cells communicate through secreted factors and surface molecules. Our scientists have developed two different technologies to make protein therapeutics that potently and specifically block, activate, or inhibit the action of specific cell surface or secreted molecules. The first technology fuses receptor components to the constant region of an antibody molecule to make a class of drugs we call "Traps." EYLEA HD, EYLEA, ZALTRAP, and ARCALYST are drugs generated using our Trap technology.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is our second technology platform, which is used for discovering, developing, and producing fully human antibodies that can address both secreted and cell-surface targets.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VelociSuite</w:t>
      </w:r>
    </w:p>
    <w:p>
      <w:pPr>
        <w:spacing w:after="0" w:line="1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VelociSuite </w:t>
      </w:r>
      <w:r>
        <w:rPr>
          <w:rFonts w:ascii="Times New Roman" w:cs="Times New Roman" w:eastAsia="Times New Roman" w:hAnsi="Times New Roman"/>
          <w:sz w:val="18"/>
          <w:szCs w:val="18"/>
          <w:color w:val="auto"/>
        </w:rPr>
        <w:t>consists of</w:t>
      </w:r>
      <w:r>
        <w:rPr>
          <w:rFonts w:ascii="Times New Roman" w:cs="Times New Roman" w:eastAsia="Times New Roman" w:hAnsi="Times New Roman"/>
          <w:sz w:val="18"/>
          <w:szCs w:val="18"/>
          <w:i w:val="1"/>
          <w:iCs w:val="1"/>
          <w:color w:val="auto"/>
        </w:rPr>
        <w:t xml:space="preserve"> VelocImmune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VelociGene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VelociMouse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VelociMab</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VelociHum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other related technologies. The</w:t>
      </w:r>
      <w:r>
        <w:rPr>
          <w:rFonts w:ascii="Times New Roman" w:cs="Times New Roman" w:eastAsia="Times New Roman" w:hAnsi="Times New Roman"/>
          <w:sz w:val="18"/>
          <w:szCs w:val="18"/>
          <w:i w:val="1"/>
          <w:iCs w:val="1"/>
          <w:color w:val="auto"/>
        </w:rPr>
        <w:t xml:space="preserve"> VelocImmune </w:t>
      </w:r>
      <w:r>
        <w:rPr>
          <w:rFonts w:ascii="Times New Roman" w:cs="Times New Roman" w:eastAsia="Times New Roman" w:hAnsi="Times New Roman"/>
          <w:sz w:val="18"/>
          <w:szCs w:val="18"/>
          <w:color w:val="auto"/>
        </w:rPr>
        <w:t>mouse platform is utilized to produce fully human antibodies.</w:t>
      </w:r>
      <w:r>
        <w:rPr>
          <w:rFonts w:ascii="Times New Roman" w:cs="Times New Roman" w:eastAsia="Times New Roman" w:hAnsi="Times New Roman"/>
          <w:sz w:val="18"/>
          <w:szCs w:val="18"/>
          <w:i w:val="1"/>
          <w:iCs w:val="1"/>
          <w:color w:val="auto"/>
        </w:rPr>
        <w:t xml:space="preserve"> VelocImmune </w:t>
      </w:r>
      <w:r>
        <w:rPr>
          <w:rFonts w:ascii="Times New Roman" w:cs="Times New Roman" w:eastAsia="Times New Roman" w:hAnsi="Times New Roman"/>
          <w:sz w:val="18"/>
          <w:szCs w:val="18"/>
          <w:color w:val="auto"/>
        </w:rPr>
        <w:t>was generated by leveraging our</w:t>
      </w:r>
      <w:r>
        <w:rPr>
          <w:rFonts w:ascii="Times New Roman" w:cs="Times New Roman" w:eastAsia="Times New Roman" w:hAnsi="Times New Roman"/>
          <w:sz w:val="18"/>
          <w:szCs w:val="18"/>
          <w:i w:val="1"/>
          <w:iCs w:val="1"/>
          <w:color w:val="auto"/>
        </w:rPr>
        <w:t xml:space="preserve"> VelociGene </w:t>
      </w:r>
      <w:r>
        <w:rPr>
          <w:rFonts w:ascii="Times New Roman" w:cs="Times New Roman" w:eastAsia="Times New Roman" w:hAnsi="Times New Roman"/>
          <w:sz w:val="18"/>
          <w:szCs w:val="18"/>
          <w:color w:val="auto"/>
        </w:rPr>
        <w:t>technology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below), in a process in which six megabases of mouse immunoglobulin gene loci were replaced, or "humanized," with corresponding human immunoglobulin gene loci.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mice can be used efficiently to generate fully human antibodies to targets of therapeutic interest.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and our entire </w:t>
      </w:r>
      <w:r>
        <w:rPr>
          <w:rFonts w:ascii="Times New Roman" w:cs="Times New Roman" w:eastAsia="Times New Roman" w:hAnsi="Times New Roman"/>
          <w:sz w:val="18"/>
          <w:szCs w:val="18"/>
          <w:i w:val="1"/>
          <w:iCs w:val="1"/>
          <w:color w:val="auto"/>
        </w:rPr>
        <w:t xml:space="preserve">VelociSuite </w:t>
      </w:r>
      <w:r>
        <w:rPr>
          <w:rFonts w:ascii="Times New Roman" w:cs="Times New Roman" w:eastAsia="Times New Roman" w:hAnsi="Times New Roman"/>
          <w:sz w:val="18"/>
          <w:szCs w:val="18"/>
          <w:color w:val="auto"/>
        </w:rPr>
        <w:t>offer the potential to increase the speed and efficiency through which human antibody therapeutics may be discovered and validated, thereby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improving the overall efficiency of our early-stage drug development activities. We are utilizing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produce our next generation of therapeutic antibody drug candidates for preclinical and clinical development.</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platform allows custom and precise manipulation of very large sequences of DNA to produce highly customized alterations of a specified target gene, or genes, and accelerates the production of knock-out and transgenic expression models.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offers the opportunity to humanize targets by replacing the mouse gene with the human homolog or variants thereof. Thus,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allows scientists to rapidly identify the physical and biological effects of deleting or over-expressing the target gene, as well as to characterize and test potential therapeutic molecules.</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are suitable for direct phenotyping or other studies.</w:t>
      </w:r>
    </w:p>
    <w:p>
      <w:pPr>
        <w:spacing w:after="0" w:line="9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We have also developed our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18"/>
          <w:szCs w:val="18"/>
          <w:color w:val="auto"/>
        </w:rPr>
        <w:t xml:space="preserve"> platform for the rapid screening of antibodies and rapid generation of expression cell lines for our Traps and our </w:t>
      </w:r>
      <w:r>
        <w:rPr>
          <w:rFonts w:ascii="Times New Roman" w:cs="Times New Roman" w:eastAsia="Times New Roman" w:hAnsi="Times New Roman"/>
          <w:sz w:val="18"/>
          <w:szCs w:val="18"/>
          <w:i w:val="1"/>
          <w:iCs w:val="1"/>
          <w:color w:val="auto"/>
        </w:rPr>
        <w:t xml:space="preserve">VelocImmune </w:t>
      </w:r>
      <w:r>
        <w:rPr>
          <w:rFonts w:ascii="Times New Roman" w:cs="Times New Roman" w:eastAsia="Times New Roman" w:hAnsi="Times New Roman"/>
          <w:sz w:val="18"/>
          <w:szCs w:val="18"/>
          <w:color w:val="auto"/>
        </w:rPr>
        <w:t>human antibodies.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utilized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to develop a class of potential drug candidates, known as bispecific antibodies. </w:t>
      </w:r>
      <w:r>
        <w:rPr>
          <w:rFonts w:ascii="Times New Roman" w:cs="Times New Roman" w:eastAsia="Times New Roman" w:hAnsi="Times New Roman"/>
          <w:sz w:val="18"/>
          <w:szCs w:val="18"/>
          <w:i w:val="1"/>
          <w:iCs w:val="1"/>
          <w:color w:val="auto"/>
        </w:rPr>
        <w:t>Veloci-Bi</w:t>
      </w:r>
      <w:r>
        <w:rPr>
          <w:rFonts w:ascii="Times New Roman" w:cs="Times New Roman" w:eastAsia="Times New Roman" w:hAnsi="Times New Roman"/>
          <w:sz w:val="18"/>
          <w:szCs w:val="18"/>
          <w:color w:val="auto"/>
        </w:rPr>
        <w:t xml:space="preserve"> allows for the generation of full-length bispecific antibodies similar to native antibodies that are amenable to production by standard antibody manufacturing techniques, and are likely to have favorable antibody-like pharmacokinetic properties. In the area of immunotherapies in oncology, we are exploring the use of bispecific antibodies that target tumor antigens and the CD3 receptor on T-cells to harness the oncolytic properties of T-cells. We are exploring additional indications and applications for our bispecific technologies, including a new class of CD28 and 4-1BB costimulatory bispecifics. We are also exploring a variety of alternative antibody formats (Altibodies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that can bring binding partners together in restrained geometries.</w:t>
      </w:r>
    </w:p>
    <w:p>
      <w:pPr>
        <w:spacing w:after="0" w:line="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18"/>
          <w:szCs w:val="18"/>
          <w:color w:val="auto"/>
        </w:rPr>
        <w:t xml:space="preserve"> mouse extends our research and drug discovery capabilities into cell-mediated immunity and therapeutic TCRs for oncology and other indications.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18"/>
          <w:szCs w:val="18"/>
          <w:color w:val="auto"/>
        </w:rPr>
        <w:t xml:space="preserve"> was developed by using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technology to humanize genes encoding TCRα and TCRβ variable sequences, CD4 and CD8 co-receptors, β2m, and class-I and -II major histocompatibility complexes. As a result, </w:t>
      </w:r>
      <w:r>
        <w:rPr>
          <w:rFonts w:ascii="Times New Roman" w:cs="Times New Roman" w:eastAsia="Times New Roman" w:hAnsi="Times New Roman"/>
          <w:sz w:val="18"/>
          <w:szCs w:val="18"/>
          <w:i w:val="1"/>
          <w:iCs w:val="1"/>
          <w:color w:val="auto"/>
        </w:rPr>
        <w:t>VelociT</w:t>
      </w:r>
      <w:r>
        <w:rPr>
          <w:rFonts w:ascii="Times New Roman" w:cs="Times New Roman" w:eastAsia="Times New Roman" w:hAnsi="Times New Roman"/>
          <w:sz w:val="18"/>
          <w:szCs w:val="18"/>
          <w:color w:val="auto"/>
        </w:rPr>
        <w:t xml:space="preserve"> mice can be utilized to produce fully human TCRs, providing for customized modeling of T-cell function in different diseases and a powerful platform for the discovery of unique TCR-based therapies. We are also able to produce antibodies that recognize intracellular peptides bound in the groove of human leukocyte antigen ("HLA"), enabling the targeting of intracellular proteins in cancer cells.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VelociHum </w:t>
      </w:r>
      <w:r>
        <w:rPr>
          <w:rFonts w:ascii="Times New Roman" w:cs="Times New Roman" w:eastAsia="Times New Roman" w:hAnsi="Times New Roman"/>
          <w:sz w:val="18"/>
          <w:szCs w:val="18"/>
          <w:color w:val="auto"/>
        </w:rPr>
        <w:t>is our immunodeficient mouse platform that can be used to accurately test human therapeutics against human immune cells and to study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tumor models. Through genetic humanizations, </w:t>
      </w:r>
      <w:r>
        <w:rPr>
          <w:rFonts w:ascii="Times New Roman" w:cs="Times New Roman" w:eastAsia="Times New Roman" w:hAnsi="Times New Roman"/>
          <w:sz w:val="18"/>
          <w:szCs w:val="18"/>
          <w:i w:val="1"/>
          <w:iCs w:val="1"/>
          <w:color w:val="auto"/>
        </w:rPr>
        <w:t>VelociHum</w:t>
      </w:r>
      <w:r>
        <w:rPr>
          <w:rFonts w:ascii="Times New Roman" w:cs="Times New Roman" w:eastAsia="Times New Roman" w:hAnsi="Times New Roman"/>
          <w:sz w:val="18"/>
          <w:szCs w:val="18"/>
          <w:color w:val="auto"/>
        </w:rPr>
        <w:t xml:space="preserve"> mice have been optimized to allow for better development of human immune cells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as well as to allow for engraftment of primary patient-derived tumors that do not take in other commercially available mice.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Regeneron Genetics Center</w:t>
      </w:r>
      <w:r>
        <w:rPr>
          <w:rFonts w:ascii="Times New Roman" w:cs="Times New Roman" w:eastAsia="Times New Roman" w:hAnsi="Times New Roman"/>
          <w:sz w:val="22"/>
          <w:szCs w:val="22"/>
          <w:b w:val="1"/>
          <w:bCs w:val="1"/>
          <w:color w:val="auto"/>
          <w:vertAlign w:val="superscript"/>
        </w:rPr>
        <w:t>®</w:t>
      </w:r>
    </w:p>
    <w:p>
      <w:pPr>
        <w:spacing w:after="0" w:line="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Regeneron Genetics Center LLC (RGC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 wholly owned subsidiary of Regeneron Pharmaceuticals, Inc., leverages de-identified clinical, genomic, and other types of molecular data from properly consented human volunteers from around the world to identify medically relevant associations in a blinded fashion designed to preserve a patient's privacy while uncovering the unique characteristics of their health and wellness. The objective of RGC is to expand the use of human genetics for discovering and validating genetic factors that cause or influence a range of diseases where there are major unmet medical needs, with the prospect of improving the drug discovery and development process and to advance innovation in clinical care design. RGC is undertaking multiple collaborative approaches to study design and implementation, including large population-based efforts that engage study participants to more discrete disease specific and founder populations with data on strategic phenotypes of interest. RGC utilizes laboratory automation and innovative approaches to cloud computing to achieve high-quality throughput, attaining more than 2 million samples sequenced to date.</w:t>
      </w:r>
    </w:p>
    <w:p>
      <w:pPr>
        <w:spacing w:after="0" w:line="1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Central to the work of RGC is the portfolio of collaborations with over 100 academic and clinical collaborators around the world, including the University of Colorado, Geisinger Health System, Mayo Clinic, University of Pennsylvania, UCLA Medical Center, UK Biobank, University of Oxford, University of Cambridge, and the University of Helsinki. These collaborations provide access to biological samples and associated phenotype data from properly consented patient volunteers for purposes of genomic research. RGC undertakes genetic sequencing of these samples to create a unique resource of de-identified genetic data and associated phenotype data for research. Furthermore, the RGC has deployed bulk RNA sequencing, whole genome sequencing, and an O-LINK proteomic assay to complement whole exome sequencing and genotyping. In addition, the RGC leverages organoid models, siRNA, and CRISPR knockout models to validate genetic associations that lead to new therapeutic targets. The RGC continues to publish results from its research efforts in journals and publications in partnership with its collaborators to advance the field of genomics.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These efforts at the RGC have led to the identification of more than 30 novel genetic targets. Through our Regeneron Genetics Medicines initiative, we are currently advancing these targets using either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or other technologies, such as siRNA gene silencing, genome editing, and targeted viral-based gene delivery and expression. See the "Collaboration, License, and Other Agreements" section below for descriptions of our collaborations with Alnylam and Intellia Therapeutics,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(the "Antibody Collaboration"). Under the terms of the Antibody License and Collaboration Agreement (the "LCA"), Sanofi is generally responsible for funding 80% to 100% of agreed-upon development costs. We are obligated to reimburse Sanofi for 30% to 50% of worldwide development expenses that were funded by Sanofi based on our share of collaboration profits from commercialization of collaboration products. Under the terms of the LCA, we were required to apply 10% of our share of the profits from the Antibody Collaboration in any calendar quarter to reimburse Sanofi for these development costs. On July 1, 2022, an amendment to the LCA became effective, pursuant to which the percentage of Regeneron’s share of profits used to reimburse Sanofi for such development costs increased from 10% to 20%.</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co-commercialize such products on a country-by-country basis. We co-commercialize Dupixent in the United States and in certain countries outside the United States. We supply certain commercial bulk product to Sanofi. We and Sanofi equally share profits from sales within the United States. We and Sanofi share profits outside the United States on a sliding scale based on sales starting at 65% (Sanofi)/35% (us) and ending at 55% (Sanofi)/45% (us). In each of 2020 and 2021, we earned a $50.0 million sales-based milestone from Sanofi, upon aggregate annual sales of antibodies outside the United States (including Praluent, which was previously included in the LCA) exceeding $1.0 billion and $1.5 billion, respectively, on a rolling twelve-month basis. In 2022, we earned two additional $50.0 million sales-based milestones, upon aggregate annual sales of antibodies outside the United States (including Praluent) exceeding $2.0 billion and $2.5 billion, respectively, on a rolling twelve-month basis, and in 2023, we earned the final $50.0 million sales-based milestone from Sanofi, upon aggregate annual sales of antibodies outside the United States (including Praluent) exceeding $3.0 billion on a rolling twelve-month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previously collaborated with Sanofi for antibody-based cancer treatments in the field of immuno-oncology (the "IO Collaboration"). Under the terms of the Immuno-oncology License and Collaboration Agreement, the parties were co-developing and co-commercializing Libtayo. The parties shared equally development and commercialization expenses for Libtayo. We had principal control over the development of Libtayo and led commercialization activities in the United States, while Sanofi led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activities outside the United States. The parties shared equally in profits and losses in connection with the commercialization of Libtayo.</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July 1, 2022, we obtained the exclusive right to develop, commercialize, and manufacture Libtayo worldwide under an Amended and Restated Immuno-oncology License and Collaboration Agreement with Sanofi (the "A&amp;R IO LCA"). In connection with the A&amp;R IO LCA, in 2022, the Company made a $900.0 million up-front payment to Sanofi, as well as a $100.0 million regulatory milestone payment. In addition, Sanofi was eligible to earn an aggregate of $100.0 million in Libtayo sales-based milestones under the terms of the A&amp;R IO LCA, of which they earned $65.0 million in 2022 and $35.0 million in 2023. We also pay Sanofi an 11% royalty on net product sales of Libtayo through March 31, 2034. The parties have also entered into a transition services agreement, a transitional distribution agreement, and a manufacturing services agreement, pursuant to which, during certain transitional periods, Sanofi will perform for the Company certain transition, distribution, and manufacturing services, respectively.</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IO Collaboration, we were obligated to reimburse Sanofi for half of the development costs it funded that were attributable to clinical development of product candidates from our share of profits from commercialized IO Collaboration products. Under the A&amp;R IO LCA, the amount of development costs incurred under the IO Collaboration for which we are obligated to reimburse Sanofi was $35.0 million as of the effective date of the A&amp;R IO LCA, and we pay Sanofi a 0.5% royalty on net product sales of Libtayo until all such development costs have been reimbursed by us.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8 mg and EYLEA outside the United States. Agreed-upon development expenses incurred by the Company and Bayer are generally shared equally. Bayer is responsible for commercialization activities outside the United States, and the companies share equally in profits from such sales.</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2019, we and Alnylam Pharmaceuticals, Inc. entered into a global, strategic collaboration to discover, develop, and commercialize RNAi therapeutics for a broad range of diseases by addressing therapeutic disease targets expressed in the eye and central nervous system ("CNS"), in addition to a select number of targets expressed in the liver. In connection with the collaboration, the Company made an up-front payment of $400.0 million to Alnylam, and also purchased shares of Alnylam common stock for $400.0 million. For each program, we provide Alnylam with a specified amount of funding at program initiation and at lead candidate designation. During 2023, we paid a $100.0 million development milestone to Alnylam upon the achievement of specified proof-of-principle criteria for the ALN-APP program and Alnylam is eligible to receive an additional $100.0 million clinical proof-of-principle milestone in connection with an eye program.</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terms of the collaboration, the parties perform discovery research until designation of lead candidates. Following designation of a lead candidate, the parties may further advance such lead candidate under either a co-development/co-commercialization collaboration agreement ("Co-Co Collaboration Agreement") (under which the parties are advancing ALN-APP and ALN-PNP, which are currently in clinical development) or a license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of $300.0 million.</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CNS programs and liver programs, under a Co-Co Collaboration Agreement, the party designated as the lead party will lead development and commercialization of the program and the parties will split profits and share costs equally, subject to certain co-funding opt-outs at specified clinical trial phases or under other conditions. Alnylam is the lead party for ALN-APP, and we are the lead party for ALN-PNP.</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a license agreement, the lead party is designated as the licensee and has the right to develop and commercialize the collaboration product under such program. The licensee will be responsible for its own costs and expenses incurred. The licensee will pay to the licensor certain development and/or commercialization milestone payments, as well as certain tiered royalty payments to the licensor based on the aggregate annual net sales of the collaboration product.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parties have entered into various license agreements, including for a combination consisting of cemdisiran (an siRNA therapeutic targeting the C5 component of the human complement pathway being developed by Alnylam) and pozelimab, with us as the licensee.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2016, we entered into a license and collaboration agreement with Intellia to advance CRISPR/Cas9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NTLA-2001, which is in clinical development, is subject to a co-development and co-commercialization arrangement pursuant to which Intellia will lead development and commercialization activities and the parties share an agreed-upon percentage of development expenses and profits (if commercialized).</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2020, we expanded our existing collaboration with Intellia to provide us with rights to develop products for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CRISPR/Cas9-based therapeutic targets and for the companies to jointly develop potential products for the treatment of hemophilia A and B, with Regeneron leading development and commercialization activities. In addition, we also received non-exclusive rights to independently develop and commercialize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products. In connection with the 2020 agreement, we made a $70.0 million up-front payment to Intellia.</w:t>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2023, we further expanded our existing collaboration to develop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CRISPR-based gene editing therapies focused on neurological and muscular diseases. Intellia will lead the design of the editing methodology, we will lead the design of the targeted viral vector delivery approach, and the parties share costs equally. Each company will have the opportunity to lead potential development and commercialization of product candidates for one target, and the company that is not leading development and commercialization will have the option to enter into a co-development and co-commercialization agreement for the target.</w:t>
      </w:r>
    </w:p>
    <w:p>
      <w:pPr>
        <w:spacing w:after="0" w:line="11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October 2023, we elected to extend the period for selecting targets under the 2016 license and collaboration agreement for an additional two years until April 2026; as a result, we became obligated to make a $30.0 million extension payment to Intellia.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Decibel</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2017, we entered into an agreement with Decibel Therapeutics, Inc. to discover and develop new potential therapeutics to protect, repair and restore hearing (including DB-OTO, which is currently in clinical development, and preclinical programs for GJB2-related and stereocilin-related hearing loss).</w:t>
      </w:r>
    </w:p>
    <w:p>
      <w:pPr>
        <w:spacing w:after="0" w:line="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August 2023, we entered into an Agreement and Plan of Merger to acquire Decibel, and in September 2023, we completed the acquisition of Decibel. We paid $101.3 million in cash (or $4.00 per share of Decibel common stock). In addition, Decibel shareholders received one non-tradeable contingent value right ("CVR") per share of Decibel common stock, which entitles the holder to receive up to $3.50 per share in cash upon achievement of certain clinical development and regulatory milestones for DB-OTO within specified time periods. The maximum aggregate amount that holders of the CVRs may be entitled to receive if all the milestones contemplated by the CVRs are achieved is approximately $97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BARDA</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2023, we expanded our existing Other Transaction Agreement ("OTA") with BARDA, pursuant to which the HHS is obligated to fund up to 70% of our costs incurred for certain development activities related to a next-generation COVID-19 monoclonal antibody therapy for the prevention of SARS-CoV-2 infection. Pursuant to the terms of the expanded agreement, we could receive payments of up to approximately $326 million in the aggregate to support clinical development, clinical manufacturing, and the regulatory licensure process.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currently manufacture bulk drug materials and products at our manufacturing facilities in Rensselaer, New York and Limerick, Ireland. These facilities consist of owned and leased research, manufacturing, office, laboratory, and warehouse space. In addition, we have constructed a fill/finish facility in Rensselaer, New York that is undergoing process validation as required by regulatory authorities.</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currently have approximately 100,000 liters of cell culture capacity at our Rensselaer facility and approximately 120,000 liters of cell culture capacity at our Limerick facility. Each of these facilities is approved by the FDA and certain other regulatory agencies to manufacture our bulk drug materials and products.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bulk drug materials and products are also manufactured by our collaborators, and certain raw materials or products necessary for the manufacture and formulation of our products and product candidates are provided by single-source unaffiliated third-party suppliers. In addition, we rely on our collaborators or third parties to perform packaging, filling, finishing, labeling, distribution, laboratory testing, and other services related to the manufacture of our products and product candidates, and to</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 various raw materials and other products. See Part I, Item 1A. "Risk Factors - Risks Related to Manufacturing and Supply" for further information.</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medicines are marketed through our commercial group, which includes experienced professionals in the fields of marketing, sales, professional education, patient education, reimbursement and market access, trade and distribution, commercial operations, commercial analytics, and market research.</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United States, we sell our marketed products primarily to wholesalers and specialty distributors that serve pharmacies, hospitals, government agencies, physicians, and other healthcare providers. We had sales to two customers (Besse Medical, a subsidiary of Cencora, Inc., and McKesson Corporation) that each accounted for more than 10% of total gross product revenue for the year ended December 31, 2023. On a combined basis, our product sales to these customers accounted for 76% of our total gross product revenue for the year ended December 31, 2023. We promote approved medicines to healthcare professionals via our team of field employees, as well as medical journals, medical exhibitions, distribution of literature and samples, and online channels. In addition, we advertise certain products directly to consumers and maintain websites with information about our medicines. The commercial group also evaluates opportunities for our targets and product candidates and prepares for market launches of new medicines.</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established certain commercial capabilities outside the United States in connection with co-commercializing Dupixent in accordance with our Sanofi collaboration agreement. In addition, we are in process of building additional commercial capabilities outside the United States as a result of us obtaining the rights, in 2022, to commercialize Libtayo outside the United States.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face substantial competition from pharmaceutical, biotechnology, and chemical companies. Our ability to compete depends, to a great extent, on how fast we can develop safe and effective product candidates, complete clinical testing and approval processes, and supply commercial quantities of the product to the market. Competition among products approved for sale is based on efficacy, safety, reliability, availability, price, patent and other intellectual property position, and other factors.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Marketed Products</w:t>
      </w:r>
    </w:p>
    <w:p>
      <w:pPr>
        <w:spacing w:after="0" w:line="1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table below provides an overview of the current competitive landscape for key products marketed by us and/or our collaborators in such products' currently approved indications. The table below is provided for illustrative purposes only and is not exhaustive. For additional information regarding the substantial competition these marketed products face, including potential future competition from product candidates in clinical development, see also Part I, Item 1A. "Risk Factors - Risks Related to Commercialization of Our Marketed Products, Product Candidates, and New Indications for Our Marketed Products</w:t>
      </w:r>
    </w:p>
    <w:p>
      <w:pPr>
        <w:spacing w:after="0" w:line="1" w:lineRule="exact"/>
        <w:rPr>
          <w:sz w:val="20"/>
          <w:szCs w:val="20"/>
          <w:color w:val="auto"/>
        </w:rPr>
      </w:pPr>
    </w:p>
    <w:p>
      <w:pPr>
        <w:ind w:left="100" w:hanging="94"/>
        <w:spacing w:after="0"/>
        <w:tabs>
          <w:tab w:leader="none" w:pos="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w:t>
      </w: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20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Marketed Product</w:t>
            </w:r>
          </w:p>
        </w:tc>
        <w:tc>
          <w:tcPr>
            <w:tcW w:w="120" w:type="dxa"/>
            <w:vAlign w:val="bottom"/>
          </w:tcPr>
          <w:p>
            <w:pPr>
              <w:spacing w:after="0"/>
              <w:rPr>
                <w:sz w:val="21"/>
                <w:szCs w:val="21"/>
                <w:color w:val="auto"/>
              </w:rPr>
            </w:pPr>
          </w:p>
        </w:tc>
        <w:tc>
          <w:tcPr>
            <w:tcW w:w="25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Competitor Product</w:t>
            </w:r>
          </w:p>
        </w:tc>
        <w:tc>
          <w:tcPr>
            <w:tcW w:w="25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20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8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22"/>
                <w:szCs w:val="22"/>
                <w:b w:val="1"/>
                <w:bCs w:val="1"/>
                <w:color w:val="auto"/>
                <w:vertAlign w:val="superscript"/>
              </w:rPr>
              <w:t>(a)</w:t>
            </w:r>
          </w:p>
        </w:tc>
        <w:tc>
          <w:tcPr>
            <w:tcW w:w="0" w:type="dxa"/>
            <w:vAlign w:val="bottom"/>
          </w:tcPr>
          <w:p>
            <w:pPr>
              <w:spacing w:after="0"/>
              <w:rPr>
                <w:sz w:val="1"/>
                <w:szCs w:val="1"/>
                <w:color w:val="auto"/>
              </w:rPr>
            </w:pPr>
          </w:p>
        </w:tc>
      </w:tr>
      <w:tr>
        <w:trPr>
          <w:trHeight w:val="165"/>
        </w:trPr>
        <w:tc>
          <w:tcPr>
            <w:tcW w:w="200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EYLEA HD and EYLEA</w:t>
            </w:r>
          </w:p>
        </w:tc>
        <w:tc>
          <w:tcPr>
            <w:tcW w:w="120" w:type="dxa"/>
            <w:vAlign w:val="bottom"/>
            <w:tcBorders>
              <w:top w:val="single" w:sz="8" w:color="CCEEFF"/>
            </w:tcBorders>
            <w:shd w:val="clear" w:color="auto" w:fill="CCEEFF"/>
          </w:tcPr>
          <w:p>
            <w:pPr>
              <w:spacing w:after="0"/>
              <w:rPr>
                <w:sz w:val="14"/>
                <w:szCs w:val="14"/>
                <w:color w:val="auto"/>
              </w:rPr>
            </w:pPr>
          </w:p>
        </w:tc>
        <w:tc>
          <w:tcPr>
            <w:tcW w:w="246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5"/>
                <w:szCs w:val="15"/>
                <w:color w:val="auto"/>
              </w:rPr>
              <w:t>Yesafili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(aflibercept) (biosimilar</w:t>
            </w:r>
          </w:p>
        </w:tc>
        <w:tc>
          <w:tcPr>
            <w:tcW w:w="12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Biocon Biologics Ltd</w:t>
            </w:r>
          </w:p>
        </w:tc>
        <w:tc>
          <w:tcPr>
            <w:tcW w:w="10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wAMD, DME, macular</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EU</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referencing EYLEA)</w:t>
            </w: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edema following RVO</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(including CRVO and</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Lucentis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(ranibizumab injection)</w:t>
            </w: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BRVO), and mCNV</w:t>
            </w: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580" w:type="dxa"/>
            <w:vAlign w:val="bottom"/>
            <w:gridSpan w:val="2"/>
            <w:vMerge w:val="continue"/>
            <w:shd w:val="clear" w:color="auto" w:fill="CCEEFF"/>
          </w:tcPr>
          <w:p>
            <w:pPr>
              <w:spacing w:after="0"/>
              <w:rPr>
                <w:sz w:val="14"/>
                <w:szCs w:val="14"/>
                <w:color w:val="auto"/>
              </w:rPr>
            </w:pPr>
          </w:p>
        </w:tc>
        <w:tc>
          <w:tcPr>
            <w:tcW w:w="250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Novartis AG and</w:t>
            </w:r>
          </w:p>
        </w:tc>
        <w:tc>
          <w:tcPr>
            <w:tcW w:w="20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wAMD, DME, macular</w:t>
            </w:r>
          </w:p>
        </w:tc>
        <w:tc>
          <w:tcPr>
            <w:tcW w:w="18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Genentech/Roche</w:t>
            </w:r>
          </w:p>
        </w:tc>
        <w:tc>
          <w:tcPr>
            <w:tcW w:w="20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edema following RVO</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(including CRVO and</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BRVO), DR, mCNV, and</w:t>
            </w: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ROP</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Marketed Product</w:t>
            </w:r>
          </w:p>
        </w:tc>
        <w:tc>
          <w:tcPr>
            <w:tcW w:w="120" w:type="dxa"/>
            <w:vAlign w:val="bottom"/>
          </w:tcPr>
          <w:p>
            <w:pPr>
              <w:spacing w:after="0"/>
              <w:rPr>
                <w:sz w:val="17"/>
                <w:szCs w:val="17"/>
                <w:color w:val="auto"/>
              </w:rPr>
            </w:pPr>
          </w:p>
        </w:tc>
        <w:tc>
          <w:tcPr>
            <w:tcW w:w="24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Competitor Product</w:t>
            </w:r>
          </w:p>
        </w:tc>
        <w:tc>
          <w:tcPr>
            <w:tcW w:w="100" w:type="dxa"/>
            <w:vAlign w:val="bottom"/>
          </w:tcPr>
          <w:p>
            <w:pPr>
              <w:spacing w:after="0"/>
              <w:rPr>
                <w:sz w:val="17"/>
                <w:szCs w:val="17"/>
                <w:color w:val="auto"/>
              </w:rPr>
            </w:pPr>
          </w:p>
        </w:tc>
        <w:tc>
          <w:tcPr>
            <w:tcW w:w="24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100" w:type="dxa"/>
            <w:vAlign w:val="bottom"/>
          </w:tcPr>
          <w:p>
            <w:pPr>
              <w:spacing w:after="0"/>
              <w:rPr>
                <w:sz w:val="17"/>
                <w:szCs w:val="17"/>
                <w:color w:val="auto"/>
              </w:rPr>
            </w:pPr>
          </w:p>
        </w:tc>
        <w:tc>
          <w:tcPr>
            <w:tcW w:w="198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00" w:type="dxa"/>
            <w:vAlign w:val="bottom"/>
          </w:tcPr>
          <w:p>
            <w:pPr>
              <w:spacing w:after="0"/>
              <w:rPr>
                <w:sz w:val="17"/>
                <w:szCs w:val="17"/>
                <w:color w:val="auto"/>
              </w:rPr>
            </w:pPr>
          </w:p>
        </w:tc>
        <w:tc>
          <w:tcPr>
            <w:tcW w:w="18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22"/>
                <w:szCs w:val="22"/>
                <w:b w:val="1"/>
                <w:bCs w:val="1"/>
                <w:color w:val="auto"/>
                <w:vertAlign w:val="superscript"/>
              </w:rPr>
              <w:t>(a)</w:t>
            </w:r>
          </w:p>
        </w:tc>
        <w:tc>
          <w:tcPr>
            <w:tcW w:w="0" w:type="dxa"/>
            <w:vAlign w:val="bottom"/>
          </w:tcPr>
          <w:p>
            <w:pPr>
              <w:spacing w:after="0"/>
              <w:rPr>
                <w:sz w:val="1"/>
                <w:szCs w:val="1"/>
                <w:color w:val="auto"/>
              </w:rPr>
            </w:pPr>
          </w:p>
        </w:tc>
      </w:tr>
      <w:tr>
        <w:trPr>
          <w:trHeight w:val="234"/>
        </w:trPr>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(continued)</w:t>
            </w:r>
          </w:p>
        </w:tc>
        <w:tc>
          <w:tcPr>
            <w:tcW w:w="120" w:type="dxa"/>
            <w:vAlign w:val="bottom"/>
            <w:tcBorders>
              <w:bottom w:val="single" w:sz="8" w:color="CCEEFF"/>
            </w:tcBorders>
          </w:tcPr>
          <w:p>
            <w:pPr>
              <w:spacing w:after="0"/>
              <w:rPr>
                <w:sz w:val="20"/>
                <w:szCs w:val="20"/>
                <w:color w:val="auto"/>
              </w:rPr>
            </w:pPr>
          </w:p>
        </w:tc>
        <w:tc>
          <w:tcPr>
            <w:tcW w:w="24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EYLEA HD and EYLEA</w:t>
            </w:r>
          </w:p>
        </w:tc>
        <w:tc>
          <w:tcPr>
            <w:tcW w:w="12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5"/>
                <w:szCs w:val="15"/>
                <w:color w:val="auto"/>
              </w:rPr>
              <w:t>Byooviz</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5"/>
                <w:szCs w:val="15"/>
                <w:color w:val="auto"/>
              </w:rPr>
              <w:t xml:space="preserve"> (ranibizumab-nuna)</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Samsung Bioepis Co., Ltd. and</w:t>
            </w:r>
          </w:p>
        </w:tc>
        <w:tc>
          <w:tcPr>
            <w:tcW w:w="100" w:type="dxa"/>
            <w:vAlign w:val="bottom"/>
            <w:shd w:val="clear" w:color="auto" w:fill="CCEEFF"/>
          </w:tcPr>
          <w:p>
            <w:pPr>
              <w:spacing w:after="0"/>
              <w:rPr>
                <w:sz w:val="14"/>
                <w:szCs w:val="14"/>
                <w:color w:val="auto"/>
              </w:rPr>
            </w:pPr>
          </w:p>
        </w:tc>
        <w:tc>
          <w:tcPr>
            <w:tcW w:w="19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wAMD, DME, macular</w:t>
            </w: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179"/>
        </w:trPr>
        <w:tc>
          <w:tcPr>
            <w:tcW w:w="200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8"/>
                <w:szCs w:val="18"/>
                <w:i w:val="1"/>
                <w:iCs w:val="1"/>
                <w:color w:val="auto"/>
              </w:rPr>
              <w:t>(continued)</w:t>
            </w: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Biogen Inc.</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edema following RVO</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(including CRVO and</w:t>
            </w: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BRVO), DR, and mCNV</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Ximluci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(ranibizumab)</w:t>
            </w: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Xbrane Biopharma AB and</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wAMD, DME, macular</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EU</w:t>
            </w:r>
          </w:p>
        </w:tc>
        <w:tc>
          <w:tcPr>
            <w:tcW w:w="0" w:type="dxa"/>
            <w:vAlign w:val="bottom"/>
          </w:tcPr>
          <w:p>
            <w:pPr>
              <w:spacing w:after="0"/>
              <w:rPr>
                <w:sz w:val="1"/>
                <w:szCs w:val="1"/>
                <w:color w:val="auto"/>
              </w:rPr>
            </w:pPr>
          </w:p>
        </w:tc>
      </w:tr>
      <w:tr>
        <w:trPr>
          <w:trHeight w:val="191"/>
        </w:trPr>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Bausch + Lomb</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edema following RVO</w:t>
            </w: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(including CRVO and</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BRVO), DR, and CNV</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Cimerli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(ranibizumab-eqrn)</w:t>
            </w: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Formycon AG, Bioeq AG,</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wAMD, DME, macular</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191"/>
        </w:trPr>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(biosimilar referencing Lucentis)</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Coherus BioSciences, Inc., and</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edema following RVO</w:t>
            </w: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Teva Ltd.</w:t>
            </w:r>
          </w:p>
        </w:tc>
        <w:tc>
          <w:tcPr>
            <w:tcW w:w="100" w:type="dxa"/>
            <w:vAlign w:val="bottom"/>
            <w:shd w:val="clear" w:color="auto" w:fill="CCEEFF"/>
          </w:tcPr>
          <w:p>
            <w:pPr>
              <w:spacing w:after="0"/>
              <w:rPr>
                <w:sz w:val="13"/>
                <w:szCs w:val="13"/>
                <w:color w:val="auto"/>
              </w:rPr>
            </w:pPr>
          </w:p>
        </w:tc>
        <w:tc>
          <w:tcPr>
            <w:tcW w:w="19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8"/>
                <w:szCs w:val="18"/>
                <w:color w:val="auto"/>
              </w:rPr>
              <w:t>(including CRVO and</w:t>
            </w: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BRVO), DR, and mCNV</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Susvimo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(ranibizumab ocular</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Genentech/Roche</w:t>
            </w: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wAMD</w:t>
            </w: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31"/>
        </w:trPr>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implant)</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Vabysmo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(faricimab-svoa)</w:t>
            </w: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Genentech/Roche</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wAMD, DME, and</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macular edema following</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Avastin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(bevacizumab) (off-label</w:t>
            </w: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Genentech/Roche</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wAMD, DME, and</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177"/>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and repackaged)</w:t>
            </w: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macular edema following</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Beovu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(brolucizumab) Injection</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Novartis AG</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wAMD, DME</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Ozurdex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(dexamethasone</w:t>
            </w: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Allergan/AbbVie Inc.</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DME, RVO</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intravitreal implant)</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Iluvien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(fluocinolone acetonide</w:t>
            </w: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Alimera Sciences, Inc.</w:t>
            </w:r>
          </w:p>
        </w:tc>
        <w:tc>
          <w:tcPr>
            <w:tcW w:w="100" w:type="dxa"/>
            <w:vAlign w:val="bottom"/>
            <w:shd w:val="clear" w:color="auto" w:fill="CCEEFF"/>
          </w:tcPr>
          <w:p>
            <w:pPr>
              <w:spacing w:after="0"/>
              <w:rPr>
                <w:sz w:val="15"/>
                <w:szCs w:val="15"/>
                <w:color w:val="auto"/>
              </w:rPr>
            </w:pPr>
          </w:p>
        </w:tc>
        <w:tc>
          <w:tcPr>
            <w:tcW w:w="19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DME</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intravitreal implant)</w:t>
            </w:r>
          </w:p>
        </w:tc>
        <w:tc>
          <w:tcPr>
            <w:tcW w:w="10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Dupixent</w:t>
            </w:r>
          </w:p>
        </w:tc>
        <w:tc>
          <w:tcPr>
            <w:tcW w:w="120" w:type="dxa"/>
            <w:vAlign w:val="bottom"/>
          </w:tcPr>
          <w:p>
            <w:pPr>
              <w:spacing w:after="0"/>
              <w:rPr>
                <w:sz w:val="15"/>
                <w:szCs w:val="15"/>
                <w:color w:val="auto"/>
              </w:rPr>
            </w:pPr>
          </w:p>
        </w:tc>
        <w:tc>
          <w:tcPr>
            <w:tcW w:w="24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Eucrisa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/Staquis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(crisaborole)</w:t>
            </w:r>
          </w:p>
        </w:tc>
        <w:tc>
          <w:tcPr>
            <w:tcW w:w="100" w:type="dxa"/>
            <w:vAlign w:val="bottom"/>
          </w:tcPr>
          <w:p>
            <w:pPr>
              <w:spacing w:after="0"/>
              <w:rPr>
                <w:sz w:val="15"/>
                <w:szCs w:val="15"/>
                <w:color w:val="auto"/>
              </w:rPr>
            </w:pPr>
          </w:p>
        </w:tc>
        <w:tc>
          <w:tcPr>
            <w:tcW w:w="24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Pfizer Inc.</w:t>
            </w:r>
          </w:p>
        </w:tc>
        <w:tc>
          <w:tcPr>
            <w:tcW w:w="100" w:type="dxa"/>
            <w:vAlign w:val="bottom"/>
          </w:tcPr>
          <w:p>
            <w:pPr>
              <w:spacing w:after="0"/>
              <w:rPr>
                <w:sz w:val="15"/>
                <w:szCs w:val="15"/>
                <w:color w:val="auto"/>
              </w:rPr>
            </w:pPr>
          </w:p>
        </w:tc>
        <w:tc>
          <w:tcPr>
            <w:tcW w:w="19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Mild-to-moderate atopic</w:t>
            </w:r>
          </w:p>
        </w:tc>
        <w:tc>
          <w:tcPr>
            <w:tcW w:w="100" w:type="dxa"/>
            <w:vAlign w:val="bottom"/>
          </w:tcPr>
          <w:p>
            <w:pPr>
              <w:spacing w:after="0"/>
              <w:rPr>
                <w:sz w:val="15"/>
                <w:szCs w:val="15"/>
                <w:color w:val="auto"/>
              </w:rPr>
            </w:pPr>
          </w:p>
        </w:tc>
        <w:tc>
          <w:tcPr>
            <w:tcW w:w="18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225"/>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Opzelura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(ruxolitinib)</w:t>
            </w:r>
          </w:p>
        </w:tc>
        <w:tc>
          <w:tcPr>
            <w:tcW w:w="100" w:type="dxa"/>
            <w:vAlign w:val="bottom"/>
          </w:tcPr>
          <w:p>
            <w:pPr>
              <w:spacing w:after="0"/>
              <w:rPr>
                <w:sz w:val="16"/>
                <w:szCs w:val="16"/>
                <w:color w:val="auto"/>
              </w:rPr>
            </w:pPr>
          </w:p>
        </w:tc>
        <w:tc>
          <w:tcPr>
            <w:tcW w:w="24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Incyte Corporation</w:t>
            </w:r>
          </w:p>
        </w:tc>
        <w:tc>
          <w:tcPr>
            <w:tcW w:w="100" w:type="dxa"/>
            <w:vAlign w:val="bottom"/>
          </w:tcPr>
          <w:p>
            <w:pPr>
              <w:spacing w:after="0"/>
              <w:rPr>
                <w:sz w:val="16"/>
                <w:szCs w:val="16"/>
                <w:color w:val="auto"/>
              </w:rPr>
            </w:pPr>
          </w:p>
        </w:tc>
        <w:tc>
          <w:tcPr>
            <w:tcW w:w="19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Mild-to-moderate atopic</w:t>
            </w:r>
          </w:p>
        </w:tc>
        <w:tc>
          <w:tcPr>
            <w:tcW w:w="100" w:type="dxa"/>
            <w:vAlign w:val="bottom"/>
          </w:tcPr>
          <w:p>
            <w:pPr>
              <w:spacing w:after="0"/>
              <w:rPr>
                <w:sz w:val="16"/>
                <w:szCs w:val="16"/>
                <w:color w:val="auto"/>
              </w:rPr>
            </w:pPr>
          </w:p>
        </w:tc>
        <w:tc>
          <w:tcPr>
            <w:tcW w:w="1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Olumiant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(baricitinib)</w:t>
            </w:r>
          </w:p>
        </w:tc>
        <w:tc>
          <w:tcPr>
            <w:tcW w:w="100" w:type="dxa"/>
            <w:vAlign w:val="bottom"/>
          </w:tcPr>
          <w:p>
            <w:pPr>
              <w:spacing w:after="0"/>
              <w:rPr>
                <w:sz w:val="16"/>
                <w:szCs w:val="16"/>
                <w:color w:val="auto"/>
              </w:rPr>
            </w:pPr>
          </w:p>
        </w:tc>
        <w:tc>
          <w:tcPr>
            <w:tcW w:w="24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Eli Lilly and Company/Incyte</w:t>
            </w:r>
          </w:p>
        </w:tc>
        <w:tc>
          <w:tcPr>
            <w:tcW w:w="100" w:type="dxa"/>
            <w:vAlign w:val="bottom"/>
          </w:tcPr>
          <w:p>
            <w:pPr>
              <w:spacing w:after="0"/>
              <w:rPr>
                <w:sz w:val="16"/>
                <w:szCs w:val="16"/>
                <w:color w:val="auto"/>
              </w:rPr>
            </w:pPr>
          </w:p>
        </w:tc>
        <w:tc>
          <w:tcPr>
            <w:tcW w:w="19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Moderate-to-severe atopic</w:t>
            </w:r>
          </w:p>
        </w:tc>
        <w:tc>
          <w:tcPr>
            <w:tcW w:w="100" w:type="dxa"/>
            <w:vAlign w:val="bottom"/>
          </w:tcPr>
          <w:p>
            <w:pPr>
              <w:spacing w:after="0"/>
              <w:rPr>
                <w:sz w:val="16"/>
                <w:szCs w:val="16"/>
                <w:color w:val="auto"/>
              </w:rPr>
            </w:pPr>
          </w:p>
        </w:tc>
        <w:tc>
          <w:tcPr>
            <w:tcW w:w="1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EU, Japan</w:t>
            </w: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Corporation</w:t>
            </w:r>
          </w:p>
        </w:tc>
        <w:tc>
          <w:tcPr>
            <w:tcW w:w="100" w:type="dxa"/>
            <w:vAlign w:val="bottom"/>
          </w:tcPr>
          <w:p>
            <w:pPr>
              <w:spacing w:after="0"/>
              <w:rPr>
                <w:sz w:val="19"/>
                <w:szCs w:val="19"/>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Cibinqo</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(abrocitinib)</w:t>
            </w:r>
          </w:p>
        </w:tc>
        <w:tc>
          <w:tcPr>
            <w:tcW w:w="100" w:type="dxa"/>
            <w:vAlign w:val="bottom"/>
          </w:tcPr>
          <w:p>
            <w:pPr>
              <w:spacing w:after="0"/>
              <w:rPr>
                <w:sz w:val="16"/>
                <w:szCs w:val="16"/>
                <w:color w:val="auto"/>
              </w:rPr>
            </w:pPr>
          </w:p>
        </w:tc>
        <w:tc>
          <w:tcPr>
            <w:tcW w:w="24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Pfizer</w:t>
            </w:r>
          </w:p>
        </w:tc>
        <w:tc>
          <w:tcPr>
            <w:tcW w:w="100" w:type="dxa"/>
            <w:vAlign w:val="bottom"/>
          </w:tcPr>
          <w:p>
            <w:pPr>
              <w:spacing w:after="0"/>
              <w:rPr>
                <w:sz w:val="16"/>
                <w:szCs w:val="16"/>
                <w:color w:val="auto"/>
              </w:rPr>
            </w:pPr>
          </w:p>
        </w:tc>
        <w:tc>
          <w:tcPr>
            <w:tcW w:w="19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Moderate-to-severe atopic</w:t>
            </w:r>
          </w:p>
        </w:tc>
        <w:tc>
          <w:tcPr>
            <w:tcW w:w="100" w:type="dxa"/>
            <w:vAlign w:val="bottom"/>
          </w:tcPr>
          <w:p>
            <w:pPr>
              <w:spacing w:after="0"/>
              <w:rPr>
                <w:sz w:val="16"/>
                <w:szCs w:val="16"/>
                <w:color w:val="auto"/>
              </w:rPr>
            </w:pPr>
          </w:p>
        </w:tc>
        <w:tc>
          <w:tcPr>
            <w:tcW w:w="182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225"/>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Rinvoq</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(upadacitinib)</w:t>
            </w:r>
          </w:p>
        </w:tc>
        <w:tc>
          <w:tcPr>
            <w:tcW w:w="100" w:type="dxa"/>
            <w:vAlign w:val="bottom"/>
          </w:tcPr>
          <w:p>
            <w:pPr>
              <w:spacing w:after="0"/>
              <w:rPr>
                <w:sz w:val="16"/>
                <w:szCs w:val="16"/>
                <w:color w:val="auto"/>
              </w:rPr>
            </w:pPr>
          </w:p>
        </w:tc>
        <w:tc>
          <w:tcPr>
            <w:tcW w:w="24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AbbVie</w:t>
            </w:r>
          </w:p>
        </w:tc>
        <w:tc>
          <w:tcPr>
            <w:tcW w:w="100" w:type="dxa"/>
            <w:vAlign w:val="bottom"/>
          </w:tcPr>
          <w:p>
            <w:pPr>
              <w:spacing w:after="0"/>
              <w:rPr>
                <w:sz w:val="16"/>
                <w:szCs w:val="16"/>
                <w:color w:val="auto"/>
              </w:rPr>
            </w:pPr>
          </w:p>
        </w:tc>
        <w:tc>
          <w:tcPr>
            <w:tcW w:w="19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Moderate-to-severe atopic</w:t>
            </w:r>
          </w:p>
        </w:tc>
        <w:tc>
          <w:tcPr>
            <w:tcW w:w="100" w:type="dxa"/>
            <w:vAlign w:val="bottom"/>
          </w:tcPr>
          <w:p>
            <w:pPr>
              <w:spacing w:after="0"/>
              <w:rPr>
                <w:sz w:val="16"/>
                <w:szCs w:val="16"/>
                <w:color w:val="auto"/>
              </w:rPr>
            </w:pPr>
          </w:p>
        </w:tc>
        <w:tc>
          <w:tcPr>
            <w:tcW w:w="182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225"/>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Adbry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/Adtralza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(tralokinumab)</w:t>
            </w:r>
          </w:p>
        </w:tc>
        <w:tc>
          <w:tcPr>
            <w:tcW w:w="100" w:type="dxa"/>
            <w:vAlign w:val="bottom"/>
          </w:tcPr>
          <w:p>
            <w:pPr>
              <w:spacing w:after="0"/>
              <w:rPr>
                <w:sz w:val="16"/>
                <w:szCs w:val="16"/>
                <w:color w:val="auto"/>
              </w:rPr>
            </w:pPr>
          </w:p>
        </w:tc>
        <w:tc>
          <w:tcPr>
            <w:tcW w:w="24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LEO Pharma Inc.</w:t>
            </w:r>
          </w:p>
        </w:tc>
        <w:tc>
          <w:tcPr>
            <w:tcW w:w="100" w:type="dxa"/>
            <w:vAlign w:val="bottom"/>
          </w:tcPr>
          <w:p>
            <w:pPr>
              <w:spacing w:after="0"/>
              <w:rPr>
                <w:sz w:val="16"/>
                <w:szCs w:val="16"/>
                <w:color w:val="auto"/>
              </w:rPr>
            </w:pPr>
          </w:p>
        </w:tc>
        <w:tc>
          <w:tcPr>
            <w:tcW w:w="19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Moderate-to-severe atopic</w:t>
            </w:r>
          </w:p>
        </w:tc>
        <w:tc>
          <w:tcPr>
            <w:tcW w:w="100" w:type="dxa"/>
            <w:vAlign w:val="bottom"/>
          </w:tcPr>
          <w:p>
            <w:pPr>
              <w:spacing w:after="0"/>
              <w:rPr>
                <w:sz w:val="16"/>
                <w:szCs w:val="16"/>
                <w:color w:val="auto"/>
              </w:rPr>
            </w:pPr>
          </w:p>
        </w:tc>
        <w:tc>
          <w:tcPr>
            <w:tcW w:w="182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225"/>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Ebglyss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(lebrikizumab)</w:t>
            </w:r>
          </w:p>
        </w:tc>
        <w:tc>
          <w:tcPr>
            <w:tcW w:w="100" w:type="dxa"/>
            <w:vAlign w:val="bottom"/>
          </w:tcPr>
          <w:p>
            <w:pPr>
              <w:spacing w:after="0"/>
              <w:rPr>
                <w:sz w:val="16"/>
                <w:szCs w:val="16"/>
                <w:color w:val="auto"/>
              </w:rPr>
            </w:pPr>
          </w:p>
        </w:tc>
        <w:tc>
          <w:tcPr>
            <w:tcW w:w="24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Almirall S.A.</w:t>
            </w:r>
          </w:p>
        </w:tc>
        <w:tc>
          <w:tcPr>
            <w:tcW w:w="100" w:type="dxa"/>
            <w:vAlign w:val="bottom"/>
          </w:tcPr>
          <w:p>
            <w:pPr>
              <w:spacing w:after="0"/>
              <w:rPr>
                <w:sz w:val="16"/>
                <w:szCs w:val="16"/>
                <w:color w:val="auto"/>
              </w:rPr>
            </w:pPr>
          </w:p>
        </w:tc>
        <w:tc>
          <w:tcPr>
            <w:tcW w:w="19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Moderate-to-severe atopic</w:t>
            </w:r>
          </w:p>
        </w:tc>
        <w:tc>
          <w:tcPr>
            <w:tcW w:w="100" w:type="dxa"/>
            <w:vAlign w:val="bottom"/>
          </w:tcPr>
          <w:p>
            <w:pPr>
              <w:spacing w:after="0"/>
              <w:rPr>
                <w:sz w:val="16"/>
                <w:szCs w:val="16"/>
                <w:color w:val="auto"/>
              </w:rPr>
            </w:pPr>
          </w:p>
        </w:tc>
        <w:tc>
          <w:tcPr>
            <w:tcW w:w="1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EU</w:t>
            </w: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dermatitis</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Corectim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(delgocitinib)</w:t>
            </w:r>
          </w:p>
        </w:tc>
        <w:tc>
          <w:tcPr>
            <w:tcW w:w="100" w:type="dxa"/>
            <w:vAlign w:val="bottom"/>
          </w:tcPr>
          <w:p>
            <w:pPr>
              <w:spacing w:after="0"/>
              <w:rPr>
                <w:sz w:val="17"/>
                <w:szCs w:val="17"/>
                <w:color w:val="auto"/>
              </w:rPr>
            </w:pPr>
          </w:p>
        </w:tc>
        <w:tc>
          <w:tcPr>
            <w:tcW w:w="240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Japan Tobacco Inc./Torii</w:t>
            </w:r>
          </w:p>
        </w:tc>
        <w:tc>
          <w:tcPr>
            <w:tcW w:w="100" w:type="dxa"/>
            <w:vAlign w:val="bottom"/>
          </w:tcPr>
          <w:p>
            <w:pPr>
              <w:spacing w:after="0"/>
              <w:rPr>
                <w:sz w:val="17"/>
                <w:szCs w:val="17"/>
                <w:color w:val="auto"/>
              </w:rPr>
            </w:pPr>
          </w:p>
        </w:tc>
        <w:tc>
          <w:tcPr>
            <w:tcW w:w="198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Atopic dermatitis</w:t>
            </w:r>
          </w:p>
        </w:tc>
        <w:tc>
          <w:tcPr>
            <w:tcW w:w="100" w:type="dxa"/>
            <w:vAlign w:val="bottom"/>
          </w:tcPr>
          <w:p>
            <w:pPr>
              <w:spacing w:after="0"/>
              <w:rPr>
                <w:sz w:val="17"/>
                <w:szCs w:val="17"/>
                <w:color w:val="auto"/>
              </w:rPr>
            </w:pPr>
          </w:p>
        </w:tc>
        <w:tc>
          <w:tcPr>
            <w:tcW w:w="182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31"/>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 Co., Ltd.</w:t>
            </w: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Mitchga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(nemolizumab)</w:t>
            </w:r>
          </w:p>
        </w:tc>
        <w:tc>
          <w:tcPr>
            <w:tcW w:w="100" w:type="dxa"/>
            <w:vAlign w:val="bottom"/>
          </w:tcPr>
          <w:p>
            <w:pPr>
              <w:spacing w:after="0"/>
              <w:rPr>
                <w:sz w:val="17"/>
                <w:szCs w:val="17"/>
                <w:color w:val="auto"/>
              </w:rPr>
            </w:pPr>
          </w:p>
        </w:tc>
        <w:tc>
          <w:tcPr>
            <w:tcW w:w="240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Maruho Co., Ltd./Chugai</w:t>
            </w:r>
          </w:p>
        </w:tc>
        <w:tc>
          <w:tcPr>
            <w:tcW w:w="100" w:type="dxa"/>
            <w:vAlign w:val="bottom"/>
          </w:tcPr>
          <w:p>
            <w:pPr>
              <w:spacing w:after="0"/>
              <w:rPr>
                <w:sz w:val="17"/>
                <w:szCs w:val="17"/>
                <w:color w:val="auto"/>
              </w:rPr>
            </w:pPr>
          </w:p>
        </w:tc>
        <w:tc>
          <w:tcPr>
            <w:tcW w:w="198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Pruritus associated with</w:t>
            </w:r>
          </w:p>
        </w:tc>
        <w:tc>
          <w:tcPr>
            <w:tcW w:w="100" w:type="dxa"/>
            <w:vAlign w:val="bottom"/>
          </w:tcPr>
          <w:p>
            <w:pPr>
              <w:spacing w:after="0"/>
              <w:rPr>
                <w:sz w:val="17"/>
                <w:szCs w:val="17"/>
                <w:color w:val="auto"/>
              </w:rPr>
            </w:pPr>
          </w:p>
        </w:tc>
        <w:tc>
          <w:tcPr>
            <w:tcW w:w="182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5"/>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 Co., Ltd.</w:t>
            </w:r>
          </w:p>
        </w:tc>
        <w:tc>
          <w:tcPr>
            <w:tcW w:w="100" w:type="dxa"/>
            <w:vAlign w:val="bottom"/>
          </w:tcPr>
          <w:p>
            <w:pPr>
              <w:spacing w:after="0"/>
              <w:rPr>
                <w:sz w:val="19"/>
                <w:szCs w:val="19"/>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atopic dermatitis</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tcPr>
          <w:p>
            <w:pPr>
              <w:spacing w:after="0" w:line="217" w:lineRule="exact"/>
              <w:rPr>
                <w:sz w:val="20"/>
                <w:szCs w:val="20"/>
                <w:color w:val="auto"/>
              </w:rPr>
            </w:pPr>
            <w:r>
              <w:rPr>
                <w:rFonts w:ascii="Times New Roman" w:cs="Times New Roman" w:eastAsia="Times New Roman" w:hAnsi="Times New Roman"/>
                <w:sz w:val="18"/>
                <w:szCs w:val="18"/>
                <w:color w:val="auto"/>
              </w:rPr>
              <w:t>Xolair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(omalizumab)</w:t>
            </w:r>
          </w:p>
        </w:tc>
        <w:tc>
          <w:tcPr>
            <w:tcW w:w="10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Roche/Novartis</w:t>
            </w:r>
          </w:p>
        </w:tc>
        <w:tc>
          <w:tcPr>
            <w:tcW w:w="100" w:type="dxa"/>
            <w:vAlign w:val="bottom"/>
          </w:tcPr>
          <w:p>
            <w:pPr>
              <w:spacing w:after="0"/>
              <w:rPr>
                <w:sz w:val="18"/>
                <w:szCs w:val="18"/>
                <w:color w:val="auto"/>
              </w:rPr>
            </w:pPr>
          </w:p>
        </w:tc>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Asthma, nasal polyps</w:t>
            </w:r>
          </w:p>
        </w:tc>
        <w:tc>
          <w:tcPr>
            <w:tcW w:w="10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161"/>
        </w:trPr>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ind w:left="20"/>
              <w:spacing w:after="0" w:line="161" w:lineRule="exact"/>
              <w:rPr>
                <w:sz w:val="20"/>
                <w:szCs w:val="20"/>
                <w:color w:val="auto"/>
              </w:rPr>
            </w:pPr>
            <w:r>
              <w:rPr>
                <w:rFonts w:ascii="Times New Roman" w:cs="Times New Roman" w:eastAsia="Times New Roman" w:hAnsi="Times New Roman"/>
                <w:sz w:val="18"/>
                <w:szCs w:val="18"/>
                <w:color w:val="auto"/>
              </w:rPr>
              <w:t>(asthma); United States,</w:t>
            </w:r>
          </w:p>
        </w:tc>
        <w:tc>
          <w:tcPr>
            <w:tcW w:w="0" w:type="dxa"/>
            <w:vAlign w:val="bottom"/>
          </w:tcPr>
          <w:p>
            <w:pPr>
              <w:spacing w:after="0"/>
              <w:rPr>
                <w:sz w:val="1"/>
                <w:szCs w:val="1"/>
                <w:color w:val="auto"/>
              </w:rPr>
            </w:pPr>
          </w:p>
        </w:tc>
      </w:tr>
    </w:tbl>
    <w:p>
      <w:pPr>
        <w:ind w:left="9380"/>
        <w:spacing w:after="0"/>
        <w:rPr>
          <w:sz w:val="20"/>
          <w:szCs w:val="20"/>
          <w:color w:val="auto"/>
        </w:rPr>
      </w:pPr>
      <w:r>
        <w:rPr>
          <w:rFonts w:ascii="Times New Roman" w:cs="Times New Roman" w:eastAsia="Times New Roman" w:hAnsi="Times New Roman"/>
          <w:sz w:val="18"/>
          <w:szCs w:val="18"/>
          <w:color w:val="auto"/>
        </w:rPr>
        <w:t>EU (nasal polyps)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Marketed Product</w:t>
            </w:r>
          </w:p>
        </w:tc>
        <w:tc>
          <w:tcPr>
            <w:tcW w:w="100" w:type="dxa"/>
            <w:vAlign w:val="bottom"/>
          </w:tcPr>
          <w:p>
            <w:pPr>
              <w:spacing w:after="0"/>
              <w:rPr>
                <w:sz w:val="17"/>
                <w:szCs w:val="17"/>
                <w:color w:val="auto"/>
              </w:rPr>
            </w:pPr>
          </w:p>
        </w:tc>
        <w:tc>
          <w:tcPr>
            <w:tcW w:w="248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Competitor Product</w:t>
            </w:r>
          </w:p>
        </w:tc>
        <w:tc>
          <w:tcPr>
            <w:tcW w:w="120" w:type="dxa"/>
            <w:vAlign w:val="bottom"/>
          </w:tcPr>
          <w:p>
            <w:pPr>
              <w:spacing w:after="0"/>
              <w:rPr>
                <w:sz w:val="17"/>
                <w:szCs w:val="17"/>
                <w:color w:val="auto"/>
              </w:rPr>
            </w:pPr>
          </w:p>
        </w:tc>
        <w:tc>
          <w:tcPr>
            <w:tcW w:w="240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Competitor</w:t>
            </w:r>
          </w:p>
        </w:tc>
        <w:tc>
          <w:tcPr>
            <w:tcW w:w="100" w:type="dxa"/>
            <w:vAlign w:val="bottom"/>
          </w:tcPr>
          <w:p>
            <w:pPr>
              <w:spacing w:after="0"/>
              <w:rPr>
                <w:sz w:val="17"/>
                <w:szCs w:val="17"/>
                <w:color w:val="auto"/>
              </w:rPr>
            </w:pPr>
          </w:p>
        </w:tc>
        <w:tc>
          <w:tcPr>
            <w:tcW w:w="20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8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Territory</w:t>
            </w:r>
            <w:r>
              <w:rPr>
                <w:rFonts w:ascii="Times New Roman" w:cs="Times New Roman" w:eastAsia="Times New Roman" w:hAnsi="Times New Roman"/>
                <w:sz w:val="22"/>
                <w:szCs w:val="22"/>
                <w:b w:val="1"/>
                <w:bCs w:val="1"/>
                <w:color w:val="auto"/>
                <w:vertAlign w:val="superscript"/>
              </w:rPr>
              <w:t>(a)</w:t>
            </w:r>
          </w:p>
        </w:tc>
        <w:tc>
          <w:tcPr>
            <w:tcW w:w="0" w:type="dxa"/>
            <w:vAlign w:val="bottom"/>
          </w:tcPr>
          <w:p>
            <w:pPr>
              <w:spacing w:after="0"/>
              <w:rPr>
                <w:sz w:val="1"/>
                <w:szCs w:val="1"/>
                <w:color w:val="auto"/>
              </w:rPr>
            </w:pPr>
          </w:p>
        </w:tc>
      </w:tr>
      <w:tr>
        <w:trPr>
          <w:trHeight w:val="234"/>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(continued)</w:t>
            </w:r>
          </w:p>
        </w:tc>
        <w:tc>
          <w:tcPr>
            <w:tcW w:w="10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vMerge w:val="continue"/>
          </w:tcPr>
          <w:p>
            <w:pPr>
              <w:spacing w:after="0"/>
              <w:rPr>
                <w:sz w:val="20"/>
                <w:szCs w:val="20"/>
                <w:color w:val="auto"/>
              </w:rPr>
            </w:pPr>
          </w:p>
        </w:tc>
        <w:tc>
          <w:tcPr>
            <w:tcW w:w="1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0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 xml:space="preserve">Dupixent </w:t>
            </w:r>
            <w:r>
              <w:rPr>
                <w:rFonts w:ascii="Times New Roman" w:cs="Times New Roman" w:eastAsia="Times New Roman" w:hAnsi="Times New Roman"/>
                <w:sz w:val="18"/>
                <w:szCs w:val="18"/>
                <w:i w:val="1"/>
                <w:iCs w:val="1"/>
                <w:color w:val="auto"/>
              </w:rPr>
              <w:t>(continued)</w:t>
            </w:r>
          </w:p>
        </w:tc>
        <w:tc>
          <w:tcPr>
            <w:tcW w:w="100" w:type="dxa"/>
            <w:vAlign w:val="bottom"/>
          </w:tcPr>
          <w:p>
            <w:pPr>
              <w:spacing w:after="0"/>
              <w:rPr>
                <w:sz w:val="16"/>
                <w:szCs w:val="16"/>
                <w:color w:val="auto"/>
              </w:rPr>
            </w:pPr>
          </w:p>
        </w:tc>
        <w:tc>
          <w:tcPr>
            <w:tcW w:w="2480" w:type="dxa"/>
            <w:vAlign w:val="bottom"/>
            <w:tcBorders>
              <w:top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rPr>
              <w:t>Nucala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(mepolizumab)</w:t>
            </w:r>
          </w:p>
        </w:tc>
        <w:tc>
          <w:tcPr>
            <w:tcW w:w="120" w:type="dxa"/>
            <w:vAlign w:val="bottom"/>
          </w:tcPr>
          <w:p>
            <w:pPr>
              <w:spacing w:after="0"/>
              <w:rPr>
                <w:sz w:val="16"/>
                <w:szCs w:val="16"/>
                <w:color w:val="auto"/>
              </w:rPr>
            </w:pPr>
          </w:p>
        </w:tc>
        <w:tc>
          <w:tcPr>
            <w:tcW w:w="2400" w:type="dxa"/>
            <w:vAlign w:val="bottom"/>
            <w:tcBorders>
              <w:top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GlaxoSmithKline ("GSK")</w:t>
            </w:r>
          </w:p>
        </w:tc>
        <w:tc>
          <w:tcPr>
            <w:tcW w:w="100" w:type="dxa"/>
            <w:vAlign w:val="bottom"/>
          </w:tcPr>
          <w:p>
            <w:pPr>
              <w:spacing w:after="0"/>
              <w:rPr>
                <w:sz w:val="16"/>
                <w:szCs w:val="16"/>
                <w:color w:val="auto"/>
              </w:rPr>
            </w:pPr>
          </w:p>
        </w:tc>
        <w:tc>
          <w:tcPr>
            <w:tcW w:w="1980" w:type="dxa"/>
            <w:vAlign w:val="bottom"/>
            <w:tcBorders>
              <w:top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rPr>
              <w:t>Asthma, nasal polyps</w:t>
            </w:r>
          </w:p>
        </w:tc>
        <w:tc>
          <w:tcPr>
            <w:tcW w:w="100" w:type="dxa"/>
            <w:vAlign w:val="bottom"/>
          </w:tcPr>
          <w:p>
            <w:pPr>
              <w:spacing w:after="0"/>
              <w:rPr>
                <w:sz w:val="16"/>
                <w:szCs w:val="16"/>
                <w:color w:val="auto"/>
              </w:rPr>
            </w:pPr>
          </w:p>
        </w:tc>
        <w:tc>
          <w:tcPr>
            <w:tcW w:w="1820" w:type="dxa"/>
            <w:vAlign w:val="bottom"/>
            <w:tcBorders>
              <w:top w:val="single" w:sz="8" w:color="auto"/>
            </w:tcBorders>
          </w:tcPr>
          <w:p>
            <w:pPr>
              <w:ind w:left="20"/>
              <w:spacing w:after="0" w:line="187" w:lineRule="exact"/>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199"/>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(asthma); United States,</w:t>
            </w:r>
          </w:p>
        </w:tc>
        <w:tc>
          <w:tcPr>
            <w:tcW w:w="0" w:type="dxa"/>
            <w:vAlign w:val="bottom"/>
          </w:tcPr>
          <w:p>
            <w:pPr>
              <w:spacing w:after="0"/>
              <w:rPr>
                <w:sz w:val="1"/>
                <w:szCs w:val="1"/>
                <w:color w:val="auto"/>
              </w:rPr>
            </w:pPr>
          </w:p>
        </w:tc>
      </w:tr>
      <w:tr>
        <w:trPr>
          <w:trHeight w:val="231"/>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(nasal polyps)</w:t>
            </w:r>
          </w:p>
        </w:tc>
        <w:tc>
          <w:tcPr>
            <w:tcW w:w="0" w:type="dxa"/>
            <w:vAlign w:val="bottom"/>
          </w:tcPr>
          <w:p>
            <w:pPr>
              <w:spacing w:after="0"/>
              <w:rPr>
                <w:sz w:val="1"/>
                <w:szCs w:val="1"/>
                <w:color w:val="auto"/>
              </w:rPr>
            </w:pPr>
          </w:p>
        </w:tc>
      </w:tr>
      <w:tr>
        <w:trPr>
          <w:trHeight w:val="246"/>
        </w:trPr>
        <w:tc>
          <w:tcPr>
            <w:tcW w:w="2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80" w:type="dxa"/>
            <w:vAlign w:val="bottom"/>
          </w:tcPr>
          <w:p>
            <w:pPr>
              <w:ind w:left="20"/>
              <w:spacing w:after="0" w:line="246" w:lineRule="exact"/>
              <w:rPr>
                <w:sz w:val="20"/>
                <w:szCs w:val="20"/>
                <w:color w:val="auto"/>
              </w:rPr>
            </w:pPr>
            <w:r>
              <w:rPr>
                <w:rFonts w:ascii="Times New Roman" w:cs="Times New Roman" w:eastAsia="Times New Roman" w:hAnsi="Times New Roman"/>
                <w:sz w:val="18"/>
                <w:szCs w:val="18"/>
                <w:color w:val="auto"/>
              </w:rPr>
              <w:t>Cinqair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(reslizumab)</w:t>
            </w:r>
          </w:p>
        </w:tc>
        <w:tc>
          <w:tcPr>
            <w:tcW w:w="120" w:type="dxa"/>
            <w:vAlign w:val="bottom"/>
          </w:tcPr>
          <w:p>
            <w:pPr>
              <w:spacing w:after="0"/>
              <w:rPr>
                <w:sz w:val="21"/>
                <w:szCs w:val="21"/>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Teva</w:t>
            </w:r>
          </w:p>
        </w:tc>
        <w:tc>
          <w:tcPr>
            <w:tcW w:w="100" w:type="dxa"/>
            <w:vAlign w:val="bottom"/>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Asthma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r>
        <w:trPr>
          <w:trHeight w:val="305"/>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Fasenra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(benralizumab)</w:t>
            </w:r>
          </w:p>
        </w:tc>
        <w:tc>
          <w:tcPr>
            <w:tcW w:w="12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AstraZeneca</w:t>
            </w:r>
          </w:p>
        </w:tc>
        <w:tc>
          <w:tcPr>
            <w:tcW w:w="10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Asthma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Tezspire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(tezepelumab-ekko)</w:t>
            </w:r>
          </w:p>
        </w:tc>
        <w:tc>
          <w:tcPr>
            <w:tcW w:w="12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AstraZeneca/Amgen</w:t>
            </w:r>
          </w:p>
        </w:tc>
        <w:tc>
          <w:tcPr>
            <w:tcW w:w="100" w:type="dxa"/>
            <w:vAlign w:val="bottom"/>
          </w:tcPr>
          <w:p>
            <w:pPr>
              <w:spacing w:after="0"/>
              <w:rPr>
                <w:sz w:val="20"/>
                <w:szCs w:val="20"/>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Asthma</w:t>
            </w: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Libtayo</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Keytruda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(pembrolizumab)</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Merck &amp; Co., Inc.</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cancers</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(nivolumab)</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Bristol-Myers Squibb</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cancers</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Tecentriq</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(atezolizumab)</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Roche</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cancers</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Imfinzi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(durvalumab)</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AstraZeneca</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cancers</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Bavencio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(avelumab)</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Pfizer/Merck KGaA</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cancers</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United States, EU, Japan</w:t>
            </w:r>
          </w:p>
        </w:tc>
        <w:tc>
          <w:tcPr>
            <w:tcW w:w="0" w:type="dxa"/>
            <w:vAlign w:val="bottom"/>
          </w:tcPr>
          <w:p>
            <w:pPr>
              <w:spacing w:after="0"/>
              <w:rPr>
                <w:sz w:val="1"/>
                <w:szCs w:val="1"/>
                <w:color w:val="auto"/>
              </w:rPr>
            </w:pPr>
          </w:p>
        </w:tc>
      </w:tr>
      <w:tr>
        <w:trPr>
          <w:trHeight w:val="225"/>
        </w:trPr>
        <w:tc>
          <w:tcPr>
            <w:tcW w:w="2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Jemperli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(dostarlimab)</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GSK</w:t>
            </w:r>
          </w:p>
        </w:tc>
        <w:tc>
          <w:tcPr>
            <w:tcW w:w="10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cancers</w:t>
            </w: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EU</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20" w:hanging="171"/>
        <w:spacing w:after="0"/>
        <w:tabs>
          <w:tab w:leader="none" w:pos="4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This table focuses on the United States, EU, and Japan. Certain products have also received marketing approval in countries outside the United States, EU, and Japan.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Candidates</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late-stage and earlier-stage clinical candidates (including those being developed in collaboration with our collaborators) face competition from many pharmaceutical and biotechnology companies. For example, we are aware of other pharmaceutical and biotechnology companies actively engaged in the research and development of antibody-based products against targets that are also the targets of our early- and late-stage product candidates. These companies are using various technologies in competition with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and our other antibody generation technologies, including their own antibody generation technologies and other approaches such as RNAi, chimeric antigen receptor T cell (CAR-T cell), and gene therapy technologies. We are also aware of other companies developing or marketing small molecules that may compete with our antibody product candidates in various indications, if such product candidates obtain regulatory approval in those indications.</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For additional information regarding our product candidates (including those being developed in collaboration with our collaborators) and the substantial competition they face, see also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Areas</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pharmaceutical and biotechnology companies are attempting to discover new therapeutics for indications in which we invest 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inferior intellectual property position or lack of experience, trained personnel, and expertise. A number of corporate and academic competitors are involved in the discovery and development of novel therapeutics that are the focus of other research or development programs we are now conducting. Some of these competitors are currently conducting advanced preclinical and clinical research programs in these areas. These and other competitors also may have established substantial intellectual property and other competitive advantages.</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compete with academic institutions, governmental agencies, and other public or private research organizations, which conduct research, seek patent and other intellectual property protection, and establish collaborative arrangements for the development and marketing of products that would provide royalties or other consideration for use of their technology. These institutions are becoming more active in seeking patent and other intellectual property protection and licensing arrangements to</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Trade Secrets</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rely on a combination of intellectual property laws, including patent, trademark, copyright, trade secret, and domain name protection laws, as well as confidentiality and license agreements, to protect our intellectual property and proprietary rights.</w:t>
      </w:r>
    </w:p>
    <w:p>
      <w:pPr>
        <w:spacing w:after="0" w:line="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Times New Roman" w:cs="Times New Roman" w:eastAsia="Times New Roman" w:hAnsi="Times New Roman"/>
          <w:sz w:val="18"/>
          <w:szCs w:val="18"/>
          <w:i w:val="1"/>
          <w:iCs w:val="1"/>
          <w:color w:val="auto"/>
        </w:rPr>
        <w:t>We may be restricted in our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manufacturing, and/or commercialization activities by patents or other proprietary rights of others, and could be subject to awards of damages if we are found to have infringed such patents or rights</w:t>
      </w:r>
      <w:r>
        <w:rPr>
          <w:rFonts w:ascii="Times New Roman" w:cs="Times New Roman" w:eastAsia="Times New Roman" w:hAnsi="Times New Roman"/>
          <w:sz w:val="18"/>
          <w:szCs w:val="18"/>
          <w:color w:val="auto"/>
        </w:rPr>
        <w:t>"; and Note 16 to our Consolidated Financial Statements). Our policy is to file patent applications to protect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inventions, and improvements that we consider important to our business and operations. We hold an ownership interest in a number of issued patents in the United States and other countries with respect to our products and technologies. In addition, we hold an ownership interest in thousands of patent applications in the United States and other countries.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patent portfolio includes granted patents and pending patent applications covering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including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mouse platform which produces fully human antibodies. Our issued patents covering these technologies generally expire between 2022 and 2032. However, we continue to file patent applications directed to improvements to these technology platforms.</w:t>
      </w:r>
    </w:p>
    <w:p>
      <w:pPr>
        <w:spacing w:after="0" w:line="1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patent portfolio also includes issued patents and pending applications relating to commercialized products and our product candidates in clinical development. These patents cover, among other things, proteins, DNA and RNA molecules, manufacturing patents, method of use patents, and pharmaceutical compositions and formulations.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following table describes our U.S. patents, European patents ("EP"), and Japanese patents ("JP") that are of particular relevance to key products marketed or otherwise commercialized by us and/or our collaborators, including the territory, patent number, general subject matter class, and expected expiration dates. The noted expiration dates include any patent term adjustments. Certain of these patents may also be entitled to term extensions. We continue to pursue additional patents and patent term extensions in the United States and other jurisdictions covering various aspects of our products that may, if issued, extend exclusivity beyond the expiration of the patents listed in the table below. One or more patents with the same or earlier expiry date may fall under the same "general subject matter class" for certain products and may not be separately listed. We also own various patents with claims relating to methods of making, formulating, and/or using the active molecules contained within our key products, but that do not cover indications, methods of use or processes currently approved by regulatory agencies or used by us and/or our collaborators. Such patents are not listed in the following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00" w:type="dxa"/>
            <w:vAlign w:val="bottom"/>
          </w:tcPr>
          <w:p>
            <w:pPr>
              <w:spacing w:after="0"/>
              <w:rPr>
                <w:sz w:val="18"/>
                <w:szCs w:val="18"/>
                <w:color w:val="auto"/>
              </w:rPr>
            </w:pP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00" w:type="dxa"/>
            <w:vAlign w:val="bottom"/>
          </w:tcPr>
          <w:p>
            <w:pPr>
              <w:spacing w:after="0"/>
              <w:rPr>
                <w:sz w:val="18"/>
                <w:szCs w:val="18"/>
                <w:color w:val="auto"/>
              </w:rPr>
            </w:pP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00" w:type="dxa"/>
            <w:vAlign w:val="bottom"/>
          </w:tcPr>
          <w:p>
            <w:pPr>
              <w:spacing w:after="0"/>
              <w:rPr>
                <w:sz w:val="18"/>
                <w:szCs w:val="18"/>
                <w:color w:val="auto"/>
              </w:rPr>
            </w:pP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100" w:type="dxa"/>
            <w:vAlign w:val="bottom"/>
          </w:tcPr>
          <w:p>
            <w:pPr>
              <w:spacing w:after="0"/>
              <w:rPr>
                <w:sz w:val="18"/>
                <w:szCs w:val="18"/>
                <w:color w:val="auto"/>
              </w:rPr>
            </w:pPr>
          </w:p>
        </w:tc>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25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32"/>
        </w:trPr>
        <w:tc>
          <w:tcPr>
            <w:tcW w:w="36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2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HD</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aflibercept (8 mg)</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10,066,458</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11,084,865</w:t>
            </w:r>
          </w:p>
        </w:tc>
        <w:tc>
          <w:tcPr>
            <w:tcW w:w="10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11,103,552</w:t>
            </w:r>
          </w:p>
        </w:tc>
        <w:tc>
          <w:tcPr>
            <w:tcW w:w="10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15, 2039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60" w:type="dxa"/>
            <w:vAlign w:val="bottom"/>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11,732,024</w:t>
            </w:r>
          </w:p>
        </w:tc>
        <w:tc>
          <w:tcPr>
            <w:tcW w:w="10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9,254,338</w:t>
            </w:r>
          </w:p>
        </w:tc>
        <w:tc>
          <w:tcPr>
            <w:tcW w:w="10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22, 2032</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10,130,681</w:t>
            </w:r>
          </w:p>
        </w:tc>
        <w:tc>
          <w:tcPr>
            <w:tcW w:w="10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60" w:type="dxa"/>
            <w:vAlign w:val="bottom"/>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10,828,345</w:t>
            </w:r>
          </w:p>
        </w:tc>
        <w:tc>
          <w:tcPr>
            <w:tcW w:w="100" w:type="dxa"/>
            <w:vAlign w:val="bottom"/>
            <w:shd w:val="clear" w:color="auto" w:fill="CCEEFF"/>
          </w:tcPr>
          <w:p>
            <w:pPr>
              <w:spacing w:after="0"/>
              <w:rPr>
                <w:sz w:val="21"/>
                <w:szCs w:val="21"/>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7,235,770</w:t>
            </w:r>
          </w:p>
        </w:tc>
        <w:tc>
          <w:tcPr>
            <w:tcW w:w="10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10, 2039</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150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2"/>
                <w:szCs w:val="22"/>
                <w:color w:val="auto"/>
                <w:vertAlign w:val="superscript"/>
              </w:rPr>
              <w:t>(a)</w:t>
            </w:r>
          </w:p>
        </w:tc>
        <w:tc>
          <w:tcPr>
            <w:tcW w:w="100" w:type="dxa"/>
            <w:vAlign w:val="bottom"/>
          </w:tcPr>
          <w:p>
            <w:pPr>
              <w:spacing w:after="0"/>
              <w:rPr>
                <w:sz w:val="19"/>
                <w:szCs w:val="19"/>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aflibercept (2 mg)</w:t>
            </w: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8,092,803</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21, 2027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11,066,458</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11,084,865</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11,732,024</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9,254,338</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22, 2032</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9,669,069</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10,130,681</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10,828,345</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10,888,601</w:t>
            </w:r>
          </w:p>
        </w:tc>
        <w:tc>
          <w:tcPr>
            <w:tcW w:w="100" w:type="dxa"/>
            <w:vAlign w:val="bottom"/>
          </w:tcPr>
          <w:p>
            <w:pPr>
              <w:spacing w:after="0"/>
              <w:rPr>
                <w:sz w:val="20"/>
                <w:szCs w:val="20"/>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795"/>
        </w:trPr>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Product</w:t>
            </w:r>
          </w:p>
        </w:tc>
        <w:tc>
          <w:tcPr>
            <w:tcW w:w="100" w:type="dxa"/>
            <w:vAlign w:val="bottom"/>
          </w:tcPr>
          <w:p>
            <w:pPr>
              <w:spacing w:after="0"/>
              <w:rPr>
                <w:sz w:val="17"/>
                <w:szCs w:val="17"/>
                <w:color w:val="auto"/>
              </w:rPr>
            </w:pP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00" w:type="dxa"/>
            <w:vAlign w:val="bottom"/>
          </w:tcPr>
          <w:p>
            <w:pPr>
              <w:spacing w:after="0"/>
              <w:rPr>
                <w:sz w:val="17"/>
                <w:szCs w:val="17"/>
                <w:color w:val="auto"/>
              </w:rPr>
            </w:pP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20" w:type="dxa"/>
            <w:vAlign w:val="bottom"/>
          </w:tcPr>
          <w:p>
            <w:pPr>
              <w:spacing w:after="0"/>
              <w:rPr>
                <w:sz w:val="17"/>
                <w:szCs w:val="17"/>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120" w:type="dxa"/>
            <w:vAlign w:val="bottom"/>
          </w:tcPr>
          <w:p>
            <w:pPr>
              <w:spacing w:after="0"/>
              <w:rPr>
                <w:sz w:val="17"/>
                <w:szCs w:val="17"/>
                <w:color w:val="auto"/>
              </w:rPr>
            </w:pPr>
          </w:p>
        </w:tc>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120" w:type="dxa"/>
            <w:vAlign w:val="bottom"/>
          </w:tcPr>
          <w:p>
            <w:pPr>
              <w:spacing w:after="0"/>
              <w:rPr>
                <w:sz w:val="17"/>
                <w:szCs w:val="17"/>
                <w:color w:val="auto"/>
              </w:rPr>
            </w:pPr>
          </w:p>
        </w:tc>
        <w:tc>
          <w:tcPr>
            <w:tcW w:w="25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(continued)</w:t>
            </w:r>
          </w:p>
        </w:tc>
        <w:tc>
          <w:tcPr>
            <w:tcW w:w="100" w:type="dxa"/>
            <w:vAlign w:val="bottom"/>
          </w:tcPr>
          <w:p>
            <w:pPr>
              <w:spacing w:after="0"/>
              <w:rPr>
                <w:sz w:val="20"/>
                <w:szCs w:val="20"/>
                <w:color w:val="auto"/>
              </w:rPr>
            </w:pPr>
          </w:p>
        </w:tc>
        <w:tc>
          <w:tcPr>
            <w:tcW w:w="1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0" w:type="dxa"/>
            <w:vAlign w:val="bottom"/>
          </w:tcPr>
          <w:p>
            <w:pPr>
              <w:spacing w:after="0"/>
              <w:rPr>
                <w:sz w:val="20"/>
                <w:szCs w:val="20"/>
                <w:color w:val="auto"/>
              </w:rPr>
            </w:pPr>
          </w:p>
        </w:tc>
        <w:tc>
          <w:tcPr>
            <w:tcW w:w="2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360" w:type="dxa"/>
            <w:vAlign w:val="bottom"/>
          </w:tcPr>
          <w:p>
            <w:pPr>
              <w:spacing w:after="0"/>
              <w:rPr>
                <w:sz w:val="14"/>
                <w:szCs w:val="14"/>
                <w:color w:val="auto"/>
              </w:rPr>
            </w:pPr>
          </w:p>
        </w:tc>
        <w:tc>
          <w:tcPr>
            <w:tcW w:w="150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5"/>
                <w:szCs w:val="15"/>
                <w:color w:val="auto"/>
              </w:rPr>
              <w:t>EYLEA</w:t>
            </w:r>
            <w:r>
              <w:rPr>
                <w:rFonts w:ascii="Times New Roman" w:cs="Times New Roman" w:eastAsia="Times New Roman" w:hAnsi="Times New Roman"/>
                <w:sz w:val="19"/>
                <w:szCs w:val="19"/>
                <w:color w:val="auto"/>
                <w:vertAlign w:val="superscript"/>
              </w:rPr>
              <w:t>(a)</w:t>
            </w:r>
          </w:p>
        </w:tc>
        <w:tc>
          <w:tcPr>
            <w:tcW w:w="100" w:type="dxa"/>
            <w:vAlign w:val="bottom"/>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top w:val="single" w:sz="8" w:color="auto"/>
            </w:tcBorders>
          </w:tcPr>
          <w:p>
            <w:pPr>
              <w:ind w:left="20"/>
              <w:spacing w:after="0" w:line="165" w:lineRule="exact"/>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4"/>
                <w:szCs w:val="14"/>
                <w:color w:val="auto"/>
              </w:rPr>
            </w:pPr>
          </w:p>
        </w:tc>
        <w:tc>
          <w:tcPr>
            <w:tcW w:w="122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rPr>
              <w:t>11,253,572</w:t>
            </w:r>
          </w:p>
        </w:tc>
        <w:tc>
          <w:tcPr>
            <w:tcW w:w="120" w:type="dxa"/>
            <w:vAlign w:val="bottom"/>
          </w:tcPr>
          <w:p>
            <w:pPr>
              <w:spacing w:after="0"/>
              <w:rPr>
                <w:sz w:val="14"/>
                <w:szCs w:val="14"/>
                <w:color w:val="auto"/>
              </w:rPr>
            </w:pPr>
          </w:p>
        </w:tc>
        <w:tc>
          <w:tcPr>
            <w:tcW w:w="216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4"/>
                <w:szCs w:val="14"/>
                <w:color w:val="auto"/>
              </w:rPr>
            </w:pPr>
          </w:p>
        </w:tc>
        <w:tc>
          <w:tcPr>
            <w:tcW w:w="218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color w:val="auto"/>
              </w:rPr>
              <w:t>January 11, 2032</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p>
        </w:tc>
        <w:tc>
          <w:tcPr>
            <w:tcW w:w="1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11,559,564</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11,707,506</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11,730,794</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11, 2032</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1183353</w:t>
            </w:r>
          </w:p>
        </w:tc>
        <w:tc>
          <w:tcPr>
            <w:tcW w:w="120" w:type="dxa"/>
            <w:vAlign w:val="bottom"/>
          </w:tcPr>
          <w:p>
            <w:pPr>
              <w:spacing w:after="0"/>
              <w:rPr>
                <w:sz w:val="15"/>
                <w:szCs w:val="15"/>
                <w:color w:val="auto"/>
              </w:rPr>
            </w:pPr>
          </w:p>
        </w:tc>
        <w:tc>
          <w:tcPr>
            <w:tcW w:w="21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tcPr>
          <w:p>
            <w:pPr>
              <w:spacing w:after="0"/>
              <w:rPr>
                <w:sz w:val="15"/>
                <w:szCs w:val="15"/>
                <w:color w:val="auto"/>
              </w:rPr>
            </w:pPr>
          </w:p>
        </w:tc>
        <w:tc>
          <w:tcPr>
            <w:tcW w:w="252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(May 23, 2025)</w:t>
            </w:r>
            <w:r>
              <w:rPr>
                <w:rFonts w:ascii="Times New Roman" w:cs="Times New Roman" w:eastAsia="Times New Roman" w:hAnsi="Times New Roman"/>
                <w:sz w:val="20"/>
                <w:szCs w:val="20"/>
                <w:color w:val="auto"/>
                <w:vertAlign w:val="superscript"/>
              </w:rPr>
              <w:t>(b)</w:t>
            </w:r>
            <w:r>
              <w:rPr>
                <w:rFonts w:ascii="Times New Roman" w:cs="Times New Roman" w:eastAsia="Times New Roman" w:hAnsi="Times New Roman"/>
                <w:sz w:val="16"/>
                <w:szCs w:val="16"/>
                <w:color w:val="auto"/>
              </w:rPr>
              <w:t>/(November</w:t>
            </w: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(Supplementary Protection</w:t>
            </w:r>
          </w:p>
        </w:tc>
        <w:tc>
          <w:tcPr>
            <w:tcW w:w="120" w:type="dxa"/>
            <w:vAlign w:val="bottom"/>
          </w:tcPr>
          <w:p>
            <w:pPr>
              <w:spacing w:after="0"/>
              <w:rPr>
                <w:sz w:val="14"/>
                <w:szCs w:val="14"/>
                <w:color w:val="auto"/>
              </w:rPr>
            </w:pPr>
          </w:p>
        </w:tc>
        <w:tc>
          <w:tcPr>
            <w:tcW w:w="2520" w:type="dxa"/>
            <w:vAlign w:val="bottom"/>
            <w:gridSpan w:val="2"/>
          </w:tcPr>
          <w:p>
            <w:pPr>
              <w:spacing w:after="0" w:line="173" w:lineRule="exact"/>
              <w:rPr>
                <w:sz w:val="20"/>
                <w:szCs w:val="20"/>
                <w:color w:val="auto"/>
              </w:rPr>
            </w:pPr>
            <w:r>
              <w:rPr>
                <w:rFonts w:ascii="Times New Roman" w:cs="Times New Roman" w:eastAsia="Times New Roman" w:hAnsi="Times New Roman"/>
                <w:sz w:val="15"/>
                <w:szCs w:val="15"/>
                <w:color w:val="auto"/>
              </w:rPr>
              <w:t>23, 2025)</w:t>
            </w:r>
            <w:r>
              <w:rPr>
                <w:rFonts w:ascii="Times New Roman" w:cs="Times New Roman" w:eastAsia="Times New Roman" w:hAnsi="Times New Roman"/>
                <w:sz w:val="19"/>
                <w:szCs w:val="19"/>
                <w:color w:val="auto"/>
                <w:vertAlign w:val="superscript"/>
              </w:rPr>
              <w:t>(c)</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Certificate)</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2364691</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14, 2027</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2944306</w:t>
            </w:r>
          </w:p>
        </w:tc>
        <w:tc>
          <w:tcPr>
            <w:tcW w:w="1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Pr>
          <w:p>
            <w:pPr>
              <w:spacing w:after="0"/>
              <w:rPr>
                <w:sz w:val="19"/>
                <w:szCs w:val="19"/>
                <w:color w:val="auto"/>
              </w:rPr>
            </w:pPr>
          </w:p>
        </w:tc>
        <w:tc>
          <w:tcPr>
            <w:tcW w:w="2520" w:type="dxa"/>
            <w:vAlign w:val="bottom"/>
            <w:gridSpan w:val="2"/>
          </w:tcPr>
          <w:p>
            <w:pPr>
              <w:spacing w:after="0" w:line="225" w:lineRule="exact"/>
              <w:rPr>
                <w:sz w:val="20"/>
                <w:szCs w:val="20"/>
                <w:color w:val="auto"/>
              </w:rPr>
            </w:pPr>
            <w:r>
              <w:rPr>
                <w:rFonts w:ascii="Times New Roman" w:cs="Times New Roman" w:eastAsia="Times New Roman" w:hAnsi="Times New Roman"/>
                <w:sz w:val="18"/>
                <w:szCs w:val="18"/>
                <w:color w:val="auto"/>
              </w:rPr>
              <w:t>June 14, 2027</w:t>
            </w:r>
            <w:r>
              <w:rPr>
                <w:rFonts w:ascii="Times New Roman" w:cs="Times New Roman" w:eastAsia="Times New Roman" w:hAnsi="Times New Roman"/>
                <w:sz w:val="22"/>
                <w:szCs w:val="22"/>
                <w:color w:val="auto"/>
                <w:vertAlign w:val="superscript"/>
              </w:rPr>
              <w:t>(b)</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2944306</w:t>
            </w:r>
          </w:p>
        </w:tc>
        <w:tc>
          <w:tcPr>
            <w:tcW w:w="120" w:type="dxa"/>
            <w:vAlign w:val="bottom"/>
          </w:tcPr>
          <w:p>
            <w:pPr>
              <w:spacing w:after="0"/>
              <w:rPr>
                <w:sz w:val="15"/>
                <w:szCs w:val="15"/>
                <w:color w:val="auto"/>
              </w:rPr>
            </w:pPr>
          </w:p>
        </w:tc>
        <w:tc>
          <w:tcPr>
            <w:tcW w:w="21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Formulation (Supplementary</w:t>
            </w:r>
          </w:p>
        </w:tc>
        <w:tc>
          <w:tcPr>
            <w:tcW w:w="120" w:type="dxa"/>
            <w:vAlign w:val="bottom"/>
          </w:tcPr>
          <w:p>
            <w:pPr>
              <w:spacing w:after="0"/>
              <w:rPr>
                <w:sz w:val="15"/>
                <w:szCs w:val="15"/>
                <w:color w:val="auto"/>
              </w:rPr>
            </w:pPr>
          </w:p>
        </w:tc>
        <w:tc>
          <w:tcPr>
            <w:tcW w:w="252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(May 25, 2028)</w:t>
            </w:r>
            <w:r>
              <w:rPr>
                <w:rFonts w:ascii="Times New Roman" w:cs="Times New Roman" w:eastAsia="Times New Roman" w:hAnsi="Times New Roman"/>
                <w:sz w:val="20"/>
                <w:szCs w:val="20"/>
                <w:color w:val="auto"/>
                <w:vertAlign w:val="superscript"/>
              </w:rPr>
              <w:t>(b)</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Protection Certificate)</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8"/>
                <w:szCs w:val="18"/>
                <w:color w:val="auto"/>
              </w:rPr>
              <w:t>5,216,002</w:t>
            </w:r>
          </w:p>
        </w:tc>
        <w:tc>
          <w:tcPr>
            <w:tcW w:w="1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tcPr>
          <w:p>
            <w:pPr>
              <w:spacing w:after="0"/>
              <w:rPr>
                <w:sz w:val="17"/>
                <w:szCs w:val="17"/>
                <w:color w:val="auto"/>
              </w:rPr>
            </w:pPr>
          </w:p>
        </w:tc>
        <w:tc>
          <w:tcPr>
            <w:tcW w:w="25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February 27, 2028 – October</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1, 2029</w:t>
            </w:r>
            <w:r>
              <w:rPr>
                <w:rFonts w:ascii="Times New Roman" w:cs="Times New Roman" w:eastAsia="Times New Roman" w:hAnsi="Times New Roman"/>
                <w:sz w:val="20"/>
                <w:szCs w:val="20"/>
                <w:color w:val="auto"/>
                <w:vertAlign w:val="superscript"/>
              </w:rPr>
              <w:t>(d)</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dupilumab</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7,608,693</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8"/>
                <w:szCs w:val="18"/>
                <w:color w:val="auto"/>
              </w:rPr>
              <w:t>March 28, 2031</w:t>
            </w:r>
            <w:r>
              <w:rPr>
                <w:rFonts w:ascii="Times New Roman" w:cs="Times New Roman" w:eastAsia="Times New Roman" w:hAnsi="Times New Roman"/>
                <w:sz w:val="22"/>
                <w:szCs w:val="22"/>
                <w:color w:val="auto"/>
                <w:vertAlign w:val="superscript"/>
              </w:rPr>
              <w:t>(e)</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8,945,559</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17, 2032</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9,238,692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5, 2031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10,435,473</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5, 2031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11,059,896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5, 2031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8,075,887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17, 2028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8,337,839</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 2027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9,290,574</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10, 2034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9,574,004</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22, 2033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11,421,036</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10, 2034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10,137,193</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18, 2036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10,485,844</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21, 2037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10,059,771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 2034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11,214,621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11, 2036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11,167,004</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21, 2037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11,034,768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23, 2039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11,292,847</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10, 2039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2356151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line="228" w:lineRule="exact"/>
              <w:rPr>
                <w:sz w:val="20"/>
                <w:szCs w:val="20"/>
                <w:color w:val="auto"/>
              </w:rPr>
            </w:pPr>
            <w:r>
              <w:rPr>
                <w:rFonts w:ascii="Times New Roman" w:cs="Times New Roman" w:eastAsia="Times New Roman" w:hAnsi="Times New Roman"/>
                <w:sz w:val="18"/>
                <w:szCs w:val="18"/>
                <w:color w:val="auto"/>
              </w:rPr>
              <w:t>October 27, 2029</w:t>
            </w:r>
            <w:r>
              <w:rPr>
                <w:rFonts w:ascii="Times New Roman" w:cs="Times New Roman" w:eastAsia="Times New Roman" w:hAnsi="Times New Roman"/>
                <w:sz w:val="22"/>
                <w:szCs w:val="22"/>
                <w:color w:val="auto"/>
                <w:vertAlign w:val="superscript"/>
              </w:rPr>
              <w:t>(b)</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60" w:type="dxa"/>
            <w:vAlign w:val="bottom"/>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2356151</w:t>
            </w:r>
          </w:p>
        </w:tc>
        <w:tc>
          <w:tcPr>
            <w:tcW w:w="12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(September 28, 2032)</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(Supplementary Protection</w:t>
            </w:r>
          </w:p>
        </w:tc>
        <w:tc>
          <w:tcPr>
            <w:tcW w:w="1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9"/>
                <w:szCs w:val="19"/>
                <w:color w:val="auto"/>
                <w:vertAlign w:val="superscript"/>
              </w:rPr>
              <w:t>(b</w:t>
            </w:r>
            <w:r>
              <w:rPr>
                <w:rFonts w:ascii="Times New Roman" w:cs="Times New Roman" w:eastAsia="Times New Roman" w:hAnsi="Times New Roman"/>
                <w:sz w:val="15"/>
                <w:szCs w:val="15"/>
                <w:color w:val="auto"/>
              </w:rPr>
              <w:t>)/(March 28, 2033)</w:t>
            </w:r>
            <w:r>
              <w:rPr>
                <w:rFonts w:ascii="Times New Roman" w:cs="Times New Roman" w:eastAsia="Times New Roman" w:hAnsi="Times New Roman"/>
                <w:sz w:val="19"/>
                <w:szCs w:val="19"/>
                <w:color w:val="auto"/>
                <w:vertAlign w:val="superscript"/>
              </w:rPr>
              <w:t>(c)</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w:t>
            </w:r>
          </w:p>
        </w:tc>
        <w:tc>
          <w:tcPr>
            <w:tcW w:w="12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3010539</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 2034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2888281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2033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3064511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27, 2029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3107575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 2035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3470432</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2033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3019191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10, 2034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3703818</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29, 2038</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4011915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of Treatment</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2033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2624865</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5, 2031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3354280</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5, 2031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5,291,802</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Composition of Matter</w:t>
            </w:r>
          </w:p>
        </w:tc>
        <w:tc>
          <w:tcPr>
            <w:tcW w:w="1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October 27, 2029 – October</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27, 2034</w:t>
            </w:r>
            <w:r>
              <w:rPr>
                <w:rFonts w:ascii="Times New Roman" w:cs="Times New Roman" w:eastAsia="Times New Roman" w:hAnsi="Times New Roman"/>
                <w:sz w:val="22"/>
                <w:szCs w:val="22"/>
                <w:color w:val="auto"/>
                <w:vertAlign w:val="superscript"/>
              </w:rPr>
              <w:t>(d)</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JP</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5,918,246</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Formulation</w:t>
            </w:r>
          </w:p>
        </w:tc>
        <w:tc>
          <w:tcPr>
            <w:tcW w:w="1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October 5, 2031 – September</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360" w:type="dxa"/>
            <w:vAlign w:val="bottom"/>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14, 2035</w:t>
            </w:r>
            <w:r>
              <w:rPr>
                <w:rFonts w:ascii="Times New Roman" w:cs="Times New Roman" w:eastAsia="Times New Roman" w:hAnsi="Times New Roman"/>
                <w:sz w:val="22"/>
                <w:szCs w:val="22"/>
                <w:color w:val="auto"/>
                <w:vertAlign w:val="superscript"/>
              </w:rPr>
              <w:t>(d)</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83"/>
        </w:trPr>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gridSpan w:val="2"/>
          </w:tcPr>
          <w:p>
            <w:pPr>
              <w:jc w:val="right"/>
              <w:ind w:right="512"/>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Product</w:t>
            </w:r>
          </w:p>
        </w:tc>
        <w:tc>
          <w:tcPr>
            <w:tcW w:w="100" w:type="dxa"/>
            <w:vAlign w:val="bottom"/>
          </w:tcPr>
          <w:p>
            <w:pPr>
              <w:spacing w:after="0"/>
              <w:rPr>
                <w:sz w:val="17"/>
                <w:szCs w:val="17"/>
                <w:color w:val="auto"/>
              </w:rPr>
            </w:pPr>
          </w:p>
        </w:tc>
        <w:tc>
          <w:tcPr>
            <w:tcW w:w="17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Molecule</w:t>
            </w:r>
          </w:p>
        </w:tc>
        <w:tc>
          <w:tcPr>
            <w:tcW w:w="100" w:type="dxa"/>
            <w:vAlign w:val="bottom"/>
          </w:tcPr>
          <w:p>
            <w:pPr>
              <w:spacing w:after="0"/>
              <w:rPr>
                <w:sz w:val="17"/>
                <w:szCs w:val="17"/>
                <w:color w:val="auto"/>
              </w:rPr>
            </w:pP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100" w:type="dxa"/>
            <w:vAlign w:val="bottom"/>
          </w:tcPr>
          <w:p>
            <w:pPr>
              <w:spacing w:after="0"/>
              <w:rPr>
                <w:sz w:val="17"/>
                <w:szCs w:val="17"/>
                <w:color w:val="auto"/>
              </w:rPr>
            </w:pP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100" w:type="dxa"/>
            <w:vAlign w:val="bottom"/>
          </w:tcPr>
          <w:p>
            <w:pPr>
              <w:spacing w:after="0"/>
              <w:rPr>
                <w:sz w:val="17"/>
                <w:szCs w:val="17"/>
                <w:color w:val="auto"/>
              </w:rPr>
            </w:pPr>
          </w:p>
        </w:tc>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General Subject Matter</w:t>
            </w:r>
          </w:p>
        </w:tc>
        <w:tc>
          <w:tcPr>
            <w:tcW w:w="100" w:type="dxa"/>
            <w:vAlign w:val="bottom"/>
          </w:tcPr>
          <w:p>
            <w:pPr>
              <w:spacing w:after="0"/>
              <w:rPr>
                <w:sz w:val="17"/>
                <w:szCs w:val="17"/>
                <w:color w:val="auto"/>
              </w:rPr>
            </w:pPr>
          </w:p>
        </w:tc>
        <w:tc>
          <w:tcPr>
            <w:tcW w:w="21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38"/>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7"/>
              </w:rPr>
              <w:t>(continued)</w:t>
            </w: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0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5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Dupixent</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JP</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6,306,588</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w w:val="98"/>
              </w:rPr>
              <w:t>August 20, 2033 – August 29,</w:t>
            </w:r>
          </w:p>
        </w:tc>
        <w:tc>
          <w:tcPr>
            <w:tcW w:w="0" w:type="dxa"/>
            <w:vAlign w:val="bottom"/>
          </w:tcPr>
          <w:p>
            <w:pPr>
              <w:spacing w:after="0"/>
              <w:rPr>
                <w:sz w:val="1"/>
                <w:szCs w:val="1"/>
                <w:color w:val="auto"/>
              </w:rPr>
            </w:pPr>
          </w:p>
        </w:tc>
      </w:tr>
      <w:tr>
        <w:trPr>
          <w:trHeight w:val="27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(continued)</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2034</w:t>
            </w:r>
            <w:r>
              <w:rPr>
                <w:rFonts w:ascii="Times New Roman" w:cs="Times New Roman" w:eastAsia="Times New Roman" w:hAnsi="Times New Roman"/>
                <w:sz w:val="22"/>
                <w:szCs w:val="22"/>
                <w:color w:val="auto"/>
                <w:vertAlign w:val="superscript"/>
              </w:rPr>
              <w:t>(d)</w:t>
            </w:r>
          </w:p>
        </w:tc>
        <w:tc>
          <w:tcPr>
            <w:tcW w:w="0" w:type="dxa"/>
            <w:vAlign w:val="bottom"/>
          </w:tcPr>
          <w:p>
            <w:pPr>
              <w:spacing w:after="0"/>
              <w:rPr>
                <w:sz w:val="1"/>
                <w:szCs w:val="1"/>
                <w:color w:val="auto"/>
              </w:rPr>
            </w:pPr>
          </w:p>
        </w:tc>
      </w:tr>
      <w:tr>
        <w:trPr>
          <w:trHeight w:val="231"/>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6,353,838</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4, 2033</w:t>
            </w:r>
          </w:p>
        </w:tc>
        <w:tc>
          <w:tcPr>
            <w:tcW w:w="0" w:type="dxa"/>
            <w:vAlign w:val="bottom"/>
          </w:tcPr>
          <w:p>
            <w:pPr>
              <w:spacing w:after="0"/>
              <w:rPr>
                <w:sz w:val="1"/>
                <w:szCs w:val="1"/>
                <w:color w:val="auto"/>
              </w:rPr>
            </w:pPr>
          </w:p>
        </w:tc>
      </w:tr>
      <w:tr>
        <w:trPr>
          <w:trHeight w:val="247"/>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6,673,840</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6,463,351</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 2034 – September 2,</w:t>
            </w:r>
          </w:p>
        </w:tc>
        <w:tc>
          <w:tcPr>
            <w:tcW w:w="0" w:type="dxa"/>
            <w:vAlign w:val="bottom"/>
          </w:tcPr>
          <w:p>
            <w:pPr>
              <w:spacing w:after="0"/>
              <w:rPr>
                <w:sz w:val="1"/>
                <w:szCs w:val="1"/>
                <w:color w:val="auto"/>
              </w:rPr>
            </w:pPr>
          </w:p>
        </w:tc>
      </w:tr>
      <w:tr>
        <w:trPr>
          <w:trHeight w:val="260"/>
        </w:trPr>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2035</w:t>
            </w:r>
            <w:r>
              <w:rPr>
                <w:rFonts w:ascii="Times New Roman" w:cs="Times New Roman" w:eastAsia="Times New Roman" w:hAnsi="Times New Roman"/>
                <w:sz w:val="22"/>
                <w:szCs w:val="22"/>
                <w:color w:val="auto"/>
                <w:vertAlign w:val="superscript"/>
              </w:rPr>
              <w:t>(d)</w:t>
            </w:r>
          </w:p>
        </w:tc>
        <w:tc>
          <w:tcPr>
            <w:tcW w:w="0" w:type="dxa"/>
            <w:vAlign w:val="bottom"/>
          </w:tcPr>
          <w:p>
            <w:pPr>
              <w:spacing w:after="0"/>
              <w:rPr>
                <w:sz w:val="1"/>
                <w:szCs w:val="1"/>
                <w:color w:val="auto"/>
              </w:rPr>
            </w:pPr>
          </w:p>
        </w:tc>
      </w:tr>
      <w:tr>
        <w:trPr>
          <w:trHeight w:val="231"/>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6,861,630</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13, 2035</w:t>
            </w:r>
          </w:p>
        </w:tc>
        <w:tc>
          <w:tcPr>
            <w:tcW w:w="0" w:type="dxa"/>
            <w:vAlign w:val="bottom"/>
          </w:tcPr>
          <w:p>
            <w:pPr>
              <w:spacing w:after="0"/>
              <w:rPr>
                <w:sz w:val="1"/>
                <w:szCs w:val="1"/>
                <w:color w:val="auto"/>
              </w:rPr>
            </w:pPr>
          </w:p>
        </w:tc>
      </w:tr>
      <w:tr>
        <w:trPr>
          <w:trHeight w:val="247"/>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7,164,530</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21, 2037</w:t>
            </w:r>
          </w:p>
        </w:tc>
        <w:tc>
          <w:tcPr>
            <w:tcW w:w="0" w:type="dxa"/>
            <w:vAlign w:val="bottom"/>
          </w:tcPr>
          <w:p>
            <w:pPr>
              <w:spacing w:after="0"/>
              <w:rPr>
                <w:sz w:val="1"/>
                <w:szCs w:val="1"/>
                <w:color w:val="auto"/>
              </w:rPr>
            </w:pPr>
          </w:p>
        </w:tc>
      </w:tr>
      <w:tr>
        <w:trPr>
          <w:trHeight w:val="252"/>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7,216,122</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13, 2035</w:t>
            </w:r>
          </w:p>
        </w:tc>
        <w:tc>
          <w:tcPr>
            <w:tcW w:w="0" w:type="dxa"/>
            <w:vAlign w:val="bottom"/>
          </w:tcPr>
          <w:p>
            <w:pPr>
              <w:spacing w:after="0"/>
              <w:rPr>
                <w:sz w:val="1"/>
                <w:szCs w:val="1"/>
                <w:color w:val="auto"/>
              </w:rPr>
            </w:pPr>
          </w:p>
        </w:tc>
      </w:tr>
      <w:tr>
        <w:trPr>
          <w:trHeight w:val="252"/>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7,216,157</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 2033</w:t>
            </w:r>
          </w:p>
        </w:tc>
        <w:tc>
          <w:tcPr>
            <w:tcW w:w="0" w:type="dxa"/>
            <w:vAlign w:val="bottom"/>
          </w:tcPr>
          <w:p>
            <w:pPr>
              <w:spacing w:after="0"/>
              <w:rPr>
                <w:sz w:val="1"/>
                <w:szCs w:val="1"/>
                <w:color w:val="auto"/>
              </w:rPr>
            </w:pPr>
          </w:p>
        </w:tc>
      </w:tr>
      <w:tr>
        <w:trPr>
          <w:trHeight w:val="252"/>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7,256,231</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4, 2033</w:t>
            </w:r>
          </w:p>
        </w:tc>
        <w:tc>
          <w:tcPr>
            <w:tcW w:w="0" w:type="dxa"/>
            <w:vAlign w:val="bottom"/>
          </w:tcPr>
          <w:p>
            <w:pPr>
              <w:spacing w:after="0"/>
              <w:rPr>
                <w:sz w:val="1"/>
                <w:szCs w:val="1"/>
                <w:color w:val="auto"/>
              </w:rPr>
            </w:pPr>
          </w:p>
        </w:tc>
      </w:tr>
      <w:tr>
        <w:trPr>
          <w:trHeight w:val="252"/>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7,315,545</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29, 2038</w:t>
            </w:r>
          </w:p>
        </w:tc>
        <w:tc>
          <w:tcPr>
            <w:tcW w:w="0" w:type="dxa"/>
            <w:vAlign w:val="bottom"/>
          </w:tcPr>
          <w:p>
            <w:pPr>
              <w:spacing w:after="0"/>
              <w:rPr>
                <w:sz w:val="1"/>
                <w:szCs w:val="1"/>
                <w:color w:val="auto"/>
              </w:rPr>
            </w:pPr>
          </w:p>
        </w:tc>
      </w:tr>
      <w:tr>
        <w:trPr>
          <w:trHeight w:val="257"/>
        </w:trPr>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7,343,547</w:t>
            </w:r>
          </w:p>
        </w:tc>
        <w:tc>
          <w:tcPr>
            <w:tcW w:w="10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 2035</w:t>
            </w:r>
          </w:p>
        </w:tc>
        <w:tc>
          <w:tcPr>
            <w:tcW w:w="0" w:type="dxa"/>
            <w:vAlign w:val="bottom"/>
          </w:tcPr>
          <w:p>
            <w:pPr>
              <w:spacing w:after="0"/>
              <w:rPr>
                <w:sz w:val="1"/>
                <w:szCs w:val="1"/>
                <w:color w:val="auto"/>
              </w:rPr>
            </w:pPr>
          </w:p>
        </w:tc>
      </w:tr>
      <w:tr>
        <w:trPr>
          <w:trHeight w:val="22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00" w:type="dxa"/>
            <w:vAlign w:val="bottom"/>
          </w:tcPr>
          <w:p>
            <w:pPr>
              <w:spacing w:after="0"/>
              <w:rPr>
                <w:sz w:val="19"/>
                <w:szCs w:val="19"/>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cemiplimab</w:t>
            </w: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9,987,500</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18, 2035</w:t>
            </w: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10,737,113</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10, 2035</w:t>
            </w: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11,603,407</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21, 2038</w:t>
            </w: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10,457,725</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11,292,842</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18, 2038</w:t>
            </w: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11,505,600</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 2038</w:t>
            </w: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3097119</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Composition of Matter</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23, 2035</w:t>
            </w: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3606504</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2038</w:t>
            </w: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3455258</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225"/>
        </w:trPr>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3932951</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6,425,730</w:t>
            </w:r>
          </w:p>
        </w:tc>
        <w:tc>
          <w:tcPr>
            <w:tcW w:w="100" w:type="dxa"/>
            <w:vAlign w:val="bottom"/>
          </w:tcPr>
          <w:p>
            <w:pPr>
              <w:spacing w:after="0"/>
              <w:rPr>
                <w:sz w:val="17"/>
                <w:szCs w:val="17"/>
                <w:color w:val="auto"/>
              </w:rPr>
            </w:pPr>
          </w:p>
        </w:tc>
        <w:tc>
          <w:tcPr>
            <w:tcW w:w="21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Composition of Matter</w:t>
            </w:r>
          </w:p>
        </w:tc>
        <w:tc>
          <w:tcPr>
            <w:tcW w:w="100" w:type="dxa"/>
            <w:vAlign w:val="bottom"/>
          </w:tcPr>
          <w:p>
            <w:pPr>
              <w:spacing w:after="0"/>
              <w:rPr>
                <w:sz w:val="17"/>
                <w:szCs w:val="17"/>
                <w:color w:val="auto"/>
              </w:rPr>
            </w:pPr>
          </w:p>
        </w:tc>
        <w:tc>
          <w:tcPr>
            <w:tcW w:w="21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w w:val="99"/>
              </w:rPr>
              <w:t>January 23, 2035 – March 15,</w:t>
            </w:r>
          </w:p>
        </w:tc>
        <w:tc>
          <w:tcPr>
            <w:tcW w:w="0" w:type="dxa"/>
            <w:vAlign w:val="bottom"/>
          </w:tcPr>
          <w:p>
            <w:pPr>
              <w:spacing w:after="0"/>
              <w:rPr>
                <w:sz w:val="1"/>
                <w:szCs w:val="1"/>
                <w:color w:val="auto"/>
              </w:rPr>
            </w:pPr>
          </w:p>
        </w:tc>
      </w:tr>
      <w:tr>
        <w:trPr>
          <w:trHeight w:val="255"/>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2039</w:t>
            </w:r>
            <w:r>
              <w:rPr>
                <w:rFonts w:ascii="Times New Roman" w:cs="Times New Roman" w:eastAsia="Times New Roman" w:hAnsi="Times New Roman"/>
                <w:sz w:val="22"/>
                <w:szCs w:val="22"/>
                <w:color w:val="auto"/>
                <w:vertAlign w:val="superscript"/>
              </w:rPr>
              <w:t>(d)</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6,711,883</w:t>
            </w:r>
          </w:p>
        </w:tc>
        <w:tc>
          <w:tcPr>
            <w:tcW w:w="100" w:type="dxa"/>
            <w:vAlign w:val="bottom"/>
          </w:tcPr>
          <w:p>
            <w:pPr>
              <w:spacing w:after="0"/>
              <w:rPr>
                <w:sz w:val="17"/>
                <w:szCs w:val="17"/>
                <w:color w:val="auto"/>
              </w:rPr>
            </w:pPr>
          </w:p>
        </w:tc>
        <w:tc>
          <w:tcPr>
            <w:tcW w:w="21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Composition of Matter</w:t>
            </w:r>
          </w:p>
        </w:tc>
        <w:tc>
          <w:tcPr>
            <w:tcW w:w="100" w:type="dxa"/>
            <w:vAlign w:val="bottom"/>
          </w:tcPr>
          <w:p>
            <w:pPr>
              <w:spacing w:after="0"/>
              <w:rPr>
                <w:sz w:val="17"/>
                <w:szCs w:val="17"/>
                <w:color w:val="auto"/>
              </w:rPr>
            </w:pPr>
          </w:p>
        </w:tc>
        <w:tc>
          <w:tcPr>
            <w:tcW w:w="21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January 23, 2035 – August</w:t>
            </w:r>
          </w:p>
        </w:tc>
        <w:tc>
          <w:tcPr>
            <w:tcW w:w="0" w:type="dxa"/>
            <w:vAlign w:val="bottom"/>
          </w:tcPr>
          <w:p>
            <w:pPr>
              <w:spacing w:after="0"/>
              <w:rPr>
                <w:sz w:val="1"/>
                <w:szCs w:val="1"/>
                <w:color w:val="auto"/>
              </w:rPr>
            </w:pPr>
          </w:p>
        </w:tc>
      </w:tr>
      <w:tr>
        <w:trPr>
          <w:trHeight w:val="255"/>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13, 2037</w:t>
            </w:r>
            <w:r>
              <w:rPr>
                <w:rFonts w:ascii="Times New Roman" w:cs="Times New Roman" w:eastAsia="Times New Roman" w:hAnsi="Times New Roman"/>
                <w:sz w:val="22"/>
                <w:szCs w:val="22"/>
                <w:color w:val="auto"/>
                <w:vertAlign w:val="superscript"/>
              </w:rPr>
              <w:t>(d)</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7,174,009</w:t>
            </w:r>
          </w:p>
        </w:tc>
        <w:tc>
          <w:tcPr>
            <w:tcW w:w="100" w:type="dxa"/>
            <w:vAlign w:val="bottom"/>
          </w:tcPr>
          <w:p>
            <w:pPr>
              <w:spacing w:after="0"/>
              <w:rPr>
                <w:sz w:val="17"/>
                <w:szCs w:val="17"/>
                <w:color w:val="auto"/>
              </w:rPr>
            </w:pPr>
          </w:p>
        </w:tc>
        <w:tc>
          <w:tcPr>
            <w:tcW w:w="21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Composition of Matter</w:t>
            </w:r>
          </w:p>
        </w:tc>
        <w:tc>
          <w:tcPr>
            <w:tcW w:w="100" w:type="dxa"/>
            <w:vAlign w:val="bottom"/>
          </w:tcPr>
          <w:p>
            <w:pPr>
              <w:spacing w:after="0"/>
              <w:rPr>
                <w:sz w:val="17"/>
                <w:szCs w:val="17"/>
                <w:color w:val="auto"/>
              </w:rPr>
            </w:pPr>
          </w:p>
        </w:tc>
        <w:tc>
          <w:tcPr>
            <w:tcW w:w="21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January 23, 2035 – March 9,</w:t>
            </w:r>
          </w:p>
        </w:tc>
        <w:tc>
          <w:tcPr>
            <w:tcW w:w="0" w:type="dxa"/>
            <w:vAlign w:val="bottom"/>
          </w:tcPr>
          <w:p>
            <w:pPr>
              <w:spacing w:after="0"/>
              <w:rPr>
                <w:sz w:val="1"/>
                <w:szCs w:val="1"/>
                <w:color w:val="auto"/>
              </w:rPr>
            </w:pPr>
          </w:p>
        </w:tc>
      </w:tr>
      <w:tr>
        <w:trPr>
          <w:trHeight w:val="255"/>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2035</w:t>
            </w:r>
            <w:r>
              <w:rPr>
                <w:rFonts w:ascii="Times New Roman" w:cs="Times New Roman" w:eastAsia="Times New Roman" w:hAnsi="Times New Roman"/>
                <w:sz w:val="22"/>
                <w:szCs w:val="22"/>
                <w:color w:val="auto"/>
                <w:vertAlign w:val="superscript"/>
              </w:rPr>
              <w:t>(d)</w:t>
            </w:r>
          </w:p>
        </w:tc>
        <w:tc>
          <w:tcPr>
            <w:tcW w:w="0" w:type="dxa"/>
            <w:vAlign w:val="bottom"/>
          </w:tcPr>
          <w:p>
            <w:pPr>
              <w:spacing w:after="0"/>
              <w:rPr>
                <w:sz w:val="1"/>
                <w:szCs w:val="1"/>
                <w:color w:val="auto"/>
              </w:rPr>
            </w:pPr>
          </w:p>
        </w:tc>
      </w:tr>
      <w:tr>
        <w:trPr>
          <w:trHeight w:val="231"/>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7,229,171</w:t>
            </w:r>
          </w:p>
        </w:tc>
        <w:tc>
          <w:tcPr>
            <w:tcW w:w="10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Formulation</w:t>
            </w:r>
          </w:p>
        </w:tc>
        <w:tc>
          <w:tcPr>
            <w:tcW w:w="10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23, 2038</w:t>
            </w:r>
          </w:p>
        </w:tc>
        <w:tc>
          <w:tcPr>
            <w:tcW w:w="0" w:type="dxa"/>
            <w:vAlign w:val="bottom"/>
          </w:tcPr>
          <w:p>
            <w:pPr>
              <w:spacing w:after="0"/>
              <w:rPr>
                <w:sz w:val="1"/>
                <w:szCs w:val="1"/>
                <w:color w:val="auto"/>
              </w:rPr>
            </w:pPr>
          </w:p>
        </w:tc>
      </w:tr>
      <w:tr>
        <w:trPr>
          <w:trHeight w:val="252"/>
        </w:trPr>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6,999,577</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252"/>
        </w:trPr>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7,054,680</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2037</w:t>
            </w:r>
          </w:p>
        </w:tc>
        <w:tc>
          <w:tcPr>
            <w:tcW w:w="0" w:type="dxa"/>
            <w:vAlign w:val="bottom"/>
          </w:tcPr>
          <w:p>
            <w:pPr>
              <w:spacing w:after="0"/>
              <w:rPr>
                <w:sz w:val="1"/>
                <w:szCs w:val="1"/>
                <w:color w:val="auto"/>
              </w:rPr>
            </w:pPr>
          </w:p>
        </w:tc>
      </w:tr>
      <w:tr>
        <w:trPr>
          <w:trHeight w:val="252"/>
        </w:trPr>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7,240,512</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Methods of Treatment</w:t>
            </w:r>
          </w:p>
        </w:tc>
        <w:tc>
          <w:tcPr>
            <w:tcW w:w="10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25, 2041</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580" w:right="40" w:hanging="7"/>
        <w:spacing w:after="0" w:line="197" w:lineRule="auto"/>
        <w:tabs>
          <w:tab w:leader="none" w:pos="747"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See Note 16 to our Consolidated Financial Statements for information regarding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and post-grant review petitions filed in the U.S. Patent and Trademark Office and patent infringement proceedings relating to EYLEA.</w:t>
      </w:r>
    </w:p>
    <w:p>
      <w:pPr>
        <w:spacing w:after="0" w:line="4" w:lineRule="exact"/>
        <w:rPr>
          <w:rFonts w:ascii="Times New Roman" w:cs="Times New Roman" w:eastAsia="Times New Roman" w:hAnsi="Times New Roman"/>
          <w:sz w:val="23"/>
          <w:szCs w:val="23"/>
          <w:color w:val="auto"/>
          <w:vertAlign w:val="superscript"/>
        </w:rPr>
      </w:pPr>
    </w:p>
    <w:p>
      <w:pPr>
        <w:ind w:left="580" w:right="220" w:hanging="7"/>
        <w:spacing w:after="0" w:line="196" w:lineRule="auto"/>
        <w:tabs>
          <w:tab w:leader="none" w:pos="753"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Supplementary protection certificates ("SPCs") are pending or have been granted in various European countries, extending the original patent terms in those countries, where granted, to the applicable dates indicated in parentheses.</w:t>
      </w:r>
    </w:p>
    <w:p>
      <w:pPr>
        <w:spacing w:after="0" w:line="4" w:lineRule="exact"/>
        <w:rPr>
          <w:rFonts w:ascii="Times New Roman" w:cs="Times New Roman" w:eastAsia="Times New Roman" w:hAnsi="Times New Roman"/>
          <w:sz w:val="23"/>
          <w:szCs w:val="23"/>
          <w:color w:val="auto"/>
          <w:vertAlign w:val="superscript"/>
        </w:rPr>
      </w:pPr>
    </w:p>
    <w:p>
      <w:pPr>
        <w:ind w:left="580" w:right="120" w:hanging="7"/>
        <w:spacing w:after="0" w:line="196" w:lineRule="auto"/>
        <w:tabs>
          <w:tab w:leader="none" w:pos="747"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SPC term extensions are pending or have been granted in various European countries based on the completion of a pediatric investigation program, extending the term of the SPC in those countries, where granted, an additional 6 months to the applicable dates indicated in parentheses.</w:t>
      </w:r>
    </w:p>
    <w:p>
      <w:pPr>
        <w:spacing w:after="0" w:line="4" w:lineRule="exact"/>
        <w:rPr>
          <w:rFonts w:ascii="Times New Roman" w:cs="Times New Roman" w:eastAsia="Times New Roman" w:hAnsi="Times New Roman"/>
          <w:sz w:val="23"/>
          <w:szCs w:val="23"/>
          <w:color w:val="auto"/>
          <w:vertAlign w:val="superscript"/>
        </w:rPr>
      </w:pPr>
    </w:p>
    <w:p>
      <w:pPr>
        <w:ind w:left="580" w:right="140" w:hanging="7"/>
        <w:spacing w:after="0" w:line="201" w:lineRule="auto"/>
        <w:tabs>
          <w:tab w:leader="none" w:pos="753"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patent term extension ("PTE") system in Japan allows for a patent to be extended more than once provided the later approval is directed to a different indication from that of the previous approval. This may result in multiple PTE approvals for a given patent, each with its own expiration date. In this table, date ranges are shown for the expiration of Japanese patents for which multiple PTEs have been granted, with the later date indicating the latest expiring PTE for the corresponding patent.</w:t>
      </w:r>
    </w:p>
    <w:p>
      <w:pPr>
        <w:spacing w:after="0" w:line="18" w:lineRule="exact"/>
        <w:rPr>
          <w:rFonts w:ascii="Times New Roman" w:cs="Times New Roman" w:eastAsia="Times New Roman" w:hAnsi="Times New Roman"/>
          <w:sz w:val="23"/>
          <w:szCs w:val="23"/>
          <w:color w:val="auto"/>
          <w:vertAlign w:val="superscript"/>
        </w:rPr>
      </w:pPr>
    </w:p>
    <w:p>
      <w:pPr>
        <w:ind w:left="580" w:right="200" w:hanging="7"/>
        <w:spacing w:after="0" w:line="196" w:lineRule="auto"/>
        <w:tabs>
          <w:tab w:leader="none" w:pos="751"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patent term extension has been granted by the U.S. Patent and Trademark Office, extending the original patent term (October 2, 2027), insofar as it covers Dupixent, to March 28, 2031.</w:t>
      </w:r>
    </w:p>
    <w:p>
      <w:pPr>
        <w:spacing w:after="0" w:line="200" w:lineRule="exact"/>
        <w:rPr>
          <w:sz w:val="20"/>
          <w:szCs w:val="20"/>
          <w:color w:val="auto"/>
        </w:rPr>
      </w:pPr>
    </w:p>
    <w:p>
      <w:pPr>
        <w:spacing w:after="0" w:line="3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00"/>
          </w:cols>
          <w:pgMar w:left="320" w:top="364"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In addition to our patent portfolio, in the United States and certain other countries, our competitive position may be enhanced due to the availability of market exclusivity under relevant law (for additional information regarding market exclusivity, see Part I, Item 1A. "Risk Factors - Risks Related to Intellectual Property and Market Exclusivity - </w:t>
      </w:r>
      <w:r>
        <w:rPr>
          <w:rFonts w:ascii="Times New Roman" w:cs="Times New Roman" w:eastAsia="Times New Roman" w:hAnsi="Times New Roman"/>
          <w:sz w:val="18"/>
          <w:szCs w:val="18"/>
          <w:i w:val="1"/>
          <w:iCs w:val="1"/>
          <w:color w:val="auto"/>
        </w:rPr>
        <w:t>Loss or limitation of patent rights, and regulatory pathways for biosimilar competition, could reduce the duration of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exclusivity for our products</w:t>
      </w:r>
      <w:r>
        <w:rPr>
          <w:rFonts w:ascii="Times New Roman" w:cs="Times New Roman" w:eastAsia="Times New Roman" w:hAnsi="Times New Roman"/>
          <w:sz w:val="18"/>
          <w:szCs w:val="18"/>
          <w:color w:val="auto"/>
        </w:rPr>
        <w:t>"). For example, in the United States, the regulatory exclusivity period for EYLEA (i.e., the period during which no biosimilar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can be approved by the FDA) extends through May 17, 2024 following the pediatric exclusivity granted by the FDA. The effect of expiration of a patent relating to a particular product also depends upon other factors, such as the nature of the market and the position of the product in it, the growth of the market, the complexities and economics of the process for manufacture of the active ingredient of the product, and the requirements of new drug provisions of the Federal Food, Drug and Cosmetic Act or similar laws and regulations in other countries.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are the nonexclusive licensee of a number of additional patents and patent applications. These include a license agreement with Bristol-Myers Squibb, E. R. Squibb &amp; Sons, L.L.C., and Ono Pharmaceutical Co., Ltd. to obtain a license under certain patents owned and/or exclusively licensed by one or more of these parties that includes the right to develop and sell Libtayo. Under the agreement, we paid royalties of 8.0% on worldwide sales of Libtayo through December 31, 2023, and are obligated to pay royalties of 2.5% from January 1, 2024 through December 31, 2026.</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seek to file and maintain trademarks around the world based on commercial activities in most jurisdictions where we have, or desire to have, a business presence for a particular product or service.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Times New Roman" w:cs="Times New Roman" w:eastAsia="Times New Roman" w:hAnsi="Times New Roman"/>
          <w:sz w:val="18"/>
          <w:szCs w:val="18"/>
          <w:i w:val="1"/>
          <w:iCs w:val="1"/>
          <w:color w:val="auto"/>
        </w:rPr>
        <w:t>We may be restricted in our development, manufacturing, and/or commercialization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 by patents or other proprietary rights of others, and could be subject to awards of damages if we are found to have infringed such patents or rights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Note 16 to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Regulation by government authorities in the United States and other countries is a significant factor in the research, development, manufacture, and marketing of our products and our product candidates. A summary of the primary areas of government regulation that are relevant to our business is provided below. For a description of material regulatory risks we face, also refer to Part I, 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Requirements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activities required before a product candidate may be marketed in the United States or elsewhere begin with preclinical tests. Preclinical tests include laboratory evaluations of, among other things, product chemistry and formulation and toxicological and pharmacological studies in animal species to assess the toxicity and dosing of the product candidate. In the United States, certain preclinical trials must comply with the FDA's Good Laboratory Practice requirements ("GLPs") and the U.S. Department of Agriculture's Animal Welfare Act. The results of these studies must be submitted to the FDA or the relevant regulatory authority outside the United States as part of an IND or other clinical trial application (as applicable), which must be reviewed by the FDA or the relevant government authority before proposed clinical testing can begin in the applicable country or jurisdiction. In the United States, unless the FDA raises concerns, the IND becomes effective 30 days following its receipt by the FDA, and the clinical trial proposed in the IND may begin. The FDA or other regulatory authorities may ask for additional data in order to begin a clinical trial. Rules that are equivalent in scope but which vary in application apply in other countries.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Approval</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of our product candidates require regulatory approval by relevant government authorities before they can be commercialized. In particular, human therapeutic products are subject to rigorous preclinical and clinical trials and other pre-market approval requirements by the FDA, European Medicines Agency ("EMA"), and regulatory authorities of other countries. The structure and substance of the FDA and other countries' pharmaceutical regulatory practices may evolve over time. The ultimate outcome and impact of such developments cannot be predicted.</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Clinical trials involve the administration of a drug to healthy human volunteers or to patients under the supervision of a qualified investigator. The conduct of clinical trials is subject to extensive regulation, including compliance with the FDA's bioresearch monitoring regulations and Good Clinical Practice requirements ("GCPs"), which establish standards for conducting, recording data from, and reporting the results of, clinical trials, and are intended to assure that the data and reported results are credible and accurate, and that the rights, safety, and well-being of study participants are protected. Clinical trials must be conducted under protocols that detail the study objectives, parameters for monitoring safety, and the efficacy criteria, if any, to be evaluated. In addition, each clinical trial must be reviewed and approved by, and conducted under the auspices of, an Institutional Review Board ("IRB") for each clinical site within the United States or, where applicable, an Ethics Committee and/or the competent authority for clinical sites outside the United States. Companies sponsoring the clinical trials, investigators, and IRBs/Ethics Committees also must comply with, as applicable, regulations and guidelines for obtaining informed consent from the study patients, following the protocol and investigational plan, adequately monitoring the clinical trial, and timely reporting of adverse events. Foreign studies conducted under an IND must meet the same requirements that apply to studies being conducted in the United States. Data from a foreign study not conducted under an IND may be submitted in support of a BLA if the study was conducted in accordance with GCPs and the FDA is able to validate the data. 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Typically, clinical testing involves a three-phase process, which may overlap or be subdivided in some cases. Phase 1 trials are usually conducted with a small number of healthy volunteers to determine the early safety profile, metabolism, and pharmacological actions of the product candidate, the side effects associated with increasing doses, and, if possible, to gain early evidence of effectiveness. Although Phase 1 trials are typically conducted in healthy human subjects, in some instances, the trial subjects are patients with the targeted disease or condition. Phase 2 clinical trials are conducted with a relatively small sample of the intended patient population to provide enough data to evaluate the preliminary safety, tolerability, and efficacy of different potential doses of the product candidate. Phase 3 clinical trials are larger trials conducted with patients with the target disease or disorder intended to gather additional information about dosage, safety, and effectiveness necessary to evaluate the drug's overall risk-benefit profile. Phase 3 data often form the core basis on which the FDA and comparable foreign regulatory authorities evaluate a product candidate's safety and effectiveness when considering the product application for regulatory approval. If concerns arise about the safety of the product candidate, the FDA or other regulatory authorities can stop clinical trials by placing them on a "clinical hold" pending receipt of additional data, which can result in a delay or termination of a clinical development program. The sponsoring company, the FDA or other regulatory authorities, or the IRB or Ethics Committee and competent authority may suspend or terminate a clinical trial at any time on various grounds, including a finding that the patients are being exposed to an unacceptable health risk.</w:t>
      </w:r>
    </w:p>
    <w:p>
      <w:pPr>
        <w:spacing w:after="0" w:line="1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results of the preclinical and clinical testing of a biologic product candidate are then submitted to the FDA in the form of a BLA for evaluation to determine whether the product candidate may be approved for commercial sale under the Public Health Service Act. When a BLA is submitted, the FDA makes an initial determination as to whether the application is sufficiently complete to be accepted for review. If the application is not, the FDA may refuse to accept the BLA for filing and request additional information. A refusal to file, which requires resubmission of the BLA with the requested additional information, delays review of the application. If the application is accepted for review, the FDA reviews the application to determine, among other things, whether a product is safe and effective for its intended use and whether the manufacturing controls are adequate to assure and preserve the product's identity, strength, quality, and purity.</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FDA performance goals generally provide for action on a BLA within 10 months of the 60-day filing date (or within 12 months of the BLA submission). That deadline can be extended by FDA under certain circumstances, including by the FDA's requests for additional information. The targeted action date can be 6 months after the 60-day filing date (or 8 months after BLA submission) for product candidates that are granted priority review designation because they are intended to treat serious or life-threatening conditions and demonstrate the potential to address unmet medical needs. The FDA has other programs to expedite development and review of product candidates that address serious or life-threatening conditions.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some BLAs,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or biologic product, the FDA</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also requires that the facilities at which the product will be manufactured or advanced through the supply chain be in compliance with current Good Manufacturing Practices, or cGMP, requirements and regulations governing, among other things, the manufacture, shipment, and storage of the product. The FDA will typically inspect such facilities for compliance with these requirements and regulations prior to approving a BLA. The FDA also can audit the sponsor of the BLA to determine if the clinical studies were conducted in compliance with current GCPs. After review of a BLA, the FDA may grant marketing approval, request additional information, or issue a CRL outlining the deficiencies in the submission. The CRL may require additional testing or information, including additional preclinical or clinical data, for the FDA to reconsider the application. Even if such additional information and data are submitted, the FDA may decide that the BLA still does not meet the standards for approval. Data from clinical trials are not always conclusive and the FDA may interpret data differently than the sponsor. If FDA grants approval, an approval letter authorizes commercial marketing of the product candidate with specific prescribing information for specific indications.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early-stage clinical trials may not predict long-term safety or efficacy of our compounds when they are tested or used more broadly in humans. Additionally, as a condition of approval, the FDA may impose restrictions that could affect the commercial prospects of a product and increase our costs, such as a Risk Evaluation and Mitigation Strategy ("REMS") to mitigate certain specific safety risks, and/or post-approval commitments or requirements to conduct additional clinical trials or non-clinical studies or to conduct surveillance programs to monitor the product's effects.</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Approval of a product candidate by comparable regulatory authorities in countries outside the United States is generally required prior to commencement of marketing of the product in those countries. The approval procedure varies among countries and may involve different or additional testing, and the time required to obtain such approval may differ from that required for FDA approval. Approval by a regulatory authority in one jurisdiction does not guarantee approval by comparable regulatory authorities in other jurisdictions. In the European Economic Area ("EEA") (which is comprised of 27 Member States of the EU plus Norway, Iceland, and Liechtenstein), medicinal products can only be commercialized after a related Marketing Authorization has been granted. Marketing authorization for biologics must be obtained through a centralized procedure, which allows a company to submit a single application to the EMA. If a related positive opinion is provided by the EMA, the EC will grant a centralized marketing authorization that is valid in the EEA.</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many jurisdictions, pediatric data or an approved Pediatric Investigation Plan ("PIP"), or a waiver of such studies, is required to have been approved by regulatory authorities prior to submission of a marketing application. In some EU countries, we may also be required to have an approved PIP before we can begin enrolling pediatric patients in a clinical trial. In the United States, under the Pediatric Research Equity Act ("PREA"), certain applications for approval must include an assessment, generally based on clinical study data, of the safety and effectiveness of the subject product in relevant pediatric populations, unless a waiver or deferral is granted. However, a pediatric study plan is not required for orphan products and the timing of the submission is subject to negotiation with FDA, but such plan cannot be submitted later than submission of a BLA.</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Various federal, state, and foreign statutes and regulations also govern or influence the research, manufacture, safety, labeling, storage, record keeping, marketing, transport, and other aspects of developing and commercializing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For additional information regarding U.S. and foreign regulatory approval processes and requirements, see Part I, Item 1A. "Risk Factors -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 time-consuming, and highly uncertain. If we 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Regulation</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regulatory authorities in other jurisdictions may also require us to conduct additional clinical trials or to make certain changes related to a product after granting approval of the product. The FDA has the explicit authority to require postmarketing studies (also referred to as post-approval or Phase 4 studies) and labeling changes based on new safety information, and may impose and enforce a REMS at the time of approval or after the product is on the market. Post-approval modifications to</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drug, such as changes in indications, labeling, or manufacturing processes or facilities, may require a sponsor to develop additional data or conduct additional preclinical studies or clinical trials, to be submitted in a new or supplemental BLA, which would require FDA approval.</w:t>
      </w:r>
    </w:p>
    <w:p>
      <w:pPr>
        <w:spacing w:after="0" w:line="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Following approval, the FDA and comparable regulatory authorities outside the United States regulate the marketing and promotion of our products, which must comply with the Food, Drug, and Cosmetic Act and applicable FDA regulations and standards thereunder and equivalent foreign laws. The review of promotional activities by the FDA and comparable regulatory authorities outside the United States includes, but is not limited to, healthcare provider-directed and direct-to-consumer advertising, communications regarding unapproved uses, industry-sponsored scientific and educational activities, promotional activities involving the Internet, and sales representatives' communications. FDA and comparable foreign regulatory authorities' regulations impose restrictions on manufacturers' communications regarding unapproved uses, but under certain conditions manufacturers may engage in non-promotional, balanced, scientific communication regarding such use. Failure to comply with applicable FDA and comparable foreign regulatory authorities' requirements and restrictions in this area may subject a company to adverse publicity and enforcement action by the FDA, the Department of Justice, or the Office of the Inspector General of the Department of Health and Human Services, as well as state authorities and comparable regulatory authorities outside the United States. This could subject a company to a range of penalties that could have a significant commercial impact, including civil and criminal fines and agreements that materially restrict the manner in which a company promotes or distributes a drug. See Part I, Item 1A. "Risk Factors - Other Regulatory and Litigation Risks - </w:t>
      </w:r>
      <w:r>
        <w:rPr>
          <w:rFonts w:ascii="Times New Roman" w:cs="Times New Roman" w:eastAsia="Times New Roman" w:hAnsi="Times New Roman"/>
          <w:sz w:val="18"/>
          <w:szCs w:val="18"/>
          <w:i w:val="1"/>
          <w:iCs w:val="1"/>
          <w:color w:val="auto"/>
        </w:rPr>
        <w:t>Our business activities have been, and may in the future be, challenged under U.S. federal or state and foreign healthcare laws, which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us to civil or criminal proceedings, investigations, or penalties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Adverse-event reporting and submission of periodic reports are required following marketing approval. The FDA requires BLA holders to employ a system for obtaining and reviewing safety information, adverse events, and product complaints associated with each drug and to submit safety reports to the FDA, with expedited reporting timelines in certain situations. Based on new safety information after approval, the FDA can, among other things, mandate product labeling changes, require new post-marketing studies, impose or modify a risk evaluation and mitigation strategy for the product, or suspend or withdraw approval of the product. We may be subject to audits by the FDA and other regulatory authorities to ensure that we are complying with the applicable requirements. Rules that are equivalent in scope but which vary in application apply in countries outside the United States in which we conduct clinical trials.</w:t>
      </w:r>
    </w:p>
    <w:p>
      <w:pPr>
        <w:spacing w:after="0" w:line="1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holder of an EU marketing authorization for a medicinal product must also comply with the EU's pharmacovigilance legislation. This includes requirements to conduct pharmacovigilance, or the assessment and monitoring of the safety of medicinal products. Marketing authorization holders are required to maintain a Pharmacovigilance System Master File ("PSMF"), which supports and documents the compliance of the marketing authorization holder with the requirements of EU pharmacovigilance legislation. Marketing authorization holders are also required to have a Qualified Person for Pharmacovigilance ("QPPV"), who, among other things, maintains the PSMF. A QPPV must reside in the EEA and must also prepare pharmacovigilance reports, respond to potential requests from competent authorities concerning pharmacovigilance on a 24 hour basis, and provide competent authorities with any other information that may be relevant to the safety of the medicinal product in accordance with Good Pharmacovigilance Practices.</w:t>
      </w:r>
    </w:p>
    <w:p>
      <w:pPr>
        <w:spacing w:after="0" w:line="1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EC can also require marketing authorization holders to conduct post-authorization safety and/or efficacy studies. A post-authorization safety study ("PASS") is a study that is carried out after a medicinal product has been authorized to obtain further information on a medicinal product's safety, or to measure the effectiveness of risk-management measures. Such studies may be clinical trials or non-interventional studies. A post-authorization efficacy study ("PAES") is a study that is carried out for complementing available efficacy data in the light of well-reasoned scientific uncertainties on aspects of the evidence of benefits that is to be or only can be addressed post-authorization. The EC may, in particular, impose a PASS and/or PAES on marketing authorization holders when a marketing authorization is granted upon conditions. The EC may grant conditional marketing authorizations in the interest of public health, when there is less comprehensive clinical data available than would be required, if the EC considers that the benefit of immediate availability may outweigh the risk that the absence of the required clinical data poses.</w:t>
      </w:r>
    </w:p>
    <w:p>
      <w:pPr>
        <w:spacing w:after="0" w:line="1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we and our third-party suppliers are required to maintain compliance with cGMP, and are subject to inspections by the FDA or comparable regulatory authorities in other jurisdictions to confirm such compliance. Changes of suppliers or modifications of methods of manufacturing may require amending our application(s) to the FDA or such comparable foreign regulatory authorities and acceptance of the change by the FDA or such comparable foreign regulatory authorities prior to release of product(s). FDA regulations also require investigation and correction of any deviations from cGMP and impose reporting and documentation requirements upon us and our third-party suppliers. Prescription drug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properly handle suspect and illegitimate products. We may also be subject to state regulations related to the manufacturing and distribution of our products.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Failure to comply with these laws, regulations, and conditions of product approval may lead the FDA and comparable regulatory authorities in other jurisdictions to take regulatory action or seek sanctions, including fines, issuance of warning letters, civil penalties, injunctions, suspension of manufacturing operations, operating restrictions, withdrawal of FDA approval of a product, seizure or recall of products, and criminal prosecution.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and Reimbursement</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Sales in the United States of our marketed products are dependent, in large part, on the availability and extent of reimbursement from third-party payors, including private payor healthcare and insurance programs, health maintenance organizations, pharmacy benefit management companies, and government programs such as Medicare and Medicaid. Sales of our marketed products in other countries are dependent, in large part, on coverage and reimbursement mechanisms and programs administered by health authorities in those countries. See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Changes to product reimbursement and coverage policies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practices may materially harm our business, prospects, operating results, and financial condition.</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participate in, and have certain price reporting obligations to, the Medicaid Drug Rebate program, state Medicaid supplemental rebate program(s), and other governmental pricing programs. We also have obligations to report the average sales price for certain drugs to the Medicare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for our drugs under Medicaid and Part B of the Medicare program.</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low-income and disabled beneficiaries. Medicaid rebates are based on pricing data reported by us on a monthly and quarterly basis to the Centers for Medicare &amp; Medicaid Services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average manufacturer price increases more than inflation (measured by reference to the Consumer Price Index - Urban). Until December 31, 2023, the rebate was capped at 100 percent of the average manufacturer price, but effective January 1, 2024, this cap on the rebate has been removed, and the rebate liability of manufacturers could increase accordingly.</w:t>
      </w:r>
    </w:p>
    <w:p>
      <w:pPr>
        <w:spacing w:after="0" w:line="124" w:lineRule="exact"/>
        <w:rPr>
          <w:sz w:val="20"/>
          <w:szCs w:val="20"/>
          <w:color w:val="auto"/>
        </w:rPr>
      </w:pPr>
    </w:p>
    <w:p>
      <w:pPr>
        <w:jc w:val="both"/>
        <w:spacing w:after="0" w:line="214" w:lineRule="exact"/>
        <w:rPr>
          <w:sz w:val="20"/>
          <w:szCs w:val="20"/>
          <w:color w:val="auto"/>
        </w:rPr>
      </w:pPr>
      <w:r>
        <w:rPr>
          <w:rFonts w:ascii="Times New Roman" w:cs="Times New Roman" w:eastAsia="Times New Roman" w:hAnsi="Times New Roman"/>
          <w:sz w:val="18"/>
          <w:szCs w:val="18"/>
          <w:color w:val="auto"/>
        </w:rPr>
        <w:t>If we become aware that our Medicaid reporting for a prior quarter was incorrect, or has changed as a result of recalculation of the pricing data, we are obligated to resubmit the corrected data for up to three years after those data originally were due, which revisions could affect our rebate liability for prior quarters. If we fail to pay the required rebate amount or report pricing data on a timely basis, we may be subject to civil monetary penalties and/or termination of our Medicaid Drug Rebate program agreement, in which case federal payments may not be available under Medicaid or Medicare Part B for our covered outpatient drugs. The federal Patient Protection and Affordable Care Act (the "PPACA") made significant changes to the Medicaid Drug Rebate program, and thereafter CMS issued a final regulation to implement the changes to the Medicaid Drug Rebate program under the PPACA. CMS has since modified Medicaid Drug Rebate program regulations to, among other things, permit reporting multiple best price figures with regard to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purchasing arrangements and provide definitions for "line extension," "new formulation," and related terms with the practical effect of expanding the scope of drugs considered to be line extensions.</w:t>
      </w:r>
    </w:p>
    <w:p>
      <w:pPr>
        <w:spacing w:after="0" w:line="11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report average sales price information to CMS on a quarterly basis. The manufacturer-submitted information may be used by CMS to calculate Medicare payment rates. 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Further, the Inflation Reduction Act ("IRA") has established a Medicare Part B inflation rebate scheme under which, generally speaking, manufacturers owe rebates if the average sales price of a Part B drug increases faster than the pace of inflation. Failure to timely pay a Part B inflation rebate is subject to a civil monetary penalty.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IRA also created a drug price negotiation program requiring the government to set prices for select high-expenditure drugs covered under Medicare Parts B and D. Starting in 2023 and 2026, the government is authorized to select Part D and Part B drugs, respectively, for inclusion in the drug price negotiation program, with established prices to go into effect for selected Part D drugs in 2026 and for selected Part B drugs in 2028, in each case absent certain disqualifying events. Failure to comply with requirements under the drug price negotiation program is subject to an excise tax and a civil monetary penalty. This or any other legislative change could impact the market conditions for our products. See Part 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Changes to product reimbursement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coverage policies and practices may materially harm our business, prospects, operating results, and financial condition.</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pricing or other information to the government, if we are found to have made a misrepresentation in the reporting of our average sales price, or if we fail to submit the required data on a timely basis. Such conduct also could be grounds for CMS to terminate our Medicaid drug rebate agreement, in which case federal payments may not be available under Medicaid or Medicare Part B for our covered outpatient drugs.</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PPACA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HRSA issued a final regulation regarding the calculation of the 340B ceiling price and the imposition of civil monetary penalties on manufacturers that knowingly and intentionally overcharge covered entities. If we are found to have knowingly and intentionally charged 340B covered entities more than the statutorily mandated ceiling price, we could be subject to significant civil monetary penalties and/or such failure also could be grounds for HRSA to terminate our agreement to participate in the 340B program, in which case our covered outpatient drugs would no longer be eligible for federal payment under Medicaid or Medicare Part B. It is currently unclear how HRSA will apply its enforcement authority under this regulation. Moreover, HRSA has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On November 30, 2022, HRSA issued a notice of proposed rulemaking that proposes several changes to the ADR process; and, following the solicitation of public comments, in October 2023 HRSA submitted a final version of the rule to the White House Office of Management and Budget for review. HRSA also implemented a price reporting system under which we are required to report our 340B ceiling prices to HRSA on a quarterly basis, which then publishes those prices to 340B covered entities.</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order to be eligible to have our products paid for with federal funds under the Medicaid and Medicare Part B programs and purchased by certain federal agencies and grantees, we participate in the U.S. Department of Veterans Affairs ("VA") Federal Supply Schedule ("FSS") pricing program. FSS participation is required for our products to be purchased by the VA, Department of Defense ("DoD"), Coast Guard, and Public Health Service ("PHS").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We also participate in the Tricare Retail Pharmacy Program, under which we pay quarterly rebates to DoD for prescriptions of our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Medicare Part D provides coverage to enrolled Medicare patients for self-administered drugs (i.e.,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discounts. In addition, manufacturers, including us, are required to provide to CMS a 70% discount on brand name prescription drugs utilized by Medicare Part D beneficiaries when those beneficiaries are in the coverage gap phase of the Part D benefit design. The IRA includes a sunset provision with respect to the coverage gap discount program starting in 2025 and replaces it with a new manufacturer discount program. In addition, the IRA has established a Medicare Part D inflation rebate scheme under which, generally speaking, manufacturers will owe additional rebates if the average manufacturer price of a Part D drug increases faster than the pace of inflation. Failure to timely pay a Part D inflation rebate or otherwise comply with obligations under the Medicare Part D inflation rebate scheme is subject to a civil monetary penalty.</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Private payor healthcare and insurance providers, health maintenance organizations,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copayment/coinsurance. These payors may not cover or adequately reimburse for use of our products or may do so at levels that disadvantage them relative to competitive products.</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We are subject to health care "fraud and abuse" laws, such as the federal civil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Federal false claims laws prohibit any person from knowingly presenting, or causing to be presented, a false claim for payment of government funds, or knowingly making, or causing to be made, a false statement to get a false claim paid. See Part I, Item 1A. "Risk Factors - Other Regulatory and Litigation Risks -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activities have been, and may in the future be, challenged under U.S. federal or state and foreign healthcare laws, which may subject us to civil or criminal proceedings, investigations, or penalties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 xml:space="preserve">We are subject to the Foreign Corrupt Practices Act, or FCPA, and similar anti-bribery or anti-corruption laws, regulations or rules of other countries in which we operate, including the U.K. Bribery Act. See Part I, Item 1A. "Risk Factors - Other Regulatory and Litigation Risks - </w:t>
      </w:r>
      <w:r>
        <w:rPr>
          <w:rFonts w:ascii="Times New Roman" w:cs="Times New Roman" w:eastAsia="Times New Roman" w:hAnsi="Times New Roman"/>
          <w:sz w:val="17"/>
          <w:szCs w:val="17"/>
          <w:i w:val="1"/>
          <w:iCs w:val="1"/>
          <w:color w:val="auto"/>
        </w:rPr>
        <w:t>Risks from the improper conduct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employees, agents, contractors, or collaborators could adversely affect our reputation and our business, prospects, operating results, and financial condition</w:t>
      </w:r>
      <w:r>
        <w:rPr>
          <w:rFonts w:ascii="Times New Roman" w:cs="Times New Roman" w:eastAsia="Times New Roman" w:hAnsi="Times New Roman"/>
          <w:sz w:val="17"/>
          <w:szCs w:val="17"/>
          <w:color w:val="auto"/>
        </w:rPr>
        <w:t>."</w:t>
      </w:r>
    </w:p>
    <w:p>
      <w:pPr>
        <w:spacing w:after="0" w:line="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the United States, there are numerous federal and state laws and regulations governing data privacy of personal data and the collection, use, disclosure, and protection of health data, genetic data, consumer data, and children's data. Such laws and regulations include the Health Insurance Portability and Accountability Act of 1996 and its implementing regulations (collectively, "HIPAA"), as well as state data breach notification laws, state health information and/or genetic privacy laws, and federal and state consumer protection laws (such as Section 5 of the Federal Trade Commission Act (the "FTC Act") and the California Consumer Privacy Act (the "CCPA")). Many of these laws differ from each other in significant ways and have different effects. Many of the state laws enable a state attorney general to bring actions and provide private rights of action to consumers as enforcement mechanisms. There is also heightened sensitivity around certain types of health data, which may be subject to additional protections. The landscape of federal and state laws regulating personal data is constantly evolving. Failure to comply with these laws and regulations could result in government enforcement actions and create liability for us (which could include civil and/or criminal penalties), private litigation, and/or adverse publicity. Federal regulators, state attorneys general, and plaintiffs' attorneys have been active in this space.</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HIPAA imposes privacy and security obligations on covered entity health care providers, health plans, and health care clearinghouses, as well as their "business associates" – certain persons or covered entities that create, receive, maintain, or transmit protected health information ("PHI") in connection with providing a specified service or performing a function on behalf of a covered entity. Most health care providers, including research institutions from which we or our collaborators obtain clinical trial data, are subject to HIPAA. Although we are not directly subject to HIPAA other than with respect to providing certain employee benefits, we could potentially be subject to criminal penalties if we, our affiliates, or our agents knowingly receive PHI maintained by a HIPAA-covered entity in a manner that is not permitted under HIPAA.</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Federal Trade Commission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 stronger safeguards. With respect to privacy, the FTC also sets expectations that companies honor the privacy promises made to individuals about how the company handles consumers' personal information; and any failure to honor promises, such as the statements made in a privacy policy or on a website, may also constitute unfair or deceptive acts or practices in violation of the FTC Act. The FTC has the power to enforce promises as it interprets them, and events that we cannot fully control, such as data breaches, may result in FTC enforcement. Enforcement by the FTC under the FTC Act can result in civil penalties or enforcement actions.</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To the extent we collect California resident personal data, we are also subject to the CCPA. The CCPA includes certain transparency requirements and grants California residents several rights with regard to their personal data. In addition,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went into effect on January 1, 2023. Failure to comply with such laws may result in, among other things, significant civil penalties and injunctive relief, or statutory or actual damages. In addition, California residents have the right to bring a private right of action in connection with data privacy incidents involving certain elements of personal data. These claims may result in significant liability and damages. Similarly, there are a number of legislative proposals in the United States, at both the federal and state level, that could impose new obligations or limitations in the area of consumer protection. Several additional state consumer privacy laws went into effect in 2023 and many other consumer privacy laws are expected to come into effect in the near future that have or will impose new obligations or limitations in areas affecting our business. We may be subject to fines, penalties, or private actions in the event of non-compliance with such laws.</w:t>
      </w:r>
    </w:p>
    <w:p>
      <w:pPr>
        <w:spacing w:after="0" w:line="10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Outside the United States, our clinical trial programs, research collaborations, and other processing activities implicate international data protection laws, including the EU General Data Protection Regulation 2016/679 ("GDPR"). The GDPR has increased our responsibility and liability in relation to the processing of personal data of individuals located in the EU. The GDPR, together with the national legislation of the EU member states governing the processing of personal data, impose strict obligations and restrictions on the ability to collect, analyze, and transfer personal data, including health data and samples from clinical trials and adverse event reporting. In particular, these obligations and restrictions may concern the consent of the individuals to whom the personal data relate, the information provided to the individuals, the sharing of personal data with third parties, the transfer of personal data out of the EU, security breach notifications, security and confidentiality of the personal data and imposition of substantial potential fines for violations of the data protection obligations. In 2021, the European Commission published new standard contractual clauses required to be incorporated into new and existing agreements in order to continue to lawfully transfer personal data outside the EU. Different EU member states, as well as the United Kingdom and Switzerland, have promulgated national privacy laws that impose additional requirements, which add to the complexity of processing and transferring EU personal data. In October 2022, the United States issued an executive order to implement the EU-U.S. Data Privacy Framework, for which the European Commission adopted an adequacy decision in July 2023 concluding that personal data can flow freely from the EU to companies in the United States that participate in the EU-U.S. Data Privacy Framework.</w:t>
      </w:r>
    </w:p>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Some countries outside the EU have reacted to the GDPR by promulgating and enacting new privacy legislation that reflects similar principles and obligations on companies that operate and process their citizens' personal data. Any failure or perceived failure to comply with privacy-related legal obligations, or any compromise of security of personal data, may result in governmental enforcement actions, litigation, contractual indemnity claims, or restraining orders that would impact our ability to process and share data globally. As we expand our presence into new countries, we must continue to assess our privacy controls to enable the processing of personal data. Guidance on implementation and compliance practices are often updated or otherwise revised. See Part I, Item 1A. "Risk Factors - Other Regulatory and Litigation Risks - </w:t>
      </w:r>
      <w:r>
        <w:rPr>
          <w:rFonts w:ascii="Times New Roman" w:cs="Times New Roman" w:eastAsia="Times New Roman" w:hAnsi="Times New Roman"/>
          <w:sz w:val="17"/>
          <w:szCs w:val="17"/>
          <w:i w:val="1"/>
          <w:iCs w:val="1"/>
          <w:color w:val="auto"/>
        </w:rPr>
        <w:t>We face risks related to the personal data we collect, process, and share</w:t>
      </w:r>
      <w:r>
        <w:rPr>
          <w:rFonts w:ascii="Times New Roman" w:cs="Times New Roman" w:eastAsia="Times New Roman" w:hAnsi="Times New Roman"/>
          <w:sz w:val="17"/>
          <w:szCs w:val="17"/>
          <w:color w:val="auto"/>
        </w:rPr>
        <w:t>."</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foregoing, our present business is, and our future business may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manage our business as one segment which includes all activities related to the discovery, development, and commercialization of medicines for serious diseases. For financial information related to our one segment, see our Consolidated Financial Statements and related notes.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compete in the highly competitive biotechnology and pharmaceuticals industries. Attracting, developing, and retaining skilled and experienced employees in research and development, manufacturing, sales and marketing, and other positions is crucial to our ability to compete effectively. Our ability to recruit and retain such employees depends on a number of factors, including our corporate culture and work environment, informed by our values and behaviors (which we call The Regeneron Way) and our philosophy of "Doing Well by Doing Good"; talent development and career opportunities; and compensation and benefits.</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Integrity is a core value at Regeneron. Both the Company and each of our employees have a responsibility to act ethically and with integrity at all times. Our Code of Business Conduct and Ethics brings together Regeneron's key policy principles and establishes the Company's expectations for all of our employees to act in accordance with applicable laws, rules, and regulations.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Profile</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December 31, 2023, we had 13,450 full-time employees, consisting of 10,875 employed in the United States, 1,939 employed in Ireland, and 636 employed in other countries (primarily in the United Kingdom, Japan, and Germany). Of these employees, 2,393 were within our research and preclinical development organization, 2,002 were within our global clinical development and regulatory affairs organization, and 6,124 were within our industrial operations and product supply organization. Company-wide, over 1,500 of our full-time employees hold a Ph.D. and/or M.D. We also supplement our workforce with independent contractors, contingent workers, and temporary workers, as needed. None of our employees are represented by a labor union, and our management considers its relations with our employees to be good.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employees represent a broad range of backgrounds, just like the people who take our medicines, and bring a wide array of perspectives and experiences that have helped us achieve our leadership position in the biotechnology and pharmaceuticals industries and the global marketplace. A key component of our culture is our commitment to diversity, equity, and inclusion ("DEI"). We believe this commitment allows us to better drive innovation and achieve our mission to repeatedly bring important new medicines to patients with serious diseases. Our strategy is rooted in the understanding that DEI drives better science and that better science drives a better world. We believe that by fostering an inclusive culture and bringing diverse voices and perspectives to the discourse, we improve our ability to fulfill our mission. We empower employee-led cross-functional resource groups, functional/site-level DEI councils, and other interest groups, who connect around a common passion to build a culture of inclusion and collaboration. In 2023, we expanded our mentoring program and inclusive leadership workshops for senior leaders and new managers, focusing on our diverse talent base to increase leadership skills, connection, and visibility of underrepresented talent.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While we are proud of our workforce diversity representation shown in the table below, we seek to continuously improve in this area. In April 2020, we announced our 2025 global responsibility goals, including a commitment to increase diversity in leadership and foster inclusion. Making progress toward this goal, since then we hired our Chief DEI Officer; launched a DEI strategy focused on creating a better workplace, better science, and better world; and implemented a new governance model that includes both an executive DEI council and a DEI leadership council. These councils are comprised of senior leaders who provide oversight and guidance on our DEI efforts and support the execution of our DEI strategy. In order to better understand our employees' perspectives, we also measure inclusion and belonging as part of our annual employee engagement survey. Our board of directors receives a detailed update on our DEI efforts at least once a year and continues to monitor our progress.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Workforce Diversity Representation</w:t>
      </w:r>
      <w:r>
        <w:rPr>
          <w:rFonts w:ascii="Times New Roman" w:cs="Times New Roman" w:eastAsia="Times New Roman" w:hAnsi="Times New Roman"/>
          <w:sz w:val="22"/>
          <w:szCs w:val="22"/>
          <w:b w:val="1"/>
          <w:bCs w:val="1"/>
          <w:color w:val="auto"/>
          <w:vertAlign w:val="superscript"/>
        </w:rPr>
        <w:t>*</w:t>
      </w:r>
    </w:p>
    <w:tbl>
      <w:tblPr>
        <w:tblLayout w:type="fixed"/>
        <w:tblInd w:w="2960" w:type="dxa"/>
        <w:tblCellMar>
          <w:top w:w="0" w:type="dxa"/>
          <w:left w:w="0" w:type="dxa"/>
          <w:bottom w:w="0" w:type="dxa"/>
          <w:right w:w="0" w:type="dxa"/>
        </w:tblCellMar>
      </w:tblPr>
      <w:tr>
        <w:trPr>
          <w:trHeight w:val="245"/>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Female Representation (Global)</w:t>
            </w:r>
          </w:p>
        </w:tc>
        <w:tc>
          <w:tcPr>
            <w:tcW w:w="1560" w:type="dxa"/>
            <w:vAlign w:val="bottom"/>
            <w:tcBorders>
              <w:top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49.9%</w:t>
            </w:r>
          </w:p>
        </w:tc>
      </w:tr>
      <w:tr>
        <w:trPr>
          <w:trHeight w:val="30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People of Color Representation (U.S. Only)</w:t>
            </w:r>
            <w:r>
              <w:rPr>
                <w:rFonts w:ascii="Times New Roman" w:cs="Times New Roman" w:eastAsia="Times New Roman" w:hAnsi="Times New Roman"/>
                <w:sz w:val="22"/>
                <w:szCs w:val="22"/>
                <w:color w:val="auto"/>
                <w:vertAlign w:val="superscript"/>
              </w:rPr>
              <w:t>**</w:t>
            </w:r>
          </w:p>
        </w:tc>
        <w:tc>
          <w:tcPr>
            <w:tcW w:w="15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30.5%</w:t>
            </w:r>
          </w:p>
        </w:tc>
      </w:tr>
    </w:tbl>
    <w:p>
      <w:pPr>
        <w:ind w:left="3220" w:hanging="89"/>
        <w:spacing w:after="0" w:line="222" w:lineRule="auto"/>
        <w:tabs>
          <w:tab w:leader="none" w:pos="32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Based on full-time employees as of December 31, 2023</w:t>
      </w:r>
    </w:p>
    <w:p>
      <w:pPr>
        <w:spacing w:after="0" w:line="44" w:lineRule="exact"/>
        <w:rPr>
          <w:sz w:val="20"/>
          <w:szCs w:val="20"/>
          <w:color w:val="auto"/>
        </w:rPr>
      </w:pPr>
    </w:p>
    <w:p>
      <w:pPr>
        <w:ind w:left="3140" w:right="2980" w:hanging="9"/>
        <w:spacing w:after="0" w:line="224" w:lineRule="auto"/>
        <w:tabs>
          <w:tab w:leader="none" w:pos="3294"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Represents the percentage of our full-time employees in the United States that self-identified as belonging to a racial or ethnic minority group. The denominator used in this calculation includes employees who did not disclose information related to their race or ethnicity. Excluding those that did not disclose such information, the percentage shown in this table would be 34.9%.</w:t>
      </w:r>
    </w:p>
    <w:p>
      <w:pPr>
        <w:spacing w:after="0" w:line="2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Externally, we support DEI efforts in our community, including by supporting young scientific talent in underrepresented communities. For example, as part of our $100 million, 10-year commitment to support the Regeneron Science Talent Search ("STS"), we allocate $3.1 million annually to fund the Society for Science’s science, technology, engineering, and math ("STEM") outreach and equity programs. We have also been the title sponsor of the Regeneron International Science and Engineering Fair ("ISEF") since 2019 and recently announced an additional $34 million, 5-year commitment. In 2023, the Together for CHANGE</w:t>
      </w:r>
      <w:r>
        <w:rPr>
          <w:rFonts w:ascii="Times New Roman" w:cs="Times New Roman" w:eastAsia="Times New Roman" w:hAnsi="Times New Roman"/>
          <w:sz w:val="10"/>
          <w:szCs w:val="10"/>
          <w:color w:val="auto"/>
        </w:rPr>
        <w:t>TM</w:t>
      </w:r>
      <w:r>
        <w:rPr>
          <w:rFonts w:ascii="Times New Roman" w:cs="Times New Roman" w:eastAsia="Times New Roman" w:hAnsi="Times New Roman"/>
          <w:sz w:val="18"/>
          <w:szCs w:val="18"/>
          <w:color w:val="auto"/>
        </w:rPr>
        <w:t xml:space="preserve"> ("Changing Healthcare for People of African Ancestry through InterNational Genomics &amp; Equity") initiative was launched by a coalition of Meharry Medical College, the Regeneron Genetics Center, AstraZeneca, Novo Nordisk, and Roche to improve health outcomes for people of African ancestry and enhance representation in STEM careers. In addition, we have developed a STEM pilot program with post-primary-school and high-school students in the New York State Capital Region and Limerick, Ireland that aspires to build long-term relationships with students from disadvantaged socio-economic groups, to encourage and support them in their studies, to inspire them to attend college, and, ultimately, to build a deeper more diverse talent pipeline. We also continue to take steps to further integrate diversity considerations into the design and selection of sites for our clinical studies to make sure they reflect the diversity of patients with the diseases under investigation.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Wellness, Health, and Safety</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wellbeing of our employees is a primary focus as we believe that the most productive people are those who are at their best, both physically and mentally. We provide several programs related to employee health and wellness, including onsite amenities and programs such as meditation and prayer rooms and fitness centers. We also prioritize mental health initiatives and have taken further action to reduce or remove barriers to quality mental healthcare for our employees and their family members. In addition, we provide support for work-life balance through flex-time, remote working arrangements, child and elder care, and paid parental leave, among others.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Occupational health and safety is critical to our success. We are committed to meeting or exceeding all environmental, health, safety ("EHS") and security regulations and have a range of programs, plans, and procedures to ensure the safety of all people who come to work at Regeneron. In addition, our 2025 global responsibility goals include a commitment to focus on workplace injury prevention in our drive toward zero incidents.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Growth and Development</w:t>
      </w:r>
    </w:p>
    <w:p>
      <w:pPr>
        <w:spacing w:after="0" w:line="1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invest significant resources to develop talent with the right capabilities to deliver the growth and innovation needed to support our continued success. Our Talent department is dedicated to promoting individual, leader, team, and organizational development through a number of tools and services. We offer a variety of professional development courses for our employees and support employee continuing education, including through educational reimbursement and tuition forgiveness programs. In addition, we continue to invest in our current and future leaders through a number of leadership development courses and programs and feedback and coaching opportunities. In 2023, over 25% of job openings were filled by existing employees who were seeking career development opportunities.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believe engaging our employees, from their first day and throughout their career, is key to fostering new ideas and driving commitment and productivity. We communicate frequently and transparently with our employees through a variety of communication methods, including video and written communications, company forums and summits, annual engagement surveys, and pulse surveys.</w:t>
      </w:r>
    </w:p>
    <w:p>
      <w:pPr>
        <w:spacing w:after="0" w:line="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are also committed to fostering employee volunteerism to reach our 2025 global responsibility goal of driving employee volunteer levels above national standards. Employees are encouraged and empowered to support organizations and causes that are important to them including through, among other things, our matching gift program, volunteer-time-off policy, and our annual company-wide service event, </w:t>
      </w:r>
      <w:r>
        <w:rPr>
          <w:rFonts w:ascii="Times New Roman" w:cs="Times New Roman" w:eastAsia="Times New Roman" w:hAnsi="Times New Roman"/>
          <w:sz w:val="18"/>
          <w:szCs w:val="18"/>
          <w:i w:val="1"/>
          <w:iCs w:val="1"/>
          <w:color w:val="auto"/>
        </w:rPr>
        <w:t>Day for Doing Good</w:t>
      </w:r>
      <w:r>
        <w:rPr>
          <w:rFonts w:ascii="Times New Roman" w:cs="Times New Roman" w:eastAsia="Times New Roman" w:hAnsi="Times New Roman"/>
          <w:sz w:val="18"/>
          <w:szCs w:val="18"/>
          <w:color w:val="auto"/>
        </w:rPr>
        <w:t>. In 2023, over 7,300 employees volunteered approximately 39,600 hours, including approximately 51% of our employees who volunteered nearly 23,600 hours to approximately 230 nonprofits during our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Day for Doing Good</w:t>
      </w:r>
      <w:r>
        <w:rPr>
          <w:rFonts w:ascii="Times New Roman" w:cs="Times New Roman" w:eastAsia="Times New Roman" w:hAnsi="Times New Roman"/>
          <w:sz w:val="18"/>
          <w:szCs w:val="18"/>
          <w:color w:val="auto"/>
        </w:rPr>
        <w:t>. Additionally, through our Matching Gift Program, we matched approximately $2.4 million in employee contributions in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supporting nearly 2,000 charities. In 2023, we were named to the Civic 50 of most community-minded companies in the United States for the seventh consecutive year.</w:t>
      </w:r>
    </w:p>
    <w:p>
      <w:pPr>
        <w:spacing w:after="0" w:line="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success of our employee engagement efforts is demonstrated by our employee retention rate of 93.6% in 2023, as well as the fact that 88% of our employees who responded to our annual engagement survey said Regeneron is a great place to work. Additionally, we have placed in the top five for the past 13 years in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xml:space="preserve"> magazine’s annual "Top Employers Survey" of the global biotechnology and pharmaceutical industry.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committed to rewarding and supporting our employees in order to continue to attract and retain top talent. We believe this commitment supports our core strategy of creating and advancing a high-quality product pipeline and delivering medicines to people in need. Employee engagement, commitment, and achievements are key drivers of pipeline success and therefore our long-term performance. The primary underpinning of our pay philosophy is to award equity-based pay to all eligible employees to ensure that when we deliver for patients and for shareholders, everyone shares in the upside growth. Our practice, therefore, has been to award initial equity grants to all new hires, in addition to our comprehensive annual equity program. Total employee compensation packages (which vary by country and region) include market-competitive pay (with the opportunity to receive above-market rewards), broad-based grants of equity-based awards, comprehensive healthcare benefits, parental leave, child and elder care support, retirement savings options, and matching contributions in connection with employee savings plans. We annually review our workforce demographic and pay equity data to track our performance and inform new initiatives. Our analysis indicates favorable performance in these areas, and we are committed to continued monitoring.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http://investor.regeneron.com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113" w:lineRule="exact"/>
        <w:rPr>
          <w:sz w:val="20"/>
          <w:szCs w:val="20"/>
          <w:color w:val="auto"/>
        </w:rPr>
      </w:pPr>
    </w:p>
    <w:p>
      <w:pPr>
        <w:ind w:right="1140"/>
        <w:spacing w:after="0" w:line="407" w:lineRule="auto"/>
        <w:rPr>
          <w:sz w:val="20"/>
          <w:szCs w:val="20"/>
          <w:color w:val="auto"/>
        </w:rPr>
      </w:pPr>
      <w:r>
        <w:rPr>
          <w:rFonts w:ascii="Times New Roman" w:cs="Times New Roman" w:eastAsia="Times New Roman" w:hAnsi="Times New Roman"/>
          <w:sz w:val="18"/>
          <w:szCs w:val="18"/>
          <w:color w:val="auto"/>
        </w:rPr>
        <w:t xml:space="preserve">The information contained on our websites and social media channels is not included as a part of, or incorporated by reference into, this report. </w:t>
      </w:r>
      <w:r>
        <w:rPr>
          <w:rFonts w:ascii="Times New Roman" w:cs="Times New Roman" w:eastAsia="Times New Roman" w:hAnsi="Times New Roman"/>
          <w:sz w:val="18"/>
          <w:szCs w:val="18"/>
          <w:b w:val="1"/>
          <w:bCs w:val="1"/>
          <w:color w:val="auto"/>
        </w:rPr>
        <w:t>Item 1A. Risk Factors</w:t>
      </w:r>
    </w:p>
    <w:p>
      <w:pPr>
        <w:jc w:val="both"/>
        <w:spacing w:after="0" w:line="248"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SEC before making an investment decision regarding Regeneron.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53"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EYLEA HD, and Dupixent.</w:t>
      </w:r>
    </w:p>
    <w:p>
      <w:pPr>
        <w:spacing w:after="0" w:line="24"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coverage and reimbursement from third-party payors, including private payors and government programs such as Medicare and Medicaid.</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reimbursement and coverage policies and practices could change due to various factors such as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established or cost effective than, our products or product candidates.</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and outside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40"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4"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53" w:lineRule="exact"/>
        <w:rPr>
          <w:sz w:val="20"/>
          <w:szCs w:val="20"/>
          <w:color w:val="auto"/>
        </w:rPr>
      </w:pPr>
    </w:p>
    <w:p>
      <w:pPr>
        <w:ind w:left="640" w:hanging="316"/>
        <w:spacing w:after="0" w:line="257"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40" w:hanging="316"/>
        <w:spacing w:after="0" w:line="245"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could reduce the duration of market exclusivity for our products, including EYLEA and EYLEA HD.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53" w:lineRule="exact"/>
        <w:rPr>
          <w:sz w:val="20"/>
          <w:szCs w:val="20"/>
          <w:color w:val="auto"/>
        </w:rPr>
      </w:pPr>
    </w:p>
    <w:p>
      <w:pPr>
        <w:jc w:val="both"/>
        <w:ind w:left="640" w:hanging="316"/>
        <w:spacing w:after="0" w:line="251"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will be costly and we may be unsuccessful in doing so in a timely manner, which could delay or prevent the launch and successful commercialization of our products approved for marketing and could jeopardize our clinical development programs.</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2"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8" w:lineRule="exact"/>
        <w:rPr>
          <w:sz w:val="20"/>
          <w:szCs w:val="20"/>
          <w:color w:val="auto"/>
        </w:rPr>
      </w:pPr>
    </w:p>
    <w:p>
      <w:pPr>
        <w:jc w:val="both"/>
        <w:ind w:left="640" w:hanging="316"/>
        <w:spacing w:after="0" w:line="259"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40" w:lineRule="exact"/>
        <w:rPr>
          <w:sz w:val="20"/>
          <w:szCs w:val="20"/>
          <w:color w:val="auto"/>
        </w:rPr>
      </w:pPr>
    </w:p>
    <w:p>
      <w:pPr>
        <w:ind w:left="640" w:hanging="316"/>
        <w:spacing w:after="0" w:line="25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40" w:hanging="316"/>
        <w:spacing w:after="0" w:line="24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the healthcare industry could adversely affect our business.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and risks associated with our operations outside the United States could adversely affect our business.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53" w:lineRule="exact"/>
        <w:rPr>
          <w:sz w:val="20"/>
          <w:szCs w:val="20"/>
          <w:color w:val="auto"/>
        </w:rPr>
      </w:pPr>
    </w:p>
    <w:p>
      <w:pPr>
        <w:ind w:left="640" w:hanging="316"/>
        <w:spacing w:after="0" w:line="257"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may be materially harmed.</w:t>
      </w:r>
    </w:p>
    <w:p>
      <w:pPr>
        <w:ind w:left="640" w:hanging="316"/>
        <w:spacing w:after="0" w:line="24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or failure to realize the expected benefits from such acquisitions could adversely affect our business, operating results, and financial condition.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Our Common Stock</w:t>
      </w:r>
    </w:p>
    <w:p>
      <w:pPr>
        <w:spacing w:after="0" w:line="153" w:lineRule="exact"/>
        <w:rPr>
          <w:sz w:val="20"/>
          <w:szCs w:val="20"/>
          <w:color w:val="auto"/>
        </w:rPr>
      </w:pPr>
    </w:p>
    <w:p>
      <w:pPr>
        <w:ind w:left="640" w:hanging="316"/>
        <w:spacing w:after="0" w:line="257"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key members of our senior management team, including leaders in our research, development, manufacturing, and commercial organizations.</w:t>
      </w: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outbreaks, epidemics, or pandemics (such as the COVID-19 pandemic) have adversely affected and may in the future adversely affect our business.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substantial influence over matters requiring shareholder approval and over our management.</w:t>
      </w:r>
    </w:p>
    <w:p>
      <w:pPr>
        <w:spacing w:after="0" w:line="13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 *</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Marketed Products, Product Candidates, and New Indications for Our Marketed Products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EYLEA, EYLEA HD, and Dupixent.</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substantially dependent on the success of our ophthalmology portfolio, which consists of EYLEA and, since its August 2023 FDA approval, EYLEA HD. EYLEA net product sales have historically represented a substantial portion of our revenues, and we expect that there will continue to be a concentration of our net sales from the net product sales of EYLEA HD and EYLEA. For the years ended December 31, 2023 and 2022, our aggregate EYLEA HD and EYLEA net product sales in the United States represented 45% and 51% of our total revenues, respectively. For the year ended December 31, 2023, aggregate EYLEA HD U.S. and EYLEA U.S. net product sales decreased by 6%, compared to the same period in 2022. If we are successful in commercializing EYLEA HD, we expect that our dependence on EYLEA HD will grow relative to our historical dependence on EYLEA. If we were to experience difficulty with the commercialization of EYLEA HD or EYLEA in the United States or if</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Bayer were to experience any difficulty with the commercialization of EYLEA HD or EYLEA outside the United States, if EYLEA net product sales experience a sustained decline in or outside the United States without an offset from EYLEA HD net product sales, or if we and Bayer are unable to maintain or obtain marketing approvals of these products (as applicable), we may experience a reduction in revenue and may not be able to stay profitable at the levels we previously achieved or at all, and our business, prospects, operating results, and financial condition may be materially harmed. In the United States, the regulatory exclusivity period for EYLEA (i.e., the period during which no biosimilar product can be approved by the FDA) will expire after May 17, 2024. See "Risks Related to Intellectual Property and Market Exclusivity - </w:t>
      </w:r>
      <w:r>
        <w:rPr>
          <w:rFonts w:ascii="Times New Roman" w:cs="Times New Roman" w:eastAsia="Times New Roman" w:hAnsi="Times New Roman"/>
          <w:sz w:val="17"/>
          <w:szCs w:val="17"/>
          <w:i w:val="1"/>
          <w:iCs w:val="1"/>
          <w:color w:val="auto"/>
        </w:rPr>
        <w:t>Loss or limitation of patent rights, and regulatory pathways for biosimilar competition,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could reduce the duration of market exclusivity for our products</w:t>
      </w:r>
      <w:r>
        <w:rPr>
          <w:rFonts w:ascii="Times New Roman" w:cs="Times New Roman" w:eastAsia="Times New Roman" w:hAnsi="Times New Roman"/>
          <w:sz w:val="17"/>
          <w:szCs w:val="17"/>
          <w:color w:val="auto"/>
        </w:rPr>
        <w:t>" below. As a result, we face the risk of lower EYLEA net product sales due to biosimilar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competition following such expiration, which may have a material adverse impact on our results of operations. The degree to which EYLEA HD net product sales may offset any potential decrease in EYLEA net product sales, resulting from the factors discussed above or otherwise, is uncertain.</w:t>
      </w:r>
    </w:p>
    <w:p>
      <w:pPr>
        <w:spacing w:after="0" w:line="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In addition, we are substantially dependent on our share of profits from the commercialization of Dupixent under our Antibody Collaboration with Sanofi.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may be materially harmed.</w:t>
      </w:r>
    </w:p>
    <w:p>
      <w:pPr>
        <w:spacing w:after="0" w:line="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that the degree of commercial success of our marketed products will continue to depend on many factors, including the following (as applicable):</w:t>
      </w:r>
    </w:p>
    <w:p>
      <w:pPr>
        <w:spacing w:after="0" w:line="149"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4"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for, our marketed products by third-party payors,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2"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and EYLEA HD, the existing and potential new branded and biosimilar competition (discussed further under "</w:t>
      </w:r>
      <w:r>
        <w:rPr>
          <w:rFonts w:ascii="Times New Roman" w:cs="Times New Roman" w:eastAsia="Times New Roman" w:hAnsi="Times New Roman"/>
          <w:sz w:val="18"/>
          <w:szCs w:val="18"/>
          <w:i w:val="1"/>
          <w:iCs w:val="1"/>
          <w:color w:val="auto"/>
        </w:rPr>
        <w:t>The commercial success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to start or continue treatment with such products or to switch from a competitive product to one of our products;</w:t>
      </w:r>
    </w:p>
    <w:p>
      <w:pPr>
        <w:spacing w:after="0" w:line="3"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marketed products (particularly those launched recently, such as EYLEA HD) seen in a broader patient group (i.e., real-world use);</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considered or implemented in the United States and globally,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2"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 candidates and new indications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4"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8"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24"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and REGEN-COV (described further in Note 16 to our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2"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16 to our Consolidated Financial Statements included in this report (including the civil complaint filed against us on June 24, 2020 in the U.S. District Court for the District of Massachusetts by the U.S. Attorney's Office for the District of Massachusetts); and</w:t>
      </w:r>
    </w:p>
    <w:p>
      <w:pPr>
        <w:spacing w:after="0" w:line="2"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Japan, and other countries where such products are approved.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is costly, 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 the applicable marketing approval may be withdrawn,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coverage and reimbursement from third-party payors.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reimbursement from third-party payors, including private payor healthcare and insurance programs, health maintenance organizations, pharmacy benefit management companies ("PBMs"), and government programs such as Medicare and Medicaid. Sales of our marketed products in other countries are also dependent, in large part, on complex coverage and reimbursement mechanisms and programs in those countries.</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future revenues and profitability will be adversely affected in a material manner if such third-party payors do not adequately defray or reimburse the cost of our marketed products.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or require failure on another type of treatment before covering a particular drug, particularly with respect to higher-priced drugs. 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11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Code, formulary approval by PBMs, and recognition by insurance companies and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many countries outside the United States,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of these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countries outside the United States or if coverage and reimbursement for our marketed products in such countries is limited or delayed. As discussed below under "</w:t>
      </w:r>
      <w:r>
        <w:rPr>
          <w:rFonts w:ascii="Times New Roman" w:cs="Times New Roman" w:eastAsia="Times New Roman" w:hAnsi="Times New Roman"/>
          <w:sz w:val="18"/>
          <w:szCs w:val="18"/>
          <w:i w:val="1"/>
          <w:iCs w:val="1"/>
          <w:color w:val="auto"/>
        </w:rPr>
        <w:t>If we are unable to establish commercial capabilities outside the United States for Libtayo,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Dupixent, and any other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we will need to manage these and other commercialization-related risks in order for us to successfully develop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capabilities outside the United States (including those necessary for our successful commercialization and co-commercialization of Libtayo and Dupixent, respectively).</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to product reimbursement and coverage policies and practices may materially harm our business, prospects, operating results, and financial condition.</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Private payor healthcare and insurance providers, health maintenance organizations, and PBMs are increasingly requiring significant discounts and rebates from manufacturers as a condition to including products on formulary with favorable coverage and copayment/coinsurance. Some states have also enacted or are considering legislation to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recently approved or proposed federal and state legislation, regulations,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in 2022 the U.S. Congress passed the IRA, which includes, among other items, provisions regarding the following:</w:t>
      </w:r>
    </w:p>
    <w:p>
      <w:pPr>
        <w:spacing w:after="0" w:line="99" w:lineRule="exact"/>
        <w:rPr>
          <w:sz w:val="20"/>
          <w:szCs w:val="20"/>
          <w:color w:val="auto"/>
        </w:rPr>
      </w:pPr>
    </w:p>
    <w:p>
      <w:pPr>
        <w:jc w:val="both"/>
        <w:ind w:left="640" w:hanging="316"/>
        <w:spacing w:after="0" w:line="23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a Medicare Drug Price Negotiation Program </w:t>
      </w:r>
      <w:r>
        <w:rPr>
          <w:rFonts w:ascii="Times New Roman" w:cs="Times New Roman" w:eastAsia="Times New Roman" w:hAnsi="Times New Roman"/>
          <w:sz w:val="18"/>
          <w:szCs w:val="18"/>
          <w:color w:val="auto"/>
        </w:rPr>
        <w:t>(the "Medicare Drug Price Negotiation Program"). The Medicare Drug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Program requires the government to set prices for select high-expenditure drugs covered under Medicare Parts B and D. Starting in 2023 and 2026, the government is authorized to select Part D and Part B drugs, respectively, for inclusion in the Medicare Drug Price Negotiation Program, with established prices to go into effect for selected Part D drugs in 2026 and for selected Part B drugs in 2028, in each case absent certain disqualifying events.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6" w:lineRule="exact"/>
        <w:rPr>
          <w:sz w:val="20"/>
          <w:szCs w:val="20"/>
          <w:color w:val="auto"/>
        </w:rPr>
      </w:pPr>
    </w:p>
    <w:p>
      <w:pPr>
        <w:ind w:left="640" w:hanging="316"/>
        <w:spacing w:after="0" w:line="258"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Inflation Based Rebates</w:t>
      </w:r>
      <w:r>
        <w:rPr>
          <w:rFonts w:ascii="Times New Roman" w:cs="Times New Roman" w:eastAsia="Times New Roman" w:hAnsi="Times New Roman"/>
          <w:sz w:val="18"/>
          <w:szCs w:val="18"/>
          <w:color w:val="auto"/>
        </w:rPr>
        <w:t>. The IRA includes measures requiring manufacturers to pay rebates where the average sales price or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 price of drugs covered under Medicare Parts B and D, respectively, exceeds the rate of inflation.</w:t>
      </w:r>
    </w:p>
    <w:p>
      <w:pPr>
        <w:ind w:left="640" w:right="20" w:hanging="316"/>
        <w:spacing w:after="0" w:line="251"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 Program Redesign</w:t>
      </w:r>
      <w:r>
        <w:rPr>
          <w:rFonts w:ascii="Times New Roman" w:cs="Times New Roman" w:eastAsia="Times New Roman" w:hAnsi="Times New Roman"/>
          <w:sz w:val="18"/>
          <w:szCs w:val="18"/>
          <w:color w:val="auto"/>
        </w:rPr>
        <w:t>. The IRA implements changes to the Medicare Part D benefits to limit patient out-of-pocket drug costs and shift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liabilities from patients to other stakeholders, including health plans, manufacturers, and the government.</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While enacted into law, it is currently unclear the extent to which the policy changes will ultimately impact reimbursement levels of our marketed products, including those covered under Medicare Part B (such as EYLEA and EYLEA HD) or our product candidates that may be covered under Medicare Part B or Medicare Part D in the future.</w:t>
      </w:r>
    </w:p>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legislation, proposals, initiatives, and developments described above) could have a material adverse effect on the sales of EYLEA, EYLEA HD, or our other marketed products. Economic pressure on state budgets may also have a similar impact.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EYLEA and EYLEA HD. </w:t>
      </w:r>
      <w:r>
        <w:rPr>
          <w:rFonts w:ascii="Times New Roman" w:cs="Times New Roman" w:eastAsia="Times New Roman" w:hAnsi="Times New Roman"/>
          <w:sz w:val="18"/>
          <w:szCs w:val="18"/>
          <w:color w:val="auto"/>
        </w:rPr>
        <w:t>EYLEA and EYLEA HD face significant competition in the marketplace. For example, each of EYLEA and EYLEA HD competes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one or more of its approved indications with other VEGF inhibitors. These include Genentech/Roche's Vabysmo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(faricimab-svoa) and Susvimo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(ranibizumab ocular implant); Novartis and Genentech/Roche's Lucentis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(brolucizumab); biosimilar versions of Lucentis commercialized in the United States by Biogen Inc. and Coherus BioSciences, Inc.; and Biocon Biologics Ltd's biosimilar version of EYLEA recently approved in the EU. Ophthalmologists are also using off-label, third-party repackaged versions of Genentech/Roche's approved VEGF antagonist, bevacizumab, for the treatment of certain of EYLEA's and EYLEA HD's respective indications, and we are aware of another company developing an ophthalmic formulation of such product. In DME (and, in the case of EYLEA, also RVO), EYLEA and EYLEA HD also compete with intravitreal implants of corticosteroids. We are also aware of a number of companies working on the development of product candidates and extended delivery devices for the potential treatment of one or more of EYLEA's and EYLEA HD's respective indications, including those that act by blocking VEGF and VEGF receptors (including therapies designed to extend the treatment interval) and/or other targets. In addition, we are aware of several other companies developing biosimilar versions of EYLEA and other approved anti-VEGF treatments.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3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EYLEA HD was approved by the FDA in August 2023 for the treatment of wAMD, DME, and DR. As a newly approved product, EYLEA HD has entered the highly competitive environment described above. Our success in commercializing EYLEA HD will depend on a number of factors, including the degree of success and relative timing of our commercial launch and uptake efforts as compared to those of relevant competition, the extent to which we and our collaborators are able to differentiate EYLEA HD from competitive products, the safety and efficacy of EYLEA HD seen in a broader patient group (i.e., real-world use), the extent of payor coverage and reimbursement, and the applicability of any restrictions imposed by payors, such as step therapy.</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also increasingly competitive. In atopic dermatitis, there are topical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systemic JAK inhibitors and antibodies against IL-13 approved for atopic dermatitis. In addition, a number of companies are developing antibodies against IL-4Ra, IL-13Ra1, OX40(L), and/or IL-31R that may compete with Dupixent in atopic dermatitis and other indications (including asthma and/or prurigo nodularis), as applicable. In asthma, competitors to Dupixent include antibodies against the IL-5 ligand or the IL-5 receptor, immunoglobulin E, or thymic stromal lymphopoietin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("TSLP"); and some of these antibodies are either approved or in development for indications that also compete or may compete in the future with Dupixent in CRSwNP and EoE. There are several other potentially competitive products in development that may compete with Dupixent in asthma, as well as potential future indications, including antibodies against the IL-33 ligand. Dupixent also faces competition from inhaled products in asthma and potential future indications.</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Libtayo. </w:t>
      </w: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 PDL-1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of which were approved in the relevant indications and commercialized before Libtayo), including Merck's Keytruda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(atezolizumab), and AstraZeneca's Imfinzi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(durvalumab).</w:t>
      </w:r>
    </w:p>
    <w:p>
      <w:pPr>
        <w:spacing w:after="0" w:line="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marketed products. </w:t>
      </w: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our collaborators under our collaboration agreements with them. For example, there are several companies that are marketing and/or developing antibodies or other molecules (such as small interfering RNA molecules, or siRNAs) against PCSK9, ANGPTL3 and IL-6 and/or IL-6R, which currently (or, for product candidates in development, may in the future if approved) compete with Praluent, Evkeeza, and Kevzara,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3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HD and EYLEA in the United States for its currently approved indications, we have no sales, marketing, commercial, or distribution capabilities for EYLEA HD 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HD and EYLEA outside the United States.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many countries outside the United States. While we exercised our option under the Antibody Collaboration to co-commercialize Dupixent in certain jurisdictions outside the United States, we will continue to rely in considerable part on Sanofi's sales and marketing organization in such jurisdictions.</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While we have some commercial presence outside the United States, our commercial capabilities outside the United States are still limited and would need to be further developed or outsourced. Therefore, termination of the Bayer collaboration agreement or our Antibody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 collaboration with Bayer for EYLEA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HD and EYLEA is terminated, or Bayer materially breaches its obligations thereunder,</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our business, prospects, operating results, and financial condition, and our ability to continue to commercialize EYLEA HD and EYLEA outside the United States would be materially harmed</w:t>
      </w:r>
      <w:r>
        <w:rPr>
          <w:rFonts w:ascii="Times New Roman" w:cs="Times New Roman" w:eastAsia="Times New Roman" w:hAnsi="Times New Roman"/>
          <w:sz w:val="18"/>
          <w:szCs w:val="18"/>
          <w:color w:val="auto"/>
        </w:rPr>
        <w:t>" below and "Risks Related to Our Reliance on or Transactions with Third Parties -</w:t>
      </w:r>
      <w:r>
        <w:rPr>
          <w:rFonts w:ascii="Times New Roman" w:cs="Times New Roman" w:eastAsia="Times New Roman" w:hAnsi="Times New Roman"/>
          <w:sz w:val="18"/>
          <w:szCs w:val="18"/>
          <w:i w:val="1"/>
          <w:iCs w:val="1"/>
          <w:color w:val="auto"/>
        </w:rPr>
        <w:t xml:space="preserve"> 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w:t>
      </w:r>
    </w:p>
    <w:p>
      <w:pPr>
        <w:spacing w:after="0" w:line="1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HD and EYLEA outside the United States is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12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(collectively, "distributor customers"), which generally sell the product directly to healthcare providers or other pharmacies (as applicable). For the years ended December 31, 2023 and 2022, our product sales to two distributor customers accounted on a combined basis for 76% and 83% of our total gross product revenue, respectively. We expect significant distributor customer concentration to continue for the foreseeable future. Our ability to generate and grow sales of these products will depend, in part, on the extent to which our distributor customers are able to provide adequate distribution of</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these products to healthcare providers. Although we believe we can find additional distributors, if necessary, our revenue during any period of disruption could suffer and we might incur additional costs. In addition, these distributor customers are responsible for a significant portion of our net trade accounts receivable balances. The loss of any large distributor customer, a significant reduction in sales we make to them, any cancellation of orders they have made with us, or any failure to pay for the products we have shipped to them could adversely affect our results of operations. Commercialization of any of our marketed products may also be adversely impacted by vertical integration of private payor healthcare and insurance programs, health maintenance organizations, and PBMs, or further consolidation among the healthcare providers served by our distributor customers if, for example, one or more consolidated groups of healthcare providers determines not to use (or decides to switch from) such marketed product in favor of a competing product. See also "</w:t>
      </w:r>
      <w:r>
        <w:rPr>
          <w:rFonts w:ascii="Times New Roman" w:cs="Times New Roman" w:eastAsia="Times New Roman" w:hAnsi="Times New Roman"/>
          <w:sz w:val="18"/>
          <w:szCs w:val="18"/>
          <w:i w:val="1"/>
          <w:iCs w:val="1"/>
          <w:color w:val="auto"/>
        </w:rPr>
        <w:t>The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success of our products and product candidates is subject to significant competition - </w:t>
      </w:r>
      <w:r>
        <w:rPr>
          <w:rFonts w:ascii="Times New Roman" w:cs="Times New Roman" w:eastAsia="Times New Roman" w:hAnsi="Times New Roman"/>
          <w:sz w:val="18"/>
          <w:szCs w:val="18"/>
          <w:color w:val="auto"/>
        </w:rPr>
        <w:t>Marketed Products" above.</w:t>
      </w:r>
    </w:p>
    <w:p>
      <w:pPr>
        <w:spacing w:after="0" w:line="107"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commercial capabilities outside the United States for Libtayo, Dupixent, and any other products we intend to commercialize or co-commercialize outside the United States, our business, prospects, operating results, and financial condition may be adversely affected.</w:t>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limited commercial capabilities outside the United States and have not yet fully established an organization for the sales, marketing, and distribution of marketed products outside the United States. We are in the process of establishing these capabilities outside the United States for Libtayo in connection with the 2022 amendment to the IO Collaboration whereby all rights to develop, commercialize, and manufacture Libtayo will be transferred exclusively to our Company, on a worldwide basis, over the course of a defined transition period. In addition to fully establishing these commercial capabilities by the end of the transition period, we will also need to obtain and/or maintain regulatory approvals and secure pricing and reimbursement for Libtayo in many jurisdictions outside the United States (including Europe and Japan). Further, following the exercise of our option under the Antibody Collaboration to co-commercialize Dupixent in certain jurisdictions outside the United States, we have established certain co-commercialization capabilities for Dupixent in some of these jurisdictions and are in the process of establishing these capabilities in others. There may be other circumstances in which we need to establish further commercial capabilities outside the United States, including because we decide to commercialize a particular product independently; we are unable to find an appropriate collaborator; or an existing collaborator decides to opt out or breaches its obligations to us with respect to a particular product.</w:t>
      </w:r>
    </w:p>
    <w:p>
      <w:pPr>
        <w:spacing w:after="0" w:line="1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beyond what we have done so far, we must build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commercial capabilities outside the United States (particularly as it relates to Libtayo, for which we plan to expand our global commercialization footprint as noted above)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1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We must obtain and maintain similar regulatory approvals from comparable foreign regulatory authorities in order to sell drugs outside the United States. Obtaining FDA or comparable foreign regulatory authority approval for a new drug or indication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in the United States, the FDA may determine that a REMS is necessary to ensure that the benefits of a new product outweigh its risks, and the product can therefore be approved. A REMS may include various elements, ranging from a medication guide or patient package</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 For example, in October 2023, the FDA issued a CRL for the sBLA for Dupixent in CSU stating that additional efficacy data are required to support an approval. While an ongoing Phase 3 clinical trial (in biologic-naïve patients) continues to enroll patients and results are expected in late 2024, there can be no assurance that such data will ultimately result in FDA approval.</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countries outside the United States.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While the FDA has performance goals that provide for action on BLA submissions by certain deadlines, the FDA's review goals are subject to change and the duration of the FDA's review depends on a number of factors, including the number and types of other applications that are submitted to the FDA around the same time period or are pending. The FDA's review may be delayed because the FDA requests additional information or for other reasons, including those beyond our control. For example, in 2022, an FDA travel complication related to scheduling a routine clinical trial site inspection in eastern Europe delayed by nearly two months the FDA's approval of our sBLA for the combination treatment of Libtayo with chemotherapy in NSCLC.</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If we believe we meet eligibility requirements, we may apply for various regulatory incentives in the United States, such as breakthrough therapy designation, fast track designation, accelerated approval, or priority review, where available, that serve to expedite drug development and/or review, and we may also seek similar designations elsewhere in the world. Often, regulatory agencies have broad discretion in determining whether or not product candidates qualify for such regulatory incentives and benefits, and we cannot guarantee we would be successful in obtaining beneficial regulatory designations by the FDA or other regulatory agencies. Even if obtained, such designations may not result in faster development processes, reviews, or approvals compared to drugs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 Recent FDA draft guidance relating to accelerated approval of oncology therapeutics indicates that a confirmatory trial for a particular oncology product candidate should be underway when the related BLA is submitted to the FDA and also states that the FDA may require that a confirmatory trial for a particular oncology product candidate be well underway, if not fully enrolled, by the time of the accelerated approval action. Application of this guidance to our product candidates may result in a delay of the FDA review and approval process despite any earlier beneficial regulatory designation such product candidates may have received.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 manner in which such principles are implemented may not be specifically delineated, which can present a challenging environment as the FDA and comparable foreign regulatory authorities increasingly scrutinize compliance with these requirements and regulations. As a result,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For example, in June 2023, the FDA issued a CRL concerning the Company's BLA for EYLEA HD for the treatment of wAMD, DME, and DR due to unresolved observations resulting from an inspection at the contract manufacturing organization Catalent, which resulted in a delay of the FDA approval of EYLEA HD by nearly two months. For additional information, see "Risks Related to Manufacturing and Supply - </w:t>
      </w:r>
      <w:r>
        <w:rPr>
          <w:rFonts w:ascii="Times New Roman" w:cs="Times New Roman" w:eastAsia="Times New Roman" w:hAnsi="Times New Roman"/>
          <w:sz w:val="17"/>
          <w:szCs w:val="17"/>
          <w:i w:val="1"/>
          <w:iCs w:val="1"/>
          <w:color w:val="auto"/>
        </w:rPr>
        <w:t>Our or our collaborators' failure to meet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stringent requirements of governmental regulation in the manufacture of drug products or product candidates could result in incurring substantial</w:t>
      </w:r>
    </w:p>
    <w:p>
      <w:pPr>
        <w:spacing w:after="0" w:line="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i w:val="1"/>
          <w:iCs w:val="1"/>
          <w:color w:val="auto"/>
        </w:rPr>
        <w:t>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 results, and financial condition may be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harmed as a result of noncompliance with the requirements and regulations described in this paragraph.</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countries outside the United States.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countries outside the United States. From time to time, we may hold a product's marketing approval in a jurisdiction outside the United States where we may have less experience and where our regulatory capabilities may be more limited; this will be the case for Libtayo in many jurisdictions outside the United States (including Europe and Japan) once we complete the transition from Sanofi pursuant to the amendment to the IO Collaboration discussed above.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 Marketing Authorization Application ("MAA") in the EU. In addition, such authorities often have the authority to require post-approval studies, such as a PASS and/or PAES, which involve various risks similar to those described above. Whether or not we obtain FDA approval for a product in the United States, we must obtain approval of the product by the comparable regulatory authorities in countries outside the United States before we can market that product or any other product in those countries.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Furthermore, we are subject to extensive pharmacovigilance reporting and other pharmacovigilance requirements, which may differ in the numerous countries in which we conduct clinical trials or commercialize a product. Failure to comply with any such requirements may result in the premature closure of the clinical trials and other enforcement actions by the relevant regulatory authorities. For example, if we do not manage to retain a QPPV, to maintain a PSMF, or to comply with other pharmacovigilance obligations in the EEA, we may be at risk of our clinical trials being closed prematurely, our marketing authorization being suspended, and we may be subject to other enforcement actions by the national competent authorities of the EEA or the EC.</w:t>
      </w:r>
    </w:p>
    <w:p>
      <w:pPr>
        <w:spacing w:after="0" w:line="1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the FDA's GLPs or GCPs. A clinical trial may also fail because the dose(s) of the investigational drug included in the trial were either too low or too high to determine the optimal effect of the investigational drug in the disease setting.</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Additionally, conducting clinical trials in countries outside the United States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Ukraine, and/or Israel. While we currently do not expect the Russia-Ukraine or Hamas-Israel armed conflict or related developments to have a significant impact on our ability to obtain results from clinical trials conducted by us or our collaborators,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such countries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 If concerns arise about the safety of a product candidate or non-compliance with the protocol or applicable regulatory requirements, the FDA or other regulatory authorities can delay or suspend a clinical trial by placing it on a full or partial "clinical hold" pending receipt of additional data or the satisfaction of other conditions. A clinical hold may require us to spend significant resources to address the underlying causes of the clinical hold and may result in a delay in the clinical program, which may be significant. In addition, if we are not able to successfully address such underlying causes or our response is not deemed adequate to lift the clinical hold, the clinical program may have to be terminated. Any such clinical program delays or terminations may adversely affect our business.</w:t>
      </w:r>
    </w:p>
    <w:p>
      <w:pPr>
        <w:spacing w:after="0" w:line="1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we previously discontinued actively treating patients with fasinumab following a recommendation from the responsible IDMC that the program be terminated based on available evidence at that time; and we later discontinued further clinical development of fasinumab.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With respect to EYLEA and EYLEA HD, there are many potential safety concerns associated with significant blockade of VEGF that may limit our ability to further successfully commercialize EYLEA and to successfully commercialize EYLEA HD.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("IOI"), sterile and culture positive endophthalmitis, corneal decomposition, retinal detachment, retinal tear, and retinal vasculitis), which can cause injury to the eye and other complications. The side effects previously reported for aflibercept include conjunctival hemorrhage, macular degeneration, eye pain, retinal hemorrhage, and vitreous floaters. While the safety of EYLEA HD was similar to EYLEA in clinical trials, it is possible that the use of EYLEA HD outside the clinical trial setting may yield different outcomes or patient experiences. In addition, commercialization of EYLEA and EYLEA HD or our other products and potential future commercialization of our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and EYLEA HD.</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1. "Business - Programs in Clinical Development." There is no guarantee that regulatory approval of Dupixent or Libtayo (as applicable) in any of these indications will be successfully obtained. The side effects previously reported for Dupixent include hypersensitivity reactions, eye problems (including conjunctivitis and keratitis), injection-site reactions, eye and eyelid inflammation, cold sores, oropharyngeal pain, eosinophilia, insomnia, toothache, gastritis, joint pain (arthralgia), parasitic (helminth) infections, and facial rash or redness; and the side effects previously reported for Libtayo include certain immune-mediated adverse reactions that may occur in any organ system or tissue, including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In addition, there are risks inherent in intravenous administration (which are used for some of our antibody-based products and product candidates),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1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For example, we are currently party to patent infringement and other proceedings relating to the EYLEA pre-filled syringe, as described in Note 16 to our Consolidated Financial Statements.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market. Further, failure to successfully develop or supply and manufacture these devices, or to gain or maintain their approval, could adversely affect sales of the related products.</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Our ability to protect our trade secrets may be impaired by a number of risks and uncertainties, including those discussed under "Other Regulatory and Litigation Risks - </w:t>
      </w:r>
      <w:r>
        <w:rPr>
          <w:rFonts w:ascii="Times New Roman" w:cs="Times New Roman" w:eastAsia="Times New Roman" w:hAnsi="Times New Roman"/>
          <w:sz w:val="18"/>
          <w:szCs w:val="18"/>
          <w:i w:val="1"/>
          <w:iCs w:val="1"/>
          <w:color w:val="auto"/>
        </w:rPr>
        <w:t>Increasing use of social media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artificial intelligence-based platforms could give rise to liability, breaches of data security and privacy laws, or reputational damage</w:t>
      </w:r>
      <w:r>
        <w:rPr>
          <w:rFonts w:ascii="Times New Roman" w:cs="Times New Roman" w:eastAsia="Times New Roman" w:hAnsi="Times New Roman"/>
          <w:sz w:val="18"/>
          <w:szCs w:val="18"/>
          <w:color w:val="auto"/>
        </w:rPr>
        <w:t>" and "Other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to Our Business - </w:t>
      </w:r>
      <w:r>
        <w:rPr>
          <w:rFonts w:ascii="Times New Roman" w:cs="Times New Roman" w:eastAsia="Times New Roman" w:hAnsi="Times New Roman"/>
          <w:sz w:val="18"/>
          <w:szCs w:val="18"/>
          <w:i w:val="1"/>
          <w:iCs w:val="1"/>
          <w:color w:val="auto"/>
        </w:rPr>
        <w:t>Significant disruptions of information technology systems or breaches of data security could adversely affect our business</w:t>
      </w:r>
      <w:r>
        <w:rPr>
          <w:rFonts w:ascii="Times New Roman" w:cs="Times New Roman" w:eastAsia="Times New Roman" w:hAnsi="Times New Roman"/>
          <w:sz w:val="18"/>
          <w:szCs w:val="18"/>
          <w:color w:val="auto"/>
        </w:rPr>
        <w:t xml:space="preserve">" below.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as described in Note 16 to our Consolidated Financial Statements included in this report.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Europe and are costly to defend. For example, in 2021, anonymous parties initiated opposition proceedings in the European Patent Office ("EPO") against our European Patent No. 2,944,306 (which concerns pre-filled syringes comprising ophthalmic formulations containing VEGF antagonists such as aflibercept for intravitreal administration), as described in Note 16 to our Consolidated Financial Statements included in this report.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We cannot be certain that our intellectual property rights related to any current or future product or product candidate or technology would not be eliminated, narrowed, or weakened by any such change or other rulemaking.</w:t>
      </w:r>
    </w:p>
    <w:p>
      <w:pPr>
        <w:spacing w:after="0" w:line="1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would not be able to prevent third parties from practicing our inventions in Russia or from selling or importing products made using our inventions in and into Russia.</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are currently party to patent infringement and other proceedings relating to EYLEA, as described in Note 16 to our Consolidated Financial Statements.</w:t>
      </w:r>
    </w:p>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product candidates infringe any valid claim in these patents or patent applications, these other parties could initiate lawsuits for patent infringement and assert that their patents are valid and cover our products or our late-stage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in the EU, a designated orphan drug is provided up to 10 years of market exclusivity in the orphan indication, during which time the EMA is generally precluded from accepting a MAA for a similar medicinal product unless it can be demonstrated that it is safer, more effective, or otherwise clinically superior to the original orphan medicinal product.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or limitation of patent rights, and regulatory pathways for biosimilar competition, could reduce the duration of market exclusivity for our products.</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Under the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number of jurisdictions outside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A biosimilar version of EYLEA was recently approved in the EU and we are aware of several other companies developing biosimilar versions of EYLEA, as discussed further under "Risks Related to Commercialization of Our Marketed Products, Product Candidates, and New Indications for Our Marketed Products - </w:t>
      </w:r>
      <w:r>
        <w:rPr>
          <w:rFonts w:ascii="Times New Roman" w:cs="Times New Roman" w:eastAsia="Times New Roman" w:hAnsi="Times New Roman"/>
          <w:sz w:val="17"/>
          <w:szCs w:val="17"/>
          <w:i w:val="1"/>
          <w:iCs w:val="1"/>
          <w:color w:val="auto"/>
        </w:rPr>
        <w:t>The commercial success of our products and product candidates 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subject to significant competition - </w:t>
      </w:r>
      <w:r>
        <w:rPr>
          <w:rFonts w:ascii="Times New Roman" w:cs="Times New Roman" w:eastAsia="Times New Roman" w:hAnsi="Times New Roman"/>
          <w:sz w:val="17"/>
          <w:szCs w:val="17"/>
          <w:color w:val="auto"/>
        </w:rPr>
        <w:t>Marketed Products" above. In the United States, the regulatory exclusivity period for EYLEA (i.e., the period during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 biosimilar product can be approved by the FDA) extends through May 17, 2024 following the pediatric exclusivity granted by the FDA. In addition, as EYLEA HD does not benefit from regulatory exclusivity in the United States, market exclusivity for EYLEA HD in the United States is based solely on our patent rights pertaining to this product (which are subject to the risks and uncertainties discussed above under "</w:t>
      </w:r>
      <w:r>
        <w:rPr>
          <w:rFonts w:ascii="Times New Roman" w:cs="Times New Roman" w:eastAsia="Times New Roman" w:hAnsi="Times New Roman"/>
          <w:sz w:val="17"/>
          <w:szCs w:val="17"/>
          <w:i w:val="1"/>
          <w:iCs w:val="1"/>
          <w:color w:val="auto"/>
        </w:rPr>
        <w:t>If we cannot protect the confidentiality of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7"/>
          <w:szCs w:val="17"/>
          <w:color w:val="auto"/>
        </w:rPr>
        <w:t>"). The loss of market exclusivity for a product (such as EYLEA or EYLEA HD) would likely negatively affect revenues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product sales of that product and thus our financial results and condition and could have a material negative impact on our business.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4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or if there is greater demand than currently expected for our marketed products.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has exacerbated and may in the future further exacerbate certain of these risks. For example, the impact of prioritizing certain manufacturing-related resources for our COVID-19 monoclonal antibodies has included and may in the future include, among other things, drawing down inventory safety stock levels for certain of our other products (including Dupixent and EYLEA). Depending on the demand for our products and other relevant factors, we may not be able to replenish our inventory safety stock to the levels we deem prudent or supply our products and product candidates in sufficient quantities to satisfy our commercial and development needs. We also rely entirely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0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constructed a fill/finish facility in Rensselaer, New York that is currently undergoing process validation as required by regulatory authorities (refer to Part II, Item 7. "Management's Discussion and Analysis of Financial Condition and Results of Operations – Liquidity and Capital Resources" for information about expected capital expenditures relating to this and other projects). In addition, we may need to develop or acquire additional manufacturing capabilities to the extent we or our collaborators pursue the development of drugs generated by means other than our existing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12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 may be located in jurisdictions outside the United States), infringe patents or other intellectual property rights. For example, we are currently party to patent infringement and other proceedings relating to the EYLEA pre-filled syringe, as described in Note 16 to our Consolidated Financial Statements.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5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charge to write down inventory related to REGEN-COV.</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1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1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the COVID-19 pandemic and the armed conflict between Russia and Ukraine, which have exacerbated many of these issues, or other public health outbreaks, epidemics, or pandemics or geopolitical developments).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are required to substitute for these sources to comply with such regulatory requirements, our clinical development or commercial activities may be delayed or interrupted.</w:t>
      </w:r>
    </w:p>
    <w:p>
      <w:pPr>
        <w:spacing w:after="0" w:line="9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and our collaborators and other third-party providers are required to maintain compliance with cGMPs, and are subject to inspections by the FDA or comparable agencies in other jurisdictions to confirm such compliance. Changes of suppliers or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financial condition. For example, in June 2023, the FDA issued a CRL concerning the Company's BLA for EYLEA HD for the treatment of wAMD, DME, and DR due to unresolved observations resulting from an inspection at a third-party fill/finish provider, the contract manufacturing organization Catalent, which resulted in a delay of the FDA approval of EYLEA HD by nearly two months. Significant noncompliance with the requirements discussed in this paragraph could also result in the imposition of monetary penalties or other civil or criminal sanctions and damage our reputation.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communications regarding unapproved uses, industry-sponsored scientific and educational activities, and sales representatives' communications. Failure to comply with applicable FDA requirements and restrictions in this area may subject a company to adverse enforcement action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a drug. Any such failures could also cause significant reputational harm.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The Bipartisan Budget Act of 2018 has increased the criminal and civil penalties that can be imposed for violating certain federal health care laws, including the federal anti-kickback statute.</w:t>
      </w:r>
    </w:p>
    <w:p>
      <w:pPr>
        <w:spacing w:after="0" w:line="10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w:t>
      </w:r>
    </w:p>
    <w:p>
      <w:pPr>
        <w:spacing w:after="0" w:line="1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majority of states also have statutes or regulations similar to the federal anti-kickback law and false claims laws, which apply to items and services reimbursed under Medicaid and other state programs, or, in several states, apply regardless of the payor. Sanctions under these federal and state laws may include civil monetary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16 to our Consolidated Financial Statements included in this report, we are party to civil litigation initiated in 2020 by the U.S. Attorney's Office for the District of Massachusetts concerning our support of a 501(c)</w:t>
      </w:r>
    </w:p>
    <w:p>
      <w:pPr>
        <w:spacing w:after="0" w:line="2" w:lineRule="exact"/>
        <w:rPr>
          <w:sz w:val="20"/>
          <w:szCs w:val="20"/>
          <w:color w:val="auto"/>
        </w:rPr>
      </w:pPr>
    </w:p>
    <w:p>
      <w:pPr>
        <w:jc w:val="both"/>
        <w:ind w:firstLine="6"/>
        <w:spacing w:after="0" w:line="248" w:lineRule="auto"/>
        <w:tabs>
          <w:tab w:leader="none" w:pos="28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that provides financial assistance to patients; and we are cooperating with pending government investigations concerning certain other business activities. Any adverse decision, finding, allegation, or exercise of enforcement or regulatory discretion in any such proceedings or investigations could harm our business, prospects, operating results, and financial condition.</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licensed physicians 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Applicable manufacturers also are required to report information regarding payments and transfers of value provided to physician assistants, nurse practitioners, clinical nurse specialists, certified nurse anesthetists, anesthesiologist assistants, and certified nurse-midwives. We also have similar reporting obligations in other countries based on laws, regulations, and/or industry trade association requirements.</w:t>
      </w:r>
    </w:p>
    <w:p>
      <w:pPr>
        <w:spacing w:after="0" w:line="1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and need to be prepared to comply with additional reporting obligations outside the United States. In addition, several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program (which is administered by HRSA), the VA FSS pricing program, the Tricare Retail Pharmacy Program, and other federal and state government pricing programs. Such programs often require us to provide discounts and/or pay rebates to certain government payors and/or private purchasers. See Part I, Item 1, "Business - Government Regulation - Pricing and Reimbursement" for additional information on these programs.</w:t>
      </w:r>
    </w:p>
    <w:p>
      <w:pPr>
        <w:spacing w:after="0" w:line="1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For example,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Civil monetary penalties can be applied if we fail to pay the required rebate,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knowingly and intentionally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financial results. The final regulation governing the Medicaid Drug Rebate program issued by CMS has increased and will continue to increase our costs and the complexity of compliance, has been and will continue to be time-consuming to implement, and could have a material adverse effect on our results of operations, particularly if CMS challenges the approach we have taken in our implementation of the final regulation. Other regulations and coverage expansion by various governmental agencies relating to the Medicaid Drug Rebate program may have a similar impact.</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Any charge by HRSA that we have violated the requirements of the program or the regulation could negatively impact our financial results. Moreover, HRSA established an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On November 30, 2022, HRSA issued a notice of proposed rulemaking that proposes several changes to the ADR process; and, following the solicitation of public comments, in October 2023 HRSA submitted a final version of the rule to the White House Office of Management and Budget for review. Further, any additional future changes to the definition of average manufacturer price and the Medicaid rebate amount under the PPACA or otherwise could affect our 340B ceiling price calculations and negatively impact our results of operations.</w:t>
      </w:r>
    </w:p>
    <w:p>
      <w:pPr>
        <w:spacing w:after="0" w:line="12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Manufacturers must pay refunds to Medicare for single-source drugs or biological products,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w:t>
      </w:r>
    </w:p>
    <w:p>
      <w:pPr>
        <w:spacing w:after="0" w:line="62"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action, would be expensive and time-consuming, and could have a material adverse effect on our business, financial condition, results of operations, and future prospects.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increased, and are expected to continue to increase, due to, in part, our efforts to establish our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U.S. federal, state, and foreign laws and agency regulations could have a materially negative impact on our business.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in April 2023, the European Commission published a proposal to replace the current pharmaceutical legislative framework in the EU. While it is uncertain whether such proposal will be adopted in its current form, there may ultimately be a number of changes to the current regulatory framework in the EU, including a reduction of the data protection and market exclusivity periods provided thereby.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The U.S. federal or state governments could carry out other significant changes in legislation, regulation, or government policy, including with respect to government reimbursement changes or drug price control measures (such as those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Changes to product reimbursement and coverage policies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practices may materially harm our business, prospects, operating results, and financial condition</w:t>
      </w:r>
      <w:r>
        <w:rPr>
          <w:rFonts w:ascii="Times New Roman" w:cs="Times New Roman" w:eastAsia="Times New Roman" w:hAnsi="Times New Roman"/>
          <w:sz w:val="18"/>
          <w:szCs w:val="18"/>
          <w:color w:val="auto"/>
        </w:rPr>
        <w:t>") or the PPACA or other healthcare reform laws. While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operations and conduct business in several countries outside the United States and have been significantly expanding the scope of these activities in existing and/or additional countries, including EU countries and Japan. For example, as discussed above, we are in the process of establishing commercial capabilities related to Libtayo in many jurisdictions outside the United States following the 2022 amendment to the IO Collaboration; and we perform co-commercialization activities under the Antibody Collaboration related to Dupixent in certain jurisdictions outside the United States. Consequently, we are, and will continue to be, subject to risks related to operating in countries outside the United States, particularly those in which we have not previously established operations, and many of these risks will increase as we expand our activities in such jurisdictions. These risks include:</w:t>
      </w:r>
    </w:p>
    <w:p>
      <w:pPr>
        <w:spacing w:after="0" w:line="119" w:lineRule="exact"/>
        <w:rPr>
          <w:sz w:val="20"/>
          <w:szCs w:val="20"/>
          <w:color w:val="auto"/>
        </w:rPr>
      </w:pPr>
    </w:p>
    <w:p>
      <w:pPr>
        <w:jc w:val="both"/>
        <w:ind w:left="640" w:hanging="316"/>
        <w:spacing w:after="0" w:line="253"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 and the cost of compliance with such foreign laws and regulatory requirements;</w:t>
      </w:r>
    </w:p>
    <w:p>
      <w:pPr>
        <w:jc w:val="both"/>
        <w:ind w:left="640" w:hanging="316"/>
        <w:spacing w:after="0" w:line="24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 collaborators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adversely affect our reputation and our business, prospects, operating results, and financial condition</w:t>
      </w:r>
      <w:r>
        <w:rPr>
          <w:rFonts w:ascii="Times New Roman" w:cs="Times New Roman" w:eastAsia="Times New Roman" w:hAnsi="Times New Roman"/>
          <w:sz w:val="18"/>
          <w:szCs w:val="18"/>
          <w:color w:val="auto"/>
        </w:rPr>
        <w:t>"), as well as labor and employment laws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the Russia-Ukraine or Hamas-Israel armed conflict;</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large-scale manufacturing operations in Limerick, Ireland and have also established offices in the United Kingdom, Germany, Japan, and other countries outside the United States. Changes impacting our ability to conduct business in the those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subject to income tax in the United States and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(which depend in part on the price of our stock and, therefore, are beyond our control), and changes in tax laws or regulations. For example, the Organization for Economic Co-operation and Development ("OECD") Global Anti-Base Erosion Model Rules ("Pillar Two") have influenced tax laws in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countries in which we operate, including the implementation of minimum taxes. Changes to these or other laws and regulations or their interpretations could materially adversely impact our effective tax rate or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55"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Our ability to conduct our business is significantly dependent on the data that we collect, process, and share in discovering, developing, and commercializing drug products. These data are often considered personal data and are therefore regulated by data privacy laws in the United States and abroad.</w:t>
      </w:r>
    </w:p>
    <w:p>
      <w:pPr>
        <w:spacing w:after="0" w:line="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have operations and conduct business in several countries outside the United States and plan to significantly expand the scope of these activities in those and/or additional countries, as discussed above under "</w:t>
      </w:r>
      <w:r>
        <w:rPr>
          <w:rFonts w:ascii="Times New Roman" w:cs="Times New Roman" w:eastAsia="Times New Roman" w:hAnsi="Times New Roman"/>
          <w:sz w:val="18"/>
          <w:szCs w:val="18"/>
          <w:i w:val="1"/>
          <w:iCs w:val="1"/>
          <w:color w:val="auto"/>
        </w:rPr>
        <w:t>Risks associated with our operations outside the United States could adversely affect our business</w:t>
      </w:r>
      <w:r>
        <w:rPr>
          <w:rFonts w:ascii="Times New Roman" w:cs="Times New Roman" w:eastAsia="Times New Roman" w:hAnsi="Times New Roman"/>
          <w:sz w:val="18"/>
          <w:szCs w:val="18"/>
          <w:color w:val="auto"/>
        </w:rPr>
        <w:t>." These activities subject us to additional data protection authority oversight and require us to comply with stringent local and regional data privacy laws, including the EU's General Data Protection Regulations ("GDPR"). The GDPR has a wide range of compliance obligations, including increased consent and transparency requirements and data subject rights. Violations of the GDPR carry significant financial penalties for noncompliance (including possible fines of up to 4% of global annual turnover for the preceding financial year or €20 million (whichever is higher)). In addition to the GDPR, certain EU Member States have issued or will be issuing their own implementation legislation. In June 2021, the EC introduced new standard contractual clauses required to be incorporated into certain new and existing agreements within prescribed timeframes in order to continue to lawfully transfer personal data outside the EU. Many of the countries that have comprehensive data privacy laws have modeled their requirements after the GDPR. Compliance with these requirements has been and is expected to continue to be costly and time consuming.</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conduct clinical trials in many countries around the world, which have new or evolving data privacy laws that are often not interpreted consistently by regulatory authorities, institutional review boards/ethics committees, or clinical trial sites. This complexity has resulted in increased liability in the management of clinical trial data, as well as additional compliance, contractual, and due-diligence obligations that could lead to a delay in clinical trial site start-up. There also has been an increase of enforcement activities in various EU countries that require evidence of compliance with local data privacy requirements.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risk of substantial financial penalties for insufficient notice and consent, failure to respond to data subject rights requests, lack of a legal basis for the transfer of personal information out of the EU or other countries with localization laws (i.e., laws mandating that personal data collected in a foreign country be processed and stored within that country), or improper processing of personal data. Failure by our collaborators to comply with the strict rules on the transfer of personal data into the U.S. could result in the imposition of criminal and administrative sanctions on such collaborators or impact the flow of personal data, which could adversely affect our business.</w:t>
      </w:r>
    </w:p>
    <w:p>
      <w:pPr>
        <w:spacing w:after="0" w:line="12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Most U.S. health care providers, including research institutions from which we or our collaborators obtain clinical trial data, are subject to privacy and security regulations promulgated under HIPAA. For example, as part of our human genetics initiative, our wholly-owned subsidiary, Regeneron Genetics Center LLC, has entered into collaborations with many research institutions, which are subject to HIPAA. Regeneron is not a covered entity or business associate under HIPAA and thus is not subject to its requirements. However, we could be subject to criminal penalties if we, our affiliates, or our agents knowingly receive PHI in a manner that is not permitted under HIPAA. Consequently, depending on the facts and circumstances, we could face substantial criminal penalties if we knowingly receive PHI from a health care provider or research institution that has not satisfied HIPAA's requirements for its disclosure. There are instances where we collect and maintain personal data, which may include health information that is outside the scope of HIPAA but within the scope of state health privacy laws or similar state level privacy legislation. This information may be received throughout the clinical trial process, in the course of our research collaborations, directly from individuals who enroll in our patient assistance programs, and from our own employees in a pandemic response process (such as in connection with the COVID-19 pandemic).</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Consumer protection laws impact the manner in which we develop and maintain processes to support our patient assistance programs, product marketing activities, and the sharing of employee and clinical data for internal and third-party commercial activities. Several U.S. states have proposed and passed consumer privacy laws, which were modeled after the CCPA and influenced by the GDPR. The CCPA is a consumer protection law that establishes requirements for data use and sharing transparency and provides California residents with personal data privacy rights regarding the use, disclosure, and retention of their personal data. Amendments to the CCPA have, among other things, imposed new obligations to provide notice where personal data will be de-identified. Failure to comply with the CCPA may result in, among other things, significant civil penalties and injunctive relief, or statutory or actual damages. In addition, California residents have the right to bring a private right of action in connection with data privacy incidents involving certain elements of personal data. These claims may result in significant liability and damages. These laws and regulations are constantly evolving and may impose limitations on our business activities. Several additional state consumer privacy laws went into effect in 2023 and many other consumer privacy laws are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expected to go into effect in the near future. Notably, these state laws provide more restrictions on the use of sensitive personal data, including health information. These states require robust consent and authorizations prior to any collection or use of this data, which may have a large impact on our ability to market to individuals in these jurisdictions based on their health conditions. At the federal level, Section 5 of the FTC Act is a consumer protection law that bars unfair and deceptive acts and practices and requires, among other things, companies to notify individuals that they will safeguard their personal data and that they will fulfil the commitments made in their privacy notices. The FTC has brought legal actions against organizations that have violated consumers' privacy rights or have misled them by failing to maintain appropriate security. For example, in 2023 the FTC issued several enforcement actions related to privacy in the healthcare space, under both Section 5 of the FTC Act and the Health Breach Notification Rule, involving companies allegedly using consumer health data for marketing purposes in violation of their own policies and assurances.</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health privacy laws, data breach notification laws, consumer protection laws, data localization laws, biometric privacy laws, and genetic privacy laws may apply directly to our operations and/or those of our collaborators and business partners and may impose restrictions on our collection, use, and dissemination of individuals' health and other personal data. Individuals about whom we or our collaborators obtain health or other personal data, as well as the providers and third parties who share this data with us, may have statutory or contractual limits that impact our ability to further use and disclose the data. Many of these laws differ from each other in significant ways and have different effects. Many of the state laws enable a state attorney general to bring actions and provide private rights of action to consumers as enforcement mechanisms. Compliance with these laws requires a flexible privacy framework as they are constantly evolving. Federal regulators, state attorneys general, and plaintiffs' attorneys have been active in this space.</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local, or foreign regulatory requirements, we could be subject to a range of regulatory actions that could affect our or any collaborators' ability to commercialize our products. Any threatened or actual government enforcement action could also generate adverse publicity and could result in additional regulatory oversight.</w:t>
      </w:r>
    </w:p>
    <w:p>
      <w:pPr>
        <w:spacing w:after="0" w:line="10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artificial intelligence-based platforms could give rise to liability, breaches of data security and privacy laws, or reputational damage.</w:t>
      </w:r>
    </w:p>
    <w:p>
      <w:pPr>
        <w:spacing w:after="0" w:line="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a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data of our employees, clinical trial participants, customers, and others. Furthermore, negative posts or comments about us or our products in social media could seriously damage our reputation, brand image, and goodwill. Additionally, artificial intelligence ("AI")-based solutions, including generative AI, are increasingly being used in the biopharmaceutical industry (including by us). The use of AI solutions by our employees or third parties on which we rely may continue to increase and may lead to the public disclosure of confidential information (including personal data and proprietary information) in contravention of our internal policies, data protection laws, other applicable laws, or contractual requirements. The misuse of AI solutions may give rise to liability, lead to the loss of trade secrets or other intellectual property, result in reputational harm, or lead to outcomes with unintended biases or other consequences. The misuse of AI solutions could also result in unauthorized access and use of personal data of our employees, clinical trial participants, collaborators, or other third parties. Any of these events could have a material adverse effect on our business, prospects, operating results, and financial condition and could adversely affect the price of our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and product candidates that we are co-developing with Sanofi under our Antibody Collaboration (currently consisting of Dupixent, Kevzara, and itepekimab), Sanofi initially funds a significant portion of development expenses incurred in connection with the development of these products and product candidates. In addition, we rely on Sanofi to lead much of the clinical development efforts, assist with or lead efforts to obtain and maintain regulatory approvals, and lead the commercialization efforts for these products and product candidates.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obligations thereunder, our business, prospects, operating results, and financial condition may be materially harmed. We would be required to either expend substantially more resources than we have anticipated to support our development efforts or cut back on such activities. If Sanofi does not perform its obligations with respect to the products and product candidates it is co-developing and/or co-commercializing with us, our ability to develop, manufacture, and commercialize these products and product candidates may be adversely affected. While we have some commercial presence outside the United States, our commercial capabilities outside the United States are still limited and would need to be further developed or outsourced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 commercial capabilities outside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United States for Libtayo, Dupixent, and any other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Antibody Collaboration may create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and additional risks to the successful development and commercialization of the products and product candidates subject to such collaborations, particularly outside the United States.</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We rely heavily on Bayer with respect to the commercialization of EYLEA HD and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HD and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HD and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HD and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capabilities outside the United States for Libtayo, Dupixent, and any other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would create substantial new and additional risks to the successful commercialization of EYLEA HD and EYLEA.</w:t>
      </w:r>
    </w:p>
    <w:p>
      <w:pPr>
        <w:spacing w:after="0" w:line="1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such as due to the armed conflict between Russia and Ukraine) or in compliance with applicable GMPs, GLPs, or GCP standards, we could experience additional costs, delays, and difficulties in the manufacture or development of, or in obtaining approval by regulatory authorities for, or successfully commercializing our product candidates. See also "Risks Related to Manufacturing and Supply - </w:t>
      </w:r>
      <w:r>
        <w:rPr>
          <w:rFonts w:ascii="Times New Roman" w:cs="Times New Roman" w:eastAsia="Times New Roman" w:hAnsi="Times New Roman"/>
          <w:sz w:val="17"/>
          <w:szCs w:val="17"/>
          <w:i w:val="1"/>
          <w:iCs w:val="1"/>
          <w:color w:val="auto"/>
        </w:rPr>
        <w:t>Our or our collaborators' failure to meet the stringent requirements of governmental regulation 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and September 2023, we completed our acquisition of Checkmate Pharmaceuticals, Inc. and Decibel Therapeutics, Inc., respectively.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and controls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2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regulatory setbacks,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if any, to consummate acquisitions. For transactions that are ultimately not consummated, these charges may include fees and expenses for investment bankers, attorneys, accountants, and other advisors in connection with our efforts. Even if our efforts to consummate a particular transaction are successful, we may incur substantial charges for closure costs associated with elimination of duplicate operations and facilities, acquired in-process research and development charges, or intangible asset impairment charges. In either case, the incurrence of these charges could adversely affect our operating results for particular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4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and other key members of our senior management team. If we are not able to retain (or for any other reason lose the services of) any of these persons, our business may suffer. In particular, we depend on the services of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These systems are also critical to enable remote working arrangements, which have been growing in importance. The size and complexity of our computer systems make us potentially vulnerable to IT system breakdowns, internal and external malicious intrusion, and computer viruses and ransomware,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There is the potential that our systems may be directly or indirectly affected as nation-states conduct global cyberwarfare, including in connection with the current Russia-Ukraine or Hamas-Israel armed conflict.</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attack may remain undetected for a period of time. While we continue to make investments to improve the protection of data and information technology, and to oversee and monitor the security measures of our suppliers and/or service providers, there can be no assurance that our efforts will prevent service interruptions or security breaches. In addition, we depend in part on third-party security measures over which we do not have full control to protect against data security breaches.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plan for, or manage significant disruptions to these systems, we or our suppliers and/or service providers could have difficulty preventing, detecting, or controlling such disruptions or security breaches, which could result in legal proceedings, liability under U.S. and foreign laws that protect the privacy of personal information, disruptions to our operations, government investigations, breach of contract claims, and damage to our reputation (in each case in the U.S. or globally), which could have a material adverse effect on our business, prospects, operating results, and financial condition.</w:t>
      </w:r>
    </w:p>
    <w:p>
      <w:pPr>
        <w:spacing w:after="0" w:line="1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Public health outbreaks, epidemics, or pandemics (such as the COVID-19 pandemic) have adversely affected and may in the future adversely affect our business.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COVID-19 pandemic previously adversely affected, and the COVID-19 pandemic or other actual or threatened public health outbreaks, epidemics, or pandemics may in the future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Such disruptions in our operations could materially adversely impact our business, prospects, operating results, and financial condition. To the extent a public health outbreak, epidemic, or pandemic adversely affects our business, prospects, operating results, or financial condition, it may also have the effect of heightening many of the other risks described in this "Risk Factors" section.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December 31, 2023, we had an aggregate of $2.703 billion of outstanding indebtedness under our senior unsecured notes and the lease financing facility. We may also incur additional debt in the future. Any such indebtedness could:</w:t>
      </w:r>
    </w:p>
    <w:p>
      <w:pPr>
        <w:spacing w:after="0" w:line="98"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4" w:lineRule="exact"/>
        <w:rPr>
          <w:rFonts w:ascii="Arial" w:cs="Arial" w:eastAsia="Arial" w:hAnsi="Arial"/>
          <w:sz w:val="18"/>
          <w:szCs w:val="18"/>
          <w:color w:val="auto"/>
        </w:rPr>
      </w:pPr>
    </w:p>
    <w:p>
      <w:pPr>
        <w:ind w:left="640" w:hanging="316"/>
        <w:spacing w:after="0" w:line="244" w:lineRule="auto"/>
        <w:tabs>
          <w:tab w:leader="none" w:pos="635"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1"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Chinese yuan,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 For example, as previously reported, the amount of our share of profits we earned in connection with commercialization of antibodies outside the United States was adversely impacted in 2022 by the U.S. dollar strengthening against foreign currencies, including the Japanese yen and the euro.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2023, we had $2.730 billion in cash and cash equivalents and $13.511 billion in marketable securities (including $977.4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97" w:lineRule="exact"/>
        <w:rPr>
          <w:sz w:val="20"/>
          <w:szCs w:val="20"/>
          <w:color w:val="auto"/>
        </w:rPr>
      </w:pPr>
    </w:p>
    <w:p>
      <w:pPr>
        <w:ind w:left="640" w:hanging="316"/>
        <w:spacing w:after="0" w:line="257"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HD, EYLEA, Dupixent, and Libtayo, as well as our overall operating results;</w:t>
      </w:r>
    </w:p>
    <w:p>
      <w:pPr>
        <w:ind w:left="640" w:hanging="316"/>
        <w:spacing w:after="0" w:line="245"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HD, EYLEA, Dupixent, and Libtayo;</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5" w:lineRule="exact"/>
        <w:rPr>
          <w:rFonts w:ascii="Times New Roman" w:cs="Times New Roman" w:eastAsia="Times New Roman" w:hAnsi="Times New Roman"/>
          <w:sz w:val="18"/>
          <w:szCs w:val="18"/>
          <w:color w:val="auto"/>
        </w:rPr>
      </w:pPr>
    </w:p>
    <w:p>
      <w:pPr>
        <w:ind w:left="640" w:hanging="316"/>
        <w:spacing w:after="0" w:line="260" w:lineRule="auto"/>
        <w:tabs>
          <w:tab w:leader="none" w:pos="6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40" w:hanging="316"/>
        <w:spacing w:after="0" w:line="245"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5" w:lineRule="exact"/>
        <w:rPr>
          <w:rFonts w:ascii="Times New Roman" w:cs="Times New Roman" w:eastAsia="Times New Roman" w:hAnsi="Times New Roman"/>
          <w:sz w:val="18"/>
          <w:szCs w:val="18"/>
          <w:color w:val="auto"/>
        </w:rPr>
      </w:pPr>
    </w:p>
    <w:p>
      <w:pPr>
        <w:ind w:left="640" w:hanging="316"/>
        <w:spacing w:after="0" w:line="231"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concern as to the safety or effectiveness of any of our marketed products or product candidates or new indications for our marketed products;</w:t>
      </w:r>
    </w:p>
    <w:p>
      <w:pPr>
        <w:spacing w:after="0" w:line="16" w:lineRule="exact"/>
        <w:rPr>
          <w:rFonts w:ascii="Times New Roman" w:cs="Times New Roman" w:eastAsia="Times New Roman" w:hAnsi="Times New Roman"/>
          <w:sz w:val="17"/>
          <w:szCs w:val="17"/>
          <w:color w:val="auto"/>
        </w:rPr>
      </w:pPr>
    </w:p>
    <w:p>
      <w:pPr>
        <w:ind w:left="640" w:hanging="316"/>
        <w:spacing w:after="0" w:line="245"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outbreaks, epidemics, or pandemics (such as the COVID-19 pandemic) on our business;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7"/>
          <w:szCs w:val="17"/>
          <w:i w:val="1"/>
          <w:iCs w:val="1"/>
          <w:color w:val="auto"/>
        </w:rPr>
        <w:t>Future sales of our Common Stock by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shareholders or us may depress our stock price and impair our ability to raise funds in new share offerings</w:t>
      </w:r>
      <w:r>
        <w:rPr>
          <w:rFonts w:ascii="Times New Roman" w:cs="Times New Roman" w:eastAsia="Times New Roman" w:hAnsi="Times New Roman"/>
          <w:sz w:val="17"/>
          <w:szCs w:val="17"/>
          <w:color w:val="auto"/>
        </w:rPr>
        <w:t>" below, a large percentage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A small number of our shareholders beneficially own a substantial amount of our Common Stock. As of December 31, 2023, our five largest shareholders plus Dr. Schleifer, our Chief Executive Officer, beneficially owned approximately 39.3% of our outstanding shares of Common Stock, assuming, in the case of our Chief Executive Officer, the conversion of his Class A Stock into Common Stock and the exercise of all options held by him which are exercisable within 60 days of December 31, 2023.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Common Stock or that we will repurchase shares at favorable prices.</w:t>
      </w:r>
    </w:p>
    <w:p>
      <w:pPr>
        <w:spacing w:after="0" w:line="1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January 2023, our board of directors authorized a share repurchase program to repurchase up to $3.0 billion of our Common Stock (of which $1.531 billion remained available as of December 31, 2023). There can be no assurance of any future share repurchases or share repurchase program authorizations. Any share repurchases will depend upon, among other factors, our cash balances and potential future capital requirements, our results of operations and financial condition, the price of our Common Stock on the NASDAQ Global Select Market, and other factors that we may deem relevant. We can provide no assurance that we will repurchase shares of our Common Stock at favorable prices, if at all.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December 31, 2023, holders of Class A Stock held 14.5%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2023:</w:t>
      </w:r>
    </w:p>
    <w:p>
      <w:pPr>
        <w:spacing w:after="0" w:line="106" w:lineRule="exact"/>
        <w:rPr>
          <w:sz w:val="20"/>
          <w:szCs w:val="20"/>
          <w:color w:val="auto"/>
        </w:rPr>
      </w:pPr>
    </w:p>
    <w:p>
      <w:pPr>
        <w:jc w:val="both"/>
        <w:ind w:left="640" w:hanging="316"/>
        <w:spacing w:after="0" w:line="251"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6.1% of our outstanding shares of Common Stock, assuming conversion of their Class A Stock into Common Stock and the exercise of all options held by such persons which are exercisable within 60 days of December 31, 2023, and 17.7% of the combined voting power of our outstanding shares of Common Stock and Class A Stock, assuming the exercise of all options held by such persons which are exercisable within 60 days of December 31, 2023; and</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7"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39.3% of our outstanding shares of Common Stock, assuming, in the case of our Chief Executive Officer, the conversion of his Class A Stock into Common Stock and the exercise of all options held by him which are exercisable within 60 days December 31, 2023. In addition, these five shareholders plus our Chief Executive Officer held approximately 46.5% of the combined voting power of our outstanding shares of Common Stock and Class A Stock, assuming the exercise of all options held by our Chief Executive Officer which are exercisable within 60 days of December 31, 2023.</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4" w:lineRule="exact"/>
        <w:rPr>
          <w:sz w:val="20"/>
          <w:szCs w:val="20"/>
          <w:color w:val="auto"/>
        </w:rPr>
      </w:pPr>
    </w:p>
    <w:p>
      <w:pPr>
        <w:ind w:left="640" w:hanging="316"/>
        <w:spacing w:after="0" w:line="257"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7"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substantial influence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matters requiring shareholder approval and over our management.</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Further, certain of our current or former collaborators are currently bound by "standstill" provisions under their respective agreements with us. These include the January 2014 amended and restated investor agreement between us and Sanofi, as amended, which contractually prohibits Sanofi from seeking to directly or indirectly exert control of our Company or acquiring more than 30% of our Class A Stock and Common Stock, taken together.</w:t>
      </w:r>
    </w:p>
    <w:p>
      <w:pPr>
        <w:spacing w:after="0" w:line="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regularly assess risks from cybersecurity threats; monitor our information systems for potential vulnerabilities; and test those systems pursuant to our cybersecurity policies, processes, and practices, which are integrated into our overall risk management program. To protect our information systems from cybersecurity threats, we use various security tools that are designed to help identify, escalate, investigate, resolve, and recover from security incidents in a timely manner. Our Technology Risk Management Committee, which is comprised of representatives from our business operations and support functions (e.g., legal, finance, internal audit, commercial, privacy), assesses risks based on probability and potential impact to key business systems and processes. Risks that are considered high are incorporated into our overall risk management program. A mitigation plan is developed for each identified high risk, with progress reported to the Technology Risk Management Committee and tracked as part of our overall risk management program overseen by the Audit Committee of our board of directors.</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collaborate with third parties to assess the effectiveness of our cybersecurity prevention and response systems and processes. These include cybersecurity assessors, consultants, and other external cybersecurity experts to assist in the identification, verification, and validation of cybersecurity risks, as well as to support associated mitigation plans when necessary. We have also</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developed a third-party cybersecurity risk management process to conduct due diligence on external entities, including those that perform cybersecurity services.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Cybersecurity threats, including those resulting from any previous cybersecurity incidents, have not materially affected our Company, including our business strategy, results of operations, or financial condition. We do not believe that cybersecurity threats resulting from any previous cybersecurity incidents of which we are aware are reasonably likely to materially affect our Company. Refer to the risk factor captioned "</w:t>
      </w:r>
      <w:r>
        <w:rPr>
          <w:rFonts w:ascii="Times New Roman" w:cs="Times New Roman" w:eastAsia="Times New Roman" w:hAnsi="Times New Roman"/>
          <w:sz w:val="18"/>
          <w:szCs w:val="18"/>
          <w:i w:val="1"/>
          <w:iCs w:val="1"/>
          <w:color w:val="auto"/>
        </w:rPr>
        <w:t>Significant disruptions of information technology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systems or breaches of data security could adversely affect our business</w:t>
      </w:r>
      <w:r>
        <w:rPr>
          <w:rFonts w:ascii="Times New Roman" w:cs="Times New Roman" w:eastAsia="Times New Roman" w:hAnsi="Times New Roman"/>
          <w:sz w:val="18"/>
          <w:szCs w:val="18"/>
          <w:color w:val="auto"/>
        </w:rPr>
        <w:t>" in Part I, Item 1A. "Risk Factors" for additional description of cybersecurity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potential related impacts on our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of directors oversees our risk management process, including as it pertains to cybersecurity risks, directly and through its committees. The Audit Committee of the board oversees our risk management program, which focuses on the most significant risks we face in the short-, intermediate-, and long-term timeframe. Audit Committee meetings include discussions of specific risk areas throughout the year, including, among others, those relating to cybersecurity threats, and reports from the Chief Audit Executive on our enterprise risk profile on an annual basis. The Audit Committee reviews our cybersecurity risk profile with management on a periodic basis using key performance and/or risk indicators. These key performance indicators are metrics and measurements designed to assess the effectiveness of our cybersecurity program in the prevention, detection, mitigation, and remediation of cybersecurity incidents.</w:t>
      </w:r>
    </w:p>
    <w:p>
      <w:pPr>
        <w:spacing w:after="0" w:line="1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take a risk-based approach to cybersecurity and have implemented cybersecurity policies throughout our operations that are designed to address cybersecurity threats and incidents. The Company's Chief Information Security Officer ("CISO"), in coordination with the Chief Information Officer and the Technology Risk Management Committee, is responsible for the establishment and maintenance of our cybersecurity program, as well as the assessment and management of cybersecurity risks. The current CISO has over 35 years of experience in information security and possesses the requisite education, skills, experience, and industry certifications expected of an individual assigned to these duties. The CISO provides periodic updates on our cybersecurity risk profile to management's Technology Risk Management Committee, the Audit Committee of our board of directors, and the Audit Committee chair.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conduct our research, development, manufacturing, and administrative activities at our owned and leased facilities. A summary of our significant owned and leased properties is provided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At our Tarrytown, New York location, we lease approximately 1,467,000 square feet of laboratory and office space. Refer to Part II, Item 7. "Management's Discussion and Analysis of Financial Condition and Results of Operations - Liquidity and Capital Resources - </w:t>
      </w:r>
      <w:r>
        <w:rPr>
          <w:rFonts w:ascii="Times New Roman" w:cs="Times New Roman" w:eastAsia="Times New Roman" w:hAnsi="Times New Roman"/>
          <w:sz w:val="18"/>
          <w:szCs w:val="18"/>
          <w:i w:val="1"/>
          <w:iCs w:val="1"/>
          <w:color w:val="auto"/>
        </w:rPr>
        <w:t>Tarrytown, New York Leases</w:t>
      </w:r>
      <w:r>
        <w:rPr>
          <w:rFonts w:ascii="Times New Roman" w:cs="Times New Roman" w:eastAsia="Times New Roman" w:hAnsi="Times New Roman"/>
          <w:sz w:val="18"/>
          <w:szCs w:val="18"/>
          <w:color w:val="auto"/>
        </w:rPr>
        <w:t>" for further details. We also own an approximate 100-acre parcel of land adjacent to our Tarrytown, New York location, which we are in the process of developing, primarily in connection with expanding our research and support facilities to accommodate our growth.</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Rensselaer, New York</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own facilities in Rensselaer, New York totaling approximately 1,260,000 square feet of manufacturing, research, office, and warehouse space. In addition, we have constructed an approximately 341,000 square foot fill/finish facility in Rensselaer, New York that is undergoing process validation as required by regulatory authorities.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Limerick, Ireland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own a facility in Limerick, Ireland totaling approximately 555,000 square feet of manufacturing, warehouse, laboratory, and office space.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16 to our Consolidated Financial Statements included in this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Registrant's Common Equity</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Common Stock, par value $.001 per share, is quoted on The NASDAQ Global Select Market under the symbol "REGN." Our Class A Stock, par value $.001 per share, is not publicly quoted or traded.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25, 2024, there were 153 shareholders of record of our Common Stock and 14 shareholders of record of our Class A Stock.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cash dividends on our Common Stock or Class A Stock and do not currently have plans to do so.</w:t>
      </w:r>
    </w:p>
    <w:p>
      <w:pPr>
        <w:spacing w:after="0" w:line="14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Set forth below is a line graph comparing the cumulative total shareholder return on Regeneron's Common Stock with the cumulative total return of (i) the NASDAQ US Benchmark Pharmaceuticals Total Return Index ("NQ US Pharma TR Index"), and (ii) Standard &amp; Poor's 500 Stock Index ("S&amp;P 500") for the period from December 31, 2018 through December 31, 2023. The comparison assumes that $100 was invested on December 31, 2018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86995</wp:posOffset>
            </wp:positionV>
            <wp:extent cx="5737860" cy="3365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37860" cy="336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32"/>
        </w:trPr>
        <w:tc>
          <w:tcPr>
            <w:tcW w:w="37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12/31/2018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12/31/2019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12/31/2020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9"/>
              </w:rPr>
              <w:t>12/31/2021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7"/>
              </w:rPr>
              <w:t>12/31/2022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7"/>
              </w:rPr>
              <w:t>12/31/2023</w:t>
            </w:r>
          </w:p>
        </w:tc>
      </w:tr>
      <w:tr>
        <w:trPr>
          <w:trHeight w:val="218"/>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235.15</w:t>
            </w:r>
          </w:p>
        </w:tc>
      </w:tr>
      <w:tr>
        <w:trPr>
          <w:trHeight w:val="225"/>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190.27</w:t>
            </w:r>
          </w:p>
        </w:tc>
      </w:tr>
      <w:tr>
        <w:trPr>
          <w:trHeight w:val="22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NQ US Pharma TR Index</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182.08</w:t>
            </w:r>
          </w:p>
        </w:tc>
      </w:tr>
    </w:tbl>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December 31, 2023. Refer to Part II, Item 7. "Management's Discussion and Analysis of Financial Condition and Results of Operations - Liquidity and Capital Resources" for further details of our share repurchase programs.</w:t>
      </w:r>
    </w:p>
    <w:p>
      <w:pPr>
        <w:spacing w:after="0" w:line="17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300" w:type="dxa"/>
            <w:vAlign w:val="bottom"/>
          </w:tcPr>
          <w:p>
            <w:pPr>
              <w:spacing w:after="0"/>
              <w:rPr>
                <w:sz w:val="17"/>
                <w:szCs w:val="17"/>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Approximate Dollar Value</w:t>
            </w: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6"/>
              </w:rPr>
              <w:t>of Shares that May Yet Be</w:t>
            </w:r>
          </w:p>
        </w:tc>
        <w:tc>
          <w:tcPr>
            <w:tcW w:w="0" w:type="dxa"/>
            <w:vAlign w:val="bottom"/>
          </w:tcPr>
          <w:p>
            <w:pPr>
              <w:spacing w:after="0"/>
              <w:rPr>
                <w:sz w:val="1"/>
                <w:szCs w:val="1"/>
                <w:color w:val="auto"/>
              </w:rPr>
            </w:pPr>
          </w:p>
        </w:tc>
      </w:tr>
      <w:tr>
        <w:trPr>
          <w:trHeight w:val="172"/>
        </w:trPr>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Average Price Paid</w:t>
            </w:r>
          </w:p>
        </w:tc>
        <w:tc>
          <w:tcPr>
            <w:tcW w:w="190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Purchased as Part of</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jc w:val="center"/>
              <w:ind w:right="52"/>
              <w:spacing w:after="0" w:line="172" w:lineRule="exact"/>
              <w:rPr>
                <w:sz w:val="20"/>
                <w:szCs w:val="20"/>
                <w:color w:val="auto"/>
              </w:rPr>
            </w:pPr>
            <w:r>
              <w:rPr>
                <w:rFonts w:ascii="Times New Roman" w:cs="Times New Roman" w:eastAsia="Times New Roman" w:hAnsi="Times New Roman"/>
                <w:sz w:val="18"/>
                <w:szCs w:val="18"/>
                <w:b w:val="1"/>
                <w:bCs w:val="1"/>
                <w:color w:val="auto"/>
                <w:w w:val="98"/>
              </w:rPr>
              <w:t>Purchased Under the</w:t>
            </w:r>
          </w:p>
        </w:tc>
        <w:tc>
          <w:tcPr>
            <w:tcW w:w="0" w:type="dxa"/>
            <w:vAlign w:val="bottom"/>
          </w:tcPr>
          <w:p>
            <w:pPr>
              <w:spacing w:after="0"/>
              <w:rPr>
                <w:sz w:val="1"/>
                <w:szCs w:val="1"/>
                <w:color w:val="auto"/>
              </w:rPr>
            </w:pPr>
          </w:p>
        </w:tc>
      </w:tr>
      <w:tr>
        <w:trPr>
          <w:trHeight w:val="185"/>
        </w:trPr>
        <w:tc>
          <w:tcPr>
            <w:tcW w:w="23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900" w:type="dxa"/>
            <w:vAlign w:val="bottom"/>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center"/>
              <w:ind w:right="112"/>
              <w:spacing w:after="0" w:line="186" w:lineRule="exact"/>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225"/>
        </w:trPr>
        <w:tc>
          <w:tcPr>
            <w:tcW w:w="2360" w:type="dxa"/>
            <w:vAlign w:val="bottom"/>
            <w:gridSpan w:val="2"/>
            <w:vMerge w:val="continue"/>
          </w:tcPr>
          <w:p>
            <w:pPr>
              <w:spacing w:after="0"/>
              <w:rPr>
                <w:sz w:val="19"/>
                <w:szCs w:val="19"/>
                <w:color w:val="auto"/>
              </w:rPr>
            </w:pPr>
          </w:p>
        </w:tc>
        <w:tc>
          <w:tcPr>
            <w:tcW w:w="190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center"/>
              <w:ind w:right="92"/>
              <w:spacing w:after="0"/>
              <w:rPr>
                <w:sz w:val="20"/>
                <w:szCs w:val="20"/>
                <w:color w:val="auto"/>
              </w:rPr>
            </w:pPr>
            <w:r>
              <w:rPr>
                <w:rFonts w:ascii="Times New Roman" w:cs="Times New Roman" w:eastAsia="Times New Roman" w:hAnsi="Times New Roman"/>
                <w:sz w:val="18"/>
                <w:szCs w:val="18"/>
                <w:i w:val="1"/>
                <w:iCs w:val="1"/>
                <w:color w:val="auto"/>
                <w:w w:val="98"/>
              </w:rPr>
              <w:t>(In millions)</w:t>
            </w:r>
          </w:p>
        </w:tc>
        <w:tc>
          <w:tcPr>
            <w:tcW w:w="0" w:type="dxa"/>
            <w:vAlign w:val="bottom"/>
          </w:tcPr>
          <w:p>
            <w:pPr>
              <w:spacing w:after="0"/>
              <w:rPr>
                <w:sz w:val="1"/>
                <w:szCs w:val="1"/>
                <w:color w:val="auto"/>
              </w:rPr>
            </w:pPr>
          </w:p>
        </w:tc>
      </w:tr>
      <w:tr>
        <w:trPr>
          <w:trHeight w:val="218"/>
        </w:trPr>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11/1/2023–11/30/2023</w:t>
            </w:r>
          </w:p>
        </w:tc>
        <w:tc>
          <w:tcPr>
            <w:tcW w:w="3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272,952</w:t>
            </w: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802.55</w:t>
            </w:r>
          </w:p>
        </w:tc>
        <w:tc>
          <w:tcPr>
            <w:tcW w:w="3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269,976</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1,609.1</w:t>
            </w:r>
          </w:p>
        </w:tc>
        <w:tc>
          <w:tcPr>
            <w:tcW w:w="0" w:type="dxa"/>
            <w:vAlign w:val="bottom"/>
          </w:tcPr>
          <w:p>
            <w:pPr>
              <w:spacing w:after="0"/>
              <w:rPr>
                <w:sz w:val="1"/>
                <w:szCs w:val="1"/>
                <w:color w:val="auto"/>
              </w:rPr>
            </w:pPr>
          </w:p>
        </w:tc>
      </w:tr>
      <w:tr>
        <w:trPr>
          <w:trHeight w:val="225"/>
        </w:trPr>
        <w:tc>
          <w:tcPr>
            <w:tcW w:w="2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12/1/2023–12/31/2023</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558,642</w:t>
            </w:r>
          </w:p>
        </w:tc>
        <w:tc>
          <w:tcPr>
            <w:tcW w:w="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849.22</w:t>
            </w:r>
          </w:p>
        </w:tc>
        <w:tc>
          <w:tcPr>
            <w:tcW w:w="3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93,108</w:t>
            </w:r>
          </w:p>
        </w:tc>
        <w:tc>
          <w:tcPr>
            <w:tcW w:w="5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0" w:type="dxa"/>
            <w:vAlign w:val="bottom"/>
          </w:tcPr>
          <w:p>
            <w:pPr>
              <w:spacing w:after="0"/>
              <w:rPr>
                <w:sz w:val="1"/>
                <w:szCs w:val="1"/>
                <w:color w:val="auto"/>
              </w:rPr>
            </w:pPr>
          </w:p>
        </w:tc>
      </w:tr>
      <w:tr>
        <w:trPr>
          <w:trHeight w:val="218"/>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831,594</w:t>
            </w:r>
          </w:p>
        </w:tc>
        <w:tc>
          <w:tcPr>
            <w:tcW w:w="42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1"/>
                <w:szCs w:val="11"/>
                <w:color w:val="auto"/>
                <w:w w:val="97"/>
              </w:rPr>
              <w:t>(a)</w:t>
            </w:r>
          </w:p>
        </w:tc>
        <w:tc>
          <w:tcPr>
            <w:tcW w:w="1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363,084</w:t>
            </w:r>
          </w:p>
        </w:tc>
        <w:tc>
          <w:tcPr>
            <w:tcW w:w="50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1"/>
                <w:szCs w:val="11"/>
                <w:color w:val="auto"/>
              </w:rPr>
              <w:t>(a)</w:t>
            </w: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hanging="159"/>
        <w:spacing w:after="0"/>
        <w:tabs>
          <w:tab w:leader="none" w:pos="54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difference between the total number of shares purchased and the total number of shares purchased as part of publicly announced programs relates to Common</w:t>
      </w:r>
    </w:p>
    <w:p>
      <w:pPr>
        <w:ind w:left="380" w:right="200"/>
        <w:spacing w:after="0" w:line="227"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Stock withheld by us for employees to satisfy their tax withholding obligations arising upon the vesting of restricted stock granted under one of our long-term incentive plans.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and Results of Operations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consolidated financial statements and related notes included elsewhere in this report. Refer to Part II, Item 7 in our Annual Report on Form 10-K for the fiscal year ended December 31, 2022 (filed with the SEC on February 6, 2023) for additional discussion of our financial condition and results of operations for the year ended December 31, 2021, as well as our financial condition and results of operations for the year ended December 31, 2022 compared to the year ended December 31, 2021.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research and development efforts have led to eleven FDA-approved products that have received marketing approval and approximately 35 product candidates in clinical development, almost all of which were homegrown in our laboratories.</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continued success in commercializing EYLEA and Dupixent, as well as whether we are successful in commercializing EYLEA HD. We expect to continue to incur substantial expenses related to our research and development activities, a portion of which we expect to be reimbursed by our collaborators. In addition, our research and development activities and related costs which are not reimbursed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("GAAP") requires management to make estimates and assumptions that affect reported amounts and related disclosures in the financial statements. Critical accounting estimates are those estimates made in accordance with GAAP that involve a significant level of estimation uncertainty and have had or are reasonably likely to have a material impact on our results of operations or financial condition.</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recognize revenue from product sales at a point in time when our customer is deemed to have obtained control of the product, which generally occurs upon receipt or acceptance by our customer. The amount of revenue we recognize from product sales may vary due to rebates, chargebacks, and discounts provided under governmental and other programs, distribution-related fees, and other sales-related deductions. In order to determine the transaction price, we estimate, utilizing the expected value method, the amount of variable consideration to which we will be entitled. This estimate is based upon contracts with customers, healthcare providers, payors and government agencies, statutorily-defined discounts applicable to government-funded programs, historical experience, estimated payor mix, and other relevant factors. Calculating these provisions involves estimates and judgments. We review our estimates of rebates, chargebacks, and other applicable provisions each period and record any necessary adjustments in the current period's net product sales. Refer to the "Results of Operations - Revenues - Net Product Sales" section below for further details regarding our provisions, and credits/payments, for sales-related deductions.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have entered into various collaborative arrangements to research, develop, manufacture, and commercialize products and/or product candidates. Our collaboration agreements may require us to deliver various rights, services, and/or goods across the entire life cycle of a product or product candidate. In agreements involving multiple goods or services promised to be transferred to our collaborator, we assess, at the inception of the contract, whether each promise represents a separate obligation (i.e., is "distinct"), or whether such promises should be combined as a single unit of account. When we have a combined unit of account which includes a license and providing research and development services to our collaborator, recognition of up-front payments and development milestones earned from our collaborator is deferred (as a liability) and recognized over the development period (i.e., over time) typically using an input method on the basis of our research and development costs incurred relative to the total expected cost which determines the extent of our progress toward completion. We review our estimates each period and make revisions to such estimates as necessary. Due to the variability in the scope of activities and length of time necessary to develop a drug product, potential delays in development programs, changes to development plans and budgets as programs progress, including if we and our collaborators decide to expand or contract our clinical plans for a drug candidate in various disease indications, and uncertainty in the ultimate requirements to obtain governmental approval for commercialization, revisions to our estimates are likely to occur periodically, potentially resulting in material changes to amounts recognized.</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collaborator performs research and development work or commercialization-related activities and the parties share the related costs, we also recognize, as expense (e.g., research and development expense or selling, general and administrative expense, as applicable) in the period when our collaborator incurs such expenses, the portion of the collaborator's expenses that we are obligated to reimburse. Our collaborators provide us with estimated expenses for the most recent fiscal quarter. The estimates are revised, if necessary, in subsequent periods if actual expenses differ from those estimates.</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Under certain of the Company's collaboration agreements, product sales and cost of sales may be recorded by the Company's collaborators as they are deemed to be the principal in the transaction. In arrangements where we:</w:t>
      </w:r>
    </w:p>
    <w:p>
      <w:pPr>
        <w:spacing w:after="0" w:line="97" w:lineRule="exact"/>
        <w:rPr>
          <w:sz w:val="20"/>
          <w:szCs w:val="20"/>
          <w:color w:val="auto"/>
        </w:rPr>
      </w:pPr>
    </w:p>
    <w:p>
      <w:pPr>
        <w:jc w:val="both"/>
        <w:ind w:left="640" w:hanging="316"/>
        <w:spacing w:after="0" w:line="253"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commercial product to our collaborator, we may be reimbursed for our manufacturing costs as commercial product is shipped to the collaborator (however, recognition of such cost reimbursements may be deferred until the product is sold by our collaborator to third-party customers);</w:t>
      </w:r>
    </w:p>
    <w:p>
      <w:pPr>
        <w:jc w:val="both"/>
        <w:ind w:left="640" w:hanging="316"/>
        <w:spacing w:after="0" w:line="245"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in any profits or losses arising from the commercialization of such products, we record our share of the variable consideration, representing net product sales less cost of goods sold and shared commercialization and other expenses, in the period in which such underlying sales occur and costs are incurred by the collaborator;</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royalties and/or sales-based milestone payments from our collaborator, we recognize such amounts in the period earned.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Our collaborators provide us with estimates of product sales and our share of profits or losses, as applicable, for each quarter. The estimates are revised, if necessary, in subsequent periods if our actual share of profits or losses differ from those estimates.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recognize stock-based compensation expense for equity grants under our long-term incentive plans to employees and non-employee members of our board of directors (as applicable) based on the grant-date fair value of those awards. The grant-date fair value of an award is generally recognized as compensation expense over the award's requisite service period. Stock-based compensation expense also includes an estimate, which is made at the time of grant, of the number of awards that are expected to be forfeited. This estimate is revised, if necessary, in subsequent periods if actual forfeitures differ from those estimates. In addition, we reassess our forfeiture rate assumptions at least annually, considering both historical forfeiture experience and an estimate of future forfeitures for currently outstanding unvested awards. The assumptions used in computing the fair value of equity awards reflect our best estimates but involve uncertainties related to market and other conditions, many of which are outside our control. Changes in any of these assumptions may materially affect the fair value of awards granted and the amount of stock-based compensation recognized in future periods.</w:t>
      </w:r>
    </w:p>
    <w:p>
      <w:pPr>
        <w:spacing w:after="0" w:line="1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is estimated based on actual movements in our stock price over the most recent historical periods equivalent to the options' expected lives. Expected lives are principally based on our historical exercise experience with previously issued employee and board of director option grants. The expected dividend yield is zero as we have never paid dividends and do not currently have plans to do so.</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use a Monte Carlo simulation to compute the estimated fair value of performance-based restricted stock units that are subject to vesting based on the Company's attainment of pre-established criteria that include a market condition.</w:t>
      </w:r>
    </w:p>
    <w:p>
      <w:pPr>
        <w:spacing w:after="0" w:line="8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performance-based restricted stock units that contain a performance condition, we recognize stock-based compensation expense if and when we determine that it is probable the performance condition will be achieved (based on the number of shares expected to be vested and issued). We reassess the probability of achievement at each reporting period and adjust compensation cost, as necessary. If there are any changes in our probability assessment, we recognize a cumulative catch-up adjustment in the period of the change in estimate, with the remaining unrecognized expense recognized prospectively over the remaining requisite service period. If we subsequently determine that the performance criteria are not met or are not expected to be met, any amounts previously recognized as compensation expense are reversed in the period when such determination is made.</w:t>
      </w:r>
    </w:p>
    <w:p>
      <w:pPr>
        <w:spacing w:after="0" w:line="1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Note 13 to our Consolidated Financial Statements for stock-based compensation expense and related assumptions used in determining the fair value of our awards.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recognize deferred tax assets and liabilities for the expected future tax consequences of events that have been included in the financial statements or tax returns, including deferred tax assets and liabilities for expected amounts of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all available evidence, including scheduled reversals of deferred tax liabilities, projected future taxable income, tax planning strategies, results of recent operations, and our historical earnings experience by taxing jurisdiction. Significant judgment is required in making this assessment.</w:t>
      </w:r>
    </w:p>
    <w:p>
      <w:pPr>
        <w:spacing w:after="0" w:line="12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recognize the financial statement effects of a tax position when our assessment is that there is more than a 50% probability that the position will be sustained upon examination by a taxing authority based upon its technical merits. Uncertain tax positions are recorded based upon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We adjust the amount of the liability to reflect any subsequent changes in the relevant facts and circumstances surrounding the uncertain tax positions.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periodically analyze our inventory levels to identify inventory that may expire prior to expected sale or has a cost basis in excess of its estimated realizable value, and write 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write down such inventory to its estimated realizable value.</w:t>
      </w:r>
    </w:p>
    <w:p>
      <w:pPr>
        <w:spacing w:after="0" w:line="114" w:lineRule="exact"/>
        <w:rPr>
          <w:sz w:val="20"/>
          <w:szCs w:val="20"/>
          <w:color w:val="auto"/>
        </w:rPr>
      </w:pPr>
    </w:p>
    <w:p>
      <w:pPr>
        <w:ind w:right="1380"/>
        <w:spacing w:after="0" w:line="407" w:lineRule="auto"/>
        <w:rPr>
          <w:sz w:val="20"/>
          <w:szCs w:val="20"/>
          <w:color w:val="auto"/>
        </w:rPr>
      </w:pPr>
      <w:r>
        <w:rPr>
          <w:rFonts w:ascii="Times New Roman" w:cs="Times New Roman" w:eastAsia="Times New Roman" w:hAnsi="Times New Roman"/>
          <w:sz w:val="18"/>
          <w:szCs w:val="18"/>
          <w:color w:val="auto"/>
        </w:rPr>
        <w:t xml:space="preserve">See "Results of Operations - Expenses - Cost of Goods Sold" below for further information related to our inventory write-offs and reserves. </w:t>
      </w:r>
      <w:r>
        <w:rPr>
          <w:rFonts w:ascii="Times New Roman" w:cs="Times New Roman" w:eastAsia="Times New Roman" w:hAnsi="Times New Roman"/>
          <w:sz w:val="18"/>
          <w:szCs w:val="18"/>
          <w:b w:val="1"/>
          <w:bCs w:val="1"/>
          <w:i w:val="1"/>
          <w:iCs w:val="1"/>
          <w:color w:val="auto"/>
        </w:rPr>
        <w:t>Acquisitions</w:t>
      </w:r>
    </w:p>
    <w:p>
      <w:pPr>
        <w:jc w:val="both"/>
        <w:spacing w:after="0" w:line="267" w:lineRule="auto"/>
        <w:rPr>
          <w:sz w:val="20"/>
          <w:szCs w:val="20"/>
          <w:color w:val="auto"/>
        </w:rPr>
      </w:pPr>
      <w:r>
        <w:rPr>
          <w:rFonts w:ascii="Times New Roman" w:cs="Times New Roman" w:eastAsia="Times New Roman" w:hAnsi="Times New Roman"/>
          <w:sz w:val="17"/>
          <w:szCs w:val="17"/>
          <w:color w:val="auto"/>
        </w:rPr>
        <w:t>We make certain judgments to determine whether a transaction should be accounted for as a business combination or as an asset acquisition. In a business combination, the acquisition method of accounting generally requires that the assets acquired and liabilities assumed be recorded as of the date of the acquisition at their respective fair values. There can be significant judgment involved in determining the estimated fair values of such assets and liabilities. Amounts allocated to acquired in-process research and development are capitalized as indefinite-lived intangible assets. Any excess of the purchase price (consideration transferred) over the fair values of net assets acquired is recorded as goodwill. In a business combination, contingent consideration obligations are recorded at fair value as of the acquisition date and remeasured each subsequent reporting period until the contingencies have been resolved. The fair value of contingent consideration liabilities is determined using inputs that may include the probability of achieving certain milestones and estimated discount rates.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it is determined that the assets acquired do not meet the definition of a business, or if substantially all of the fair value of the assets acquired are concentrated in a single identifiable asset, then the transaction is accounted for as an asset acquisition rather than a business combination. In an asset acquisition, assets acquired are recorded at cost, goodwill is not recorded, and acquired in-process research and development with no alternative future use is charged to expense.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recorded at fair value, while intangible assets acquired in connection with an asset acquisition are recorded at cost.</w:t>
      </w:r>
    </w:p>
    <w:p>
      <w:pPr>
        <w:spacing w:after="0" w:line="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Payments to acquire intangible assets in an asset acquisition may include up-front payments and contingent consideration. With regard to contingent consideration in an asset acquisition, the Company recognizes regulatory milestones upon achievement, royalties in the period in which the underlying sales occur, and sales-based milestones when the milestone is deemed probable by the Company of being achieved. If contingent consideration is recognized subsequent to the acquisition date in an asset acquisition, the amount of such consideration is recorded as an addition to the cost basis of the intangible asset with a cumulative catch-up adjustment for amortization expense as if the additional amount of consideration had been accrued from the outset of the acquisition.</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Indefinite-lived intangible assets are subject to impairment testing until completion or abandonment of the associated research and development efforts. Definite-lived intangible assets are amortized over the estimated useful lives of the assets based on the pattern in which the economic benefits of the intangible assets are consumed; if that pattern cannot be reliably determined, a straight-line basis is used.</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are reviewed for recoverability whenever events or changes in circumstances (e.g., changes in economic, regulatory, or legal conditions) indicate that the carrying amount of the asset may not be recoverable. If an indicator of impairment exists, we compare the projected undiscounted cash flows to be generated by the asset to the intangible asset's carrying amount. If the projected undiscounted cash flows of the intangible asset are less than the carrying amount, the intangible asset is written down to its fair value in the period in which the impairment occurs.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accrue, based on management's judgment, for an estimated loss when the potential loss from claims or legal proceedings is considered probable and the amount can be reasonably estimated. As additional information becomes available, or, based on specific events such as the outcome of litigation or settlement of claims, we reassess the potential liability related to pending claims and litigation, and may change our estimates.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1620" w:type="dxa"/>
            <w:vAlign w:val="bottom"/>
          </w:tcPr>
          <w:p>
            <w:pPr>
              <w:spacing w:after="0"/>
              <w:rPr>
                <w:sz w:val="20"/>
                <w:szCs w:val="20"/>
                <w:color w:val="auto"/>
              </w:rPr>
            </w:pPr>
          </w:p>
        </w:tc>
      </w:tr>
      <w:tr>
        <w:trPr>
          <w:trHeight w:val="218"/>
        </w:trPr>
        <w:tc>
          <w:tcPr>
            <w:tcW w:w="1620" w:type="dxa"/>
            <w:vAlign w:val="bottom"/>
          </w:tcPr>
          <w:p>
            <w:pPr>
              <w:spacing w:after="0"/>
              <w:rPr>
                <w:sz w:val="19"/>
                <w:szCs w:val="19"/>
                <w:color w:val="auto"/>
              </w:rPr>
            </w:pPr>
          </w:p>
        </w:tc>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20" w:type="dxa"/>
            <w:vAlign w:val="bottom"/>
          </w:tcPr>
          <w:p>
            <w:pPr>
              <w:spacing w:after="0"/>
              <w:rPr>
                <w:sz w:val="19"/>
                <w:szCs w:val="19"/>
                <w:color w:val="auto"/>
              </w:rPr>
            </w:pPr>
          </w:p>
        </w:tc>
      </w:tr>
      <w:tr>
        <w:trPr>
          <w:trHeight w:val="218"/>
        </w:trPr>
        <w:tc>
          <w:tcPr>
            <w:tcW w:w="162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16,071.7</w:t>
            </w:r>
          </w:p>
        </w:tc>
        <w:tc>
          <w:tcPr>
            <w:tcW w:w="1620" w:type="dxa"/>
            <w:vAlign w:val="bottom"/>
          </w:tcPr>
          <w:p>
            <w:pPr>
              <w:spacing w:after="0"/>
              <w:rPr>
                <w:sz w:val="19"/>
                <w:szCs w:val="19"/>
                <w:color w:val="auto"/>
              </w:rPr>
            </w:pPr>
          </w:p>
        </w:tc>
      </w:tr>
      <w:tr>
        <w:trPr>
          <w:trHeight w:val="225"/>
        </w:trPr>
        <w:tc>
          <w:tcPr>
            <w:tcW w:w="1620" w:type="dxa"/>
            <w:vAlign w:val="bottom"/>
          </w:tcPr>
          <w:p>
            <w:pPr>
              <w:spacing w:after="0"/>
              <w:rPr>
                <w:sz w:val="19"/>
                <w:szCs w:val="19"/>
                <w:color w:val="auto"/>
              </w:rPr>
            </w:pPr>
          </w:p>
        </w:tc>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7,124.9</w:t>
            </w:r>
          </w:p>
        </w:tc>
        <w:tc>
          <w:tcPr>
            <w:tcW w:w="1620" w:type="dxa"/>
            <w:vAlign w:val="bottom"/>
          </w:tcPr>
          <w:p>
            <w:pPr>
              <w:spacing w:after="0"/>
              <w:rPr>
                <w:sz w:val="19"/>
                <w:szCs w:val="19"/>
                <w:color w:val="auto"/>
              </w:rPr>
            </w:pPr>
          </w:p>
        </w:tc>
      </w:tr>
      <w:tr>
        <w:trPr>
          <w:trHeight w:val="218"/>
        </w:trPr>
        <w:tc>
          <w:tcPr>
            <w:tcW w:w="162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8,946.8</w:t>
            </w:r>
          </w:p>
        </w:tc>
        <w:tc>
          <w:tcPr>
            <w:tcW w:w="1620" w:type="dxa"/>
            <w:vAlign w:val="bottom"/>
          </w:tcPr>
          <w:p>
            <w:pPr>
              <w:spacing w:after="0"/>
              <w:rPr>
                <w:sz w:val="19"/>
                <w:szCs w:val="19"/>
                <w:color w:val="auto"/>
              </w:rPr>
            </w:pPr>
          </w:p>
        </w:tc>
      </w:tr>
      <w:tr>
        <w:trPr>
          <w:trHeight w:val="225"/>
        </w:trPr>
        <w:tc>
          <w:tcPr>
            <w:tcW w:w="1620" w:type="dxa"/>
            <w:vAlign w:val="bottom"/>
          </w:tcPr>
          <w:p>
            <w:pPr>
              <w:spacing w:after="0"/>
              <w:rPr>
                <w:sz w:val="19"/>
                <w:szCs w:val="19"/>
                <w:color w:val="auto"/>
              </w:rPr>
            </w:pPr>
          </w:p>
        </w:tc>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620" w:type="dxa"/>
            <w:vAlign w:val="bottom"/>
          </w:tcPr>
          <w:p>
            <w:pPr>
              <w:spacing w:after="0"/>
              <w:rPr>
                <w:sz w:val="19"/>
                <w:szCs w:val="19"/>
                <w:color w:val="auto"/>
              </w:rPr>
            </w:pPr>
          </w:p>
        </w:tc>
      </w:tr>
      <w:tr>
        <w:trPr>
          <w:trHeight w:val="218"/>
        </w:trPr>
        <w:tc>
          <w:tcPr>
            <w:tcW w:w="162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9,325.8</w:t>
            </w:r>
          </w:p>
        </w:tc>
        <w:tc>
          <w:tcPr>
            <w:tcW w:w="1620" w:type="dxa"/>
            <w:vAlign w:val="bottom"/>
          </w:tcPr>
          <w:p>
            <w:pPr>
              <w:spacing w:after="0"/>
              <w:rPr>
                <w:sz w:val="19"/>
                <w:szCs w:val="19"/>
                <w:color w:val="auto"/>
              </w:rPr>
            </w:pPr>
          </w:p>
        </w:tc>
      </w:tr>
      <w:tr>
        <w:trPr>
          <w:trHeight w:val="225"/>
        </w:trPr>
        <w:tc>
          <w:tcPr>
            <w:tcW w:w="1620" w:type="dxa"/>
            <w:vAlign w:val="bottom"/>
          </w:tcPr>
          <w:p>
            <w:pPr>
              <w:spacing w:after="0"/>
              <w:rPr>
                <w:sz w:val="19"/>
                <w:szCs w:val="19"/>
                <w:color w:val="auto"/>
              </w:rPr>
            </w:pPr>
          </w:p>
        </w:tc>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1,250.5</w:t>
            </w:r>
          </w:p>
        </w:tc>
        <w:tc>
          <w:tcPr>
            <w:tcW w:w="1620" w:type="dxa"/>
            <w:vAlign w:val="bottom"/>
          </w:tcPr>
          <w:p>
            <w:pPr>
              <w:spacing w:after="0"/>
              <w:rPr>
                <w:sz w:val="19"/>
                <w:szCs w:val="19"/>
                <w:color w:val="auto"/>
              </w:rPr>
            </w:pPr>
          </w:p>
        </w:tc>
      </w:tr>
      <w:tr>
        <w:trPr>
          <w:trHeight w:val="243"/>
        </w:trPr>
        <w:tc>
          <w:tcPr>
            <w:tcW w:w="1620" w:type="dxa"/>
            <w:vAlign w:val="bottom"/>
          </w:tcPr>
          <w:p>
            <w:pPr>
              <w:spacing w:after="0"/>
              <w:rPr>
                <w:sz w:val="20"/>
                <w:szCs w:val="20"/>
                <w:color w:val="auto"/>
              </w:rPr>
            </w:pPr>
          </w:p>
        </w:tc>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1620" w:type="dxa"/>
            <w:vAlign w:val="bottom"/>
          </w:tcPr>
          <w:p>
            <w:pPr>
              <w:spacing w:after="0"/>
              <w:rPr>
                <w:sz w:val="20"/>
                <w:szCs w:val="20"/>
                <w:color w:val="auto"/>
              </w:rPr>
            </w:pPr>
          </w:p>
        </w:tc>
      </w:tr>
      <w:tr>
        <w:trPr>
          <w:trHeight w:val="20"/>
        </w:trPr>
        <w:tc>
          <w:tcPr>
            <w:tcW w:w="1620" w:type="dxa"/>
            <w:vAlign w:val="bottom"/>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2"/>
        </w:trPr>
        <w:tc>
          <w:tcPr>
            <w:tcW w:w="16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5"/>
        </w:trPr>
        <w:tc>
          <w:tcPr>
            <w:tcW w:w="1620" w:type="dxa"/>
            <w:vAlign w:val="bottom"/>
          </w:tcPr>
          <w:p>
            <w:pPr>
              <w:spacing w:after="0"/>
              <w:rPr>
                <w:sz w:val="19"/>
                <w:szCs w:val="19"/>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22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620" w:type="dxa"/>
            <w:vAlign w:val="bottom"/>
          </w:tcPr>
          <w:p>
            <w:pPr>
              <w:spacing w:after="0"/>
              <w:rPr>
                <w:sz w:val="19"/>
                <w:szCs w:val="19"/>
                <w:color w:val="auto"/>
              </w:rPr>
            </w:pPr>
          </w:p>
        </w:tc>
      </w:tr>
      <w:tr>
        <w:trPr>
          <w:trHeight w:val="783"/>
        </w:trPr>
        <w:tc>
          <w:tcPr>
            <w:tcW w:w="16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50"/>
        </w:trPr>
        <w:tc>
          <w:tcPr>
            <w:tcW w:w="16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83"/>
        </w:trPr>
        <w:tc>
          <w:tcPr>
            <w:tcW w:w="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7"/>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8"/>
        </w:trPr>
        <w:tc>
          <w:tcPr>
            <w:tcW w:w="1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40" w:type="dxa"/>
            <w:vAlign w:val="bottom"/>
          </w:tcPr>
          <w:p>
            <w:pPr>
              <w:spacing w:after="0"/>
              <w:rPr>
                <w:sz w:val="19"/>
                <w:szCs w:val="19"/>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05"/>
        </w:trPr>
        <w:tc>
          <w:tcPr>
            <w:tcW w:w="140" w:type="dxa"/>
            <w:vAlign w:val="bottom"/>
          </w:tcPr>
          <w:p>
            <w:pPr>
              <w:spacing w:after="0"/>
              <w:rPr>
                <w:sz w:val="17"/>
                <w:szCs w:val="17"/>
                <w:color w:val="auto"/>
              </w:rPr>
            </w:pPr>
          </w:p>
        </w:tc>
        <w:tc>
          <w:tcPr>
            <w:tcW w:w="378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product sales:</w:t>
            </w: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0"/>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EYLEA HD - U.S.</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42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40" w:type="dxa"/>
            <w:vAlign w:val="bottom"/>
          </w:tcPr>
          <w:p>
            <w:pPr>
              <w:spacing w:after="0"/>
              <w:rPr>
                <w:sz w:val="20"/>
                <w:szCs w:val="20"/>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EYLEA - U.S.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5,719.6</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5,792.3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18"/>
        </w:trPr>
        <w:tc>
          <w:tcPr>
            <w:tcW w:w="14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EYLEA HD and EYLEA - U.S.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25"/>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Libtayo - U.S.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25"/>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Libtayo - ROW</w:t>
            </w:r>
            <w:r>
              <w:rPr>
                <w:rFonts w:ascii="Times New Roman" w:cs="Times New Roman" w:eastAsia="Times New Roman" w:hAnsi="Times New Roman"/>
                <w:sz w:val="22"/>
                <w:szCs w:val="22"/>
                <w:color w:val="auto"/>
                <w:vertAlign w:val="superscript"/>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18"/>
        </w:trPr>
        <w:tc>
          <w:tcPr>
            <w:tcW w:w="140" w:type="dxa"/>
            <w:vAlign w:val="bottom"/>
          </w:tcPr>
          <w:p>
            <w:pPr>
              <w:spacing w:after="0"/>
              <w:rPr>
                <w:sz w:val="19"/>
                <w:szCs w:val="19"/>
                <w:color w:val="auto"/>
              </w:rPr>
            </w:pPr>
          </w:p>
        </w:tc>
        <w:tc>
          <w:tcPr>
            <w:tcW w:w="37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Libtayo - Global</w:t>
            </w: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25"/>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Praluent - U.S.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5"/>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REGEN-COV - U.S.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(5,828.0)</w:t>
            </w:r>
          </w:p>
        </w:tc>
      </w:tr>
      <w:tr>
        <w:trPr>
          <w:trHeight w:val="225"/>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Evkeeza - U.S.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5"/>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Inmazeb - U.S.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140" w:type="dxa"/>
            <w:vAlign w:val="bottom"/>
          </w:tcPr>
          <w:p>
            <w:pPr>
              <w:spacing w:after="0"/>
              <w:rPr>
                <w:sz w:val="19"/>
                <w:szCs w:val="19"/>
                <w:color w:val="auto"/>
              </w:rPr>
            </w:pPr>
          </w:p>
        </w:tc>
        <w:tc>
          <w:tcPr>
            <w:tcW w:w="378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ARCALYST - U.S.</w:t>
            </w:r>
            <w:r>
              <w:rPr>
                <w:rFonts w:ascii="Times New Roman" w:cs="Times New Roman" w:eastAsia="Times New Roman" w:hAnsi="Times New Roman"/>
                <w:sz w:val="22"/>
                <w:szCs w:val="22"/>
                <w:color w:val="auto"/>
                <w:vertAlign w:val="superscript"/>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8"/>
        </w:trPr>
        <w:tc>
          <w:tcPr>
            <w:tcW w:w="140" w:type="dxa"/>
            <w:vAlign w:val="bottom"/>
          </w:tcPr>
          <w:p>
            <w:pPr>
              <w:spacing w:after="0"/>
              <w:rPr>
                <w:sz w:val="19"/>
                <w:szCs w:val="19"/>
                <w:color w:val="auto"/>
              </w:rPr>
            </w:pPr>
          </w:p>
        </w:tc>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(5,223.5)</w:t>
            </w:r>
          </w:p>
        </w:tc>
      </w:tr>
      <w:tr>
        <w:trPr>
          <w:trHeight w:val="93"/>
        </w:trPr>
        <w:tc>
          <w:tcPr>
            <w:tcW w:w="1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25"/>
        </w:trPr>
        <w:tc>
          <w:tcPr>
            <w:tcW w:w="1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Sanofi</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3,799.5</w:t>
            </w:r>
          </w:p>
        </w:tc>
        <w:tc>
          <w:tcPr>
            <w:tcW w:w="42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w:t>
            </w:r>
          </w:p>
        </w:tc>
      </w:tr>
      <w:tr>
        <w:trPr>
          <w:trHeight w:val="225"/>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Bayer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5"/>
        </w:trPr>
        <w:tc>
          <w:tcPr>
            <w:tcW w:w="1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Roche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25"/>
        </w:trPr>
        <w:tc>
          <w:tcPr>
            <w:tcW w:w="1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140" w:type="dxa"/>
            <w:vAlign w:val="bottom"/>
          </w:tcPr>
          <w:p>
            <w:pPr>
              <w:spacing w:after="0"/>
              <w:rPr>
                <w:sz w:val="19"/>
                <w:szCs w:val="19"/>
                <w:color w:val="auto"/>
              </w:rPr>
            </w:pPr>
          </w:p>
        </w:tc>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43"/>
        </w:trPr>
        <w:tc>
          <w:tcPr>
            <w:tcW w:w="140" w:type="dxa"/>
            <w:vAlign w:val="bottom"/>
          </w:tcPr>
          <w:p>
            <w:pPr>
              <w:spacing w:after="0"/>
              <w:rPr>
                <w:sz w:val="20"/>
                <w:szCs w:val="20"/>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(3,898.8)</w:t>
            </w:r>
          </w:p>
        </w:tc>
      </w:tr>
      <w:tr>
        <w:trPr>
          <w:trHeight w:val="20"/>
        </w:trPr>
        <w:tc>
          <w:tcPr>
            <w:tcW w:w="14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360" w:right="280" w:hanging="5"/>
        <w:spacing w:after="0" w:line="196" w:lineRule="auto"/>
        <w:tabs>
          <w:tab w:leader="none" w:pos="457"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July 1, 2022, the Company became solely responsible for the research, development, and commercialization of Libtayo worldwide and began recording net product sales of Libtayo outside the United States.</w:t>
      </w:r>
    </w:p>
    <w:p>
      <w:pPr>
        <w:spacing w:after="0" w:line="5" w:lineRule="exact"/>
        <w:rPr>
          <w:sz w:val="20"/>
          <w:szCs w:val="20"/>
          <w:color w:val="auto"/>
        </w:rPr>
      </w:pPr>
    </w:p>
    <w:p>
      <w:pPr>
        <w:ind w:left="360" w:right="160" w:hanging="5"/>
        <w:spacing w:after="0" w:line="196" w:lineRule="auto"/>
        <w:tabs>
          <w:tab w:leader="none" w:pos="514"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Effective April 1, 2021, Kiniksa records net product sales of ARCALYST in the United States. Previously, the Company recorded net product sales of ARCALYST in the United States.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Net product sales of EYLEA in the United States decreased in 2023, compared to 2022, primarily due to changing market dynamics, resulting in a lower net selling price and lower volumes. EYLEA volumes in 2023 were impacted by the August 2023 launch of EYLEA HD and subsequent transition of EYLEA patients to EYLEA HD.</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2021, we recorded net product sales of REGEN-COV in connection with our agreements with the U.S. government. As of December 31, 2021, the Company had completed its final deliveries of drug product under its agreements with the U.S. government; as a result, there were no net product sales of REGEN-COV in the United States recorded during the years ended December 31, 2023 and 2022.</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Rebates,</w:t>
            </w:r>
          </w:p>
        </w:tc>
        <w:tc>
          <w:tcPr>
            <w:tcW w:w="200" w:type="dxa"/>
            <w:vAlign w:val="bottom"/>
          </w:tcPr>
          <w:p>
            <w:pPr>
              <w:spacing w:after="0"/>
              <w:rPr>
                <w:sz w:val="17"/>
                <w:szCs w:val="17"/>
                <w:color w:val="auto"/>
              </w:rPr>
            </w:pPr>
          </w:p>
        </w:tc>
        <w:tc>
          <w:tcPr>
            <w:tcW w:w="1280" w:type="dxa"/>
            <w:vAlign w:val="bottom"/>
            <w:gridSpan w:val="2"/>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120" w:type="dxa"/>
            <w:vAlign w:val="bottom"/>
          </w:tcPr>
          <w:p>
            <w:pPr>
              <w:spacing w:after="0"/>
              <w:rPr>
                <w:sz w:val="17"/>
                <w:szCs w:val="17"/>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line="179" w:lineRule="exact"/>
              <w:rPr>
                <w:sz w:val="20"/>
                <w:szCs w:val="20"/>
                <w:color w:val="auto"/>
              </w:rPr>
            </w:pPr>
            <w:r>
              <w:rPr>
                <w:rFonts w:ascii="Times New Roman" w:cs="Times New Roman" w:eastAsia="Times New Roman" w:hAnsi="Times New Roman"/>
                <w:sz w:val="18"/>
                <w:szCs w:val="18"/>
                <w:b w:val="1"/>
                <w:bCs w:val="1"/>
                <w:color w:val="auto"/>
                <w:w w:val="98"/>
              </w:rPr>
              <w:t>Chargebacks,</w:t>
            </w:r>
          </w:p>
        </w:tc>
        <w:tc>
          <w:tcPr>
            <w:tcW w:w="2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4"/>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8"/>
              </w:rPr>
              <w:t>Related</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restart"/>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and Discounts</w:t>
            </w:r>
          </w:p>
        </w:tc>
        <w:tc>
          <w:tcPr>
            <w:tcW w:w="200" w:type="dxa"/>
            <w:vAlign w:val="bottom"/>
          </w:tcPr>
          <w:p>
            <w:pPr>
              <w:spacing w:after="0"/>
              <w:rPr>
                <w:sz w:val="19"/>
                <w:szCs w:val="19"/>
                <w:color w:val="auto"/>
              </w:rPr>
            </w:pPr>
          </w:p>
        </w:tc>
        <w:tc>
          <w:tcPr>
            <w:tcW w:w="1280" w:type="dxa"/>
            <w:vAlign w:val="bottom"/>
            <w:gridSpan w:val="2"/>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Related Fees</w:t>
            </w:r>
          </w:p>
        </w:tc>
        <w:tc>
          <w:tcPr>
            <w:tcW w:w="120" w:type="dxa"/>
            <w:vAlign w:val="bottom"/>
          </w:tcPr>
          <w:p>
            <w:pPr>
              <w:spacing w:after="0"/>
              <w:rPr>
                <w:sz w:val="19"/>
                <w:szCs w:val="19"/>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Deductions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(1,523.1)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(1,924.9)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(2,518.5)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12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10"/>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8"/>
        </w:trPr>
        <w:tc>
          <w:tcPr>
            <w:tcW w:w="760" w:type="dxa"/>
            <w:vAlign w:val="bottom"/>
          </w:tcPr>
          <w:p>
            <w:pPr>
              <w:spacing w:after="0"/>
              <w:rPr>
                <w:sz w:val="19"/>
                <w:szCs w:val="19"/>
                <w:color w:val="auto"/>
              </w:rPr>
            </w:pPr>
          </w:p>
        </w:tc>
        <w:tc>
          <w:tcPr>
            <w:tcW w:w="3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3"/>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60" w:type="dxa"/>
            <w:vAlign w:val="bottom"/>
          </w:tcPr>
          <w:p>
            <w:pPr>
              <w:spacing w:after="0"/>
              <w:rPr>
                <w:sz w:val="19"/>
                <w:szCs w:val="19"/>
                <w:color w:val="auto"/>
              </w:rPr>
            </w:pPr>
          </w:p>
        </w:tc>
        <w:tc>
          <w:tcPr>
            <w:tcW w:w="3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5140" w:type="dxa"/>
            <w:vAlign w:val="bottom"/>
            <w:gridSpan w:val="7"/>
          </w:tcPr>
          <w:p>
            <w:pPr>
              <w:ind w:left="220"/>
              <w:spacing w:after="0" w:line="181" w:lineRule="exact"/>
              <w:rPr>
                <w:sz w:val="20"/>
                <w:szCs w:val="20"/>
                <w:color w:val="auto"/>
              </w:rPr>
            </w:pPr>
            <w:r>
              <w:rPr>
                <w:rFonts w:ascii="Times New Roman" w:cs="Times New Roman" w:eastAsia="Times New Roman" w:hAnsi="Times New Roman"/>
                <w:sz w:val="18"/>
                <w:szCs w:val="18"/>
                <w:color w:val="auto"/>
                <w:w w:val="98"/>
              </w:rPr>
              <w:t>Regeneron's share of profits in connection with commercialization of</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antibodies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3,136.5</w:t>
            </w:r>
          </w:p>
        </w:tc>
        <w:tc>
          <w:tcPr>
            <w:tcW w:w="12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1,363.0</w:t>
            </w: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33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Sales-based milestones earned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4940" w:type="dxa"/>
            <w:vAlign w:val="bottom"/>
            <w:gridSpan w:val="6"/>
          </w:tcPr>
          <w:p>
            <w:pPr>
              <w:ind w:left="220"/>
              <w:spacing w:after="0" w:line="225"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488.8</w:t>
            </w: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33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760" w:type="dxa"/>
            <w:vAlign w:val="bottom"/>
          </w:tcPr>
          <w:p>
            <w:pPr>
              <w:spacing w:after="0"/>
              <w:rPr>
                <w:sz w:val="19"/>
                <w:szCs w:val="19"/>
                <w:color w:val="auto"/>
              </w:rPr>
            </w:pPr>
          </w:p>
        </w:tc>
        <w:tc>
          <w:tcPr>
            <w:tcW w:w="3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Antibody</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3,799.5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2,844.4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1,901.8</w:t>
            </w:r>
          </w:p>
        </w:tc>
        <w:tc>
          <w:tcPr>
            <w:tcW w:w="0" w:type="dxa"/>
            <w:vAlign w:val="bottom"/>
          </w:tcPr>
          <w:p>
            <w:pPr>
              <w:spacing w:after="0"/>
              <w:rPr>
                <w:sz w:val="1"/>
                <w:szCs w:val="1"/>
                <w:color w:val="auto"/>
              </w:rPr>
            </w:pPr>
          </w:p>
        </w:tc>
      </w:tr>
      <w:tr>
        <w:trPr>
          <w:trHeight w:val="93"/>
        </w:trPr>
        <w:tc>
          <w:tcPr>
            <w:tcW w:w="760" w:type="dxa"/>
            <w:vAlign w:val="bottom"/>
          </w:tcPr>
          <w:p>
            <w:pPr>
              <w:spacing w:after="0"/>
              <w:rPr>
                <w:sz w:val="8"/>
                <w:szCs w:val="8"/>
                <w:color w:val="auto"/>
              </w:rPr>
            </w:pPr>
          </w:p>
        </w:tc>
        <w:tc>
          <w:tcPr>
            <w:tcW w:w="3360" w:type="dxa"/>
            <w:vAlign w:val="bottom"/>
            <w:gridSpan w:val="3"/>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0" w:type="dxa"/>
            <w:vAlign w:val="bottom"/>
            <w:gridSpan w:val="2"/>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0" w:type="dxa"/>
            <w:vAlign w:val="bottom"/>
            <w:gridSpan w:val="2"/>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760" w:type="dxa"/>
            <w:vAlign w:val="bottom"/>
          </w:tcPr>
          <w:p>
            <w:pPr>
              <w:spacing w:after="0"/>
              <w:rPr>
                <w:sz w:val="19"/>
                <w:szCs w:val="19"/>
                <w:color w:val="auto"/>
              </w:rPr>
            </w:pPr>
          </w:p>
        </w:tc>
        <w:tc>
          <w:tcPr>
            <w:tcW w:w="3360" w:type="dxa"/>
            <w:vAlign w:val="bottom"/>
            <w:gridSpan w:val="3"/>
          </w:tcPr>
          <w:p>
            <w:pPr>
              <w:ind w:left="20"/>
              <w:spacing w:after="0" w:line="225" w:lineRule="exact"/>
              <w:rPr>
                <w:sz w:val="20"/>
                <w:szCs w:val="20"/>
                <w:color w:val="auto"/>
              </w:rPr>
            </w:pPr>
            <w:r>
              <w:rPr>
                <w:rFonts w:ascii="Times New Roman" w:cs="Times New Roman" w:eastAsia="Times New Roman" w:hAnsi="Times New Roman"/>
                <w:sz w:val="18"/>
                <w:szCs w:val="18"/>
                <w:color w:val="auto"/>
              </w:rPr>
              <w:t>Total Immuno-oncology</w:t>
            </w:r>
            <w:r>
              <w:rPr>
                <w:rFonts w:ascii="Times New Roman" w:cs="Times New Roman" w:eastAsia="Times New Roman" w:hAnsi="Times New Roman"/>
                <w:sz w:val="22"/>
                <w:szCs w:val="22"/>
                <w:color w:val="auto"/>
                <w:vertAlign w:val="superscript"/>
              </w:rPr>
              <w:t>(b)</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3"/>
        </w:trPr>
        <w:tc>
          <w:tcPr>
            <w:tcW w:w="760" w:type="dxa"/>
            <w:vAlign w:val="bottom"/>
          </w:tcPr>
          <w:p>
            <w:pPr>
              <w:spacing w:after="0"/>
              <w:rPr>
                <w:sz w:val="20"/>
                <w:szCs w:val="20"/>
                <w:color w:val="auto"/>
              </w:rPr>
            </w:pPr>
          </w:p>
        </w:tc>
        <w:tc>
          <w:tcPr>
            <w:tcW w:w="33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1100" w:right="1340" w:hanging="3"/>
        <w:spacing w:after="0" w:line="196" w:lineRule="auto"/>
        <w:tabs>
          <w:tab w:leader="none" w:pos="1267"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Corresponding costs incurred by the Company in connection with such production is recorded within Cost of collaboration and contract manufacturing.</w:t>
      </w:r>
    </w:p>
    <w:p>
      <w:pPr>
        <w:spacing w:after="0" w:line="4" w:lineRule="exact"/>
        <w:rPr>
          <w:rFonts w:ascii="Times New Roman" w:cs="Times New Roman" w:eastAsia="Times New Roman" w:hAnsi="Times New Roman"/>
          <w:sz w:val="23"/>
          <w:szCs w:val="23"/>
          <w:color w:val="auto"/>
          <w:vertAlign w:val="superscript"/>
        </w:rPr>
      </w:pPr>
    </w:p>
    <w:p>
      <w:pPr>
        <w:ind w:left="1100" w:right="980" w:hanging="3"/>
        <w:spacing w:after="0" w:line="206" w:lineRule="auto"/>
        <w:tabs>
          <w:tab w:leader="none" w:pos="1273"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As the A&amp;R IO LCA became effective July 1, 2022, the three months ended June 30, 2022 was the last quarter in which Sanofi collaboration revenue was recognized in connection with the IO Collaboration.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Antibody</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Global net product sales of Dupixent and Kevzara are recorded by Sanofi in connection with the Antibody Collaboration, and we and Sanofi share profits on such sales. As described in Part I, Item 1. "Business - Collaboration, License, and Other Agreements - Sanofi - Antibody", on July 1, 2022, an amendment to the LCA became effective, pursuant to which the percentage of Regeneron's share of profits in any calendar quarter used to reimburse Sanofi for development costs which were funded by Sanofi increased from 10% to 20%.</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68" w:lineRule="exact"/>
        <w:rPr>
          <w:sz w:val="20"/>
          <w:szCs w:val="20"/>
          <w:color w:val="auto"/>
        </w:rPr>
      </w:pPr>
    </w:p>
    <w:tbl>
      <w:tblPr>
        <w:tblLayout w:type="fixed"/>
        <w:tblInd w:w="1180" w:type="dxa"/>
        <w:tblCellMar>
          <w:top w:w="0" w:type="dxa"/>
          <w:left w:w="0" w:type="dxa"/>
          <w:bottom w:w="0" w:type="dxa"/>
          <w:right w:w="0" w:type="dxa"/>
        </w:tblCellMar>
      </w:tblPr>
      <w:tr>
        <w:trPr>
          <w:trHeight w:val="232"/>
        </w:trPr>
        <w:tc>
          <w:tcPr>
            <w:tcW w:w="5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11,974.0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9,039.2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6,536.3</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Regeneron's share of collaboration profits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rPr>
              <w:t>3,596.3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rPr>
              <w:t>2,405.5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1,511.5</w:t>
            </w:r>
          </w:p>
        </w:tc>
        <w:tc>
          <w:tcPr>
            <w:tcW w:w="0" w:type="dxa"/>
            <w:vAlign w:val="bottom"/>
          </w:tcPr>
          <w:p>
            <w:pPr>
              <w:spacing w:after="0"/>
              <w:rPr>
                <w:sz w:val="1"/>
                <w:szCs w:val="1"/>
                <w:color w:val="auto"/>
              </w:rPr>
            </w:pPr>
          </w:p>
        </w:tc>
      </w:tr>
      <w:tr>
        <w:trPr>
          <w:trHeight w:val="172"/>
        </w:trPr>
        <w:tc>
          <w:tcPr>
            <w:tcW w:w="53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300" w:type="dxa"/>
            <w:vAlign w:val="bottom"/>
            <w:shd w:val="clear" w:color="auto" w:fill="CCEEFF"/>
          </w:tcPr>
          <w:p>
            <w:pPr>
              <w:ind w:left="160"/>
              <w:spacing w:after="0" w:line="239" w:lineRule="exact"/>
              <w:rPr>
                <w:sz w:val="20"/>
                <w:szCs w:val="20"/>
                <w:color w:val="auto"/>
              </w:rPr>
            </w:pPr>
            <w:r>
              <w:rPr>
                <w:rFonts w:ascii="Times New Roman" w:cs="Times New Roman" w:eastAsia="Times New Roman" w:hAnsi="Times New Roman"/>
                <w:sz w:val="18"/>
                <w:szCs w:val="18"/>
                <w:color w:val="auto"/>
              </w:rPr>
              <w:t>accordance with Regeneron's payment obligation</w:t>
            </w:r>
            <w:r>
              <w:rPr>
                <w:rFonts w:ascii="Times New Roman" w:cs="Times New Roman" w:eastAsia="Times New Roman" w:hAnsi="Times New Roman"/>
                <w:sz w:val="22"/>
                <w:szCs w:val="22"/>
                <w:color w:val="auto"/>
                <w:vertAlign w:val="superscript"/>
              </w:rPr>
              <w:t>(a)</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172"/>
        </w:trPr>
        <w:tc>
          <w:tcPr>
            <w:tcW w:w="5300" w:type="dxa"/>
            <w:vAlign w:val="bottom"/>
          </w:tcPr>
          <w:p>
            <w:pPr>
              <w:spacing w:after="0" w:line="172" w:lineRule="exact"/>
              <w:rPr>
                <w:sz w:val="20"/>
                <w:szCs w:val="20"/>
                <w:color w:val="auto"/>
              </w:rPr>
            </w:pPr>
            <w:r>
              <w:rPr>
                <w:rFonts w:ascii="Times New Roman" w:cs="Times New Roman" w:eastAsia="Times New Roman" w:hAnsi="Times New Roman"/>
                <w:sz w:val="18"/>
                <w:szCs w:val="18"/>
                <w:color w:val="auto"/>
              </w:rPr>
              <w:t>One-time payment in connection with amendment to the Antibody</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 and Collaboration Agreement</w:t>
            </w:r>
          </w:p>
        </w:tc>
        <w:tc>
          <w:tcPr>
            <w:tcW w:w="2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2"/>
        </w:trPr>
        <w:tc>
          <w:tcPr>
            <w:tcW w:w="530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auto"/>
              </w:rPr>
              <w:t>Regeneron's share of profits in connection with commercialization of</w:t>
            </w:r>
          </w:p>
        </w:tc>
        <w:tc>
          <w:tcPr>
            <w:tcW w:w="260" w:type="dxa"/>
            <w:vAlign w:val="bottom"/>
            <w:tcBorders>
              <w:top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3,136.5</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2,082.0</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1,363.0</w:t>
            </w:r>
          </w:p>
        </w:tc>
        <w:tc>
          <w:tcPr>
            <w:tcW w:w="0" w:type="dxa"/>
            <w:vAlign w:val="bottom"/>
          </w:tcPr>
          <w:p>
            <w:pPr>
              <w:spacing w:after="0"/>
              <w:rPr>
                <w:sz w:val="1"/>
                <w:szCs w:val="1"/>
                <w:color w:val="auto"/>
              </w:rPr>
            </w:pPr>
          </w:p>
        </w:tc>
      </w:tr>
      <w:tr>
        <w:trPr>
          <w:trHeight w:val="23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antibodies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
        </w:trPr>
        <w:tc>
          <w:tcPr>
            <w:tcW w:w="5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53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Regeneron's share of profits as a percentage of Dupixent and Kevzara</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product sales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500" w:right="1880" w:firstLine="8"/>
        <w:spacing w:after="0" w:line="225" w:lineRule="auto"/>
        <w:tabs>
          <w:tab w:leader="none" w:pos="1656"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See "Liquidity and Capital Resources - Additional Funding Requirements" below for additional details on our contingent reimbursement obligation.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increase in our share of profits in connection with commercialization of antibodies during the year ended December 31, 2023, compared to 2022, was driven by higher profits associated with Dupixent sales, partly offset by the impact of the amendment to the LCA.</w:t>
      </w:r>
    </w:p>
    <w:p>
      <w:pPr>
        <w:spacing w:after="0" w:line="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During the year ended December 31, 2023, the Company earned the final $50.0 million sales-based milestone from Sanofi, upon aggregate annual sales of antibodies outside the United States (including Praluent) exceeding $3.0 billion on a rolling twelve-month basis. During the year ended December 31, 2022, the Company earned two $50.0 million sales-based milestones from Sanofi, upon aggregate annual sales of antibodies outside the United States (including Praluent) exceeding $2.0 billion and $2.5 billion, respectively, on a rolling twelve-month basis.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Reimbursements for manufacturing of commercial supplies primarily relate to Dupixent and are recognized when the product is sold by Sanofi to third-party customers; such reimbursements decreased during the year ended December 31, 2023, compared to 2022, primarily due to lower manufacturing costs resulting from the transition to a higher-yielding manufacturing process.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17"/>
        </w:trPr>
        <w:tc>
          <w:tcPr>
            <w:tcW w:w="10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19"/>
        </w:trPr>
        <w:tc>
          <w:tcPr>
            <w:tcW w:w="1040" w:type="dxa"/>
            <w:vAlign w:val="bottom"/>
          </w:tcPr>
          <w:p>
            <w:pPr>
              <w:spacing w:after="0"/>
              <w:rPr>
                <w:sz w:val="19"/>
                <w:szCs w:val="19"/>
                <w:color w:val="auto"/>
              </w:rPr>
            </w:pPr>
          </w:p>
        </w:tc>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52"/>
        </w:trPr>
        <w:tc>
          <w:tcPr>
            <w:tcW w:w="1040" w:type="dxa"/>
            <w:vAlign w:val="bottom"/>
          </w:tcPr>
          <w:p>
            <w:pPr>
              <w:spacing w:after="0"/>
              <w:rPr>
                <w:sz w:val="13"/>
                <w:szCs w:val="13"/>
                <w:color w:val="auto"/>
              </w:rPr>
            </w:pPr>
          </w:p>
        </w:tc>
        <w:tc>
          <w:tcPr>
            <w:tcW w:w="540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Regeneron's share of profits in connection with commercialization of</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38"/>
        </w:trPr>
        <w:tc>
          <w:tcPr>
            <w:tcW w:w="1040" w:type="dxa"/>
            <w:vAlign w:val="bottom"/>
          </w:tcPr>
          <w:p>
            <w:pPr>
              <w:spacing w:after="0"/>
              <w:rPr>
                <w:sz w:val="20"/>
                <w:szCs w:val="20"/>
                <w:color w:val="auto"/>
              </w:rPr>
            </w:pPr>
          </w:p>
        </w:tc>
        <w:tc>
          <w:tcPr>
            <w:tcW w:w="5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EYLEA outside the United States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w:t>
            </w:r>
          </w:p>
        </w:tc>
      </w:tr>
      <w:tr>
        <w:trPr>
          <w:trHeight w:val="225"/>
        </w:trPr>
        <w:tc>
          <w:tcPr>
            <w:tcW w:w="1040" w:type="dxa"/>
            <w:vAlign w:val="bottom"/>
          </w:tcPr>
          <w:p>
            <w:pPr>
              <w:spacing w:after="0"/>
              <w:rPr>
                <w:sz w:val="19"/>
                <w:szCs w:val="19"/>
                <w:color w:val="auto"/>
              </w:rPr>
            </w:pPr>
          </w:p>
        </w:tc>
        <w:tc>
          <w:tcPr>
            <w:tcW w:w="54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Reimbursement for manufacturing of ex-U.S. commercial supplies</w:t>
            </w:r>
            <w:r>
              <w:rPr>
                <w:rFonts w:ascii="Times New Roman" w:cs="Times New Roman" w:eastAsia="Times New Roman" w:hAnsi="Times New Roman"/>
                <w:sz w:val="22"/>
                <w:szCs w:val="22"/>
                <w:color w:val="auto"/>
                <w:vertAlign w:val="superscript"/>
              </w:rPr>
              <w:t>(a)</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5"/>
        </w:trPr>
        <w:tc>
          <w:tcPr>
            <w:tcW w:w="1040" w:type="dxa"/>
            <w:vAlign w:val="bottom"/>
          </w:tcPr>
          <w:p>
            <w:pPr>
              <w:spacing w:after="0"/>
              <w:rPr>
                <w:sz w:val="19"/>
                <w:szCs w:val="19"/>
                <w:color w:val="auto"/>
              </w:rPr>
            </w:pPr>
          </w:p>
        </w:tc>
        <w:tc>
          <w:tcPr>
            <w:tcW w:w="54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One-time payment in connection with change in Japan arrangement</w:t>
            </w:r>
            <w:r>
              <w:rPr>
                <w:rFonts w:ascii="Times New Roman" w:cs="Times New Roman" w:eastAsia="Times New Roman" w:hAnsi="Times New Roman"/>
                <w:sz w:val="22"/>
                <w:szCs w:val="22"/>
                <w:color w:val="auto"/>
                <w:vertAlign w:val="superscript"/>
              </w:rPr>
              <w:t>(b)</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1040" w:type="dxa"/>
            <w:vAlign w:val="bottom"/>
          </w:tcPr>
          <w:p>
            <w:pPr>
              <w:spacing w:after="0"/>
              <w:rPr>
                <w:sz w:val="19"/>
                <w:szCs w:val="19"/>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1,409.3</w:t>
            </w:r>
          </w:p>
        </w:tc>
      </w:tr>
      <w:tr>
        <w:trPr>
          <w:trHeight w:val="20"/>
        </w:trPr>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1360" w:right="1060" w:firstLine="8"/>
        <w:spacing w:after="0" w:line="212" w:lineRule="auto"/>
        <w:tabs>
          <w:tab w:leader="none" w:pos="1527"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Corresponding costs incurred by the Company in connection with such production is recorded within Cost of collaboration and contract manufacturing.</w:t>
      </w:r>
    </w:p>
    <w:p>
      <w:pPr>
        <w:spacing w:after="0" w:line="5" w:lineRule="exact"/>
        <w:rPr>
          <w:rFonts w:ascii="Times New Roman" w:cs="Times New Roman" w:eastAsia="Times New Roman" w:hAnsi="Times New Roman"/>
          <w:sz w:val="21"/>
          <w:szCs w:val="21"/>
          <w:color w:val="auto"/>
          <w:vertAlign w:val="superscript"/>
        </w:rPr>
      </w:pPr>
    </w:p>
    <w:p>
      <w:pPr>
        <w:ind w:left="1360" w:right="1060" w:firstLine="8"/>
        <w:spacing w:after="0" w:line="212" w:lineRule="auto"/>
        <w:tabs>
          <w:tab w:leader="none" w:pos="1533"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Effective January 1, 2022, the Company and Bayer commenced sharing equally in profits based on sales from Bayer to its distributor in Japan. Previously, the Company received from Bayer a tiered percentage of sales based on sales by Bayer's distributor in Japan.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Bayer records net product sales of EYLEA outside the United States. Regeneron's share of profits in connection with commercialization of EYLEA outside the United States is summarized below:</w:t>
      </w:r>
    </w:p>
    <w:p>
      <w:pPr>
        <w:spacing w:after="0" w:line="122" w:lineRule="exact"/>
        <w:rPr>
          <w:sz w:val="20"/>
          <w:szCs w:val="20"/>
          <w:color w:val="auto"/>
        </w:rPr>
      </w:pPr>
    </w:p>
    <w:tbl>
      <w:tblPr>
        <w:tblLayout w:type="fixed"/>
        <w:tblInd w:w="1040" w:type="dxa"/>
        <w:tblCellMar>
          <w:top w:w="0" w:type="dxa"/>
          <w:left w:w="0" w:type="dxa"/>
          <w:bottom w:w="0" w:type="dxa"/>
          <w:right w:w="0" w:type="dxa"/>
        </w:tblCellMar>
      </w:tblPr>
      <w:tr>
        <w:trPr>
          <w:trHeight w:val="232"/>
        </w:trPr>
        <w:tc>
          <w:tcPr>
            <w:tcW w:w="5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net product sales outside the United States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line="167" w:lineRule="exact"/>
              <w:rPr>
                <w:sz w:val="20"/>
                <w:szCs w:val="20"/>
                <w:color w:val="auto"/>
              </w:rPr>
            </w:pPr>
            <w:r>
              <w:rPr>
                <w:rFonts w:ascii="Times New Roman" w:cs="Times New Roman" w:eastAsia="Times New Roman" w:hAnsi="Times New Roman"/>
                <w:sz w:val="18"/>
                <w:szCs w:val="18"/>
                <w:color w:val="auto"/>
              </w:rPr>
              <w:t>Regeneron's share of collaboration profit from sales outside the United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4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2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1,408.3</w:t>
            </w:r>
          </w:p>
        </w:tc>
        <w:tc>
          <w:tcPr>
            <w:tcW w:w="0" w:type="dxa"/>
            <w:vAlign w:val="bottom"/>
          </w:tcPr>
          <w:p>
            <w:pPr>
              <w:spacing w:after="0"/>
              <w:rPr>
                <w:sz w:val="1"/>
                <w:szCs w:val="1"/>
                <w:color w:val="auto"/>
              </w:rPr>
            </w:pPr>
          </w:p>
        </w:tc>
      </w:tr>
      <w:tr>
        <w:trPr>
          <w:trHeight w:val="177"/>
        </w:trPr>
        <w:tc>
          <w:tcPr>
            <w:tcW w:w="54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160"/>
              <w:spacing w:after="0" w:line="233" w:lineRule="exact"/>
              <w:rPr>
                <w:sz w:val="20"/>
                <w:szCs w:val="20"/>
                <w:color w:val="auto"/>
              </w:rPr>
            </w:pPr>
            <w:r>
              <w:rPr>
                <w:rFonts w:ascii="Times New Roman" w:cs="Times New Roman" w:eastAsia="Times New Roman" w:hAnsi="Times New Roman"/>
                <w:sz w:val="18"/>
                <w:szCs w:val="18"/>
                <w:color w:val="auto"/>
              </w:rPr>
              <w:t>accordance with Regeneron's payment obligation</w:t>
            </w:r>
            <w:r>
              <w:rPr>
                <w:rFonts w:ascii="Times New Roman" w:cs="Times New Roman" w:eastAsia="Times New Roman" w:hAnsi="Times New Roman"/>
                <w:sz w:val="22"/>
                <w:szCs w:val="22"/>
                <w:color w:val="auto"/>
                <w:vertAlign w:val="superscript"/>
              </w:rPr>
              <w:t>(a)</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160"/>
        </w:trPr>
        <w:tc>
          <w:tcPr>
            <w:tcW w:w="5400" w:type="dxa"/>
            <w:vAlign w:val="bottom"/>
          </w:tcPr>
          <w:p>
            <w:pPr>
              <w:ind w:left="20"/>
              <w:spacing w:after="0" w:line="160" w:lineRule="exact"/>
              <w:rPr>
                <w:sz w:val="20"/>
                <w:szCs w:val="20"/>
                <w:color w:val="auto"/>
              </w:rPr>
            </w:pPr>
            <w:r>
              <w:rPr>
                <w:rFonts w:ascii="Times New Roman" w:cs="Times New Roman" w:eastAsia="Times New Roman" w:hAnsi="Times New Roman"/>
                <w:sz w:val="18"/>
                <w:szCs w:val="18"/>
                <w:color w:val="auto"/>
              </w:rPr>
              <w:t>Regeneron's share of profits in connection with commercialization of</w:t>
            </w:r>
          </w:p>
        </w:tc>
        <w:tc>
          <w:tcPr>
            <w:tcW w:w="2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20" w:type="dxa"/>
            <w:vAlign w:val="bottom"/>
          </w:tcPr>
          <w:p>
            <w:pPr>
              <w:spacing w:after="0"/>
              <w:rPr>
                <w:sz w:val="13"/>
                <w:szCs w:val="13"/>
                <w:color w:val="auto"/>
              </w:rPr>
            </w:pPr>
          </w:p>
        </w:tc>
        <w:tc>
          <w:tcPr>
            <w:tcW w:w="24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00" w:type="dxa"/>
            <w:vAlign w:val="bottom"/>
          </w:tcPr>
          <w:p>
            <w:pPr>
              <w:spacing w:after="0"/>
              <w:rPr>
                <w:sz w:val="13"/>
                <w:szCs w:val="13"/>
                <w:color w:val="auto"/>
              </w:rPr>
            </w:pPr>
          </w:p>
        </w:tc>
        <w:tc>
          <w:tcPr>
            <w:tcW w:w="3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0" w:type="dxa"/>
            <w:vAlign w:val="bottom"/>
          </w:tcPr>
          <w:p>
            <w:pPr>
              <w:spacing w:after="0"/>
              <w:rPr>
                <w:sz w:val="1"/>
                <w:szCs w:val="1"/>
                <w:color w:val="auto"/>
              </w:rPr>
            </w:pPr>
          </w:p>
        </w:tc>
      </w:tr>
      <w:tr>
        <w:trPr>
          <w:trHeight w:val="209"/>
        </w:trPr>
        <w:tc>
          <w:tcPr>
            <w:tcW w:w="5400" w:type="dxa"/>
            <w:vAlign w:val="bottom"/>
          </w:tcPr>
          <w:p>
            <w:pPr>
              <w:ind w:left="160"/>
              <w:spacing w:after="0" w:line="204" w:lineRule="exact"/>
              <w:rPr>
                <w:sz w:val="20"/>
                <w:szCs w:val="20"/>
                <w:color w:val="auto"/>
              </w:rPr>
            </w:pPr>
            <w:r>
              <w:rPr>
                <w:rFonts w:ascii="Times New Roman" w:cs="Times New Roman" w:eastAsia="Times New Roman" w:hAnsi="Times New Roman"/>
                <w:sz w:val="18"/>
                <w:szCs w:val="18"/>
                <w:color w:val="auto"/>
              </w:rPr>
              <w:t>EYLEA outside the United States</w:t>
            </w:r>
          </w:p>
        </w:tc>
        <w:tc>
          <w:tcPr>
            <w:tcW w:w="2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5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4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Regeneron's share of profits as a percentage of EYLEA net product sales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360" w:right="2000" w:firstLine="8"/>
        <w:spacing w:after="0" w:line="212" w:lineRule="auto"/>
        <w:tabs>
          <w:tab w:leader="none" w:pos="1527"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See "Liquidity and Capital Resources - Additional Funding Requirements" below for additional details on our contingent reimbursement obligation.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Roche Collaboration Revenue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4"/>
        </w:trPr>
        <w:tc>
          <w:tcPr>
            <w:tcW w:w="1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7"/>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9"/>
        </w:trPr>
        <w:tc>
          <w:tcPr>
            <w:tcW w:w="1100" w:type="dxa"/>
            <w:vAlign w:val="bottom"/>
          </w:tcPr>
          <w:p>
            <w:pPr>
              <w:spacing w:after="0"/>
              <w:rPr>
                <w:sz w:val="19"/>
                <w:szCs w:val="19"/>
                <w:color w:val="auto"/>
              </w:rPr>
            </w:pPr>
          </w:p>
        </w:tc>
        <w:tc>
          <w:tcPr>
            <w:tcW w:w="5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60"/>
        </w:trPr>
        <w:tc>
          <w:tcPr>
            <w:tcW w:w="1100" w:type="dxa"/>
            <w:vAlign w:val="bottom"/>
          </w:tcPr>
          <w:p>
            <w:pPr>
              <w:spacing w:after="0"/>
              <w:rPr>
                <w:sz w:val="13"/>
                <w:szCs w:val="13"/>
                <w:color w:val="auto"/>
              </w:rPr>
            </w:pPr>
          </w:p>
        </w:tc>
        <w:tc>
          <w:tcPr>
            <w:tcW w:w="572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Global gross profit payment from Roche in connection with sales of REGEN-</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30"/>
        </w:trPr>
        <w:tc>
          <w:tcPr>
            <w:tcW w:w="1100" w:type="dxa"/>
            <w:vAlign w:val="bottom"/>
          </w:tcPr>
          <w:p>
            <w:pPr>
              <w:spacing w:after="0"/>
              <w:rPr>
                <w:sz w:val="20"/>
                <w:szCs w:val="20"/>
                <w:color w:val="auto"/>
              </w:rPr>
            </w:pPr>
          </w:p>
        </w:tc>
        <w:tc>
          <w:tcPr>
            <w:tcW w:w="5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COV and Ronapreve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25"/>
        </w:trPr>
        <w:tc>
          <w:tcPr>
            <w:tcW w:w="1100" w:type="dxa"/>
            <w:vAlign w:val="bottom"/>
          </w:tcPr>
          <w:p>
            <w:pPr>
              <w:spacing w:after="0"/>
              <w:rPr>
                <w:sz w:val="19"/>
                <w:szCs w:val="19"/>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100" w:type="dxa"/>
            <w:vAlign w:val="bottom"/>
          </w:tcPr>
          <w:p>
            <w:pPr>
              <w:spacing w:after="0"/>
              <w:rPr>
                <w:sz w:val="20"/>
                <w:szCs w:val="20"/>
                <w:color w:val="auto"/>
              </w:rPr>
            </w:pPr>
          </w:p>
        </w:tc>
        <w:tc>
          <w:tcPr>
            <w:tcW w:w="5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Roche collaboration revenue</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0"/>
        </w:trPr>
        <w:tc>
          <w:tcPr>
            <w:tcW w:w="110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1020"/>
        <w:spacing w:after="0" w:line="407" w:lineRule="auto"/>
        <w:rPr>
          <w:sz w:val="20"/>
          <w:szCs w:val="20"/>
          <w:color w:val="auto"/>
        </w:rPr>
      </w:pPr>
      <w:r>
        <w:rPr>
          <w:rFonts w:ascii="Times New Roman" w:cs="Times New Roman" w:eastAsia="Times New Roman" w:hAnsi="Times New Roman"/>
          <w:sz w:val="18"/>
          <w:szCs w:val="18"/>
          <w:color w:val="auto"/>
        </w:rPr>
        <w:t xml:space="preserve">Roche distributes and records net product sales of Ronapreve outside the United States, and the parties share gross profits from worldwide sales. </w:t>
      </w:r>
      <w:r>
        <w:rPr>
          <w:rFonts w:ascii="Times New Roman" w:cs="Times New Roman" w:eastAsia="Times New Roman" w:hAnsi="Times New Roman"/>
          <w:sz w:val="18"/>
          <w:szCs w:val="18"/>
          <w:i w:val="1"/>
          <w:iCs w:val="1"/>
          <w:color w:val="auto"/>
        </w:rPr>
        <w:t>Other Revenue</w:t>
      </w:r>
    </w:p>
    <w:p>
      <w:pPr>
        <w:jc w:val="both"/>
        <w:spacing w:after="0" w:line="259" w:lineRule="auto"/>
        <w:rPr>
          <w:sz w:val="20"/>
          <w:szCs w:val="20"/>
          <w:color w:val="auto"/>
        </w:rPr>
      </w:pPr>
      <w:r>
        <w:rPr>
          <w:rFonts w:ascii="Times New Roman" w:cs="Times New Roman" w:eastAsia="Times New Roman" w:hAnsi="Times New Roman"/>
          <w:sz w:val="18"/>
          <w:szCs w:val="18"/>
          <w:color w:val="auto"/>
        </w:rPr>
        <w:t>Other revenue in 2023 included the recognition of $50.4 million of revenue in connection with our August 2023 agreement with BARDA to fund certain costs for a next-generation COVID-19 monoclonal antibody therapy for the prevention of SARS-CoV-2 infection. In addition, Other revenue increased in 2023, compared to 2022, primarily due to the following:</w:t>
      </w:r>
    </w:p>
    <w:p>
      <w:pPr>
        <w:spacing w:after="0" w:line="112" w:lineRule="exact"/>
        <w:rPr>
          <w:sz w:val="20"/>
          <w:szCs w:val="20"/>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reimbursements for the manufacture of commercial supplies for Sanofi related to Praluent outside the United States;</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share of profits earned in connection with sales of ARCALYST pursuant to our license agreement with Kiniksa Pharmaceuticals, Ltd.; and</w:t>
      </w:r>
    </w:p>
    <w:p>
      <w:pPr>
        <w:spacing w:after="0" w:line="5" w:lineRule="exact"/>
        <w:rPr>
          <w:rFonts w:ascii="Times New Roman" w:cs="Times New Roman" w:eastAsia="Times New Roman" w:hAnsi="Times New Roman"/>
          <w:sz w:val="18"/>
          <w:szCs w:val="18"/>
          <w:color w:val="auto"/>
        </w:rPr>
      </w:pPr>
    </w:p>
    <w:p>
      <w:pPr>
        <w:ind w:left="640" w:hanging="316"/>
        <w:spacing w:after="0" w:line="221"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earned in connection with our license agreement with Novartis, under which we receive royalties on worldwide sales of Novartis' Ilaris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(canakinumab).</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83"/>
        </w:trPr>
        <w:tc>
          <w:tcPr>
            <w:tcW w:w="5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1092"/>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9"/>
        </w:trPr>
        <w:tc>
          <w:tcPr>
            <w:tcW w:w="54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24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18"/>
        </w:trPr>
        <w:tc>
          <w:tcPr>
            <w:tcW w:w="540" w:type="dxa"/>
            <w:vAlign w:val="bottom"/>
          </w:tcPr>
          <w:p>
            <w:pPr>
              <w:spacing w:after="0"/>
              <w:rPr>
                <w:sz w:val="19"/>
                <w:szCs w:val="19"/>
                <w:color w:val="auto"/>
              </w:rPr>
            </w:pPr>
          </w:p>
        </w:tc>
        <w:tc>
          <w:tcPr>
            <w:tcW w:w="364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(a)</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732.4</w:t>
            </w:r>
          </w:p>
        </w:tc>
      </w:tr>
      <w:tr>
        <w:trPr>
          <w:trHeight w:val="225"/>
        </w:trPr>
        <w:tc>
          <w:tcPr>
            <w:tcW w:w="54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r>
      <w:tr>
        <w:trPr>
          <w:trHeight w:val="225"/>
        </w:trPr>
        <w:tc>
          <w:tcPr>
            <w:tcW w:w="540" w:type="dxa"/>
            <w:vAlign w:val="bottom"/>
          </w:tcPr>
          <w:p>
            <w:pPr>
              <w:spacing w:after="0"/>
              <w:rPr>
                <w:sz w:val="19"/>
                <w:szCs w:val="19"/>
                <w:color w:val="auto"/>
              </w:rPr>
            </w:pPr>
          </w:p>
        </w:tc>
        <w:tc>
          <w:tcPr>
            <w:tcW w:w="36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2"/>
                <w:szCs w:val="22"/>
                <w:color w:val="auto"/>
                <w:vertAlign w:val="superscript"/>
              </w:rPr>
              <w:t>(a)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25"/>
        </w:trPr>
        <w:tc>
          <w:tcPr>
            <w:tcW w:w="54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(973.1)</w:t>
            </w:r>
          </w:p>
        </w:tc>
      </w:tr>
      <w:tr>
        <w:trPr>
          <w:trHeight w:val="177"/>
        </w:trPr>
        <w:tc>
          <w:tcPr>
            <w:tcW w:w="540" w:type="dxa"/>
            <w:vAlign w:val="bottom"/>
          </w:tcPr>
          <w:p>
            <w:pPr>
              <w:spacing w:after="0"/>
              <w:rPr>
                <w:sz w:val="15"/>
                <w:szCs w:val="15"/>
                <w:color w:val="auto"/>
              </w:rPr>
            </w:pPr>
          </w:p>
        </w:tc>
        <w:tc>
          <w:tcPr>
            <w:tcW w:w="36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Cost of collaboration and contract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3"/>
        </w:trPr>
        <w:tc>
          <w:tcPr>
            <w:tcW w:w="540" w:type="dxa"/>
            <w:vAlign w:val="bottom"/>
          </w:tcPr>
          <w:p>
            <w:pPr>
              <w:spacing w:after="0"/>
              <w:rPr>
                <w:sz w:val="20"/>
                <w:szCs w:val="20"/>
                <w:color w:val="auto"/>
              </w:rPr>
            </w:pPr>
          </w:p>
        </w:tc>
        <w:tc>
          <w:tcPr>
            <w:tcW w:w="3640" w:type="dxa"/>
            <w:vAlign w:val="bottom"/>
            <w:shd w:val="clear" w:color="auto" w:fill="CCEEFF"/>
          </w:tcPr>
          <w:p>
            <w:pPr>
              <w:ind w:left="180"/>
              <w:spacing w:after="0" w:line="233" w:lineRule="exact"/>
              <w:rPr>
                <w:sz w:val="20"/>
                <w:szCs w:val="20"/>
                <w:color w:val="auto"/>
              </w:rPr>
            </w:pPr>
            <w:r>
              <w:rPr>
                <w:rFonts w:ascii="Times New Roman" w:cs="Times New Roman" w:eastAsia="Times New Roman" w:hAnsi="Times New Roman"/>
                <w:sz w:val="18"/>
                <w:szCs w:val="18"/>
                <w:color w:val="auto"/>
              </w:rPr>
              <w:t>manufacturing</w:t>
            </w:r>
            <w:r>
              <w:rPr>
                <w:rFonts w:ascii="Times New Roman" w:cs="Times New Roman" w:eastAsia="Times New Roman" w:hAnsi="Times New Roman"/>
                <w:sz w:val="22"/>
                <w:szCs w:val="22"/>
                <w:color w:val="auto"/>
                <w:vertAlign w:val="superscript"/>
              </w:rPr>
              <w:t>(b)</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5"/>
        </w:trPr>
        <w:tc>
          <w:tcPr>
            <w:tcW w:w="54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43"/>
        </w:trPr>
        <w:tc>
          <w:tcPr>
            <w:tcW w:w="54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r>
      <w:tr>
        <w:trPr>
          <w:trHeight w:val="20"/>
        </w:trPr>
        <w:tc>
          <w:tcPr>
            <w:tcW w:w="54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06"/>
        </w:trPr>
        <w:tc>
          <w:tcPr>
            <w:tcW w:w="5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25"/>
        </w:trPr>
        <w:tc>
          <w:tcPr>
            <w:tcW w:w="54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headcount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bl>
    <w:p>
      <w:pPr>
        <w:spacing w:after="0" w:line="58" w:lineRule="exact"/>
        <w:rPr>
          <w:sz w:val="20"/>
          <w:szCs w:val="20"/>
          <w:color w:val="auto"/>
        </w:rPr>
      </w:pPr>
    </w:p>
    <w:p>
      <w:pPr>
        <w:ind w:left="880" w:hanging="161"/>
        <w:spacing w:after="0"/>
        <w:tabs>
          <w:tab w:leader="none" w:pos="88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costs incurred net of any cost reimbursements from collaborators who are not deemed to be our customers</w:t>
      </w:r>
    </w:p>
    <w:p>
      <w:pPr>
        <w:spacing w:after="0" w:line="22" w:lineRule="exact"/>
        <w:rPr>
          <w:rFonts w:ascii="Times New Roman" w:cs="Times New Roman" w:eastAsia="Times New Roman" w:hAnsi="Times New Roman"/>
          <w:sz w:val="21"/>
          <w:szCs w:val="21"/>
          <w:color w:val="auto"/>
          <w:vertAlign w:val="superscript"/>
        </w:rPr>
      </w:pPr>
    </w:p>
    <w:p>
      <w:pPr>
        <w:ind w:left="900" w:hanging="181"/>
        <w:spacing w:after="0" w:line="188" w:lineRule="auto"/>
        <w:tabs>
          <w:tab w:leader="none" w:pos="90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Includes costs incurred in connection with producing commercial drug supplies for collaborators and others</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expenses in 2023 and 2022 included a total of $885.0 million and $725.0 million, respectively, of stock-based compensation expense related to equity awards granted under our long-term incentive plans. As of December 31, 2023, unrecognized stock-based compensation expense related to unvested stock options and unvested restricted stock (including performance-based restricted stock units) was $589.6 million and $1.127 billion, respectively. We expect to recognize this stock-based compensation expense related to stock options and restricted stock over weighted-average periods of 1.8 years and 2.3 years, respectively.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following table summarizes our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drug filling, packaging, and labeling costs. Clinical manufacturing costs also includes pre-launch commercial supplies which did not meet the criteria to be capitalized as inventory (see "Critical Accounting Policies and Use of Estimates - Inventories" above).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65" w:lineRule="exact"/>
        <w:rPr>
          <w:sz w:val="20"/>
          <w:szCs w:val="20"/>
          <w:color w:val="auto"/>
        </w:rPr>
      </w:pPr>
    </w:p>
    <w:tbl>
      <w:tblPr>
        <w:tblLayout w:type="fixed"/>
        <w:tblInd w:w="280" w:type="dxa"/>
        <w:tblCellMar>
          <w:top w:w="0" w:type="dxa"/>
          <w:left w:w="0" w:type="dxa"/>
          <w:bottom w:w="0" w:type="dxa"/>
          <w:right w:w="0" w:type="dxa"/>
        </w:tblCellMar>
      </w:tblPr>
      <w:tr>
        <w:trPr>
          <w:trHeight w:val="232"/>
        </w:trPr>
        <w:tc>
          <w:tcPr>
            <w:tcW w:w="4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Pr>
          <w:p>
            <w:pPr>
              <w:spacing w:after="0"/>
              <w:rPr>
                <w:sz w:val="19"/>
                <w:szCs w:val="19"/>
                <w:color w:val="auto"/>
              </w:rPr>
            </w:pPr>
          </w:p>
        </w:tc>
        <w:tc>
          <w:tcPr>
            <w:tcW w:w="8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52"/>
              <w:spacing w:after="0" w:line="219" w:lineRule="exact"/>
              <w:rPr>
                <w:sz w:val="20"/>
                <w:szCs w:val="20"/>
                <w:color w:val="auto"/>
              </w:rPr>
            </w:pP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22"/>
                <w:szCs w:val="22"/>
                <w:b w:val="1"/>
                <w:bCs w:val="1"/>
                <w:color w:val="auto"/>
                <w:vertAlign w:val="superscript"/>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ind w:right="272"/>
              <w:spacing w:after="0" w:line="219" w:lineRule="exact"/>
              <w:rPr>
                <w:sz w:val="20"/>
                <w:szCs w:val="20"/>
                <w:color w:val="auto"/>
              </w:rPr>
            </w:pPr>
            <w:r>
              <w:rPr>
                <w:rFonts w:ascii="Times New Roman" w:cs="Times New Roman" w:eastAsia="Times New Roman" w:hAnsi="Times New Roman"/>
                <w:sz w:val="18"/>
                <w:szCs w:val="18"/>
                <w:b w:val="1"/>
                <w:bCs w:val="1"/>
                <w:color w:val="auto"/>
                <w:w w:val="92"/>
              </w:rPr>
              <w:t>2021</w:t>
            </w:r>
            <w:r>
              <w:rPr>
                <w:rFonts w:ascii="Times New Roman" w:cs="Times New Roman" w:eastAsia="Times New Roman" w:hAnsi="Times New Roman"/>
                <w:sz w:val="22"/>
                <w:szCs w:val="22"/>
                <w:b w:val="1"/>
                <w:bCs w:val="1"/>
                <w:color w:val="auto"/>
                <w:w w:val="92"/>
                <w:vertAlign w:val="superscript"/>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40" w:type="dxa"/>
            <w:vAlign w:val="bottom"/>
          </w:tcPr>
          <w:p>
            <w:pPr>
              <w:spacing w:after="0"/>
              <w:rPr>
                <w:sz w:val="19"/>
                <w:szCs w:val="19"/>
                <w:color w:val="auto"/>
              </w:rPr>
            </w:pPr>
          </w:p>
        </w:tc>
        <w:tc>
          <w:tcPr>
            <w:tcW w:w="122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05"/>
        </w:trPr>
        <w:tc>
          <w:tcPr>
            <w:tcW w:w="432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Direct research and development expenses:</w:t>
            </w: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5"/>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5"/>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Fianlimab</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5"/>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5"/>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Odronextamab</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5"/>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 HD (aflibercept) 8 mg</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Linvoseltamab</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5"/>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Itepekimab</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5"/>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Pozelimab</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25"/>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REGEN-COV</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r>
      <w:tr>
        <w:trPr>
          <w:trHeight w:val="172"/>
        </w:trPr>
        <w:tc>
          <w:tcPr>
            <w:tcW w:w="432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8"/>
        </w:trPr>
        <w:tc>
          <w:tcPr>
            <w:tcW w:w="4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research programs</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8"/>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73"/>
        </w:trPr>
        <w:tc>
          <w:tcPr>
            <w:tcW w:w="4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25"/>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25"/>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1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139"/>
        </w:trPr>
        <w:tc>
          <w:tcPr>
            <w:tcW w:w="4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25"/>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w:t>
            </w:r>
          </w:p>
        </w:tc>
      </w:tr>
      <w:tr>
        <w:trPr>
          <w:trHeight w:val="93"/>
        </w:trPr>
        <w:tc>
          <w:tcPr>
            <w:tcW w:w="4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172"/>
        </w:trPr>
        <w:tc>
          <w:tcPr>
            <w:tcW w:w="43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8"/>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r>
      <w:tr>
        <w:trPr>
          <w:trHeight w:val="93"/>
        </w:trPr>
        <w:tc>
          <w:tcPr>
            <w:tcW w:w="432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2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r>
      <w:tr>
        <w:trPr>
          <w:trHeight w:val="21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732.4</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600" w:hanging="106"/>
        <w:spacing w:after="0"/>
        <w:tabs>
          <w:tab w:leader="none" w:pos="60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200" w:lineRule="exact"/>
        <w:rPr>
          <w:rFonts w:ascii="Times New Roman" w:cs="Times New Roman" w:eastAsia="Times New Roman" w:hAnsi="Times New Roman"/>
          <w:sz w:val="23"/>
          <w:szCs w:val="23"/>
          <w:color w:val="auto"/>
          <w:vertAlign w:val="superscript"/>
        </w:rPr>
      </w:pPr>
    </w:p>
    <w:p>
      <w:pPr>
        <w:spacing w:after="0" w:line="223"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Total research and development expenses increased in 2023, compared to 2022, partially due to the impact of the amendments to the Sanofi collaboration agreements (which were effective July 1, 2022) described above in Part I, Item 1. "Business - "Collaboration, License, and Other Agreements - Sanofi", as (i) Sanofi is no longer reimbursing us for 50% of Libtayo development costs (such reimbursements were previously included in Reimbursement of research and development expenses by collaborators in the table above) and (ii) we recognize our 50% share of research and development expenses in connection with the Sanofi Antibody Collaboration.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$488.7 million and $406.8 million in 2023 and 2022, respectively.</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 Item 1A. "Risk Factors."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IPR&amp;D in 2023 included:</w:t>
      </w:r>
    </w:p>
    <w:p>
      <w:pPr>
        <w:spacing w:after="0" w:line="151" w:lineRule="exact"/>
        <w:rPr>
          <w:sz w:val="20"/>
          <w:szCs w:val="20"/>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charge in connection with a development milestone for the Phase 1 ALN-APP program, which is in collaboration with Alnylam;</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million up-front payment in connection with our collaboration agreement with Sonoma Biotherapeutics, Inc.;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charge to extend the period for selecting targets under our collaboration agreement with Intellia.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IPR&amp;D in 2022 included:</w:t>
      </w:r>
    </w:p>
    <w:p>
      <w:pPr>
        <w:spacing w:after="0" w:line="138" w:lineRule="exact"/>
        <w:rPr>
          <w:sz w:val="20"/>
          <w:szCs w:val="20"/>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$195.0 million charge related to our acquisition of Checkmate Pharmaceuticals, Inc.;</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up-front payment in connection with our collaboration agreement with CytomX Therapeutics, Inc.;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opt-in payment in connection with a product candidate under our collaboration agreement with Adicet Bio, Inc.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Selling, general, and administrative expenses increased in 2023, compared to 2022, primarily due to higher headcount and headcount-related costs, an increase in commercialization-related expenses for Libtayo (including acquisition and integration-related costs for Libtayo outside the United States as effective July 1, 2022, the Company became solely responsible for the commercialization of Libtayo worldwide), and, to a lesser extent, commercialization-related expenses for various other products, and higher contributions to an independent not-for-profit patient assistance organization. Selling, general, and administrative expenses also included $307.1 million and $256.4 million of stock-based compensation expense in 2023 and 2022,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goods sold increased in 2023, compared to 2022, primarily due to higher start-up costs for our Rensselaer, New York fill/finish facility and an increase in period costs at our manufacturing facilities resulting from lower production volumes, partly offset by lower inventory write-offs and reserves. Inventory write-offs and reserves were $102.3 million in 2023 compared to $258.7 million in 2022. The inventory write-offs and reserves in 2022 were primarily related to REGEN-COV.</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Cost of collaboration and contract manufacturing increased in 2023, compared to 2022, primarily due to the recognition of costs in connection with manufacturing commercial supplies for Sanofi related to Praluent outside the United States and for Bayer related to EYLEA outside the United States. This increase was partly offset by lower Dupixent manufacturing costs as a result of the transition to a higher-yielding manufacturing process.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w:t>
      </w:r>
    </w:p>
    <w:p>
      <w:pPr>
        <w:spacing w:after="0" w:line="15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Other operating (income) expense, net, in 2022 included the recognition of amounts previously deferred in connection with up-front and development milestone payments, as applicable, received in connection with our Sanofi IO, Teva, and Mitsubishi</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Tanabe Pharma Corporation ("MTPC") collaborative arrangements. As we discontinued further clinical development of fasinumab (for which we had collaborative arrangements with Teva and MTPC) during 2022, and the A&amp;R IO LCA with Sanofi became effective July 1, 2022, no such amounts were recognized in connection with these collaborative arrangements during 2023.</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58"/>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consists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7"/>
        </w:trPr>
        <w:tc>
          <w:tcPr>
            <w:tcW w:w="16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00" w:type="dxa"/>
            <w:vAlign w:val="bottom"/>
            <w:tcBorders>
              <w:bottom w:val="single" w:sz="8" w:color="auto"/>
            </w:tcBorders>
          </w:tcPr>
          <w:p>
            <w:pPr>
              <w:spacing w:after="0"/>
              <w:rPr>
                <w:sz w:val="24"/>
                <w:szCs w:val="24"/>
                <w:color w:val="auto"/>
              </w:rPr>
            </w:pPr>
          </w:p>
        </w:tc>
      </w:tr>
      <w:tr>
        <w:trPr>
          <w:trHeight w:val="218"/>
        </w:trPr>
        <w:tc>
          <w:tcPr>
            <w:tcW w:w="1660" w:type="dxa"/>
            <w:vAlign w:val="bottom"/>
          </w:tcPr>
          <w:p>
            <w:pPr>
              <w:spacing w:after="0"/>
              <w:rPr>
                <w:sz w:val="19"/>
                <w:szCs w:val="19"/>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1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gains on equity securities, net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(237.8)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386.1</w:t>
            </w:r>
          </w:p>
        </w:tc>
      </w:tr>
      <w:tr>
        <w:trPr>
          <w:trHeight w:val="225"/>
        </w:trPr>
        <w:tc>
          <w:tcPr>
            <w:tcW w:w="166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495.9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160.1</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45.8</w:t>
            </w:r>
          </w:p>
        </w:tc>
      </w:tr>
      <w:tr>
        <w:trPr>
          <w:trHeight w:val="225"/>
        </w:trPr>
        <w:tc>
          <w:tcPr>
            <w:tcW w:w="1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(losses) gains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1660" w:type="dxa"/>
            <w:vAlign w:val="bottom"/>
          </w:tcPr>
          <w:p>
            <w:pPr>
              <w:spacing w:after="0"/>
              <w:rPr>
                <w:sz w:val="19"/>
                <w:szCs w:val="19"/>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4.0</w:t>
            </w:r>
          </w:p>
        </w:tc>
      </w:tr>
      <w:tr>
        <w:trPr>
          <w:trHeight w:val="218"/>
        </w:trPr>
        <w:tc>
          <w:tcPr>
            <w:tcW w:w="1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225.2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179.3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436.3</w:t>
            </w:r>
          </w:p>
        </w:tc>
      </w:tr>
      <w:tr>
        <w:trPr>
          <w:trHeight w:val="93"/>
        </w:trPr>
        <w:tc>
          <w:tcPr>
            <w:tcW w:w="16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25"/>
        </w:trPr>
        <w:tc>
          <w:tcPr>
            <w:tcW w:w="1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(57.3)</w:t>
            </w:r>
          </w:p>
        </w:tc>
      </w:tr>
      <w:tr>
        <w:trPr>
          <w:trHeight w:val="219"/>
        </w:trPr>
        <w:tc>
          <w:tcPr>
            <w:tcW w:w="166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152.2</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379.0</w:t>
            </w:r>
          </w:p>
        </w:tc>
      </w:tr>
      <w:tr>
        <w:trPr>
          <w:trHeight w:val="20"/>
        </w:trPr>
        <w:tc>
          <w:tcPr>
            <w:tcW w:w="1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income in 2023, compared to 2022, was primarily driven by higher interest rates.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9" w:lineRule="exact"/>
        <w:rPr>
          <w:sz w:val="20"/>
          <w:szCs w:val="20"/>
          <w:color w:val="auto"/>
        </w:rPr>
      </w:pPr>
    </w:p>
    <w:tbl>
      <w:tblPr>
        <w:tblLayout w:type="fixed"/>
        <w:tblInd w:w="1800" w:type="dxa"/>
        <w:tblCellMar>
          <w:top w:w="0" w:type="dxa"/>
          <w:left w:w="0" w:type="dxa"/>
          <w:bottom w:w="0" w:type="dxa"/>
          <w:right w:w="0" w:type="dxa"/>
        </w:tblCellMar>
      </w:tblPr>
      <w:tr>
        <w:trPr>
          <w:trHeight w:val="232"/>
        </w:trPr>
        <w:tc>
          <w:tcPr>
            <w:tcW w:w="4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r>
      <w:tr>
        <w:trPr>
          <w:trHeight w:val="218"/>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1,250.5</w:t>
            </w:r>
          </w:p>
        </w:tc>
      </w:tr>
      <w:tr>
        <w:trPr>
          <w:trHeight w:val="231"/>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Company's effective tax rate for 2023, compared to 2022, included a higher benefit from stock-based compensation, federal tax credits for research activities, and the proportion of income earned in foreign jurisdictions with tax rates lower than the U.S. federal statutory rate.</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countries in which we have operations, including Ireland, have adopted legislation influenced by the OECD Pillar Two rules, including a minimum tax rate of 15%. It is uncertain whether the United States will enact legislation to adopt the Pillar Two framework. While we do not expect the adoption of the Pillar Two framework to have a material impact on our effective tax rate, we are continuing to evaluate additional guidance released by the OECD, along with the pending legislative adoption by additional individual countries.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81" w:lineRule="exact"/>
        <w:rPr>
          <w:sz w:val="20"/>
          <w:szCs w:val="20"/>
          <w:color w:val="auto"/>
        </w:rPr>
      </w:pPr>
    </w:p>
    <w:tbl>
      <w:tblPr>
        <w:tblLayout w:type="fixed"/>
        <w:tblInd w:w="1340" w:type="dxa"/>
        <w:tblCellMar>
          <w:top w:w="0" w:type="dxa"/>
          <w:left w:w="0" w:type="dxa"/>
          <w:bottom w:w="0" w:type="dxa"/>
          <w:right w:w="0" w:type="dxa"/>
        </w:tblCellMar>
      </w:tblPr>
      <w:tr>
        <w:trPr>
          <w:trHeight w:val="232"/>
        </w:trPr>
        <w:tc>
          <w:tcPr>
            <w:tcW w:w="3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8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8"/>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5"/>
        </w:trPr>
        <w:tc>
          <w:tcPr>
            <w:tcW w:w="37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Financial assets:</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25"/>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w:t>
            </w:r>
          </w:p>
        </w:tc>
      </w:tr>
      <w:tr>
        <w:trPr>
          <w:trHeight w:val="225"/>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3,478.4</w:t>
            </w:r>
          </w:p>
        </w:tc>
      </w:tr>
      <w:tr>
        <w:trPr>
          <w:trHeight w:val="225"/>
        </w:trPr>
        <w:tc>
          <w:tcPr>
            <w:tcW w:w="3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w:t>
            </w:r>
          </w:p>
        </w:tc>
      </w:tr>
      <w:tr>
        <w:trPr>
          <w:trHeight w:val="218"/>
        </w:trPr>
        <w:tc>
          <w:tcPr>
            <w:tcW w:w="3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1,907.2</w:t>
            </w:r>
          </w:p>
        </w:tc>
      </w:tr>
      <w:tr>
        <w:trPr>
          <w:trHeight w:val="265"/>
        </w:trPr>
        <w:tc>
          <w:tcPr>
            <w:tcW w:w="3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5"/>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15,884.1</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3,595.1</w:t>
            </w:r>
          </w:p>
        </w:tc>
      </w:tr>
      <w:tr>
        <w:trPr>
          <w:trHeight w:val="225"/>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18"/>
        </w:trPr>
        <w:tc>
          <w:tcPr>
            <w:tcW w:w="37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3,313.0</w:t>
            </w: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2"/>
        </w:trPr>
        <w:tc>
          <w:tcPr>
            <w:tcW w:w="3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5"/>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5"/>
        </w:trPr>
        <w:tc>
          <w:tcPr>
            <w:tcW w:w="3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1"/>
        </w:trPr>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As of December 31, 2023, we also had borrowing availability of $750.0 million under a revolving credit facility (see further description under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Facility</w:t>
      </w:r>
      <w:r>
        <w:rPr>
          <w:rFonts w:ascii="Times New Roman" w:cs="Times New Roman" w:eastAsia="Times New Roman" w:hAnsi="Times New Roman"/>
          <w:sz w:val="18"/>
          <w:szCs w:val="18"/>
          <w:color w:val="auto"/>
        </w:rPr>
        <w:t>"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Years Ended December 31, 2023, 2022, and 2021</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99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9"/>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160" w:type="dxa"/>
            <w:vAlign w:val="bottom"/>
          </w:tcPr>
          <w:p>
            <w:pPr>
              <w:spacing w:after="0"/>
              <w:rPr>
                <w:sz w:val="19"/>
                <w:szCs w:val="19"/>
                <w:color w:val="auto"/>
              </w:rPr>
            </w:pPr>
          </w:p>
        </w:tc>
        <w:tc>
          <w:tcPr>
            <w:tcW w:w="124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2022 vs. 2021</w:t>
            </w:r>
          </w:p>
        </w:tc>
      </w:tr>
      <w:tr>
        <w:trPr>
          <w:trHeight w:val="218"/>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6"/>
              </w:rPr>
              <w:t>4,594.0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9"/>
              </w:rPr>
              <w:t>5,014.9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9"/>
              </w:rPr>
              <w:t>7,081.3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8"/>
              </w:rPr>
              <w:t>(420.9)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(2,066.4)</w:t>
            </w:r>
          </w:p>
        </w:tc>
      </w:tr>
      <w:tr>
        <w:trPr>
          <w:trHeight w:val="225"/>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6"/>
              </w:rPr>
              <w:t>(3,185.1)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(3,784.6)</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(5,384.7)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612"/>
              <w:spacing w:after="0"/>
              <w:rPr>
                <w:sz w:val="20"/>
                <w:szCs w:val="20"/>
                <w:color w:val="auto"/>
              </w:rPr>
            </w:pPr>
            <w:r>
              <w:rPr>
                <w:rFonts w:ascii="Times New Roman" w:cs="Times New Roman" w:eastAsia="Times New Roman" w:hAnsi="Times New Roman"/>
                <w:sz w:val="18"/>
                <w:szCs w:val="18"/>
                <w:color w:val="auto"/>
                <w:w w:val="93"/>
              </w:rPr>
              <w:t>599.5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w:t>
            </w:r>
          </w:p>
        </w:tc>
      </w:tr>
      <w:tr>
        <w:trPr>
          <w:trHeight w:val="22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6"/>
              </w:rPr>
              <w:t>(1,790.1)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(1,009.0)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8"/>
              </w:rPr>
              <w:t>(781.1)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December 31, 2023 and 2022, deferred tax assets increased by $837.8 million and $746.4 million, respectively, primarily related to the impact of the Tax Cuts and Jobs Act of 2017, which requires, for tax purposes, the capitalization and amortization of research and development expenses effective for years beginning after December 31, 2021.</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2021, Accounts receivable increased by $1.927 billion, compared to December 31, 2020, primarily due to REGEN-COV sales in connection with our September 2021 agreement to supply drug product to the U.S. government. As of December 31, 2022, Accounts receivable had decreased by $707.8 million, compared to December 31, 2021, driven by the Company's collection of amounts due from the U.S. government in connection with such sales in the fourth quarter of 2021.</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non-cash items, net, in 2022 and 2021 included inventory write-offs and reserves primarily related to REGEN-COV.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Capital expenditures in 2023 included costs incurred in connection with the expansion of our Tarrytown, New York location, as well as costs associated with the expansion of our manufacturing facilities in Rensselaer, New York (including the ongoing construction of a fill/finish facility and related equipment). Additionally, capital expenditures in 2023 is net of grant proceeds of $60.0 million primarily related to the expansion of our facilities in New York. We expect to incur capital expenditures of $825 million to $950 million in 2024 primarily in connection with the continued expansion of our research, preclinical manufacturing, and support facilities at our Tarrytown, New York campus and our manufacturing facilities. We expect continued significant capital expenditures over the next several years in connection with the planned expansion of our Tarrytown, New York campus.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Payments for the Libtayo intangible asset of $207.8 million and $1.027 billion in 2023 and 2022, respectively, were related to our acquisition (including contingent consideration paid) of the exclusive right to develop, commercialize, and manufacture Libtayo worldwide (as described in Part I, Item 1. "Collaboration, License, and Other Agreements - </w:t>
      </w:r>
      <w:r>
        <w:rPr>
          <w:rFonts w:ascii="Times New Roman" w:cs="Times New Roman" w:eastAsia="Times New Roman" w:hAnsi="Times New Roman"/>
          <w:sz w:val="18"/>
          <w:szCs w:val="18"/>
          <w:i w:val="1"/>
          <w:iCs w:val="1"/>
          <w:color w:val="auto"/>
        </w:rPr>
        <w:t>Sanofi - Immuno-Oncology</w:t>
      </w:r>
      <w:r>
        <w:rPr>
          <w:rFonts w:ascii="Times New Roman" w:cs="Times New Roman" w:eastAsia="Times New Roman" w:hAnsi="Times New Roman"/>
          <w:sz w:val="18"/>
          <w:szCs w:val="18"/>
          <w:color w:val="auto"/>
        </w:rPr>
        <w:t>" above).</w:t>
      </w:r>
    </w:p>
    <w:p>
      <w:pPr>
        <w:spacing w:after="0" w:line="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Acquisitions, net of cash acquired, of $54.9 million and $230.3 million in 2023 and 2022 was related to our acquisitions of Decibel Therapeutics, Inc. and Checkmate Pharmaceuticals, Inc.,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5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Proceeds from issuances of Common Stock, in connection with exercises of employee stock options, were $1.146 billion during 2023, compared to $1.520 billion during 2022 and $1.672 billion during 2021. For information related to repurchases of Common Stock, see "</w:t>
      </w:r>
      <w:r>
        <w:rPr>
          <w:rFonts w:ascii="Times New Roman" w:cs="Times New Roman" w:eastAsia="Times New Roman" w:hAnsi="Times New Roman"/>
          <w:sz w:val="18"/>
          <w:szCs w:val="18"/>
          <w:i w:val="1"/>
          <w:iCs w:val="1"/>
          <w:color w:val="auto"/>
        </w:rPr>
        <w:t>Share Repurchase Programs</w:t>
      </w:r>
      <w:r>
        <w:rPr>
          <w:rFonts w:ascii="Times New Roman" w:cs="Times New Roman" w:eastAsia="Times New Roman" w:hAnsi="Times New Roman"/>
          <w:sz w:val="18"/>
          <w:szCs w:val="18"/>
          <w:color w:val="auto"/>
        </w:rPr>
        <w:t>" section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December 2022, we entered into an agreement with a syndicate of lenders (the "2022 Credit Agreement") which provides for a $750.0 million senior unsecured five-year revolving credit facility (the "2022 Credit Facility") and replaced the then-existing credit agreement, which was contemporaneously terminated. The 2022 Credit Agreement includes an option for the Company to elect to increase the commitments under the 2022 Credit Facility and/or to enter into one or more tranches of term loans in the aggregate principal amount of up to $500.0 million, subject to the consent of the lenders providing the additional commitments or term loans, as applicable, and certain other conditions. The 2022 Credit Agreement also provides a $50.0 million sublimit for letters of credit.</w:t>
      </w:r>
    </w:p>
    <w:p>
      <w:pPr>
        <w:spacing w:after="0" w:line="1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set forth in the 2022 Credit Agreement, we have the option to amend the 2022 Credit Agreement to establish environmental, social, and governance targets which will be used to adjust pricing under the 2022 Credit Facility, subject to parameters to be provided in the 2022 Credit Agreement.</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Proceeds of the loans under the 2022 Credit Facility may be used to finance working capital needs, and for general corporate or other lawful purposes, of Regeneron and its subsidiaries. Regeneron Pharmaceuticals, Inc. has guaranteed all obligations under the 2022 Credit Facility. The 2022 Credit Agreement includes an option for us to elect to extend the maturity date of the 2022 Credit Facility beyond December 2027, subject to the consent of the extending lenders and certain other conditions. Amounts borrowed under the 2022 Credit Facility may be prepaid, and the commitments under the 2022 Credit Facility may be terminated, at any time without premium or penalty.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borrowings outstanding under the 2022 Credit Facility as of December 31, 2023.</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2022 Credit Agreement contains operating covenants and a maximum total leverage ratio financial covenant. We were in compliance with all covenants of the 2022 Credit Agreement as of December 31,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January 2021, our board of directors authorized a share repurchase program to repurchase up to $1.5 billion of our Common Stock. As of December 31, 2021, the Company had repurchased the entire $1.5 billion of its Common Stock that it was authorized to repurchase under the program.</w:t>
      </w:r>
    </w:p>
    <w:p>
      <w:pPr>
        <w:spacing w:after="0" w:line="97"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In November 2021, our board of directors authorized a share repurchase program to repurchase up to $3.0 billion of our Common Stock. As of June 30, 2023, the Company had repurchased the entire $3.0 billion of its Common Stock that it was authorized to repurchase under the program.</w:t>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January 2023, our board of directors authorized an additional share repurchase program to repurchase up to $3.0 billion of our Common Stock. The share repurchase program permits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As of December 31, 2023, $1.531 billion remained available for share repurchases under the program.</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shares of our Common Stock we repurchased and the cost of the shares, which were recorded as Treasury Stock.</w:t>
      </w:r>
    </w:p>
    <w:p>
      <w:pPr>
        <w:spacing w:after="0" w:line="175" w:lineRule="exact"/>
        <w:rPr>
          <w:sz w:val="20"/>
          <w:szCs w:val="20"/>
          <w:color w:val="auto"/>
        </w:rPr>
      </w:pPr>
    </w:p>
    <w:tbl>
      <w:tblPr>
        <w:tblLayout w:type="fixed"/>
        <w:tblInd w:w="234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18"/>
        </w:trPr>
        <w:tc>
          <w:tcPr>
            <w:tcW w:w="2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shares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1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Lease</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are party to a Third Amended and Restated Lease and Remedies Agreement, dated March 27, 2023 (the "Third Amended and Restated Lease") with BA Leasing BSC, LLC, an affiliate of Banc of America Leasing &amp; Capital, LLC ("BAL"), as lessor, which relates to our lease of laboratory and office facilities in Tarrytown, New York (the "Facility"); and a Third Amended and Restated Participation Agreement, dated March 27, 2023 (the "Third Amended and Restated Participation Agreement") with Bank of America, N.A., as administrative agent (the "Administrative Agent"), and a syndicate of lenders (collectively with BAL, the "Participants"), as rent assignees. The Third Amended and Restated Lease and Third Amended and Restated Participation Agreement provide for a March 2027 maturity date of the $720.0 million lease financing (previously advanced by the Participants in March 2017 in connection with the acquisition by BAL of the Facility and our lease of the Facility from BAL) and the end of the term of our lease of the Facility from BAL, at which time all amounts outstanding thereunder will become due and payable in full.</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the terms of the Third Amended and Restated Lease, we pay all maintenance, insurance, taxes, and other costs arising out of the use of the Facility. We are also required to make monthly payments of basic rent during the remaining term of the Third Amended and Restated Lease to satisfy the yield payable to the Participants on their outstanding advances under the Third Amended and Restated Participation Agreement. Such advances accrue yield at a variable rate per annum based on the one-month forward-looking Secured Overnight Financing Rate ("SOFR") term rate, plus a spread adjustment, plus an applicable margin that varies with our debt rating and total leverage ratio.</w:t>
      </w:r>
    </w:p>
    <w:p>
      <w:pPr>
        <w:spacing w:after="0" w:line="1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Third Amended and Restated Participation Agreement and Third Amended and Restated Lease include an option for us to elect to further extend the maturity date of the Third Amended and Restated Participation Agreement and the term of the Third Amended and Restated Lease for an additional five-year period, subject to the consent of all the Participants and certain other conditions. We also have the option prior to the end of the term of the Third Amended and Restated Lease to (a) purchase the Facility by paying an amount equal to the outstanding principal amount of the Participants' advances under the Third Amended and Restated Participation Agreement, all accrued and unpaid yield thereon, and all other outstanding amounts under the Third Amended and Restated Participation Agreement, Third Amended and Restated Lease, and certain related documents or (b) sell the Facility to a third party on behalf of BAL.</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Third Amended and Restated Lease is classified as a finance lease as we have the option to purchase the Facility under terms that make it reasonably certain to be exercised. The agreements governing the Third Amended and Restated Lease financing contain financial and operating covenants. Such financial covenants and certain of the operating covenants are substantially similar to the covenants set forth in our 2022 Credit Agreement. The Company was in compliance with all such covenants as of December 31,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Funding Requirements</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amount required to fund operations will depend on various factors, including the potential regulatory approval and commercialization of our product candidates and the timing thereof and the extent and cost of our research and development programs. We believe that our existing capital resources, borrowing availability under the 2022 Credit Facility, funds generated by anticipated product sales, and funding for reimbursement of research and development costs that we are entitled to receive under our collaboration agreements, will enable us to meet our anticipated operating needs for the foreseeable future.</w:t>
      </w:r>
    </w:p>
    <w:p>
      <w:pPr>
        <w:spacing w:after="0" w:line="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continue to incur significant costs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including the size of trials, fees charged for services provided by clinical trial investigators and other third parties, the costs for manufacturing the product candidate for use in the trials, and other expenses.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anticipate continuing to incur substantial commercialization costs for our marketed products. Commercialization costs over the next few years will depend on, among other things, the market potential for product candidates, whether commercialization costs are shared with a collaborator, and regulatory approval of additional product candidates.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expenses related to the filing, prosecution, defense, and enforcement of patents and other intellectual property will be substantial.</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Liabilities for unrecognized tax benefits totaled $696.4 million as of December 31, 2023. Due to their nature, there is a high degree of uncertainty regarding the period and amounts of potential future cash settlement with tax authorities. See Note 15 to our Consolidated Financial Statements.</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enter into collaboration and licensing agreements that may require us to pay (i) amounts contingent upon the occurrence of various future events (e.g.,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 See Note 3 to our Consolidated Financial Statements.</w:t>
      </w:r>
    </w:p>
    <w:p>
      <w:pPr>
        <w:spacing w:after="0" w:line="1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 described in Part I, Item 1. "Collaboration, License, and Other Agreements," under our collaborations with Bayer and Sanofi, we and our collaborator share profits in connection with commercialization of drug products. If the applicable collaboration is profitable, we have contingent contractual obligations to reimburse Bayer and Sanofi for a defined percentage (generally 50%) of agreed-upon development expenses funded by Bayer and Sanofi (i.e., "development balance"). These reimbursements are deducted each quarter, in accordance with a formula, from our share of the collaboration profits otherwise payable to us, unless, in the case of Bayer, we elect to reimburse these expenses at a faster rate. As of December 31, 2023, our contingent reimbursement obligation to Bayer was approximately $293 million and our contingent reimbursement obligation to Sanofi in connection with the companies' Antibody Collaboration was approximately $2.330 billion. Therefore, we continue to expect that a portion of our share of profits from sales under our collaborations with Bayer and Sanofi will be used to reimburse our collaborators for these obligations.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Consolidated Financial Statements for a description of recently issued accounting standards.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earnings and cash flows are subject to fluctuations due to changes in interest rates, principally in connection with our investments in marketable securities, which consist primarily of corporate bonds and U.S. treasury securities. We do not believe we are materially exposed to changes in interest rates related to our investments, and we do not currently use interest rate derivative instruments to manage exposure to interest rate changes of our investments. We estimate that a 100 basis point, or 1%, unfavorable change in interest rates would have resulted in approximately a $98.7 million and $102.7 million decrease in the fair value of our investment portfolio as of December 31, 2023 and 2022, respectively.</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have exposure to market risk for changes in interest rates, including the interest rate risk relating to our variable rate Tarrytown, New York lease (as described in Part II, Item 7. "Management's Discussion and Analysis of Financial Condition and Results of Operations - Liquidity and Capital Resources - </w:t>
      </w:r>
      <w:r>
        <w:rPr>
          <w:rFonts w:ascii="Times New Roman" w:cs="Times New Roman" w:eastAsia="Times New Roman" w:hAnsi="Times New Roman"/>
          <w:sz w:val="18"/>
          <w:szCs w:val="18"/>
          <w:i w:val="1"/>
          <w:iCs w:val="1"/>
          <w:color w:val="auto"/>
        </w:rPr>
        <w:t>Tarrytown, New York Leases</w:t>
      </w:r>
      <w:r>
        <w:rPr>
          <w:rFonts w:ascii="Times New Roman" w:cs="Times New Roman" w:eastAsia="Times New Roman" w:hAnsi="Times New Roman"/>
          <w:sz w:val="18"/>
          <w:szCs w:val="18"/>
          <w:color w:val="auto"/>
        </w:rPr>
        <w:t>"). Our interest rate exposure is offset by our investments in marketable securities. We continue to monitor our interest rate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may utilize derivative instruments and/or other strategies in the future to further mitigate our interest rate exposure.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Risk</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In 2023, 2022, and 2021, we did not record any charges for credit-related impairments of our available-for-sale debt securities.</w:t>
      </w:r>
    </w:p>
    <w:p>
      <w:pPr>
        <w:spacing w:after="0" w:line="1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are subject to credit risk associated with the receivables due from our collaborators, including Bayer and Sanofi. We are also subject to credit risk in connection with trade accounts receivable due from our customers from our product sales. We have contractual payment terms with each of our collaborators and customers. We also monitor financial performance and credit worthiness so that we can properly assess and respond to any changes in collaborator and/or customer credit profiles. In 2023, 2022, and 2021, we did not recognize any charges for write-offs and allowances of accounts receivable related to credit risk for our collaborators or customers. As of December 31, 2023, two customers accounted on a combined basis for 83% of our net trade accounts receivables.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discussed further above, our collaborators market certain products outside the United States, and we share in profits and losses with these collaborators from commercialization of products. In addition, pursuant to the applicable terms of the agreements with our collaborators, we also share in certain worldwide development expenses incurred by our collaborators.</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incur worldwide development expenses for clinical products we are developing independently, incur expenses outside the United States in connection with our international operations, and, effective July 1, 2022, market Libtayo outside the United States as a result of obtaining worldwide rights to Libtayo under an A&amp;R IO LCA with Sanofi.</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Therefore, significant changes in foreign exchange rates of the countries outside the United States where our products are sold, where development expenses are incurred by us or our collaborators, or where we incur operating expenses may impact our operating results and financial condition. As sales outside the United States continue to grow, and as we expand our international operations, we will continue to assess potential steps, including foreign currency hedging and other strategies, to mitigate our foreign exchange risk.</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Price Risk</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exposed to price risk on equity securities included in our investment portfolio. Our investments include equity securities of companies with which we have entered into collaboration arrangements. Changes in the fair value of our equity investments are included in Other income (expense), net on the Statements of Operations. We recorded $237.8 million and $39.8 million of net unrealized losses on equity securities in Other income (expense), net in 2023 and 2022,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set forth beginning on page F-1 of this report and is incorporated herein by reference.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Securities Exchange Act of 1934, as amended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Rules 13a-15(f) or 15d-15(f) under the Exchange Act. Our management conducted an evaluation of the effectiveness of our internal control over financial reporting as of December 31, 2023 using the framework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that evaluation, our management has concluded that our internal control over financial reporting was effective as of December 31, 2023. The effectiveness of the Company's internal control over financial reporting as of December 31, 2023 has been audited by PricewaterhouseCoopers LLP, an independent registered public accounting firm, as stated in their report which appears under Part IV, Item 15.</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or 15d-15(f) under the Exchange Act) during the quarter ended December 31, 2023 that has materially affected, or is reasonably likely to materially affect, our internal control over financial reporting.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disclosed in the table below, during the three months ended December 31, 2023, certain of our directors and/or executive officers adopted plans for trading arrangements intended to satisfy the affirmative defense conditions of Rule 10b5-1(c) of the Exchange Act.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Date of Plan</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Scheduled End Date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 of</w:t>
            </w:r>
          </w:p>
        </w:tc>
        <w:tc>
          <w:tcPr>
            <w:tcW w:w="0" w:type="dxa"/>
            <w:vAlign w:val="bottom"/>
          </w:tcPr>
          <w:p>
            <w:pPr>
              <w:spacing w:after="0"/>
              <w:rPr>
                <w:sz w:val="1"/>
                <w:szCs w:val="1"/>
                <w:color w:val="auto"/>
              </w:rPr>
            </w:pPr>
          </w:p>
        </w:tc>
      </w:tr>
      <w:tr>
        <w:trPr>
          <w:trHeight w:val="179"/>
        </w:trPr>
        <w:tc>
          <w:tcPr>
            <w:tcW w:w="24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80" w:type="dxa"/>
            <w:vAlign w:val="bottom"/>
            <w:gridSpan w:val="2"/>
            <w:vMerge w:val="restart"/>
          </w:tcPr>
          <w:p>
            <w:pPr>
              <w:ind w:left="118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600" w:type="dxa"/>
            <w:vAlign w:val="bottom"/>
            <w:gridSpan w:val="2"/>
            <w:vMerge w:val="continue"/>
          </w:tcPr>
          <w:p>
            <w:pPr>
              <w:spacing w:after="0"/>
              <w:rPr>
                <w:sz w:val="15"/>
                <w:szCs w:val="15"/>
                <w:color w:val="auto"/>
              </w:rPr>
            </w:pPr>
          </w:p>
        </w:tc>
        <w:tc>
          <w:tcPr>
            <w:tcW w:w="1840" w:type="dxa"/>
            <w:vAlign w:val="bottom"/>
            <w:gridSpan w:val="2"/>
          </w:tcPr>
          <w:p>
            <w:pPr>
              <w:jc w:val="center"/>
              <w:ind w:right="100"/>
              <w:spacing w:after="0" w:line="179" w:lineRule="exact"/>
              <w:rPr>
                <w:sz w:val="20"/>
                <w:szCs w:val="20"/>
                <w:color w:val="auto"/>
              </w:rPr>
            </w:pPr>
            <w:r>
              <w:rPr>
                <w:rFonts w:ascii="Times New Roman" w:cs="Times New Roman" w:eastAsia="Times New Roman" w:hAnsi="Times New Roman"/>
                <w:sz w:val="18"/>
                <w:szCs w:val="18"/>
                <w:b w:val="1"/>
                <w:bCs w:val="1"/>
                <w:color w:val="auto"/>
                <w:w w:val="94"/>
              </w:rPr>
              <w:t>of Trading</w:t>
            </w:r>
          </w:p>
        </w:tc>
        <w:tc>
          <w:tcPr>
            <w:tcW w:w="20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b w:val="1"/>
                <w:bCs w:val="1"/>
                <w:color w:val="auto"/>
                <w:w w:val="97"/>
              </w:rPr>
              <w:t>Securities to Be Sold</w:t>
            </w:r>
          </w:p>
        </w:tc>
        <w:tc>
          <w:tcPr>
            <w:tcW w:w="0" w:type="dxa"/>
            <w:vAlign w:val="bottom"/>
          </w:tcPr>
          <w:p>
            <w:pPr>
              <w:spacing w:after="0"/>
              <w:rPr>
                <w:sz w:val="1"/>
                <w:szCs w:val="1"/>
                <w:color w:val="auto"/>
              </w:rPr>
            </w:pPr>
          </w:p>
        </w:tc>
      </w:tr>
      <w:tr>
        <w:trPr>
          <w:trHeight w:val="225"/>
        </w:trPr>
        <w:tc>
          <w:tcPr>
            <w:tcW w:w="2480" w:type="dxa"/>
            <w:vAlign w:val="bottom"/>
            <w:gridSpan w:val="2"/>
            <w:vMerge w:val="continue"/>
          </w:tcPr>
          <w:p>
            <w:pPr>
              <w:spacing w:after="0"/>
              <w:rPr>
                <w:sz w:val="19"/>
                <w:szCs w:val="19"/>
                <w:color w:val="auto"/>
              </w:rPr>
            </w:pPr>
          </w:p>
        </w:tc>
        <w:tc>
          <w:tcPr>
            <w:tcW w:w="3080" w:type="dxa"/>
            <w:vAlign w:val="bottom"/>
            <w:gridSpan w:val="2"/>
            <w:vMerge w:val="continue"/>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Adoption</w:t>
            </w:r>
          </w:p>
        </w:tc>
        <w:tc>
          <w:tcPr>
            <w:tcW w:w="1840" w:type="dxa"/>
            <w:vAlign w:val="bottom"/>
            <w:gridSpan w:val="2"/>
          </w:tcPr>
          <w:p>
            <w:pPr>
              <w:jc w:val="center"/>
              <w:ind w:right="100"/>
              <w:spacing w:after="0" w:line="225" w:lineRule="exact"/>
              <w:rPr>
                <w:sz w:val="20"/>
                <w:szCs w:val="20"/>
                <w:color w:val="auto"/>
              </w:rPr>
            </w:pPr>
            <w:r>
              <w:rPr>
                <w:rFonts w:ascii="Times New Roman" w:cs="Times New Roman" w:eastAsia="Times New Roman" w:hAnsi="Times New Roman"/>
                <w:sz w:val="18"/>
                <w:szCs w:val="18"/>
                <w:b w:val="1"/>
                <w:bCs w:val="1"/>
                <w:color w:val="auto"/>
                <w:w w:val="94"/>
              </w:rPr>
              <w:t>Arrangement</w:t>
            </w:r>
            <w:r>
              <w:rPr>
                <w:rFonts w:ascii="Times New Roman" w:cs="Times New Roman" w:eastAsia="Times New Roman" w:hAnsi="Times New Roman"/>
                <w:sz w:val="22"/>
                <w:szCs w:val="22"/>
                <w:b w:val="1"/>
                <w:bCs w:val="1"/>
                <w:color w:val="auto"/>
                <w:w w:val="94"/>
                <w:vertAlign w:val="superscript"/>
              </w:rPr>
              <w:t>(a)</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the Plan</w:t>
            </w:r>
          </w:p>
        </w:tc>
        <w:tc>
          <w:tcPr>
            <w:tcW w:w="0" w:type="dxa"/>
            <w:vAlign w:val="bottom"/>
          </w:tcPr>
          <w:p>
            <w:pPr>
              <w:spacing w:after="0"/>
              <w:rPr>
                <w:sz w:val="1"/>
                <w:szCs w:val="1"/>
                <w:color w:val="auto"/>
              </w:rPr>
            </w:pPr>
          </w:p>
        </w:tc>
      </w:tr>
      <w:tr>
        <w:trPr>
          <w:trHeight w:val="174"/>
        </w:trPr>
        <w:tc>
          <w:tcPr>
            <w:tcW w:w="23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Robert E. Landry</w:t>
            </w:r>
          </w:p>
        </w:tc>
        <w:tc>
          <w:tcPr>
            <w:tcW w:w="100" w:type="dxa"/>
            <w:vAlign w:val="bottom"/>
            <w:tcBorders>
              <w:top w:val="single" w:sz="8" w:color="CCEEFF"/>
            </w:tcBorders>
            <w:shd w:val="clear" w:color="auto" w:fill="CCEEFF"/>
          </w:tcPr>
          <w:p>
            <w:pPr>
              <w:spacing w:after="0"/>
              <w:rPr>
                <w:sz w:val="15"/>
                <w:szCs w:val="15"/>
                <w:color w:val="auto"/>
              </w:rPr>
            </w:pPr>
          </w:p>
        </w:tc>
        <w:tc>
          <w:tcPr>
            <w:tcW w:w="29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Executive Vice President, Finance and</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11/9/2023</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5/6/2024</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14,337</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60" w:hanging="177"/>
        <w:spacing w:after="0"/>
        <w:tabs>
          <w:tab w:leader="none" w:pos="360"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trading arrangement may expire on an earlier date if and when all transactions under the arrangement are completed.</w:t>
      </w:r>
    </w:p>
    <w:p>
      <w:pPr>
        <w:spacing w:after="0" w:line="223" w:lineRule="exact"/>
        <w:rPr>
          <w:sz w:val="20"/>
          <w:szCs w:val="20"/>
          <w:color w:val="auto"/>
        </w:rPr>
      </w:pPr>
    </w:p>
    <w:p>
      <w:pPr>
        <w:ind w:right="5400"/>
        <w:spacing w:after="0" w:line="399"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required by this item (other than the information set forth in the next paragraph in this Item 10) will be included in our definitive proxy statement with respect to our 2024 Annual Meeting of Shareholders to be filed with the SEC, and is incorporated herein by reference.</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The full text of our code of business conduct and ethics can be found on our website (http://www.regeneron.com) under the "Governance" heading on the "Investors &amp; Media"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2024 Annual Meeting of Shareholders to be filed with the SEC, and is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2024 Annual Meeting of Shareholders to be filed with the SEC, and is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2024 Annual Meeting of Shareholders to be filed with the SEC, and is incorporated herein by reference.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called for by this item will be included in our definitive proxy statement with respect to our 2024 Annual Meeting of Shareholders to be filed with the SEC, and is incorporated herein by reference.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5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(a)</w:t>
      </w:r>
      <w:r>
        <w:rPr>
          <w:sz w:val="20"/>
          <w:szCs w:val="20"/>
          <w:color w:val="auto"/>
        </w:rPr>
        <w:tab/>
      </w:r>
      <w:r>
        <w:rPr>
          <w:rFonts w:ascii="Times New Roman" w:cs="Times New Roman" w:eastAsia="Times New Roman" w:hAnsi="Times New Roman"/>
          <w:sz w:val="17"/>
          <w:szCs w:val="17"/>
          <w:i w:val="1"/>
          <w:iCs w:val="1"/>
          <w:color w:val="auto"/>
        </w:rPr>
        <w:t>1. Financial Statements</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consolidated financial statements filed as part of this report are listed on the Index to Financial Statements on page F-1.</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2. Financial Statement Schedules</w:t>
      </w:r>
    </w:p>
    <w:p>
      <w:pPr>
        <w:spacing w:after="0" w:line="153"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 are not required under the related instructions or are inapplicable and, therefore, have been omitted.</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20" w:type="dxa"/>
            <w:vAlign w:val="bottom"/>
            <w:gridSpan w:val="3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8"/>
                <w:szCs w:val="18"/>
                <w:b w:val="1"/>
                <w:bCs w:val="1"/>
                <w:color w:val="auto"/>
                <w:w w:val="84"/>
              </w:rPr>
              <w:t>Number</w:t>
            </w:r>
          </w:p>
        </w:tc>
        <w:tc>
          <w:tcPr>
            <w:tcW w:w="240" w:type="dxa"/>
            <w:vAlign w:val="bottom"/>
          </w:tcPr>
          <w:p>
            <w:pPr>
              <w:spacing w:after="0"/>
              <w:rPr>
                <w:sz w:val="14"/>
                <w:szCs w:val="14"/>
                <w:color w:val="auto"/>
              </w:rPr>
            </w:pPr>
          </w:p>
        </w:tc>
        <w:tc>
          <w:tcPr>
            <w:tcW w:w="10020" w:type="dxa"/>
            <w:vAlign w:val="bottom"/>
            <w:gridSpan w:val="3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0" w:type="dxa"/>
            <w:vAlign w:val="bottom"/>
          </w:tcPr>
          <w:p>
            <w:pPr>
              <w:spacing w:after="0"/>
              <w:rPr>
                <w:sz w:val="17"/>
                <w:szCs w:val="17"/>
                <w:color w:val="auto"/>
              </w:rPr>
            </w:pPr>
          </w:p>
        </w:tc>
        <w:tc>
          <w:tcPr>
            <w:tcW w:w="260" w:type="dxa"/>
            <w:vAlign w:val="bottom"/>
            <w:tcBorders>
              <w:right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w w:val="88"/>
              </w:rPr>
              <w:t>3.1</w:t>
            </w:r>
          </w:p>
        </w:tc>
        <w:tc>
          <w:tcPr>
            <w:tcW w:w="5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20" w:type="dxa"/>
            <w:vAlign w:val="bottom"/>
            <w:gridSpan w:val="33"/>
            <w:shd w:val="clear" w:color="auto" w:fill="CCEEFF"/>
          </w:tcPr>
          <w:p>
            <w:pPr>
              <w:spacing w:after="0" w:line="205"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Restated Certificate of Incorporation, as amended. (Incorporated by reference from the Form 10-Q for Regeneron Pharmaceuticals, Inc.</w:t>
              </w:r>
            </w:hyperlink>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5500" w:type="dxa"/>
            <w:vAlign w:val="bottom"/>
            <w:tcBorders>
              <w:top w:val="single" w:sz="8" w:color="0000FF"/>
              <w:bottom w:val="single" w:sz="8" w:color="0000FF"/>
            </w:tcBorders>
            <w:gridSpan w:val="13"/>
            <w:shd w:val="clear" w:color="auto" w:fill="CCEEFF"/>
          </w:tcPr>
          <w:p>
            <w:pPr>
              <w:spacing w:after="0" w:line="165" w:lineRule="exact"/>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(the "Registrant"), for the quarter ended June 30, 2015, filed August 4, 2015.)</w:t>
              </w:r>
            </w:hyperlink>
          </w:p>
        </w:tc>
        <w:tc>
          <w:tcPr>
            <w:tcW w:w="458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94967157"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2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w w:val="88"/>
              </w:rPr>
              <w:t>3.2</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20" w:type="dxa"/>
            <w:vAlign w:val="bottom"/>
            <w:gridSpan w:val="33"/>
          </w:tcPr>
          <w:p>
            <w:pPr>
              <w:spacing w:after="0" w:line="18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Amended and Restated By-Laws. (Incorporated by reference from the Form 8-K for the Registrant filed December 21, 2016.)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0" w:type="dxa"/>
            <w:vAlign w:val="bottom"/>
          </w:tcPr>
          <w:p>
            <w:pPr>
              <w:spacing w:after="0"/>
              <w:rPr>
                <w:sz w:val="17"/>
                <w:szCs w:val="17"/>
                <w:color w:val="auto"/>
              </w:rPr>
            </w:pPr>
          </w:p>
        </w:tc>
        <w:tc>
          <w:tcPr>
            <w:tcW w:w="840" w:type="dxa"/>
            <w:vAlign w:val="bottom"/>
            <w:tcBorders>
              <w:right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shd w:val="clear" w:color="auto" w:fill="CCEEFF"/>
          </w:tcPr>
          <w:p>
            <w:pPr>
              <w:spacing w:after="0"/>
              <w:rPr>
                <w:sz w:val="17"/>
                <w:szCs w:val="17"/>
                <w:color w:val="auto"/>
              </w:rPr>
            </w:pPr>
          </w:p>
        </w:tc>
        <w:tc>
          <w:tcPr>
            <w:tcW w:w="10020" w:type="dxa"/>
            <w:vAlign w:val="bottom"/>
            <w:gridSpan w:val="33"/>
            <w:shd w:val="clear" w:color="auto" w:fill="CCEEFF"/>
          </w:tcPr>
          <w:p>
            <w:pPr>
              <w:spacing w:after="0" w:line="205"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Amendment to the Amended and Restated By-Laws effective June 9, 2023. (Incorporated by reference from the Form 8-K for the</w:t>
              </w:r>
            </w:hyperlink>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240" w:type="dxa"/>
            <w:vAlign w:val="bottom"/>
            <w:tcBorders>
              <w:top w:val="single" w:sz="8" w:color="0000FF"/>
              <w:bottom w:val="single" w:sz="8" w:color="0000FF"/>
            </w:tcBorders>
            <w:gridSpan w:val="4"/>
            <w:shd w:val="clear" w:color="auto" w:fill="CCEEFF"/>
          </w:tcPr>
          <w:p>
            <w:pPr>
              <w:spacing w:after="0" w:line="165" w:lineRule="exact"/>
              <w:rPr>
                <w:rFonts w:ascii="Times New Roman" w:cs="Times New Roman" w:eastAsia="Times New Roman" w:hAnsi="Times New Roman"/>
                <w:sz w:val="18"/>
                <w:szCs w:val="18"/>
                <w:color w:val="0000FF"/>
                <w:w w:val="97"/>
              </w:rPr>
            </w:pPr>
            <w:hyperlink r:id="rId119">
              <w:r>
                <w:rPr>
                  <w:rFonts w:ascii="Times New Roman" w:cs="Times New Roman" w:eastAsia="Times New Roman" w:hAnsi="Times New Roman"/>
                  <w:sz w:val="18"/>
                  <w:szCs w:val="18"/>
                  <w:color w:val="0000FF"/>
                  <w:w w:val="97"/>
                </w:rPr>
                <w:t>Registrant filed June 14, 2023.)</w:t>
              </w:r>
            </w:hyperlink>
          </w:p>
        </w:tc>
        <w:tc>
          <w:tcPr>
            <w:tcW w:w="764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94967157"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2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w w:val="88"/>
              </w:rPr>
              <w:t>4.1</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20" w:type="dxa"/>
            <w:vAlign w:val="bottom"/>
            <w:gridSpan w:val="33"/>
          </w:tcPr>
          <w:p>
            <w:pPr>
              <w:spacing w:after="0" w:line="18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Description of Securities Registered Pursuant to Section 12 of the Securities Exchange Act of 1934. (Incorporated by reference from the</w:t>
              </w:r>
            </w:hyperlink>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980" w:type="dxa"/>
            <w:vAlign w:val="bottom"/>
            <w:tcBorders>
              <w:top w:val="single" w:sz="8" w:color="0000FF"/>
            </w:tcBorders>
            <w:gridSpan w:val="23"/>
          </w:tcPr>
          <w:p>
            <w:pPr>
              <w:spacing w:after="0" w:line="165"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10-K for the Registrant, for the year ended December 31, 2019, filed February 7,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15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0" w:type="dxa"/>
            <w:vAlign w:val="bottom"/>
          </w:tcPr>
          <w:p>
            <w:pPr>
              <w:spacing w:after="0"/>
              <w:rPr>
                <w:sz w:val="17"/>
                <w:szCs w:val="17"/>
                <w:color w:val="auto"/>
              </w:rPr>
            </w:pPr>
          </w:p>
        </w:tc>
        <w:tc>
          <w:tcPr>
            <w:tcW w:w="260" w:type="dxa"/>
            <w:vAlign w:val="bottom"/>
            <w:tcBorders>
              <w:right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w w:val="88"/>
              </w:rPr>
              <w:t>4.2</w:t>
            </w:r>
          </w:p>
        </w:tc>
        <w:tc>
          <w:tcPr>
            <w:tcW w:w="5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20" w:type="dxa"/>
            <w:vAlign w:val="bottom"/>
            <w:gridSpan w:val="33"/>
            <w:shd w:val="clear" w:color="auto" w:fill="CCEEFF"/>
          </w:tcPr>
          <w:p>
            <w:pPr>
              <w:spacing w:after="0" w:line="205"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Indenture, dated August 12, 2020, between the Registrant and U.S. Bank National Association. (Incorporated by reference from the Form</w:t>
              </w:r>
            </w:hyperlink>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300" w:type="dxa"/>
            <w:vAlign w:val="bottom"/>
            <w:tcBorders>
              <w:top w:val="single" w:sz="8" w:color="0000FF"/>
              <w:bottom w:val="single" w:sz="8" w:color="0000FF"/>
            </w:tcBorders>
            <w:gridSpan w:val="5"/>
            <w:shd w:val="clear" w:color="auto" w:fill="CCEEFF"/>
          </w:tcPr>
          <w:p>
            <w:pPr>
              <w:spacing w:after="0" w:line="165" w:lineRule="exact"/>
              <w:rPr>
                <w:rFonts w:ascii="Times New Roman" w:cs="Times New Roman" w:eastAsia="Times New Roman" w:hAnsi="Times New Roman"/>
                <w:sz w:val="18"/>
                <w:szCs w:val="18"/>
                <w:color w:val="0000FF"/>
                <w:w w:val="97"/>
              </w:rPr>
            </w:pPr>
            <w:hyperlink r:id="rId121">
              <w:r>
                <w:rPr>
                  <w:rFonts w:ascii="Times New Roman" w:cs="Times New Roman" w:eastAsia="Times New Roman" w:hAnsi="Times New Roman"/>
                  <w:sz w:val="18"/>
                  <w:szCs w:val="18"/>
                  <w:color w:val="0000FF"/>
                  <w:w w:val="97"/>
                </w:rPr>
                <w:t>8-K for the Registrant, filed August 12, 2020.)</w:t>
              </w:r>
            </w:hyperlink>
          </w:p>
        </w:tc>
        <w:tc>
          <w:tcPr>
            <w:tcW w:w="662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94967157"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2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w w:val="88"/>
              </w:rPr>
              <w:t>4.3</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20" w:type="dxa"/>
            <w:vAlign w:val="bottom"/>
            <w:gridSpan w:val="33"/>
          </w:tcPr>
          <w:p>
            <w:pPr>
              <w:spacing w:after="0" w:line="18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First Supplemental Indenture, dated August 12, 2020, between the Registrant and U.S. Bank National Association. (Incorporated by</w:t>
              </w:r>
            </w:hyperlink>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80" w:type="dxa"/>
            <w:vAlign w:val="bottom"/>
            <w:tcBorders>
              <w:top w:val="single" w:sz="8" w:color="0000FF"/>
              <w:bottom w:val="single" w:sz="8" w:color="0000FF"/>
            </w:tcBorders>
            <w:gridSpan w:val="10"/>
          </w:tcPr>
          <w:p>
            <w:pPr>
              <w:spacing w:after="0" w:line="165"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reference from the Form 8-K for the Registrant, filed August 12, 2020.)</w:t>
              </w:r>
            </w:hyperlink>
          </w:p>
        </w:tc>
        <w:tc>
          <w:tcPr>
            <w:tcW w:w="4980" w:type="dxa"/>
            <w:vAlign w:val="bottom"/>
            <w:tcBorders>
              <w:top w:val="single" w:sz="8" w:color="0000FF"/>
            </w:tcBorders>
            <w:gridSpan w:val="1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15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260" w:type="dxa"/>
            <w:vAlign w:val="bottom"/>
            <w:tcBorders>
              <w:right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w w:val="88"/>
              </w:rPr>
              <w:t>4.4</w:t>
            </w:r>
          </w:p>
        </w:tc>
        <w:tc>
          <w:tcPr>
            <w:tcW w:w="5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20" w:type="dxa"/>
            <w:vAlign w:val="bottom"/>
            <w:gridSpan w:val="33"/>
            <w:shd w:val="clear" w:color="auto" w:fill="CCEEFF"/>
          </w:tcPr>
          <w:p>
            <w:pPr>
              <w:spacing w:after="0" w:line="205"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1.750% Senior Note due 2030 (included in Exhibit 4.3).</w:t>
              </w:r>
            </w:hyperlink>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580" w:type="dxa"/>
            <w:vAlign w:val="bottom"/>
            <w:tcBorders>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10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6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94967157"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40" w:type="dxa"/>
            <w:vAlign w:val="bottom"/>
          </w:tcPr>
          <w:p>
            <w:pPr>
              <w:spacing w:after="0"/>
              <w:rPr>
                <w:sz w:val="16"/>
                <w:szCs w:val="16"/>
                <w:color w:val="auto"/>
              </w:rPr>
            </w:pPr>
          </w:p>
        </w:tc>
        <w:tc>
          <w:tcPr>
            <w:tcW w:w="2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w w:val="88"/>
              </w:rPr>
              <w:t>4.5</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20" w:type="dxa"/>
            <w:vAlign w:val="bottom"/>
            <w:gridSpan w:val="33"/>
          </w:tcPr>
          <w:p>
            <w:pPr>
              <w:spacing w:after="0" w:line="18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2.800% Senior Note due 2050 (included in Exhibit 4.3).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0" w:type="dxa"/>
            <w:vAlign w:val="bottom"/>
          </w:tcPr>
          <w:p>
            <w:pPr>
              <w:spacing w:after="0"/>
              <w:rPr>
                <w:sz w:val="17"/>
                <w:szCs w:val="17"/>
                <w:color w:val="auto"/>
              </w:rPr>
            </w:pPr>
          </w:p>
        </w:tc>
        <w:tc>
          <w:tcPr>
            <w:tcW w:w="840" w:type="dxa"/>
            <w:vAlign w:val="bottom"/>
            <w:tcBorders>
              <w:right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10.1 +</w:t>
            </w:r>
          </w:p>
        </w:tc>
        <w:tc>
          <w:tcPr>
            <w:tcW w:w="240" w:type="dxa"/>
            <w:vAlign w:val="bottom"/>
            <w:shd w:val="clear" w:color="auto" w:fill="CCEEFF"/>
          </w:tcPr>
          <w:p>
            <w:pPr>
              <w:spacing w:after="0"/>
              <w:rPr>
                <w:sz w:val="17"/>
                <w:szCs w:val="17"/>
                <w:color w:val="auto"/>
              </w:rPr>
            </w:pPr>
          </w:p>
        </w:tc>
        <w:tc>
          <w:tcPr>
            <w:tcW w:w="10020" w:type="dxa"/>
            <w:vAlign w:val="bottom"/>
            <w:gridSpan w:val="33"/>
            <w:shd w:val="clear" w:color="auto" w:fill="CCEEFF"/>
          </w:tcPr>
          <w:p>
            <w:pPr>
              <w:spacing w:after="0" w:line="205"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Regeneron Pharmaceuticals, Inc. Second Amended and Restated 2000 Long-Term Incentive Plan. (Incorporated by reference from the</w:t>
              </w:r>
            </w:hyperlink>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5380" w:type="dxa"/>
            <w:vAlign w:val="bottom"/>
            <w:tcBorders>
              <w:top w:val="single" w:sz="8" w:color="0000FF"/>
              <w:bottom w:val="single" w:sz="8" w:color="0000FF"/>
            </w:tcBorders>
            <w:gridSpan w:val="12"/>
            <w:shd w:val="clear" w:color="auto" w:fill="CCEEFF"/>
          </w:tcPr>
          <w:p>
            <w:pPr>
              <w:spacing w:after="0" w:line="165" w:lineRule="exact"/>
              <w:rPr>
                <w:rFonts w:ascii="Times New Roman" w:cs="Times New Roman" w:eastAsia="Times New Roman" w:hAnsi="Times New Roman"/>
                <w:sz w:val="18"/>
                <w:szCs w:val="18"/>
                <w:color w:val="0000FF"/>
                <w:w w:val="97"/>
              </w:rPr>
            </w:pPr>
            <w:hyperlink r:id="rId123">
              <w:r>
                <w:rPr>
                  <w:rFonts w:ascii="Times New Roman" w:cs="Times New Roman" w:eastAsia="Times New Roman" w:hAnsi="Times New Roman"/>
                  <w:sz w:val="18"/>
                  <w:szCs w:val="18"/>
                  <w:color w:val="0000FF"/>
                  <w:w w:val="97"/>
                </w:rPr>
                <w:t>Registration Statement on Form S-8 for the Registrant, filed June 13, 2011.)</w:t>
              </w:r>
            </w:hyperlink>
          </w:p>
        </w:tc>
        <w:tc>
          <w:tcPr>
            <w:tcW w:w="4760" w:type="dxa"/>
            <w:vAlign w:val="bottom"/>
            <w:tcBorders>
              <w:top w:val="single" w:sz="8" w:color="0000FF"/>
              <w:bottom w:val="single" w:sz="8" w:color="CCEEFF"/>
            </w:tcBorders>
            <w:gridSpan w:val="19"/>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94967157"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84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10.1.1 +</w:t>
            </w:r>
          </w:p>
        </w:tc>
        <w:tc>
          <w:tcPr>
            <w:tcW w:w="240" w:type="dxa"/>
            <w:vAlign w:val="bottom"/>
          </w:tcPr>
          <w:p>
            <w:pPr>
              <w:spacing w:after="0"/>
              <w:rPr>
                <w:sz w:val="16"/>
                <w:szCs w:val="16"/>
                <w:color w:val="auto"/>
              </w:rPr>
            </w:pPr>
          </w:p>
        </w:tc>
        <w:tc>
          <w:tcPr>
            <w:tcW w:w="10020" w:type="dxa"/>
            <w:vAlign w:val="bottom"/>
            <w:gridSpan w:val="33"/>
          </w:tcPr>
          <w:p>
            <w:pPr>
              <w:spacing w:after="0" w:line="18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Form of option agreement and related notice of grant for use in connection with the grant of time based vesting stock options to the</w:t>
              </w:r>
            </w:hyperlink>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0" w:type="dxa"/>
            <w:vAlign w:val="bottom"/>
            <w:tcBorders>
              <w:top w:val="single" w:sz="8" w:color="0000FF"/>
              <w:bottom w:val="single" w:sz="8" w:color="0000FF"/>
            </w:tcBorders>
            <w:gridSpan w:val="24"/>
          </w:tcPr>
          <w:p>
            <w:pPr>
              <w:spacing w:after="0" w:line="165"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Registrant's non-employee directors and executive officers under the Regeneron Pharmaceuticals, Inc. Second Amended and Restated 2000</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29496715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120" w:type="dxa"/>
            <w:vAlign w:val="bottom"/>
            <w:gridSpan w:val="30"/>
          </w:tcPr>
          <w:p>
            <w:pPr>
              <w:spacing w:after="0" w:line="152"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Long-Term Incentive Plan. (Incorporated by reference from the Form 10-Q for the Registrant, for the quarter ended March 31, 2009, filed</w:t>
              </w:r>
            </w:hyperlink>
          </w:p>
        </w:tc>
        <w:tc>
          <w:tcPr>
            <w:tcW w:w="40" w:type="dxa"/>
            <w:vAlign w:val="bottom"/>
            <w:gridSpan w:val="2"/>
          </w:tcPr>
          <w:p>
            <w:pPr>
              <w:spacing w:after="0"/>
              <w:rPr>
                <w:sz w:val="13"/>
                <w:szCs w:val="13"/>
                <w:color w:val="auto"/>
              </w:rPr>
            </w:pPr>
          </w:p>
        </w:tc>
        <w:tc>
          <w:tcPr>
            <w:tcW w:w="42949671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96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April 30, 2009.)</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2949671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0" w:type="dxa"/>
            <w:vAlign w:val="bottom"/>
          </w:tcPr>
          <w:p>
            <w:pPr>
              <w:spacing w:after="0"/>
              <w:rPr>
                <w:sz w:val="17"/>
                <w:szCs w:val="17"/>
                <w:color w:val="auto"/>
              </w:rPr>
            </w:pPr>
          </w:p>
        </w:tc>
        <w:tc>
          <w:tcPr>
            <w:tcW w:w="840" w:type="dxa"/>
            <w:vAlign w:val="bottom"/>
            <w:tcBorders>
              <w:right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10.1.2 +</w:t>
            </w:r>
          </w:p>
        </w:tc>
        <w:tc>
          <w:tcPr>
            <w:tcW w:w="240" w:type="dxa"/>
            <w:vAlign w:val="bottom"/>
            <w:shd w:val="clear" w:color="auto" w:fill="CCEEFF"/>
          </w:tcPr>
          <w:p>
            <w:pPr>
              <w:spacing w:after="0"/>
              <w:rPr>
                <w:sz w:val="17"/>
                <w:szCs w:val="17"/>
                <w:color w:val="auto"/>
              </w:rPr>
            </w:pPr>
          </w:p>
        </w:tc>
        <w:tc>
          <w:tcPr>
            <w:tcW w:w="10020" w:type="dxa"/>
            <w:vAlign w:val="bottom"/>
            <w:gridSpan w:val="33"/>
            <w:shd w:val="clear" w:color="auto" w:fill="CCEEFF"/>
          </w:tcPr>
          <w:p>
            <w:pPr>
              <w:spacing w:after="0" w:line="205"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option agreement and related notice of grant for use in connection with the grant of time based vesting stock options to the</w:t>
              </w:r>
            </w:hyperlink>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00" w:type="dxa"/>
            <w:vAlign w:val="bottom"/>
            <w:tcBorders>
              <w:top w:val="single" w:sz="8" w:color="0000FF"/>
              <w:bottom w:val="single" w:sz="8" w:color="0000FF"/>
            </w:tcBorders>
            <w:gridSpan w:val="24"/>
            <w:shd w:val="clear" w:color="auto" w:fill="CCEEFF"/>
          </w:tcPr>
          <w:p>
            <w:pPr>
              <w:spacing w:after="0" w:line="165"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Registrant's non-employee directors under the Regeneron Pharmaceuticals, Inc. Second Amended and Restated 2000 Long-Term Incentive</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4294967157"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100" w:type="dxa"/>
            <w:vAlign w:val="bottom"/>
            <w:gridSpan w:val="29"/>
            <w:shd w:val="clear" w:color="auto" w:fill="CCEEFF"/>
          </w:tcPr>
          <w:p>
            <w:pPr>
              <w:spacing w:after="0" w:line="152"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Plan (revised). (Incorporated by reference from the Form 10-K for the Registrant, for the year ended December 31, 2011, filed February</w:t>
              </w:r>
            </w:hyperlink>
          </w:p>
        </w:tc>
        <w:tc>
          <w:tcPr>
            <w:tcW w:w="60" w:type="dxa"/>
            <w:vAlign w:val="bottom"/>
            <w:gridSpan w:val="3"/>
            <w:shd w:val="clear" w:color="auto" w:fill="CCEEFF"/>
          </w:tcPr>
          <w:p>
            <w:pPr>
              <w:spacing w:after="0"/>
              <w:rPr>
                <w:sz w:val="13"/>
                <w:szCs w:val="13"/>
                <w:color w:val="auto"/>
              </w:rPr>
            </w:pPr>
          </w:p>
        </w:tc>
        <w:tc>
          <w:tcPr>
            <w:tcW w:w="4294967157"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0000FF"/>
              <w:bottom w:val="single" w:sz="8" w:color="0000FF"/>
            </w:tcBorders>
            <w:shd w:val="clear" w:color="auto" w:fill="CCEEFF"/>
          </w:tcPr>
          <w:p>
            <w:pPr>
              <w:spacing w:after="0" w:line="152"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21, 2012.)</w:t>
              </w:r>
            </w:hyperlink>
          </w:p>
        </w:tc>
        <w:tc>
          <w:tcPr>
            <w:tcW w:w="14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1100" w:type="dxa"/>
            <w:vAlign w:val="bottom"/>
            <w:tcBorders>
              <w:top w:val="single" w:sz="8" w:color="0000FF"/>
              <w:bottom w:val="single" w:sz="8" w:color="CCEEFF"/>
            </w:tcBorders>
            <w:shd w:val="clear" w:color="auto" w:fill="CCEEFF"/>
          </w:tcPr>
          <w:p>
            <w:pPr>
              <w:spacing w:after="0"/>
              <w:rPr>
                <w:sz w:val="14"/>
                <w:szCs w:val="14"/>
                <w:color w:val="auto"/>
              </w:rPr>
            </w:pPr>
          </w:p>
        </w:tc>
        <w:tc>
          <w:tcPr>
            <w:tcW w:w="1060" w:type="dxa"/>
            <w:vAlign w:val="bottom"/>
            <w:tcBorders>
              <w:top w:val="single" w:sz="8" w:color="0000FF"/>
              <w:bottom w:val="single" w:sz="8" w:color="CCEEFF"/>
            </w:tcBorders>
            <w:shd w:val="clear" w:color="auto" w:fill="CCEEFF"/>
          </w:tcPr>
          <w:p>
            <w:pPr>
              <w:spacing w:after="0"/>
              <w:rPr>
                <w:sz w:val="14"/>
                <w:szCs w:val="14"/>
                <w:color w:val="auto"/>
              </w:rPr>
            </w:pPr>
          </w:p>
        </w:tc>
        <w:tc>
          <w:tcPr>
            <w:tcW w:w="500" w:type="dxa"/>
            <w:vAlign w:val="bottom"/>
            <w:tcBorders>
              <w:top w:val="single" w:sz="8" w:color="0000FF"/>
              <w:bottom w:val="single" w:sz="8" w:color="CCEEFF"/>
            </w:tcBorders>
            <w:shd w:val="clear" w:color="auto" w:fill="CCEEFF"/>
          </w:tcPr>
          <w:p>
            <w:pPr>
              <w:spacing w:after="0"/>
              <w:rPr>
                <w:sz w:val="14"/>
                <w:szCs w:val="14"/>
                <w:color w:val="auto"/>
              </w:rPr>
            </w:pPr>
          </w:p>
        </w:tc>
        <w:tc>
          <w:tcPr>
            <w:tcW w:w="68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30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22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140" w:type="dxa"/>
            <w:vAlign w:val="bottom"/>
            <w:tcBorders>
              <w:top w:val="single" w:sz="8" w:color="0000FF"/>
              <w:bottom w:val="single" w:sz="8" w:color="CCEEFF"/>
            </w:tcBorders>
            <w:shd w:val="clear" w:color="auto" w:fill="CCEEFF"/>
          </w:tcPr>
          <w:p>
            <w:pPr>
              <w:spacing w:after="0"/>
              <w:rPr>
                <w:sz w:val="14"/>
                <w:szCs w:val="14"/>
                <w:color w:val="auto"/>
              </w:rPr>
            </w:pPr>
          </w:p>
        </w:tc>
        <w:tc>
          <w:tcPr>
            <w:tcW w:w="166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CCEEFF"/>
            </w:tcBorders>
            <w:shd w:val="clear" w:color="auto" w:fill="CCEEFF"/>
          </w:tcPr>
          <w:p>
            <w:pPr>
              <w:spacing w:after="0"/>
              <w:rPr>
                <w:sz w:val="14"/>
                <w:szCs w:val="14"/>
                <w:color w:val="auto"/>
              </w:rPr>
            </w:pPr>
          </w:p>
        </w:tc>
        <w:tc>
          <w:tcPr>
            <w:tcW w:w="9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294967157"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84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10.1.3 +</w:t>
            </w:r>
          </w:p>
        </w:tc>
        <w:tc>
          <w:tcPr>
            <w:tcW w:w="240" w:type="dxa"/>
            <w:vAlign w:val="bottom"/>
          </w:tcPr>
          <w:p>
            <w:pPr>
              <w:spacing w:after="0"/>
              <w:rPr>
                <w:sz w:val="16"/>
                <w:szCs w:val="16"/>
                <w:color w:val="auto"/>
              </w:rPr>
            </w:pPr>
          </w:p>
        </w:tc>
        <w:tc>
          <w:tcPr>
            <w:tcW w:w="10020" w:type="dxa"/>
            <w:vAlign w:val="bottom"/>
            <w:gridSpan w:val="33"/>
          </w:tcPr>
          <w:p>
            <w:pPr>
              <w:spacing w:after="0" w:line="18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Amendment No. 1 to the Regeneron Pharmaceuticals, Inc. Second Amended and Restated 2000 Long-Term Incentive Plan. (Incorporated</w:t>
              </w:r>
            </w:hyperlink>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60" w:type="dxa"/>
            <w:vAlign w:val="bottom"/>
            <w:tcBorders>
              <w:top w:val="single" w:sz="8" w:color="0000FF"/>
            </w:tcBorders>
            <w:gridSpan w:val="17"/>
          </w:tcPr>
          <w:p>
            <w:pPr>
              <w:spacing w:after="0" w:line="165"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by reference from the Form 10-K for the Registrant, for the year ended December 31, 2013, filed February 13, 2014.)</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429496715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0" w:type="dxa"/>
            <w:vAlign w:val="bottom"/>
          </w:tcPr>
          <w:p>
            <w:pPr>
              <w:spacing w:after="0"/>
              <w:rPr>
                <w:sz w:val="17"/>
                <w:szCs w:val="17"/>
                <w:color w:val="auto"/>
              </w:rPr>
            </w:pPr>
          </w:p>
        </w:tc>
        <w:tc>
          <w:tcPr>
            <w:tcW w:w="840" w:type="dxa"/>
            <w:vAlign w:val="bottom"/>
            <w:tcBorders>
              <w:right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10.2 +</w:t>
            </w:r>
          </w:p>
        </w:tc>
        <w:tc>
          <w:tcPr>
            <w:tcW w:w="240" w:type="dxa"/>
            <w:vAlign w:val="bottom"/>
            <w:shd w:val="clear" w:color="auto" w:fill="CCEEFF"/>
          </w:tcPr>
          <w:p>
            <w:pPr>
              <w:spacing w:after="0"/>
              <w:rPr>
                <w:sz w:val="17"/>
                <w:szCs w:val="17"/>
                <w:color w:val="auto"/>
              </w:rPr>
            </w:pPr>
          </w:p>
        </w:tc>
        <w:tc>
          <w:tcPr>
            <w:tcW w:w="10020" w:type="dxa"/>
            <w:vAlign w:val="bottom"/>
            <w:gridSpan w:val="33"/>
            <w:shd w:val="clear" w:color="auto" w:fill="CCEEFF"/>
          </w:tcPr>
          <w:p>
            <w:pPr>
              <w:spacing w:after="0" w:line="205"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Amended and Restated Regeneron Pharmaceuticals, Inc. 2014 Long-Term Incentive Plan. (Incorporated by reference from the Registration</w:t>
              </w:r>
            </w:hyperlink>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5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4480" w:type="dxa"/>
            <w:vAlign w:val="bottom"/>
            <w:tcBorders>
              <w:top w:val="single" w:sz="8" w:color="0000FF"/>
              <w:bottom w:val="single" w:sz="8" w:color="0000FF"/>
            </w:tcBorders>
            <w:gridSpan w:val="7"/>
            <w:shd w:val="clear" w:color="auto" w:fill="CCEEFF"/>
          </w:tcPr>
          <w:p>
            <w:pPr>
              <w:spacing w:after="0" w:line="165" w:lineRule="exact"/>
              <w:rPr>
                <w:rFonts w:ascii="Times New Roman" w:cs="Times New Roman" w:eastAsia="Times New Roman" w:hAnsi="Times New Roman"/>
                <w:sz w:val="18"/>
                <w:szCs w:val="18"/>
                <w:color w:val="0000FF"/>
                <w:w w:val="97"/>
              </w:rPr>
            </w:pPr>
            <w:hyperlink r:id="rId127">
              <w:r>
                <w:rPr>
                  <w:rFonts w:ascii="Times New Roman" w:cs="Times New Roman" w:eastAsia="Times New Roman" w:hAnsi="Times New Roman"/>
                  <w:sz w:val="18"/>
                  <w:szCs w:val="18"/>
                  <w:color w:val="0000FF"/>
                  <w:w w:val="97"/>
                </w:rPr>
                <w:t>Statement on Form S-8 for the Registrant, filed June 12, 2017.)</w:t>
              </w:r>
            </w:hyperlink>
          </w:p>
        </w:tc>
        <w:tc>
          <w:tcPr>
            <w:tcW w:w="5640" w:type="dxa"/>
            <w:vAlign w:val="bottom"/>
            <w:tcBorders>
              <w:top w:val="single" w:sz="8" w:color="0000FF"/>
              <w:bottom w:val="single" w:sz="8" w:color="CCEEFF"/>
            </w:tcBorders>
            <w:gridSpan w:val="2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294967157"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84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10.2.1 +</w:t>
            </w:r>
          </w:p>
        </w:tc>
        <w:tc>
          <w:tcPr>
            <w:tcW w:w="240" w:type="dxa"/>
            <w:vAlign w:val="bottom"/>
          </w:tcPr>
          <w:p>
            <w:pPr>
              <w:spacing w:after="0"/>
              <w:rPr>
                <w:sz w:val="16"/>
                <w:szCs w:val="16"/>
                <w:color w:val="auto"/>
              </w:rPr>
            </w:pPr>
          </w:p>
        </w:tc>
        <w:tc>
          <w:tcPr>
            <w:tcW w:w="10020" w:type="dxa"/>
            <w:vAlign w:val="bottom"/>
            <w:gridSpan w:val="33"/>
          </w:tcPr>
          <w:p>
            <w:pPr>
              <w:spacing w:after="0" w:line="18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40" w:type="dxa"/>
            <w:vAlign w:val="bottom"/>
            <w:tcBorders>
              <w:top w:val="single" w:sz="8" w:color="0000FF"/>
              <w:bottom w:val="single" w:sz="8" w:color="0000FF"/>
            </w:tcBorders>
            <w:gridSpan w:val="26"/>
          </w:tcPr>
          <w:p>
            <w:pPr>
              <w:spacing w:after="0" w:line="165"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Registrant's executive officers under the Regeneron Pharmaceuticals, Inc. 2014 Long-Term Incentive Plan. (Incorporated by reference from</w:t>
              </w:r>
            </w:hyperlink>
          </w:p>
        </w:tc>
        <w:tc>
          <w:tcPr>
            <w:tcW w:w="120" w:type="dxa"/>
            <w:vAlign w:val="bottom"/>
            <w:tcBorders>
              <w:bottom w:val="single" w:sz="8" w:color="0000FF"/>
            </w:tcBorders>
            <w:gridSpan w:val="6"/>
          </w:tcPr>
          <w:p>
            <w:pPr>
              <w:spacing w:after="0"/>
              <w:rPr>
                <w:sz w:val="14"/>
                <w:szCs w:val="14"/>
                <w:color w:val="auto"/>
              </w:rPr>
            </w:pPr>
          </w:p>
        </w:tc>
        <w:tc>
          <w:tcPr>
            <w:tcW w:w="4294967157"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0" w:type="dxa"/>
            <w:vAlign w:val="bottom"/>
            <w:tcBorders>
              <w:bottom w:val="single" w:sz="8" w:color="0000FF"/>
            </w:tcBorders>
            <w:gridSpan w:val="6"/>
          </w:tcPr>
          <w:p>
            <w:pPr>
              <w:spacing w:after="0" w:line="152"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the Form 8-K for the Registrant, filed June 18, 2014.)</w:t>
              </w:r>
            </w:hyperlink>
          </w:p>
        </w:tc>
        <w:tc>
          <w:tcPr>
            <w:tcW w:w="6360" w:type="dxa"/>
            <w:vAlign w:val="bottom"/>
            <w:gridSpan w:val="26"/>
          </w:tcPr>
          <w:p>
            <w:pPr>
              <w:spacing w:after="0"/>
              <w:rPr>
                <w:sz w:val="13"/>
                <w:szCs w:val="13"/>
                <w:color w:val="auto"/>
              </w:rPr>
            </w:pPr>
          </w:p>
        </w:tc>
        <w:tc>
          <w:tcPr>
            <w:tcW w:w="4294967157"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40" w:type="dxa"/>
            <w:vAlign w:val="bottom"/>
          </w:tcPr>
          <w:p>
            <w:pPr>
              <w:spacing w:after="0"/>
              <w:rPr>
                <w:sz w:val="17"/>
                <w:szCs w:val="17"/>
                <w:color w:val="auto"/>
              </w:rPr>
            </w:pPr>
          </w:p>
        </w:tc>
        <w:tc>
          <w:tcPr>
            <w:tcW w:w="840" w:type="dxa"/>
            <w:vAlign w:val="bottom"/>
            <w:tcBorders>
              <w:right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10.2.2 +</w:t>
            </w:r>
          </w:p>
        </w:tc>
        <w:tc>
          <w:tcPr>
            <w:tcW w:w="240" w:type="dxa"/>
            <w:vAlign w:val="bottom"/>
            <w:shd w:val="clear" w:color="auto" w:fill="CCEEFF"/>
          </w:tcPr>
          <w:p>
            <w:pPr>
              <w:spacing w:after="0"/>
              <w:rPr>
                <w:sz w:val="17"/>
                <w:szCs w:val="17"/>
                <w:color w:val="auto"/>
              </w:rPr>
            </w:pPr>
          </w:p>
        </w:tc>
        <w:tc>
          <w:tcPr>
            <w:tcW w:w="10020" w:type="dxa"/>
            <w:vAlign w:val="bottom"/>
            <w:gridSpan w:val="33"/>
            <w:shd w:val="clear" w:color="auto" w:fill="CCEEFF"/>
          </w:tcPr>
          <w:p>
            <w:pPr>
              <w:spacing w:after="0" w:line="205"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 the</w:t>
              </w:r>
            </w:hyperlink>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260" w:type="dxa"/>
            <w:vAlign w:val="bottom"/>
            <w:tcBorders>
              <w:top w:val="single" w:sz="8" w:color="CCEEFF"/>
              <w:right w:val="single" w:sz="8" w:color="CCEEFF"/>
            </w:tcBorders>
            <w:shd w:val="clear" w:color="auto" w:fill="CCEEFF"/>
          </w:tcPr>
          <w:p>
            <w:pPr>
              <w:spacing w:after="0"/>
              <w:rPr>
                <w:sz w:val="14"/>
                <w:szCs w:val="14"/>
                <w:color w:val="auto"/>
              </w:rPr>
            </w:pPr>
          </w:p>
        </w:tc>
        <w:tc>
          <w:tcPr>
            <w:tcW w:w="580" w:type="dxa"/>
            <w:vAlign w:val="bottom"/>
            <w:tcBorders>
              <w:top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940" w:type="dxa"/>
            <w:vAlign w:val="bottom"/>
            <w:tcBorders>
              <w:top w:val="single" w:sz="8" w:color="0000FF"/>
            </w:tcBorders>
            <w:gridSpan w:val="21"/>
            <w:shd w:val="clear" w:color="auto" w:fill="CCEEFF"/>
          </w:tcPr>
          <w:p>
            <w:pPr>
              <w:spacing w:after="0" w:line="165"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Registrant's executive officers under the Regeneron Pharmaceuticals, Inc. 2014 Long-Term Incentive Plan. (Incorporated by reference from</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0" w:type="dxa"/>
            <w:vAlign w:val="bottom"/>
            <w:tcBorders>
              <w:top w:val="single" w:sz="8" w:color="CCEEFF"/>
            </w:tcBorders>
            <w:gridSpan w:val="8"/>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58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3800" w:type="dxa"/>
            <w:vAlign w:val="bottom"/>
            <w:tcBorders>
              <w:top w:val="single" w:sz="8" w:color="0000FF"/>
              <w:bottom w:val="single" w:sz="8" w:color="0000FF"/>
            </w:tcBorders>
            <w:gridSpan w:val="6"/>
            <w:shd w:val="clear" w:color="auto" w:fill="CCEEFF"/>
          </w:tcPr>
          <w:p>
            <w:pPr>
              <w:spacing w:after="0" w:line="152"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the Form 8-K for the Registrant, filed June 18, 2014.)</w:t>
              </w:r>
            </w:hyperlink>
          </w:p>
        </w:tc>
        <w:tc>
          <w:tcPr>
            <w:tcW w:w="6360" w:type="dxa"/>
            <w:vAlign w:val="bottom"/>
            <w:tcBorders>
              <w:top w:val="single" w:sz="8" w:color="0000FF"/>
              <w:bottom w:val="single" w:sz="8" w:color="CCEEFF"/>
            </w:tcBorders>
            <w:gridSpan w:val="26"/>
            <w:shd w:val="clear" w:color="auto" w:fill="CCEEFF"/>
          </w:tcPr>
          <w:p>
            <w:pPr>
              <w:spacing w:after="0"/>
              <w:rPr>
                <w:sz w:val="14"/>
                <w:szCs w:val="14"/>
                <w:color w:val="auto"/>
              </w:rPr>
            </w:pPr>
          </w:p>
        </w:tc>
        <w:tc>
          <w:tcPr>
            <w:tcW w:w="4294967157"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84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10.2.3 +</w:t>
            </w:r>
          </w:p>
        </w:tc>
        <w:tc>
          <w:tcPr>
            <w:tcW w:w="240" w:type="dxa"/>
            <w:vAlign w:val="bottom"/>
          </w:tcPr>
          <w:p>
            <w:pPr>
              <w:spacing w:after="0"/>
              <w:rPr>
                <w:sz w:val="16"/>
                <w:szCs w:val="16"/>
                <w:color w:val="auto"/>
              </w:rPr>
            </w:pPr>
          </w:p>
        </w:tc>
        <w:tc>
          <w:tcPr>
            <w:tcW w:w="10020" w:type="dxa"/>
            <w:vAlign w:val="bottom"/>
            <w:gridSpan w:val="33"/>
          </w:tcPr>
          <w:p>
            <w:pPr>
              <w:spacing w:after="0" w:line="18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0" w:type="dxa"/>
            <w:vAlign w:val="bottom"/>
          </w:tcPr>
          <w:p>
            <w:pPr>
              <w:spacing w:after="0"/>
              <w:rPr>
                <w:sz w:val="1"/>
                <w:szCs w:val="1"/>
                <w:color w:val="auto"/>
              </w:rPr>
            </w:pPr>
          </w:p>
        </w:tc>
      </w:tr>
      <w:tr>
        <w:trPr>
          <w:trHeight w:val="166"/>
        </w:trPr>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20" w:type="dxa"/>
            <w:vAlign w:val="bottom"/>
            <w:tcBorders>
              <w:top w:val="single" w:sz="8" w:color="0000FF"/>
            </w:tcBorders>
            <w:gridSpan w:val="25"/>
          </w:tcPr>
          <w:p>
            <w:pPr>
              <w:spacing w:after="0" w:line="165"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Registrant's non-employee directors under the Regeneron Pharmaceuticals, Inc. 2014 Long-Term Incentive Plan. (Incorporated by</w:t>
              </w:r>
            </w:hyperlink>
          </w:p>
        </w:tc>
        <w:tc>
          <w:tcPr>
            <w:tcW w:w="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900" w:type="dxa"/>
            <w:vAlign w:val="bottom"/>
            <w:tcBorders>
              <w:top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reference from the Form 8-K for the Registrant, filed June 18, 2014.)</w:t>
              </w:r>
            </w:hyperlink>
          </w:p>
        </w:tc>
        <w:tc>
          <w:tcPr>
            <w:tcW w:w="1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0" w:type="dxa"/>
            <w:vAlign w:val="bottom"/>
          </w:tcPr>
          <w:p>
            <w:pPr>
              <w:spacing w:after="0"/>
              <w:rPr>
                <w:sz w:val="17"/>
                <w:szCs w:val="17"/>
                <w:color w:val="auto"/>
              </w:rPr>
            </w:pPr>
          </w:p>
        </w:tc>
        <w:tc>
          <w:tcPr>
            <w:tcW w:w="840" w:type="dxa"/>
            <w:vAlign w:val="bottom"/>
            <w:tcBorders>
              <w:right w:val="single" w:sz="8" w:color="CCEEFF"/>
            </w:tcBorders>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10.2.4 +</w:t>
            </w:r>
          </w:p>
        </w:tc>
        <w:tc>
          <w:tcPr>
            <w:tcW w:w="240" w:type="dxa"/>
            <w:vAlign w:val="bottom"/>
            <w:shd w:val="clear" w:color="auto" w:fill="CCEEFF"/>
          </w:tcPr>
          <w:p>
            <w:pPr>
              <w:spacing w:after="0"/>
              <w:rPr>
                <w:sz w:val="17"/>
                <w:szCs w:val="17"/>
                <w:color w:val="auto"/>
              </w:rPr>
            </w:pPr>
          </w:p>
        </w:tc>
        <w:tc>
          <w:tcPr>
            <w:tcW w:w="10020" w:type="dxa"/>
            <w:vAlign w:val="bottom"/>
            <w:gridSpan w:val="33"/>
            <w:shd w:val="clear" w:color="auto" w:fill="CCEEFF"/>
          </w:tcPr>
          <w:p>
            <w:pPr>
              <w:spacing w:after="0" w:line="205"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260" w:type="dxa"/>
            <w:vAlign w:val="bottom"/>
            <w:tcBorders>
              <w:top w:val="single" w:sz="8" w:color="CCEEFF"/>
              <w:right w:val="single" w:sz="8" w:color="CCEEFF"/>
            </w:tcBorders>
            <w:shd w:val="clear" w:color="auto" w:fill="CCEEFF"/>
          </w:tcPr>
          <w:p>
            <w:pPr>
              <w:spacing w:after="0"/>
              <w:rPr>
                <w:sz w:val="14"/>
                <w:szCs w:val="14"/>
                <w:color w:val="auto"/>
              </w:rPr>
            </w:pPr>
          </w:p>
        </w:tc>
        <w:tc>
          <w:tcPr>
            <w:tcW w:w="580" w:type="dxa"/>
            <w:vAlign w:val="bottom"/>
            <w:tcBorders>
              <w:top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000FF"/>
            </w:tcBorders>
            <w:gridSpan w:val="25"/>
            <w:shd w:val="clear" w:color="auto" w:fill="CCEEFF"/>
          </w:tcPr>
          <w:p>
            <w:pPr>
              <w:spacing w:after="0" w:line="165"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Registrant's executive officers under the Regeneron Pharmaceuticals, Inc. 2014 Long-Term Incentive Plan (revised). (Incorporated by</w:t>
              </w:r>
            </w:hyperlink>
          </w:p>
        </w:tc>
        <w:tc>
          <w:tcPr>
            <w:tcW w:w="0" w:type="dxa"/>
            <w:vAlign w:val="bottom"/>
            <w:tcBorders>
              <w:top w:val="single" w:sz="8" w:color="CCEEFF"/>
            </w:tcBorders>
            <w:gridSpan w:val="8"/>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0" w:type="dxa"/>
            <w:vAlign w:val="bottom"/>
          </w:tcPr>
          <w:p>
            <w:pPr>
              <w:spacing w:after="0"/>
              <w:rPr>
                <w:sz w:val="14"/>
                <w:szCs w:val="14"/>
                <w:color w:val="auto"/>
              </w:rPr>
            </w:pPr>
          </w:p>
        </w:tc>
        <w:tc>
          <w:tcPr>
            <w:tcW w:w="260" w:type="dxa"/>
            <w:vAlign w:val="bottom"/>
            <w:tcBorders>
              <w:top w:val="single" w:sz="8" w:color="CCEEFF"/>
              <w:right w:val="single" w:sz="8" w:color="CCEEFF"/>
            </w:tcBorders>
            <w:shd w:val="clear" w:color="auto" w:fill="CCEEFF"/>
          </w:tcPr>
          <w:p>
            <w:pPr>
              <w:spacing w:after="0"/>
              <w:rPr>
                <w:sz w:val="14"/>
                <w:szCs w:val="14"/>
                <w:color w:val="auto"/>
              </w:rPr>
            </w:pPr>
          </w:p>
        </w:tc>
        <w:tc>
          <w:tcPr>
            <w:tcW w:w="580" w:type="dxa"/>
            <w:vAlign w:val="bottom"/>
            <w:tcBorders>
              <w:top w:val="single" w:sz="8" w:color="CCEEFF"/>
              <w:right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980" w:type="dxa"/>
            <w:vAlign w:val="bottom"/>
            <w:tcBorders>
              <w:top w:val="single" w:sz="8" w:color="0000FF"/>
            </w:tcBorders>
            <w:gridSpan w:val="23"/>
            <w:shd w:val="clear" w:color="auto" w:fill="CCEEFF"/>
          </w:tcPr>
          <w:p>
            <w:pPr>
              <w:spacing w:after="0" w:line="152"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reference from the Form 8-K for the Registrant, filed November 19, 2015.)</w:t>
              </w:r>
            </w:hyperlink>
          </w:p>
        </w:tc>
        <w:tc>
          <w:tcPr>
            <w:tcW w:w="40" w:type="dxa"/>
            <w:vAlign w:val="bottom"/>
            <w:tcBorders>
              <w:top w:val="single" w:sz="8" w:color="CCEEFF"/>
            </w:tcBorders>
            <w:gridSpan w:val="10"/>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50"/>
        </w:trPr>
        <w:tc>
          <w:tcPr>
            <w:tcW w:w="140" w:type="dxa"/>
            <w:vAlign w:val="bottom"/>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580" w:type="dxa"/>
            <w:vAlign w:val="bottom"/>
            <w:tcBorders>
              <w:top w:val="single" w:sz="8" w:color="0000FF"/>
            </w:tcBorders>
            <w:gridSpan w:val="8"/>
          </w:tcPr>
          <w:p>
            <w:pPr>
              <w:ind w:left="4320"/>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294967157"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157"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 +</w:t>
            </w:r>
          </w:p>
        </w:tc>
        <w:tc>
          <w:tcPr>
            <w:tcW w:w="10140" w:type="dxa"/>
            <w:vAlign w:val="bottom"/>
            <w:gridSpan w:val="21"/>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 the</w:t>
              </w:r>
            </w:hyperlink>
          </w:p>
        </w:tc>
      </w:tr>
      <w:tr>
        <w:trPr>
          <w:trHeight w:val="152"/>
        </w:trPr>
        <w:tc>
          <w:tcPr>
            <w:tcW w:w="108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Registrant's executive officers under the Regeneron Pharmaceuticals, Inc. 2014 Long-Term Incentive Plan (revised).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080" w:type="dxa"/>
            <w:vAlign w:val="bottom"/>
          </w:tcPr>
          <w:p>
            <w:pPr>
              <w:spacing w:after="0"/>
              <w:rPr>
                <w:sz w:val="14"/>
                <w:szCs w:val="14"/>
                <w:color w:val="auto"/>
              </w:rPr>
            </w:pPr>
          </w:p>
        </w:tc>
        <w:tc>
          <w:tcPr>
            <w:tcW w:w="9960" w:type="dxa"/>
            <w:vAlign w:val="bottom"/>
            <w:gridSpan w:val="12"/>
          </w:tcPr>
          <w:p>
            <w:pPr>
              <w:spacing w:after="0" w:line="165"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reference from the Form 8-K for the Registrant, filed November 19,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
        </w:trPr>
        <w:tc>
          <w:tcPr>
            <w:tcW w:w="108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8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10.2.6 +</w:t>
            </w:r>
          </w:p>
        </w:tc>
        <w:tc>
          <w:tcPr>
            <w:tcW w:w="10140" w:type="dxa"/>
            <w:vAlign w:val="bottom"/>
            <w:gridSpan w:val="21"/>
            <w:shd w:val="clear" w:color="auto" w:fill="CCEEFF"/>
          </w:tcPr>
          <w:p>
            <w:pPr>
              <w:spacing w:after="0" w:line="195"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2"/>
        </w:trPr>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10060" w:type="dxa"/>
            <w:vAlign w:val="bottom"/>
            <w:tcBorders>
              <w:top w:val="single" w:sz="8" w:color="0000FF"/>
              <w:bottom w:val="single" w:sz="8" w:color="0000FF"/>
            </w:tcBorders>
            <w:gridSpan w:val="17"/>
            <w:shd w:val="clear" w:color="auto" w:fill="CCEEFF"/>
          </w:tcPr>
          <w:p>
            <w:pPr>
              <w:spacing w:after="0" w:line="152"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Registrant's non-employee directors under the Regeneron Pharmaceuticals, Inc. 2014 Long-Term Incentive Plan (revised). (Incorporated by</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5"/>
        </w:trPr>
        <w:tc>
          <w:tcPr>
            <w:tcW w:w="1080" w:type="dxa"/>
            <w:vAlign w:val="bottom"/>
            <w:tcBorders>
              <w:bottom w:val="single" w:sz="8" w:color="CCEEFF"/>
            </w:tcBorders>
            <w:shd w:val="clear" w:color="auto" w:fill="CCEEFF"/>
          </w:tcPr>
          <w:p>
            <w:pPr>
              <w:spacing w:after="0"/>
              <w:rPr>
                <w:sz w:val="16"/>
                <w:szCs w:val="16"/>
                <w:color w:val="auto"/>
              </w:rPr>
            </w:pPr>
          </w:p>
        </w:tc>
        <w:tc>
          <w:tcPr>
            <w:tcW w:w="8080" w:type="dxa"/>
            <w:vAlign w:val="bottom"/>
            <w:tcBorders>
              <w:bottom w:val="single" w:sz="8" w:color="0000FF"/>
            </w:tcBorders>
            <w:gridSpan w:val="4"/>
            <w:shd w:val="clear" w:color="auto" w:fill="CCEEFF"/>
          </w:tcPr>
          <w:p>
            <w:pPr>
              <w:spacing w:after="0" w:line="165"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reference from the Form 10-K for the Registrant, for the year ended December 31, 2015, filed February 11, 2016.)</w:t>
              </w:r>
            </w:hyperlink>
          </w:p>
        </w:tc>
        <w:tc>
          <w:tcPr>
            <w:tcW w:w="2020" w:type="dxa"/>
            <w:vAlign w:val="bottom"/>
            <w:tcBorders>
              <w:bottom w:val="single" w:sz="8" w:color="CCEEFF"/>
            </w:tcBorders>
            <w:gridSpan w:val="15"/>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10.2.7 +</w:t>
            </w:r>
          </w:p>
        </w:tc>
        <w:tc>
          <w:tcPr>
            <w:tcW w:w="10140" w:type="dxa"/>
            <w:vAlign w:val="bottom"/>
            <w:gridSpan w:val="21"/>
          </w:tcPr>
          <w:p>
            <w:pPr>
              <w:spacing w:after="0" w:line="18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2"/>
        </w:trPr>
        <w:tc>
          <w:tcPr>
            <w:tcW w:w="108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Registrant's executive officers under the Amended and Restated Regeneron Pharmaceuticals, Inc. 2014 Long-Term 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080" w:type="dxa"/>
            <w:vAlign w:val="bottom"/>
          </w:tcPr>
          <w:p>
            <w:pPr>
              <w:spacing w:after="0"/>
              <w:rPr>
                <w:sz w:val="14"/>
                <w:szCs w:val="14"/>
                <w:color w:val="auto"/>
              </w:rPr>
            </w:pPr>
          </w:p>
        </w:tc>
        <w:tc>
          <w:tcPr>
            <w:tcW w:w="9880" w:type="dxa"/>
            <w:vAlign w:val="bottom"/>
            <w:tcBorders>
              <w:top w:val="single" w:sz="8" w:color="0000FF"/>
            </w:tcBorders>
            <w:gridSpan w:val="8"/>
          </w:tcPr>
          <w:p>
            <w:pPr>
              <w:spacing w:after="0" w:line="165"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(Incorporated by reference from the Form 10-K for the Registrant, for the year ended December 31, 2017, filed February 8,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0"/>
        </w:trPr>
        <w:tc>
          <w:tcPr>
            <w:tcW w:w="108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8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70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10.2.8 +</w:t>
            </w:r>
          </w:p>
        </w:tc>
        <w:tc>
          <w:tcPr>
            <w:tcW w:w="10140" w:type="dxa"/>
            <w:vAlign w:val="bottom"/>
            <w:gridSpan w:val="21"/>
            <w:shd w:val="clear" w:color="auto" w:fill="CCEEFF"/>
          </w:tcPr>
          <w:p>
            <w:pPr>
              <w:spacing w:after="0" w:line="195"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 the</w:t>
              </w:r>
            </w:hyperlink>
          </w:p>
        </w:tc>
      </w:tr>
      <w:tr>
        <w:trPr>
          <w:trHeight w:val="152"/>
        </w:trPr>
        <w:tc>
          <w:tcPr>
            <w:tcW w:w="1080" w:type="dxa"/>
            <w:vAlign w:val="bottom"/>
            <w:tcBorders>
              <w:top w:val="single" w:sz="8" w:color="CCEEFF"/>
            </w:tcBorders>
            <w:shd w:val="clear" w:color="auto" w:fill="CCEEFF"/>
          </w:tcPr>
          <w:p>
            <w:pPr>
              <w:spacing w:after="0"/>
              <w:rPr>
                <w:sz w:val="13"/>
                <w:szCs w:val="13"/>
                <w:color w:val="auto"/>
              </w:rPr>
            </w:pPr>
          </w:p>
        </w:tc>
        <w:tc>
          <w:tcPr>
            <w:tcW w:w="9920" w:type="dxa"/>
            <w:vAlign w:val="bottom"/>
            <w:tcBorders>
              <w:top w:val="single" w:sz="8" w:color="0000FF"/>
            </w:tcBorders>
            <w:gridSpan w:val="10"/>
            <w:shd w:val="clear" w:color="auto" w:fill="CCEEFF"/>
          </w:tcPr>
          <w:p>
            <w:pPr>
              <w:spacing w:after="0" w:line="152"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Registrant's executive officers under the Amended and Restated Regeneron Pharmaceuticals, Inc. 2014 Long-Term Incentive Plan.</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6"/>
        </w:trPr>
        <w:tc>
          <w:tcPr>
            <w:tcW w:w="108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8"/>
            <w:shd w:val="clear" w:color="auto" w:fill="CCEEFF"/>
          </w:tcPr>
          <w:p>
            <w:pPr>
              <w:spacing w:after="0" w:line="165"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(Incorporated by reference from the Form 10-K for the Registrant, for the year ended December 31, 2017, filed February 8, 2018.)</w:t>
              </w:r>
            </w:hyperlink>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40"/>
        </w:trPr>
        <w:tc>
          <w:tcPr>
            <w:tcW w:w="108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8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70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10.2.9 +</w:t>
            </w:r>
          </w:p>
        </w:tc>
        <w:tc>
          <w:tcPr>
            <w:tcW w:w="10140" w:type="dxa"/>
            <w:vAlign w:val="bottom"/>
            <w:gridSpan w:val="21"/>
          </w:tcPr>
          <w:p>
            <w:pPr>
              <w:spacing w:after="0" w:line="18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2"/>
        </w:trPr>
        <w:tc>
          <w:tcPr>
            <w:tcW w:w="1080" w:type="dxa"/>
            <w:vAlign w:val="bottom"/>
          </w:tcPr>
          <w:p>
            <w:pPr>
              <w:spacing w:after="0"/>
              <w:rPr>
                <w:sz w:val="13"/>
                <w:szCs w:val="13"/>
                <w:color w:val="auto"/>
              </w:rPr>
            </w:pPr>
          </w:p>
        </w:tc>
        <w:tc>
          <w:tcPr>
            <w:tcW w:w="10060" w:type="dxa"/>
            <w:vAlign w:val="bottom"/>
            <w:tcBorders>
              <w:top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Registrant's non-employee directors under the Amended and Restated Regeneron Pharmaceuticals, Inc. 2014 Long-Term 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080" w:type="dxa"/>
            <w:vAlign w:val="bottom"/>
          </w:tcPr>
          <w:p>
            <w:pPr>
              <w:spacing w:after="0"/>
              <w:rPr>
                <w:sz w:val="14"/>
                <w:szCs w:val="14"/>
                <w:color w:val="auto"/>
              </w:rPr>
            </w:pPr>
          </w:p>
        </w:tc>
        <w:tc>
          <w:tcPr>
            <w:tcW w:w="10040" w:type="dxa"/>
            <w:vAlign w:val="bottom"/>
            <w:tcBorders>
              <w:top w:val="single" w:sz="8" w:color="0000FF"/>
            </w:tcBorders>
            <w:gridSpan w:val="16"/>
          </w:tcPr>
          <w:p>
            <w:pPr>
              <w:spacing w:after="0" w:line="165"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(Incorporated by reference from the Form 10-K for the Registrant, for the year ended December 31, 2017, filed February 8, 2018.)</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0"/>
        </w:trPr>
        <w:tc>
          <w:tcPr>
            <w:tcW w:w="108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8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70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10.2.10 +</w:t>
            </w:r>
          </w:p>
        </w:tc>
        <w:tc>
          <w:tcPr>
            <w:tcW w:w="10140" w:type="dxa"/>
            <w:vAlign w:val="bottom"/>
            <w:gridSpan w:val="21"/>
            <w:shd w:val="clear" w:color="auto" w:fill="CCEEFF"/>
          </w:tcPr>
          <w:p>
            <w:pPr>
              <w:spacing w:after="0" w:line="195"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2"/>
        </w:trPr>
        <w:tc>
          <w:tcPr>
            <w:tcW w:w="108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15"/>
            <w:shd w:val="clear" w:color="auto" w:fill="CCEEFF"/>
          </w:tcPr>
          <w:p>
            <w:pPr>
              <w:spacing w:after="0" w:line="152"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Registrant's executive officers under the Amended and Restated Regeneron Pharmaceuticals, Inc. 2014 Long-Term Incentive Plan (revised</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6"/>
        </w:trPr>
        <w:tc>
          <w:tcPr>
            <w:tcW w:w="108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7"/>
            <w:shd w:val="clear" w:color="auto" w:fill="CCEEFF"/>
          </w:tcPr>
          <w:p>
            <w:pPr>
              <w:spacing w:after="0" w:line="165"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2018). (Incorporated by reference from the Form 10-K for the Registrant, for the year ended December 31, 2018, filed February 7, 2019.)</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40"/>
        </w:trPr>
        <w:tc>
          <w:tcPr>
            <w:tcW w:w="108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8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70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10.2.11 +</w:t>
            </w:r>
          </w:p>
        </w:tc>
        <w:tc>
          <w:tcPr>
            <w:tcW w:w="10140" w:type="dxa"/>
            <w:vAlign w:val="bottom"/>
            <w:gridSpan w:val="21"/>
          </w:tcPr>
          <w:p>
            <w:pPr>
              <w:spacing w:after="0" w:line="18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 the</w:t>
              </w:r>
            </w:hyperlink>
          </w:p>
        </w:tc>
      </w:tr>
      <w:tr>
        <w:trPr>
          <w:trHeight w:val="152"/>
        </w:trPr>
        <w:tc>
          <w:tcPr>
            <w:tcW w:w="1080" w:type="dxa"/>
            <w:vAlign w:val="bottom"/>
          </w:tcPr>
          <w:p>
            <w:pPr>
              <w:spacing w:after="0"/>
              <w:rPr>
                <w:sz w:val="13"/>
                <w:szCs w:val="13"/>
                <w:color w:val="auto"/>
              </w:rPr>
            </w:pPr>
          </w:p>
        </w:tc>
        <w:tc>
          <w:tcPr>
            <w:tcW w:w="9920" w:type="dxa"/>
            <w:vAlign w:val="bottom"/>
            <w:tcBorders>
              <w:top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Registrant's executive officers under the Amended and Restated Regeneron Pharmaceuticals, Inc. 2014 Long-Term Incentive Plan (revised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080" w:type="dxa"/>
            <w:vAlign w:val="bottom"/>
          </w:tcPr>
          <w:p>
            <w:pPr>
              <w:spacing w:after="0"/>
              <w:rPr>
                <w:sz w:val="14"/>
                <w:szCs w:val="14"/>
                <w:color w:val="auto"/>
              </w:rPr>
            </w:pPr>
          </w:p>
        </w:tc>
        <w:tc>
          <w:tcPr>
            <w:tcW w:w="9860" w:type="dxa"/>
            <w:vAlign w:val="bottom"/>
            <w:tcBorders>
              <w:top w:val="single" w:sz="8" w:color="0000FF"/>
            </w:tcBorders>
            <w:gridSpan w:val="7"/>
          </w:tcPr>
          <w:p>
            <w:pPr>
              <w:spacing w:after="0" w:line="165"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2018). (Incorporated by reference from the Form 10-K for the Registrant, for the year ended December 31, 2018, filed February 7,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0"/>
        </w:trPr>
        <w:tc>
          <w:tcPr>
            <w:tcW w:w="108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8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70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10.2.12 +</w:t>
            </w:r>
          </w:p>
        </w:tc>
        <w:tc>
          <w:tcPr>
            <w:tcW w:w="10140" w:type="dxa"/>
            <w:vAlign w:val="bottom"/>
            <w:gridSpan w:val="21"/>
            <w:shd w:val="clear" w:color="auto" w:fill="CCEEFF"/>
          </w:tcPr>
          <w:p>
            <w:pPr>
              <w:spacing w:after="0" w:line="195"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2"/>
        </w:trPr>
        <w:tc>
          <w:tcPr>
            <w:tcW w:w="108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15"/>
            <w:shd w:val="clear" w:color="auto" w:fill="CCEEFF"/>
          </w:tcPr>
          <w:p>
            <w:pPr>
              <w:spacing w:after="0" w:line="152"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Registrant's non-employee directors under the Amended and Restated Regeneron Pharmaceuticals, Inc. 2014 Long-Term Incentive Plan</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6"/>
        </w:trPr>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9900" w:type="dxa"/>
            <w:vAlign w:val="bottom"/>
            <w:tcBorders>
              <w:top w:val="single" w:sz="8" w:color="0000FF"/>
              <w:bottom w:val="single" w:sz="8" w:color="0000FF"/>
            </w:tcBorders>
            <w:gridSpan w:val="9"/>
            <w:shd w:val="clear" w:color="auto" w:fill="CCEEFF"/>
          </w:tcPr>
          <w:p>
            <w:pPr>
              <w:spacing w:after="0" w:line="165" w:lineRule="exact"/>
              <w:rPr>
                <w:rFonts w:ascii="Times New Roman" w:cs="Times New Roman" w:eastAsia="Times New Roman" w:hAnsi="Times New Roman"/>
                <w:sz w:val="18"/>
                <w:szCs w:val="18"/>
                <w:color w:val="0000FF"/>
                <w:w w:val="98"/>
              </w:rPr>
            </w:pPr>
            <w:hyperlink r:id="rId141">
              <w:r>
                <w:rPr>
                  <w:rFonts w:ascii="Times New Roman" w:cs="Times New Roman" w:eastAsia="Times New Roman" w:hAnsi="Times New Roman"/>
                  <w:sz w:val="18"/>
                  <w:szCs w:val="18"/>
                  <w:color w:val="0000FF"/>
                  <w:w w:val="98"/>
                </w:rPr>
                <w:t>(revised 2018). (Incorporated by reference from the Form 10-K for the Registrant, for the year ended December 31, 2018, filed February 7,</w:t>
              </w:r>
            </w:hyperlink>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52"/>
        </w:trPr>
        <w:tc>
          <w:tcPr>
            <w:tcW w:w="1080" w:type="dxa"/>
            <w:vAlign w:val="bottom"/>
            <w:shd w:val="clear" w:color="auto" w:fill="CCEEFF"/>
          </w:tcPr>
          <w:p>
            <w:pPr>
              <w:spacing w:after="0"/>
              <w:rPr>
                <w:sz w:val="13"/>
                <w:szCs w:val="13"/>
                <w:color w:val="auto"/>
              </w:rPr>
            </w:pPr>
          </w:p>
        </w:tc>
        <w:tc>
          <w:tcPr>
            <w:tcW w:w="5300" w:type="dxa"/>
            <w:vAlign w:val="bottom"/>
            <w:gridSpan w:val="2"/>
            <w:shd w:val="clear" w:color="auto" w:fill="CCEEFF"/>
          </w:tcPr>
          <w:p>
            <w:pPr>
              <w:spacing w:after="0" w:line="152"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2019.</w:t>
              </w:r>
              <w:r>
                <w:rPr>
                  <w:rFonts w:ascii="Times New Roman" w:cs="Times New Roman" w:eastAsia="Times New Roman" w:hAnsi="Times New Roman"/>
                  <w:sz w:val="17"/>
                  <w:szCs w:val="17"/>
                  <w:u w:val="single" w:color="auto"/>
                  <w:color w:val="0000FF"/>
                </w:rPr>
                <w:t>)</w:t>
              </w:r>
            </w:hyperlink>
          </w:p>
        </w:tc>
        <w:tc>
          <w:tcPr>
            <w:tcW w:w="8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40"/>
        </w:trPr>
        <w:tc>
          <w:tcPr>
            <w:tcW w:w="108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10.2.13 +</w:t>
            </w:r>
          </w:p>
        </w:tc>
        <w:tc>
          <w:tcPr>
            <w:tcW w:w="10140" w:type="dxa"/>
            <w:vAlign w:val="bottom"/>
            <w:gridSpan w:val="21"/>
          </w:tcPr>
          <w:p>
            <w:pPr>
              <w:spacing w:after="0" w:line="18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restricted stock unit award agreement and related notice of grant for use in connection with the grant of restricted stock units to the</w:t>
              </w:r>
            </w:hyperlink>
          </w:p>
        </w:tc>
      </w:tr>
      <w:tr>
        <w:trPr>
          <w:trHeight w:val="152"/>
        </w:trPr>
        <w:tc>
          <w:tcPr>
            <w:tcW w:w="1080" w:type="dxa"/>
            <w:vAlign w:val="bottom"/>
          </w:tcPr>
          <w:p>
            <w:pPr>
              <w:spacing w:after="0"/>
              <w:rPr>
                <w:sz w:val="13"/>
                <w:szCs w:val="13"/>
                <w:color w:val="auto"/>
              </w:rPr>
            </w:pPr>
          </w:p>
        </w:tc>
        <w:tc>
          <w:tcPr>
            <w:tcW w:w="10000" w:type="dxa"/>
            <w:vAlign w:val="bottom"/>
            <w:tcBorders>
              <w:top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Registrant's non-employee directors under the Amended and Restated Regeneron Pharmaceuticals, Inc. 2014 Long-Term Incentive Plan.</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080" w:type="dxa"/>
            <w:vAlign w:val="bottom"/>
          </w:tcPr>
          <w:p>
            <w:pPr>
              <w:spacing w:after="0"/>
              <w:rPr>
                <w:sz w:val="14"/>
                <w:szCs w:val="14"/>
                <w:color w:val="auto"/>
              </w:rPr>
            </w:pPr>
          </w:p>
        </w:tc>
        <w:tc>
          <w:tcPr>
            <w:tcW w:w="10040" w:type="dxa"/>
            <w:vAlign w:val="bottom"/>
            <w:tcBorders>
              <w:top w:val="single" w:sz="8" w:color="0000FF"/>
            </w:tcBorders>
            <w:gridSpan w:val="16"/>
          </w:tcPr>
          <w:p>
            <w:pPr>
              <w:spacing w:after="0" w:line="165"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(Incorporated by reference from the Form 10-K for the Registrant, for the year ended December 31, 2018, filed February 7, 2019.)</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0"/>
        </w:trPr>
        <w:tc>
          <w:tcPr>
            <w:tcW w:w="108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8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70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10.2.14 +</w:t>
            </w:r>
          </w:p>
        </w:tc>
        <w:tc>
          <w:tcPr>
            <w:tcW w:w="10140" w:type="dxa"/>
            <w:vAlign w:val="bottom"/>
            <w:gridSpan w:val="21"/>
            <w:shd w:val="clear" w:color="auto" w:fill="CCEEFF"/>
          </w:tcPr>
          <w:p>
            <w:pPr>
              <w:spacing w:after="0" w:line="195"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2"/>
        </w:trPr>
        <w:tc>
          <w:tcPr>
            <w:tcW w:w="108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15"/>
            <w:shd w:val="clear" w:color="auto" w:fill="CCEEFF"/>
          </w:tcPr>
          <w:p>
            <w:pPr>
              <w:spacing w:after="0" w:line="152"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Registrant's executive officers under the Amended and Restated Regeneron Pharmaceuticals, Inc. 2014 Long-Term Incentive Plan (revised</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5"/>
        </w:trPr>
        <w:tc>
          <w:tcPr>
            <w:tcW w:w="1080" w:type="dxa"/>
            <w:vAlign w:val="bottom"/>
            <w:tcBorders>
              <w:top w:val="single" w:sz="8" w:color="CCEEFF"/>
            </w:tcBorders>
            <w:shd w:val="clear" w:color="auto" w:fill="CCEEFF"/>
          </w:tcPr>
          <w:p>
            <w:pPr>
              <w:spacing w:after="0"/>
              <w:rPr>
                <w:sz w:val="14"/>
                <w:szCs w:val="14"/>
                <w:color w:val="auto"/>
              </w:rPr>
            </w:pPr>
          </w:p>
        </w:tc>
        <w:tc>
          <w:tcPr>
            <w:tcW w:w="9860" w:type="dxa"/>
            <w:vAlign w:val="bottom"/>
            <w:tcBorders>
              <w:top w:val="single" w:sz="8" w:color="0000FF"/>
            </w:tcBorders>
            <w:gridSpan w:val="7"/>
            <w:shd w:val="clear" w:color="auto" w:fill="CCEEFF"/>
          </w:tcPr>
          <w:p>
            <w:pPr>
              <w:spacing w:after="0" w:line="165"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2019). (Incorporated by reference from the Form 10-K for the Registrant, for the year ended December 31, 2019, filed February 7, 2020.)</w:t>
              </w:r>
            </w:hyperlink>
          </w:p>
        </w:tc>
        <w:tc>
          <w:tcPr>
            <w:tcW w:w="120" w:type="dxa"/>
            <w:vAlign w:val="bottom"/>
            <w:tcBorders>
              <w:top w:val="single" w:sz="8" w:color="CCEEFF"/>
            </w:tcBorders>
            <w:gridSpan w:val="6"/>
            <w:shd w:val="clear" w:color="auto" w:fill="CCEEFF"/>
          </w:tcPr>
          <w:p>
            <w:pPr>
              <w:spacing w:after="0"/>
              <w:rPr>
                <w:sz w:val="14"/>
                <w:szCs w:val="14"/>
                <w:color w:val="auto"/>
              </w:rPr>
            </w:pPr>
          </w:p>
        </w:tc>
        <w:tc>
          <w:tcPr>
            <w:tcW w:w="100" w:type="dxa"/>
            <w:vAlign w:val="bottom"/>
            <w:tcBorders>
              <w:top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40"/>
        </w:trPr>
        <w:tc>
          <w:tcPr>
            <w:tcW w:w="108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8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70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10.2.15 +</w:t>
            </w:r>
          </w:p>
        </w:tc>
        <w:tc>
          <w:tcPr>
            <w:tcW w:w="10140" w:type="dxa"/>
            <w:vAlign w:val="bottom"/>
            <w:gridSpan w:val="21"/>
          </w:tcPr>
          <w:p>
            <w:pPr>
              <w:spacing w:after="0" w:line="18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 the</w:t>
              </w:r>
            </w:hyperlink>
          </w:p>
        </w:tc>
      </w:tr>
      <w:tr>
        <w:trPr>
          <w:trHeight w:val="152"/>
        </w:trPr>
        <w:tc>
          <w:tcPr>
            <w:tcW w:w="1080" w:type="dxa"/>
            <w:vAlign w:val="bottom"/>
          </w:tcPr>
          <w:p>
            <w:pPr>
              <w:spacing w:after="0"/>
              <w:rPr>
                <w:sz w:val="13"/>
                <w:szCs w:val="13"/>
                <w:color w:val="auto"/>
              </w:rPr>
            </w:pPr>
          </w:p>
        </w:tc>
        <w:tc>
          <w:tcPr>
            <w:tcW w:w="9920" w:type="dxa"/>
            <w:vAlign w:val="bottom"/>
            <w:tcBorders>
              <w:top w:val="single" w:sz="8" w:color="0000FF"/>
            </w:tcBorders>
            <w:gridSpan w:val="10"/>
          </w:tcPr>
          <w:p>
            <w:pPr>
              <w:spacing w:after="0" w:line="152"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Registrant's executive officers under the Amended and Restated Regeneron Pharmaceuticals, Inc. 2014 Long-Term Incentive Plan (revised</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080" w:type="dxa"/>
            <w:vAlign w:val="bottom"/>
          </w:tcPr>
          <w:p>
            <w:pPr>
              <w:spacing w:after="0"/>
              <w:rPr>
                <w:sz w:val="14"/>
                <w:szCs w:val="14"/>
                <w:color w:val="auto"/>
              </w:rPr>
            </w:pPr>
          </w:p>
        </w:tc>
        <w:tc>
          <w:tcPr>
            <w:tcW w:w="9860" w:type="dxa"/>
            <w:vAlign w:val="bottom"/>
            <w:tcBorders>
              <w:top w:val="single" w:sz="8" w:color="0000FF"/>
            </w:tcBorders>
            <w:gridSpan w:val="7"/>
          </w:tcPr>
          <w:p>
            <w:pPr>
              <w:spacing w:after="0" w:line="165"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2019). (Incorporated by reference from the Form 10-K for the Registrant, for the year ended December 31, 2019, filed February 7, 2020.)</w:t>
              </w:r>
            </w:hyperlink>
          </w:p>
        </w:tc>
        <w:tc>
          <w:tcPr>
            <w:tcW w:w="12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30"/>
        </w:trPr>
        <w:tc>
          <w:tcPr>
            <w:tcW w:w="108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8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70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10.2.16 +</w:t>
            </w:r>
          </w:p>
        </w:tc>
        <w:tc>
          <w:tcPr>
            <w:tcW w:w="10140" w:type="dxa"/>
            <w:vAlign w:val="bottom"/>
            <w:gridSpan w:val="21"/>
            <w:shd w:val="clear" w:color="auto" w:fill="CCEEFF"/>
          </w:tcPr>
          <w:p>
            <w:pPr>
              <w:spacing w:after="0" w:line="195"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2"/>
        </w:trPr>
        <w:tc>
          <w:tcPr>
            <w:tcW w:w="108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15"/>
            <w:shd w:val="clear" w:color="auto" w:fill="CCEEFF"/>
          </w:tcPr>
          <w:p>
            <w:pPr>
              <w:spacing w:after="0" w:line="152"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Registrant's non-employee directors under the Amended and Restated Regeneron Pharmaceuticals, Inc. 2014 Long-Term Incentive Plan</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5"/>
        </w:trPr>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9900" w:type="dxa"/>
            <w:vAlign w:val="bottom"/>
            <w:tcBorders>
              <w:top w:val="single" w:sz="8" w:color="0000FF"/>
              <w:bottom w:val="single" w:sz="8" w:color="0000FF"/>
            </w:tcBorders>
            <w:gridSpan w:val="9"/>
            <w:shd w:val="clear" w:color="auto" w:fill="CCEEFF"/>
          </w:tcPr>
          <w:p>
            <w:pPr>
              <w:spacing w:after="0" w:line="165"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(revised 2019). (Incorporated by reference from the Form 10-K for the Registrant, for the year ended December 31, 2019, filed February 7,</w:t>
              </w:r>
            </w:hyperlink>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52"/>
        </w:trPr>
        <w:tc>
          <w:tcPr>
            <w:tcW w:w="1080" w:type="dxa"/>
            <w:vAlign w:val="bottom"/>
            <w:shd w:val="clear" w:color="auto" w:fill="CCEEFF"/>
          </w:tcPr>
          <w:p>
            <w:pPr>
              <w:spacing w:after="0"/>
              <w:rPr>
                <w:sz w:val="13"/>
                <w:szCs w:val="13"/>
                <w:color w:val="auto"/>
              </w:rPr>
            </w:pPr>
          </w:p>
        </w:tc>
        <w:tc>
          <w:tcPr>
            <w:tcW w:w="5300" w:type="dxa"/>
            <w:vAlign w:val="bottom"/>
            <w:gridSpan w:val="2"/>
            <w:shd w:val="clear" w:color="auto" w:fill="CCEEFF"/>
          </w:tcPr>
          <w:p>
            <w:pPr>
              <w:spacing w:after="0" w:line="152"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2020.</w:t>
              </w:r>
              <w:r>
                <w:rPr>
                  <w:rFonts w:ascii="Times New Roman" w:cs="Times New Roman" w:eastAsia="Times New Roman" w:hAnsi="Times New Roman"/>
                  <w:sz w:val="17"/>
                  <w:szCs w:val="17"/>
                  <w:u w:val="single" w:color="auto"/>
                  <w:color w:val="0000FF"/>
                </w:rPr>
                <w:t>)</w:t>
              </w:r>
            </w:hyperlink>
          </w:p>
        </w:tc>
        <w:tc>
          <w:tcPr>
            <w:tcW w:w="80" w:type="dxa"/>
            <w:vAlign w:val="bottom"/>
            <w:shd w:val="clear" w:color="auto" w:fill="CCEEFF"/>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40"/>
        </w:trPr>
        <w:tc>
          <w:tcPr>
            <w:tcW w:w="1080" w:type="dxa"/>
            <w:vAlign w:val="bottom"/>
            <w:shd w:val="clear" w:color="auto" w:fill="CCEE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10.2.17 +</w:t>
            </w:r>
          </w:p>
        </w:tc>
        <w:tc>
          <w:tcPr>
            <w:tcW w:w="10140" w:type="dxa"/>
            <w:vAlign w:val="bottom"/>
            <w:gridSpan w:val="21"/>
          </w:tcPr>
          <w:p>
            <w:pPr>
              <w:spacing w:after="0" w:line="18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restricted stock unit award agreement and related notice of grant for use in connection with the grant of restricted stock units to the</w:t>
              </w:r>
            </w:hyperlink>
          </w:p>
        </w:tc>
      </w:tr>
      <w:tr>
        <w:trPr>
          <w:trHeight w:val="152"/>
        </w:trPr>
        <w:tc>
          <w:tcPr>
            <w:tcW w:w="108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Registrant's non-employee directors under the Amended and Restated Regeneron Pharmaceuticals, Inc. 2014 Long-Term Incentive Plan</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5"/>
        </w:trPr>
        <w:tc>
          <w:tcPr>
            <w:tcW w:w="1080" w:type="dxa"/>
            <w:vAlign w:val="bottom"/>
          </w:tcPr>
          <w:p>
            <w:pPr>
              <w:spacing w:after="0"/>
              <w:rPr>
                <w:sz w:val="14"/>
                <w:szCs w:val="14"/>
                <w:color w:val="auto"/>
              </w:rPr>
            </w:pPr>
          </w:p>
        </w:tc>
        <w:tc>
          <w:tcPr>
            <w:tcW w:w="9900" w:type="dxa"/>
            <w:vAlign w:val="bottom"/>
            <w:tcBorders>
              <w:top w:val="single" w:sz="8" w:color="0000FF"/>
              <w:bottom w:val="single" w:sz="8" w:color="0000FF"/>
            </w:tcBorders>
            <w:gridSpan w:val="9"/>
          </w:tcPr>
          <w:p>
            <w:pPr>
              <w:spacing w:after="0" w:line="165"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(revised 2019). (Incorporated by reference from the Form 10-K for the Registrant, for the year ended December 31, 2019, filed February 7,</w:t>
              </w:r>
            </w:hyperlink>
          </w:p>
        </w:tc>
        <w:tc>
          <w:tcPr>
            <w:tcW w:w="180" w:type="dxa"/>
            <w:vAlign w:val="bottom"/>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2"/>
        </w:trPr>
        <w:tc>
          <w:tcPr>
            <w:tcW w:w="1080" w:type="dxa"/>
            <w:vAlign w:val="bottom"/>
          </w:tcPr>
          <w:p>
            <w:pPr>
              <w:spacing w:after="0"/>
              <w:rPr>
                <w:sz w:val="13"/>
                <w:szCs w:val="13"/>
                <w:color w:val="auto"/>
              </w:rPr>
            </w:pPr>
          </w:p>
        </w:tc>
        <w:tc>
          <w:tcPr>
            <w:tcW w:w="5300" w:type="dxa"/>
            <w:vAlign w:val="bottom"/>
            <w:gridSpan w:val="2"/>
          </w:tcPr>
          <w:p>
            <w:pPr>
              <w:spacing w:after="0" w:line="152"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2020.</w:t>
              </w:r>
              <w:r>
                <w:rPr>
                  <w:rFonts w:ascii="Times New Roman" w:cs="Times New Roman" w:eastAsia="Times New Roman" w:hAnsi="Times New Roman"/>
                  <w:sz w:val="17"/>
                  <w:szCs w:val="17"/>
                  <w:u w:val="single" w:color="auto"/>
                  <w:color w:val="0000FF"/>
                </w:rPr>
                <w:t>)</w:t>
              </w:r>
            </w:hyperlink>
          </w:p>
        </w:tc>
        <w:tc>
          <w:tcPr>
            <w:tcW w:w="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
        </w:trPr>
        <w:tc>
          <w:tcPr>
            <w:tcW w:w="108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10.3 +</w:t>
            </w:r>
          </w:p>
        </w:tc>
        <w:tc>
          <w:tcPr>
            <w:tcW w:w="10140" w:type="dxa"/>
            <w:vAlign w:val="bottom"/>
            <w:gridSpan w:val="21"/>
            <w:shd w:val="clear" w:color="auto" w:fill="CCEEFF"/>
          </w:tcPr>
          <w:p>
            <w:pPr>
              <w:spacing w:after="0" w:line="195"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Second Amended and Restated Regeneron Pharmaceuticals, Inc. 2014 Long-Term Incentive Plan. (Incorporated by reference from the</w:t>
              </w:r>
            </w:hyperlink>
          </w:p>
        </w:tc>
      </w:tr>
      <w:tr>
        <w:trPr>
          <w:trHeight w:val="152"/>
        </w:trPr>
        <w:tc>
          <w:tcPr>
            <w:tcW w:w="1080" w:type="dxa"/>
            <w:vAlign w:val="bottom"/>
            <w:tcBorders>
              <w:top w:val="single" w:sz="8" w:color="CCEEFF"/>
            </w:tcBorders>
            <w:shd w:val="clear" w:color="auto" w:fill="CCEEFF"/>
          </w:tcPr>
          <w:p>
            <w:pPr>
              <w:spacing w:after="0"/>
              <w:rPr>
                <w:sz w:val="13"/>
                <w:szCs w:val="13"/>
                <w:color w:val="auto"/>
              </w:rPr>
            </w:pPr>
          </w:p>
        </w:tc>
        <w:tc>
          <w:tcPr>
            <w:tcW w:w="10120" w:type="dxa"/>
            <w:vAlign w:val="bottom"/>
            <w:tcBorders>
              <w:top w:val="single" w:sz="8" w:color="0000FF"/>
            </w:tcBorders>
            <w:gridSpan w:val="20"/>
            <w:shd w:val="clear" w:color="auto" w:fill="CCEEFF"/>
          </w:tcPr>
          <w:p>
            <w:pPr>
              <w:spacing w:after="0" w:line="152"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Registration Statement on Form S-8 for the Registrant, filed June 16, 2020.)</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10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48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10.3.1 +</w:t>
            </w:r>
          </w:p>
        </w:tc>
        <w:tc>
          <w:tcPr>
            <w:tcW w:w="10140" w:type="dxa"/>
            <w:vAlign w:val="bottom"/>
            <w:gridSpan w:val="21"/>
          </w:tcPr>
          <w:p>
            <w:pPr>
              <w:spacing w:after="0" w:line="18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2"/>
        </w:trPr>
        <w:tc>
          <w:tcPr>
            <w:tcW w:w="108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Registrant's executive officers under the Second Amended and Restated Regeneron Pharmaceuticals, Inc. 2014 Long-Term Incentive Plan.</w:t>
              </w:r>
            </w:hyperlink>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5"/>
        </w:trPr>
        <w:tc>
          <w:tcPr>
            <w:tcW w:w="1080" w:type="dxa"/>
            <w:vAlign w:val="bottom"/>
          </w:tcPr>
          <w:p>
            <w:pPr>
              <w:spacing w:after="0"/>
              <w:rPr>
                <w:sz w:val="14"/>
                <w:szCs w:val="14"/>
                <w:color w:val="auto"/>
              </w:rPr>
            </w:pPr>
          </w:p>
        </w:tc>
        <w:tc>
          <w:tcPr>
            <w:tcW w:w="10080" w:type="dxa"/>
            <w:vAlign w:val="bottom"/>
            <w:gridSpan w:val="18"/>
          </w:tcPr>
          <w:p>
            <w:pPr>
              <w:spacing w:after="0" w:line="165"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(Incorporated by reference from the Form 10-K for the Registrant, for the year ended December 31, 2020, filed February 8, 2021.)</w:t>
              </w:r>
            </w:hyperlink>
          </w:p>
        </w:tc>
        <w:tc>
          <w:tcPr>
            <w:tcW w:w="60" w:type="dxa"/>
            <w:vAlign w:val="bottom"/>
            <w:gridSpan w:val="3"/>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9220" w:type="dxa"/>
            <w:vAlign w:val="bottom"/>
            <w:gridSpan w:val="5"/>
            <w:shd w:val="clear" w:color="auto" w:fill="0000FF"/>
          </w:tcPr>
          <w:p>
            <w:pPr>
              <w:spacing w:after="0" w:line="20" w:lineRule="exact"/>
              <w:rPr>
                <w:sz w:val="1"/>
                <w:szCs w:val="1"/>
                <w:color w:val="auto"/>
              </w:rPr>
            </w:pPr>
          </w:p>
        </w:tc>
        <w:tc>
          <w:tcPr>
            <w:tcW w:w="920" w:type="dxa"/>
            <w:vAlign w:val="bottom"/>
            <w:gridSpan w:val="16"/>
          </w:tcPr>
          <w:p>
            <w:pPr>
              <w:spacing w:after="0" w:line="20" w:lineRule="exact"/>
              <w:rPr>
                <w:sz w:val="1"/>
                <w:szCs w:val="1"/>
                <w:color w:val="auto"/>
              </w:rPr>
            </w:pPr>
          </w:p>
        </w:tc>
      </w:tr>
      <w:tr>
        <w:trPr>
          <w:trHeight w:val="20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 +</w:t>
            </w:r>
          </w:p>
        </w:tc>
        <w:tc>
          <w:tcPr>
            <w:tcW w:w="10140" w:type="dxa"/>
            <w:vAlign w:val="bottom"/>
            <w:gridSpan w:val="21"/>
          </w:tcPr>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Form of restricted stock award agreement and related notice of grant for use in connection with the grant of restricted stock awards to the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-118110</wp:posOffset>
            </wp:positionV>
            <wp:extent cx="6966585" cy="3702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6966585" cy="370205"/>
                    </a:xfrm>
                    <a:prstGeom prst="rect">
                      <a:avLst/>
                    </a:prstGeom>
                    <a:noFill/>
                  </pic:spPr>
                </pic:pic>
              </a:graphicData>
            </a:graphic>
          </wp:anchor>
        </w:drawing>
      </w:r>
    </w:p>
    <w:p>
      <w:pPr>
        <w:ind w:left="1220"/>
        <w:spacing w:after="0" w:line="230"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Registrant's executive officers under the Second Amended and Restated Regeneron Pharmaceuticals, Inc. 2014 Long-Term Incentive Plan.</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(Incorporated by reference from the Form 10-K for the Registrant, for the year ended December 31, 2020, filed February 8, 2021.)</w:t>
        </w:r>
      </w:hyperlink>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364"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 +</w:t>
            </w:r>
          </w:p>
        </w:tc>
        <w:tc>
          <w:tcPr>
            <w:tcW w:w="10340" w:type="dxa"/>
            <w:vAlign w:val="bottom"/>
            <w:gridSpan w:val="39"/>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hyperlink>
          </w:p>
        </w:tc>
      </w:tr>
      <w:tr>
        <w:trPr>
          <w:trHeight w:val="152"/>
        </w:trPr>
        <w:tc>
          <w:tcPr>
            <w:tcW w:w="1080" w:type="dxa"/>
            <w:vAlign w:val="bottom"/>
          </w:tcPr>
          <w:p>
            <w:pPr>
              <w:spacing w:after="0"/>
              <w:rPr>
                <w:sz w:val="13"/>
                <w:szCs w:val="13"/>
                <w:color w:val="auto"/>
              </w:rPr>
            </w:pPr>
          </w:p>
        </w:tc>
        <w:tc>
          <w:tcPr>
            <w:tcW w:w="10260" w:type="dxa"/>
            <w:vAlign w:val="bottom"/>
            <w:tcBorders>
              <w:top w:val="single" w:sz="8" w:color="0000FF"/>
              <w:bottom w:val="single" w:sz="8" w:color="0000FF"/>
            </w:tcBorders>
            <w:gridSpan w:val="35"/>
          </w:tcPr>
          <w:p>
            <w:pPr>
              <w:spacing w:after="0" w:line="152"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Registrant's non-employee directors under the Second Amended and Restated Regeneron Pharmaceuticals, Inc. 2014 Long-Term Incentive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6"/>
        </w:trPr>
        <w:tc>
          <w:tcPr>
            <w:tcW w:w="1080" w:type="dxa"/>
            <w:vAlign w:val="bottom"/>
          </w:tcPr>
          <w:p>
            <w:pPr>
              <w:spacing w:after="0"/>
              <w:rPr>
                <w:sz w:val="14"/>
                <w:szCs w:val="14"/>
                <w:color w:val="auto"/>
              </w:rPr>
            </w:pPr>
          </w:p>
        </w:tc>
        <w:tc>
          <w:tcPr>
            <w:tcW w:w="10300" w:type="dxa"/>
            <w:vAlign w:val="bottom"/>
            <w:gridSpan w:val="37"/>
          </w:tcPr>
          <w:p>
            <w:pPr>
              <w:spacing w:after="0" w:line="165"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Plan. (Incorporated by reference from the Form 10-K for the Registrant, for the year ended December 31, 2020, filed February 8,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
        </w:trPr>
        <w:tc>
          <w:tcPr>
            <w:tcW w:w="108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2700" w:type="dxa"/>
            <w:vAlign w:val="bottom"/>
            <w:shd w:val="clear" w:color="auto" w:fill="0000FF"/>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10.3.4 +</w:t>
            </w:r>
          </w:p>
        </w:tc>
        <w:tc>
          <w:tcPr>
            <w:tcW w:w="10340" w:type="dxa"/>
            <w:vAlign w:val="bottom"/>
            <w:gridSpan w:val="39"/>
            <w:shd w:val="clear" w:color="auto" w:fill="CCEEFF"/>
          </w:tcPr>
          <w:p>
            <w:pPr>
              <w:spacing w:after="0" w:line="195"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restricted stock unit award agreement and related notice of grant for use in connection with the grant of restricted stock units to the</w:t>
              </w:r>
            </w:hyperlink>
          </w:p>
        </w:tc>
      </w:tr>
      <w:tr>
        <w:trPr>
          <w:trHeight w:val="152"/>
        </w:trPr>
        <w:tc>
          <w:tcPr>
            <w:tcW w:w="1080" w:type="dxa"/>
            <w:vAlign w:val="bottom"/>
            <w:tcBorders>
              <w:top w:val="single" w:sz="8" w:color="CCEEFF"/>
            </w:tcBorders>
            <w:shd w:val="clear" w:color="auto" w:fill="CCEEFF"/>
          </w:tcPr>
          <w:p>
            <w:pPr>
              <w:spacing w:after="0"/>
              <w:rPr>
                <w:sz w:val="13"/>
                <w:szCs w:val="13"/>
                <w:color w:val="auto"/>
              </w:rPr>
            </w:pPr>
          </w:p>
        </w:tc>
        <w:tc>
          <w:tcPr>
            <w:tcW w:w="10200" w:type="dxa"/>
            <w:vAlign w:val="bottom"/>
            <w:tcBorders>
              <w:top w:val="single" w:sz="8" w:color="0000FF"/>
            </w:tcBorders>
            <w:gridSpan w:val="32"/>
            <w:shd w:val="clear" w:color="auto" w:fill="CCEEFF"/>
          </w:tcPr>
          <w:p>
            <w:pPr>
              <w:spacing w:after="0" w:line="152"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Registrant's non-employee directors under the Second Amended and Restated Regeneron Pharmaceuticals, Inc. 2014 Long-Term Incentive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6"/>
        </w:trPr>
        <w:tc>
          <w:tcPr>
            <w:tcW w:w="1080" w:type="dxa"/>
            <w:vAlign w:val="bottom"/>
            <w:tcBorders>
              <w:top w:val="single" w:sz="8" w:color="CCEEFF"/>
            </w:tcBorders>
            <w:shd w:val="clear" w:color="auto" w:fill="CCEEFF"/>
          </w:tcPr>
          <w:p>
            <w:pPr>
              <w:spacing w:after="0"/>
              <w:rPr>
                <w:sz w:val="14"/>
                <w:szCs w:val="14"/>
                <w:color w:val="auto"/>
              </w:rPr>
            </w:pPr>
          </w:p>
        </w:tc>
        <w:tc>
          <w:tcPr>
            <w:tcW w:w="10300" w:type="dxa"/>
            <w:vAlign w:val="bottom"/>
            <w:tcBorders>
              <w:top w:val="single" w:sz="8" w:color="0000FF"/>
            </w:tcBorders>
            <w:gridSpan w:val="37"/>
            <w:shd w:val="clear" w:color="auto" w:fill="CCEEFF"/>
          </w:tcPr>
          <w:p>
            <w:pPr>
              <w:spacing w:after="0" w:line="165"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Plan. (Incorporated by reference from the Form 10-K for the Registrant, for the year ended December 31, 2020, filed February 8, 2021.)</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40"/>
        </w:trPr>
        <w:tc>
          <w:tcPr>
            <w:tcW w:w="1080" w:type="dxa"/>
            <w:vAlign w:val="bottom"/>
            <w:shd w:val="clear" w:color="auto" w:fill="CCEE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0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140" w:type="dxa"/>
            <w:vAlign w:val="bottom"/>
            <w:shd w:val="clear" w:color="auto" w:fill="0000FF"/>
          </w:tcPr>
          <w:p>
            <w:pPr>
              <w:spacing w:after="0"/>
              <w:rPr>
                <w:sz w:val="3"/>
                <w:szCs w:val="3"/>
                <w:color w:val="auto"/>
              </w:rPr>
            </w:pPr>
          </w:p>
        </w:tc>
        <w:tc>
          <w:tcPr>
            <w:tcW w:w="2700" w:type="dxa"/>
            <w:vAlign w:val="bottom"/>
            <w:shd w:val="clear" w:color="auto" w:fill="0000FF"/>
          </w:tcPr>
          <w:p>
            <w:pPr>
              <w:spacing w:after="0"/>
              <w:rPr>
                <w:sz w:val="3"/>
                <w:szCs w:val="3"/>
                <w:color w:val="auto"/>
              </w:rPr>
            </w:pPr>
          </w:p>
        </w:tc>
        <w:tc>
          <w:tcPr>
            <w:tcW w:w="132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10.3.5 +</w:t>
            </w:r>
          </w:p>
        </w:tc>
        <w:tc>
          <w:tcPr>
            <w:tcW w:w="10340" w:type="dxa"/>
            <w:vAlign w:val="bottom"/>
            <w:gridSpan w:val="39"/>
          </w:tcPr>
          <w:p>
            <w:pPr>
              <w:spacing w:after="0" w:line="18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performance restricted stock unit award agreement and related notice of grant for use in connection with the grant of performance</w:t>
              </w:r>
            </w:hyperlink>
          </w:p>
        </w:tc>
      </w:tr>
      <w:tr>
        <w:trPr>
          <w:trHeight w:val="152"/>
        </w:trPr>
        <w:tc>
          <w:tcPr>
            <w:tcW w:w="1080" w:type="dxa"/>
            <w:vAlign w:val="bottom"/>
          </w:tcPr>
          <w:p>
            <w:pPr>
              <w:spacing w:after="0"/>
              <w:rPr>
                <w:sz w:val="13"/>
                <w:szCs w:val="13"/>
                <w:color w:val="auto"/>
              </w:rPr>
            </w:pPr>
          </w:p>
        </w:tc>
        <w:tc>
          <w:tcPr>
            <w:tcW w:w="10320" w:type="dxa"/>
            <w:vAlign w:val="bottom"/>
            <w:tcBorders>
              <w:top w:val="single" w:sz="8" w:color="0000FF"/>
            </w:tcBorders>
            <w:gridSpan w:val="38"/>
          </w:tcPr>
          <w:p>
            <w:pPr>
              <w:spacing w:after="0" w:line="152"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restricted stock units to Leonard S. Schleifer, M.D., Ph.D. and George D. Yancopoulos, M.D., Ph.D. under the Second Amended and</w:t>
              </w:r>
            </w:hyperlink>
          </w:p>
        </w:tc>
        <w:tc>
          <w:tcPr>
            <w:tcW w:w="20" w:type="dxa"/>
            <w:vAlign w:val="bottom"/>
          </w:tcPr>
          <w:p>
            <w:pPr>
              <w:spacing w:after="0"/>
              <w:rPr>
                <w:sz w:val="13"/>
                <w:szCs w:val="13"/>
                <w:color w:val="auto"/>
              </w:rPr>
            </w:pPr>
          </w:p>
        </w:tc>
      </w:tr>
      <w:tr>
        <w:trPr>
          <w:trHeight w:val="165"/>
        </w:trPr>
        <w:tc>
          <w:tcPr>
            <w:tcW w:w="1080" w:type="dxa"/>
            <w:vAlign w:val="bottom"/>
          </w:tcPr>
          <w:p>
            <w:pPr>
              <w:spacing w:after="0"/>
              <w:rPr>
                <w:sz w:val="14"/>
                <w:szCs w:val="14"/>
                <w:color w:val="auto"/>
              </w:rPr>
            </w:pPr>
          </w:p>
        </w:tc>
        <w:tc>
          <w:tcPr>
            <w:tcW w:w="9880" w:type="dxa"/>
            <w:vAlign w:val="bottom"/>
            <w:tcBorders>
              <w:top w:val="single" w:sz="8" w:color="0000FF"/>
            </w:tcBorders>
            <w:gridSpan w:val="16"/>
          </w:tcPr>
          <w:p>
            <w:pPr>
              <w:spacing w:after="0" w:line="165"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Restated Regeneron Pharmaceuticals, Inc. 2014 Long-Term Incentive Plan. (Incorporated by reference from the Form 10-K for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2"/>
        </w:trPr>
        <w:tc>
          <w:tcPr>
            <w:tcW w:w="1080" w:type="dxa"/>
            <w:vAlign w:val="bottom"/>
          </w:tcPr>
          <w:p>
            <w:pPr>
              <w:spacing w:after="0"/>
              <w:rPr>
                <w:sz w:val="13"/>
                <w:szCs w:val="13"/>
                <w:color w:val="auto"/>
              </w:rPr>
            </w:pPr>
          </w:p>
        </w:tc>
        <w:tc>
          <w:tcPr>
            <w:tcW w:w="986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Registrant, for the year ended December 31, 2020, filed February 8,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0"/>
        </w:trPr>
        <w:tc>
          <w:tcPr>
            <w:tcW w:w="108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0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2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10.3.6 +</w:t>
            </w:r>
          </w:p>
        </w:tc>
        <w:tc>
          <w:tcPr>
            <w:tcW w:w="10340" w:type="dxa"/>
            <w:vAlign w:val="bottom"/>
            <w:gridSpan w:val="39"/>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Form of stock option agreement and related notice of grant for use in connection with the grant of non-qualified stock options to the</w:t>
            </w:r>
          </w:p>
        </w:tc>
      </w:tr>
      <w:tr>
        <w:trPr>
          <w:trHeight w:val="152"/>
        </w:trPr>
        <w:tc>
          <w:tcPr>
            <w:tcW w:w="1080" w:type="dxa"/>
            <w:vAlign w:val="bottom"/>
            <w:tcBorders>
              <w:top w:val="single" w:sz="8" w:color="CCEEFF"/>
            </w:tcBorders>
            <w:shd w:val="clear" w:color="auto" w:fill="CCEEFF"/>
          </w:tcPr>
          <w:p>
            <w:pPr>
              <w:spacing w:after="0"/>
              <w:rPr>
                <w:sz w:val="13"/>
                <w:szCs w:val="13"/>
                <w:color w:val="auto"/>
              </w:rPr>
            </w:pPr>
          </w:p>
        </w:tc>
        <w:tc>
          <w:tcPr>
            <w:tcW w:w="10240" w:type="dxa"/>
            <w:vAlign w:val="bottom"/>
            <w:tcBorders>
              <w:top w:val="single" w:sz="8" w:color="0000FF"/>
            </w:tcBorders>
            <w:gridSpan w:val="34"/>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Registrant's executive officers under the Second Amended and Restated Regeneron Pharmaceuticals, Inc. 2014 Long-Term Incentive Plan</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85"/>
        </w:trPr>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0000FF"/>
              <w:bottom w:val="single" w:sz="8" w:color="0000FF"/>
            </w:tcBorders>
            <w:gridSpan w:val="2"/>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0000FF"/>
                <w:w w:val="97"/>
              </w:rPr>
              <w:t>(revised 2023).</w:t>
            </w:r>
          </w:p>
        </w:tc>
        <w:tc>
          <w:tcPr>
            <w:tcW w:w="9060" w:type="dxa"/>
            <w:vAlign w:val="bottom"/>
            <w:tcBorders>
              <w:top w:val="single" w:sz="8" w:color="0000FF"/>
              <w:bottom w:val="single" w:sz="8" w:color="CCEEFF"/>
            </w:tcBorders>
            <w:gridSpan w:val="2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10.3.7 +</w:t>
            </w:r>
          </w:p>
        </w:tc>
        <w:tc>
          <w:tcPr>
            <w:tcW w:w="10340" w:type="dxa"/>
            <w:vAlign w:val="bottom"/>
            <w:gridSpan w:val="39"/>
          </w:tcPr>
          <w:p>
            <w:pPr>
              <w:spacing w:after="0" w:line="186" w:lineRule="exact"/>
              <w:rPr>
                <w:sz w:val="20"/>
                <w:szCs w:val="20"/>
                <w:color w:val="auto"/>
              </w:rPr>
            </w:pPr>
            <w:r>
              <w:rPr>
                <w:rFonts w:ascii="Times New Roman" w:cs="Times New Roman" w:eastAsia="Times New Roman" w:hAnsi="Times New Roman"/>
                <w:sz w:val="18"/>
                <w:szCs w:val="18"/>
                <w:color w:val="0000FF"/>
              </w:rPr>
              <w:t>Form of restricted stock award agreement and related notice of grant for use in connection with the grant of restricted stock awards to the</w:t>
            </w:r>
          </w:p>
        </w:tc>
      </w:tr>
      <w:tr>
        <w:trPr>
          <w:trHeight w:val="152"/>
        </w:trPr>
        <w:tc>
          <w:tcPr>
            <w:tcW w:w="1080" w:type="dxa"/>
            <w:vAlign w:val="bottom"/>
          </w:tcPr>
          <w:p>
            <w:pPr>
              <w:spacing w:after="0"/>
              <w:rPr>
                <w:sz w:val="13"/>
                <w:szCs w:val="13"/>
                <w:color w:val="auto"/>
              </w:rPr>
            </w:pPr>
          </w:p>
        </w:tc>
        <w:tc>
          <w:tcPr>
            <w:tcW w:w="9980" w:type="dxa"/>
            <w:vAlign w:val="bottom"/>
            <w:tcBorders>
              <w:top w:val="single" w:sz="8" w:color="0000FF"/>
            </w:tcBorders>
            <w:gridSpan w:val="21"/>
          </w:tcPr>
          <w:p>
            <w:pPr>
              <w:spacing w:after="0" w:line="152" w:lineRule="exact"/>
              <w:rPr>
                <w:sz w:val="20"/>
                <w:szCs w:val="20"/>
                <w:color w:val="auto"/>
              </w:rPr>
            </w:pPr>
            <w:r>
              <w:rPr>
                <w:rFonts w:ascii="Times New Roman" w:cs="Times New Roman" w:eastAsia="Times New Roman" w:hAnsi="Times New Roman"/>
                <w:sz w:val="17"/>
                <w:szCs w:val="17"/>
                <w:color w:val="0000FF"/>
              </w:rPr>
              <w:t>Registrant's executive officers under the Second Amended and Restated Regeneron Pharmaceuticals, Inc. 2014 Long-Term Incentive Plan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75"/>
        </w:trPr>
        <w:tc>
          <w:tcPr>
            <w:tcW w:w="1080" w:type="dxa"/>
            <w:vAlign w:val="bottom"/>
          </w:tcPr>
          <w:p>
            <w:pPr>
              <w:spacing w:after="0"/>
              <w:rPr>
                <w:sz w:val="15"/>
                <w:szCs w:val="15"/>
                <w:color w:val="auto"/>
              </w:rPr>
            </w:pPr>
          </w:p>
        </w:tc>
        <w:tc>
          <w:tcPr>
            <w:tcW w:w="1080" w:type="dxa"/>
            <w:vAlign w:val="bottom"/>
            <w:tcBorders>
              <w:top w:val="single" w:sz="8" w:color="0000FF"/>
              <w:bottom w:val="single" w:sz="8" w:color="0000FF"/>
            </w:tcBorders>
            <w:gridSpan w:val="2"/>
          </w:tcPr>
          <w:p>
            <w:pPr>
              <w:spacing w:after="0" w:line="165" w:lineRule="exact"/>
              <w:rPr>
                <w:sz w:val="20"/>
                <w:szCs w:val="20"/>
                <w:color w:val="auto"/>
              </w:rPr>
            </w:pPr>
            <w:r>
              <w:rPr>
                <w:rFonts w:ascii="Times New Roman" w:cs="Times New Roman" w:eastAsia="Times New Roman" w:hAnsi="Times New Roman"/>
                <w:sz w:val="18"/>
                <w:szCs w:val="18"/>
                <w:color w:val="0000FF"/>
                <w:w w:val="97"/>
              </w:rPr>
              <w:t>(revised 2023).</w:t>
            </w:r>
          </w:p>
        </w:tc>
        <w:tc>
          <w:tcPr>
            <w:tcW w:w="9060" w:type="dxa"/>
            <w:vAlign w:val="bottom"/>
            <w:tcBorders>
              <w:top w:val="single" w:sz="8" w:color="0000FF"/>
            </w:tcBorders>
            <w:gridSpan w:val="2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10.4 +</w:t>
            </w:r>
          </w:p>
        </w:tc>
        <w:tc>
          <w:tcPr>
            <w:tcW w:w="10340" w:type="dxa"/>
            <w:vAlign w:val="bottom"/>
            <w:gridSpan w:val="39"/>
            <w:shd w:val="clear" w:color="auto" w:fill="CCEEFF"/>
          </w:tcPr>
          <w:p>
            <w:pPr>
              <w:spacing w:after="0" w:line="195"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Amended and Restated Employment Agreement, dated as of November 14, 2008, between the Registrant and Leonard S. Schleifer, M.D.,</w:t>
              </w:r>
            </w:hyperlink>
          </w:p>
        </w:tc>
      </w:tr>
      <w:tr>
        <w:trPr>
          <w:trHeight w:val="185"/>
        </w:trPr>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9760" w:type="dxa"/>
            <w:vAlign w:val="bottom"/>
            <w:tcBorders>
              <w:top w:val="single" w:sz="8" w:color="0000FF"/>
              <w:bottom w:val="single" w:sz="8" w:color="0000FF"/>
            </w:tcBorders>
            <w:gridSpan w:val="14"/>
            <w:shd w:val="clear" w:color="auto" w:fill="CCEEFF"/>
          </w:tcPr>
          <w:p>
            <w:pPr>
              <w:spacing w:after="0" w:line="152"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Ph.D. (Incorporated by reference from the Form 10-K for the Registrant, for the year ended December 31, 2008, filed February 26, 2009.)</w:t>
              </w:r>
            </w:hyperlink>
          </w:p>
        </w:tc>
        <w:tc>
          <w:tcPr>
            <w:tcW w:w="14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10.4.1 +</w:t>
            </w:r>
          </w:p>
        </w:tc>
        <w:tc>
          <w:tcPr>
            <w:tcW w:w="10340" w:type="dxa"/>
            <w:vAlign w:val="bottom"/>
            <w:gridSpan w:val="39"/>
          </w:tcPr>
          <w:p>
            <w:pPr>
              <w:spacing w:after="0" w:line="18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Waiver and Consent, dated as of April 14, 2023, pursuant to the Amended and Restated Employment Agreement, dated as of November</w:t>
              </w:r>
            </w:hyperlink>
          </w:p>
        </w:tc>
      </w:tr>
      <w:tr>
        <w:trPr>
          <w:trHeight w:val="152"/>
        </w:trPr>
        <w:tc>
          <w:tcPr>
            <w:tcW w:w="1080" w:type="dxa"/>
            <w:vAlign w:val="bottom"/>
          </w:tcPr>
          <w:p>
            <w:pPr>
              <w:spacing w:after="0"/>
              <w:rPr>
                <w:sz w:val="13"/>
                <w:szCs w:val="13"/>
                <w:color w:val="auto"/>
              </w:rPr>
            </w:pPr>
          </w:p>
        </w:tc>
        <w:tc>
          <w:tcPr>
            <w:tcW w:w="10280" w:type="dxa"/>
            <w:vAlign w:val="bottom"/>
            <w:tcBorders>
              <w:top w:val="single" w:sz="8" w:color="0000FF"/>
            </w:tcBorders>
            <w:gridSpan w:val="36"/>
          </w:tcPr>
          <w:p>
            <w:pPr>
              <w:spacing w:after="0" w:line="152"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14, 2008, between the Registrant and Leonard S. Schleifer, M.D., Ph.D. (Incorporated by reference from the Form 10-Q for the Registrant,</w:t>
              </w:r>
            </w:hyperlink>
          </w:p>
        </w:tc>
        <w:tc>
          <w:tcPr>
            <w:tcW w:w="60" w:type="dxa"/>
            <w:vAlign w:val="bottom"/>
            <w:gridSpan w:val="3"/>
          </w:tcPr>
          <w:p>
            <w:pPr>
              <w:spacing w:after="0"/>
              <w:rPr>
                <w:sz w:val="13"/>
                <w:szCs w:val="13"/>
                <w:color w:val="auto"/>
              </w:rPr>
            </w:pPr>
          </w:p>
        </w:tc>
      </w:tr>
      <w:tr>
        <w:trPr>
          <w:trHeight w:val="175"/>
        </w:trPr>
        <w:tc>
          <w:tcPr>
            <w:tcW w:w="1080" w:type="dxa"/>
            <w:vAlign w:val="bottom"/>
          </w:tcPr>
          <w:p>
            <w:pPr>
              <w:spacing w:after="0"/>
              <w:rPr>
                <w:sz w:val="15"/>
                <w:szCs w:val="15"/>
                <w:color w:val="auto"/>
              </w:rPr>
            </w:pPr>
          </w:p>
        </w:tc>
        <w:tc>
          <w:tcPr>
            <w:tcW w:w="4160" w:type="dxa"/>
            <w:vAlign w:val="bottom"/>
            <w:tcBorders>
              <w:top w:val="single" w:sz="8" w:color="0000FF"/>
              <w:bottom w:val="single" w:sz="8" w:color="0000FF"/>
            </w:tcBorders>
            <w:gridSpan w:val="9"/>
          </w:tcPr>
          <w:p>
            <w:pPr>
              <w:spacing w:after="0" w:line="165" w:lineRule="exact"/>
              <w:rPr>
                <w:rFonts w:ascii="Times New Roman" w:cs="Times New Roman" w:eastAsia="Times New Roman" w:hAnsi="Times New Roman"/>
                <w:sz w:val="18"/>
                <w:szCs w:val="18"/>
                <w:color w:val="0000FF"/>
                <w:w w:val="97"/>
              </w:rPr>
            </w:pPr>
            <w:hyperlink r:id="rId156">
              <w:r>
                <w:rPr>
                  <w:rFonts w:ascii="Times New Roman" w:cs="Times New Roman" w:eastAsia="Times New Roman" w:hAnsi="Times New Roman"/>
                  <w:sz w:val="18"/>
                  <w:szCs w:val="18"/>
                  <w:color w:val="0000FF"/>
                  <w:w w:val="97"/>
                </w:rPr>
                <w:t>for the quarter ended June 30, 2023, filed August 3, 2023.)</w:t>
              </w:r>
            </w:hyperlink>
          </w:p>
        </w:tc>
        <w:tc>
          <w:tcPr>
            <w:tcW w:w="584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10.5 +</w:t>
            </w:r>
          </w:p>
        </w:tc>
        <w:tc>
          <w:tcPr>
            <w:tcW w:w="10340" w:type="dxa"/>
            <w:vAlign w:val="bottom"/>
            <w:gridSpan w:val="39"/>
            <w:shd w:val="clear" w:color="auto" w:fill="CCEEFF"/>
          </w:tcPr>
          <w:p>
            <w:pPr>
              <w:spacing w:after="0" w:line="195"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Offer Letter for Robert E. Landry effective September 9, 2013. (Incorporated by reference from the Form 8-K for the Registrant, filed</w:t>
              </w:r>
            </w:hyperlink>
          </w:p>
        </w:tc>
      </w:tr>
      <w:tr>
        <w:trPr>
          <w:trHeight w:val="152"/>
        </w:trPr>
        <w:tc>
          <w:tcPr>
            <w:tcW w:w="1080" w:type="dxa"/>
            <w:vAlign w:val="bottom"/>
            <w:tcBorders>
              <w:top w:val="single" w:sz="8" w:color="CCEEFF"/>
            </w:tcBorders>
            <w:shd w:val="clear" w:color="auto" w:fill="CCEEFF"/>
          </w:tcPr>
          <w:p>
            <w:pPr>
              <w:spacing w:after="0"/>
              <w:rPr>
                <w:sz w:val="13"/>
                <w:szCs w:val="13"/>
                <w:color w:val="auto"/>
              </w:rPr>
            </w:pPr>
          </w:p>
        </w:tc>
        <w:tc>
          <w:tcPr>
            <w:tcW w:w="10080" w:type="dxa"/>
            <w:vAlign w:val="bottom"/>
            <w:tcBorders>
              <w:top w:val="single" w:sz="8" w:color="0000FF"/>
            </w:tcBorders>
            <w:gridSpan w:val="26"/>
            <w:shd w:val="clear" w:color="auto" w:fill="CCEEFF"/>
          </w:tcPr>
          <w:p>
            <w:pPr>
              <w:spacing w:after="0" w:line="152"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September 12, 2013.)</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33"/>
        </w:trPr>
        <w:tc>
          <w:tcPr>
            <w:tcW w:w="10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27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10.6 +</w:t>
            </w:r>
          </w:p>
        </w:tc>
        <w:tc>
          <w:tcPr>
            <w:tcW w:w="10340" w:type="dxa"/>
            <w:vAlign w:val="bottom"/>
            <w:gridSpan w:val="39"/>
          </w:tcPr>
          <w:p>
            <w:pPr>
              <w:spacing w:after="0" w:line="18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Regeneron Pharmaceuticals, Inc. Change in Control Severance Plan, amended and restated effective as of November 14, 2008.</w:t>
              </w:r>
            </w:hyperlink>
          </w:p>
        </w:tc>
      </w:tr>
      <w:tr>
        <w:trPr>
          <w:trHeight w:val="152"/>
        </w:trPr>
        <w:tc>
          <w:tcPr>
            <w:tcW w:w="1080" w:type="dxa"/>
            <w:vAlign w:val="bottom"/>
          </w:tcPr>
          <w:p>
            <w:pPr>
              <w:spacing w:after="0"/>
              <w:rPr>
                <w:sz w:val="13"/>
                <w:szCs w:val="13"/>
                <w:color w:val="auto"/>
              </w:rPr>
            </w:pPr>
          </w:p>
        </w:tc>
        <w:tc>
          <w:tcPr>
            <w:tcW w:w="10180" w:type="dxa"/>
            <w:vAlign w:val="bottom"/>
            <w:tcBorders>
              <w:top w:val="single" w:sz="8" w:color="0000FF"/>
            </w:tcBorders>
            <w:gridSpan w:val="31"/>
          </w:tcPr>
          <w:p>
            <w:pPr>
              <w:spacing w:after="0" w:line="152"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(Incorporated by reference from the Form 10-K for the Registrant, for the year ended December 31, 2008, filed February 26, 2009.)</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3"/>
        </w:trPr>
        <w:tc>
          <w:tcPr>
            <w:tcW w:w="108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7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10.7 +</w:t>
            </w:r>
          </w:p>
        </w:tc>
        <w:tc>
          <w:tcPr>
            <w:tcW w:w="10340" w:type="dxa"/>
            <w:vAlign w:val="bottom"/>
            <w:gridSpan w:val="39"/>
            <w:shd w:val="clear" w:color="auto" w:fill="CCEEFF"/>
          </w:tcPr>
          <w:p>
            <w:pPr>
              <w:spacing w:after="0" w:line="18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Regeneron Pharmaceuticals, Inc. Cash Incentive Bonus Plan. (Incorporated by reference from the Form 8-K for the Registrant, filed June</w:t>
              </w:r>
            </w:hyperlink>
          </w:p>
        </w:tc>
      </w:tr>
      <w:tr>
        <w:trPr>
          <w:trHeight w:val="185"/>
        </w:trPr>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0000FF"/>
              <w:bottom w:val="single" w:sz="8" w:color="0000FF"/>
            </w:tcBorders>
            <w:shd w:val="clear" w:color="auto" w:fill="CCEEFF"/>
          </w:tcPr>
          <w:p>
            <w:pPr>
              <w:spacing w:after="0" w:line="152"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17, 2015.)</w:t>
              </w:r>
            </w:hyperlink>
          </w:p>
        </w:tc>
        <w:tc>
          <w:tcPr>
            <w:tcW w:w="34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480" w:type="dxa"/>
            <w:vAlign w:val="bottom"/>
            <w:tcBorders>
              <w:top w:val="single" w:sz="8" w:color="0000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CCEEFF"/>
            </w:tcBorders>
            <w:shd w:val="clear" w:color="auto" w:fill="CCEEFF"/>
          </w:tcPr>
          <w:p>
            <w:pPr>
              <w:spacing w:after="0"/>
              <w:rPr>
                <w:sz w:val="16"/>
                <w:szCs w:val="16"/>
                <w:color w:val="auto"/>
              </w:rPr>
            </w:pPr>
          </w:p>
        </w:tc>
        <w:tc>
          <w:tcPr>
            <w:tcW w:w="1080" w:type="dxa"/>
            <w:vAlign w:val="bottom"/>
            <w:tcBorders>
              <w:top w:val="single" w:sz="8" w:color="0000FF"/>
              <w:bottom w:val="single" w:sz="8" w:color="CCEEFF"/>
            </w:tcBorders>
            <w:shd w:val="clear" w:color="auto" w:fill="CCEEFF"/>
          </w:tcPr>
          <w:p>
            <w:pPr>
              <w:spacing w:after="0"/>
              <w:rPr>
                <w:sz w:val="16"/>
                <w:szCs w:val="16"/>
                <w:color w:val="auto"/>
              </w:rPr>
            </w:pPr>
          </w:p>
        </w:tc>
        <w:tc>
          <w:tcPr>
            <w:tcW w:w="500" w:type="dxa"/>
            <w:vAlign w:val="bottom"/>
            <w:tcBorders>
              <w:top w:val="single" w:sz="8" w:color="0000FF"/>
              <w:bottom w:val="single" w:sz="8" w:color="CCEEFF"/>
            </w:tcBorders>
            <w:shd w:val="clear" w:color="auto" w:fill="CCEEFF"/>
          </w:tcPr>
          <w:p>
            <w:pPr>
              <w:spacing w:after="0"/>
              <w:rPr>
                <w:sz w:val="16"/>
                <w:szCs w:val="16"/>
                <w:color w:val="auto"/>
              </w:rPr>
            </w:pPr>
          </w:p>
        </w:tc>
        <w:tc>
          <w:tcPr>
            <w:tcW w:w="1140" w:type="dxa"/>
            <w:vAlign w:val="bottom"/>
            <w:tcBorders>
              <w:top w:val="single" w:sz="8" w:color="0000FF"/>
              <w:bottom w:val="single" w:sz="8" w:color="CCEEFF"/>
            </w:tcBorders>
            <w:shd w:val="clear" w:color="auto" w:fill="CCEEFF"/>
          </w:tcPr>
          <w:p>
            <w:pPr>
              <w:spacing w:after="0"/>
              <w:rPr>
                <w:sz w:val="16"/>
                <w:szCs w:val="16"/>
                <w:color w:val="auto"/>
              </w:rPr>
            </w:pPr>
          </w:p>
        </w:tc>
        <w:tc>
          <w:tcPr>
            <w:tcW w:w="2700" w:type="dxa"/>
            <w:vAlign w:val="bottom"/>
            <w:tcBorders>
              <w:top w:val="single" w:sz="8" w:color="0000FF"/>
              <w:bottom w:val="single" w:sz="8" w:color="CCEEFF"/>
            </w:tcBorders>
            <w:shd w:val="clear" w:color="auto" w:fill="CCEEFF"/>
          </w:tcPr>
          <w:p>
            <w:pPr>
              <w:spacing w:after="0"/>
              <w:rPr>
                <w:sz w:val="16"/>
                <w:szCs w:val="16"/>
                <w:color w:val="auto"/>
              </w:rPr>
            </w:pPr>
          </w:p>
        </w:tc>
        <w:tc>
          <w:tcPr>
            <w:tcW w:w="1320" w:type="dxa"/>
            <w:vAlign w:val="bottom"/>
            <w:tcBorders>
              <w:top w:val="single" w:sz="8" w:color="0000FF"/>
              <w:bottom w:val="single" w:sz="8" w:color="CCEEFF"/>
            </w:tcBorders>
            <w:shd w:val="clear" w:color="auto" w:fill="CCEEFF"/>
          </w:tcPr>
          <w:p>
            <w:pPr>
              <w:spacing w:after="0"/>
              <w:rPr>
                <w:sz w:val="16"/>
                <w:szCs w:val="16"/>
                <w:color w:val="auto"/>
              </w:rPr>
            </w:pPr>
          </w:p>
        </w:tc>
        <w:tc>
          <w:tcPr>
            <w:tcW w:w="30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10.7.1 +</w:t>
            </w:r>
          </w:p>
        </w:tc>
        <w:tc>
          <w:tcPr>
            <w:tcW w:w="10340" w:type="dxa"/>
            <w:vAlign w:val="bottom"/>
            <w:gridSpan w:val="39"/>
          </w:tcPr>
          <w:p>
            <w:pPr>
              <w:spacing w:after="0" w:line="18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First Amendment to Cash Incentive Bonus Plan. (Incorporated by reference from the Form 10-Q for the Registrant, for the quarter ended</w:t>
              </w:r>
            </w:hyperlink>
          </w:p>
        </w:tc>
      </w:tr>
      <w:tr>
        <w:trPr>
          <w:trHeight w:val="152"/>
        </w:trPr>
        <w:tc>
          <w:tcPr>
            <w:tcW w:w="1080" w:type="dxa"/>
            <w:vAlign w:val="bottom"/>
          </w:tcPr>
          <w:p>
            <w:pPr>
              <w:spacing w:after="0"/>
              <w:rPr>
                <w:sz w:val="13"/>
                <w:szCs w:val="13"/>
                <w:color w:val="auto"/>
              </w:rPr>
            </w:pPr>
          </w:p>
        </w:tc>
        <w:tc>
          <w:tcPr>
            <w:tcW w:w="10120" w:type="dxa"/>
            <w:vAlign w:val="bottom"/>
            <w:tcBorders>
              <w:top w:val="single" w:sz="8" w:color="0000FF"/>
            </w:tcBorders>
            <w:gridSpan w:val="28"/>
          </w:tcPr>
          <w:p>
            <w:pPr>
              <w:spacing w:after="0" w:line="152"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March 31, 2023, filed May 4, 2023.)</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3"/>
        </w:trPr>
        <w:tc>
          <w:tcPr>
            <w:tcW w:w="108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10.8*</w:t>
            </w:r>
          </w:p>
        </w:tc>
        <w:tc>
          <w:tcPr>
            <w:tcW w:w="10340" w:type="dxa"/>
            <w:vAlign w:val="bottom"/>
            <w:gridSpan w:val="39"/>
            <w:shd w:val="clear" w:color="auto" w:fill="CCEEFF"/>
          </w:tcPr>
          <w:p>
            <w:pPr>
              <w:spacing w:after="0" w:line="18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IL-1 Antibody Termination Agreement by and between Novartis Pharma AG, Novartis Pharmaceuticals Corporation and the Registrant,</w:t>
              </w:r>
            </w:hyperlink>
          </w:p>
        </w:tc>
      </w:tr>
      <w:tr>
        <w:trPr>
          <w:trHeight w:val="152"/>
        </w:trPr>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9960" w:type="dxa"/>
            <w:vAlign w:val="bottom"/>
            <w:tcBorders>
              <w:top w:val="single" w:sz="8" w:color="0000FF"/>
              <w:bottom w:val="single" w:sz="8" w:color="0000FF"/>
            </w:tcBorders>
            <w:gridSpan w:val="20"/>
            <w:shd w:val="clear" w:color="auto" w:fill="CCEEFF"/>
          </w:tcPr>
          <w:p>
            <w:pPr>
              <w:spacing w:after="0" w:line="152"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dated as of June 8, 2009. (Incorporated by reference from the Form 10-Q for the Registrant, for the quarter ended June 30, 2009, filed</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6"/>
            <w:shd w:val="clear" w:color="auto" w:fill="CCEEFF"/>
          </w:tcPr>
          <w:p>
            <w:pPr>
              <w:spacing w:after="0"/>
              <w:rPr>
                <w:sz w:val="13"/>
                <w:szCs w:val="13"/>
                <w:color w:val="auto"/>
              </w:rPr>
            </w:pPr>
          </w:p>
        </w:tc>
      </w:tr>
      <w:tr>
        <w:trPr>
          <w:trHeight w:val="185"/>
        </w:trPr>
        <w:tc>
          <w:tcPr>
            <w:tcW w:w="10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0000FF"/>
            </w:tcBorders>
            <w:gridSpan w:val="3"/>
            <w:shd w:val="clear" w:color="auto" w:fill="CCEEFF"/>
          </w:tcPr>
          <w:p>
            <w:pPr>
              <w:spacing w:after="0" w:line="165" w:lineRule="exact"/>
              <w:rPr>
                <w:rFonts w:ascii="Times New Roman" w:cs="Times New Roman" w:eastAsia="Times New Roman" w:hAnsi="Times New Roman"/>
                <w:sz w:val="18"/>
                <w:szCs w:val="18"/>
                <w:color w:val="0000FF"/>
                <w:w w:val="97"/>
              </w:rPr>
            </w:pPr>
            <w:hyperlink r:id="rId161">
              <w:r>
                <w:rPr>
                  <w:rFonts w:ascii="Times New Roman" w:cs="Times New Roman" w:eastAsia="Times New Roman" w:hAnsi="Times New Roman"/>
                  <w:sz w:val="18"/>
                  <w:szCs w:val="18"/>
                  <w:color w:val="0000FF"/>
                  <w:w w:val="97"/>
                </w:rPr>
                <w:t>August 4, 2009.)</w:t>
              </w:r>
            </w:hyperlink>
          </w:p>
        </w:tc>
        <w:tc>
          <w:tcPr>
            <w:tcW w:w="8900" w:type="dxa"/>
            <w:vAlign w:val="bottom"/>
            <w:tcBorders>
              <w:bottom w:val="single" w:sz="8" w:color="CCEEFF"/>
            </w:tcBorders>
            <w:gridSpan w:val="24"/>
            <w:shd w:val="clear" w:color="auto" w:fill="CCEEFF"/>
          </w:tcPr>
          <w:p>
            <w:pPr>
              <w:spacing w:after="0"/>
              <w:rPr>
                <w:sz w:val="16"/>
                <w:szCs w:val="16"/>
                <w:color w:val="auto"/>
              </w:rPr>
            </w:pPr>
          </w:p>
        </w:tc>
        <w:tc>
          <w:tcPr>
            <w:tcW w:w="60" w:type="dxa"/>
            <w:vAlign w:val="bottom"/>
            <w:tcBorders>
              <w:bottom w:val="single" w:sz="8" w:color="CCEEFF"/>
            </w:tcBorders>
            <w:gridSpan w:val="3"/>
            <w:shd w:val="clear" w:color="auto" w:fill="CCEEFF"/>
          </w:tcPr>
          <w:p>
            <w:pPr>
              <w:spacing w:after="0"/>
              <w:rPr>
                <w:sz w:val="16"/>
                <w:szCs w:val="16"/>
                <w:color w:val="auto"/>
              </w:rPr>
            </w:pPr>
          </w:p>
        </w:tc>
        <w:tc>
          <w:tcPr>
            <w:tcW w:w="6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gridSpan w:val="6"/>
            <w:shd w:val="clear" w:color="auto" w:fill="CCEEFF"/>
          </w:tcPr>
          <w:p>
            <w:pPr>
              <w:spacing w:after="0"/>
              <w:rPr>
                <w:sz w:val="16"/>
                <w:szCs w:val="16"/>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10.9*</w:t>
            </w:r>
          </w:p>
        </w:tc>
        <w:tc>
          <w:tcPr>
            <w:tcW w:w="10340" w:type="dxa"/>
            <w:vAlign w:val="bottom"/>
            <w:gridSpan w:val="39"/>
          </w:tcPr>
          <w:p>
            <w:pPr>
              <w:spacing w:after="0" w:line="18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License and Collaboration Agreement, dated as of October 18, 2006, by and between Bayer HealthCare LLC and the Registrant.</w:t>
              </w:r>
            </w:hyperlink>
          </w:p>
        </w:tc>
      </w:tr>
      <w:tr>
        <w:trPr>
          <w:trHeight w:val="152"/>
        </w:trPr>
        <w:tc>
          <w:tcPr>
            <w:tcW w:w="1080" w:type="dxa"/>
            <w:vAlign w:val="bottom"/>
          </w:tcPr>
          <w:p>
            <w:pPr>
              <w:spacing w:after="0"/>
              <w:rPr>
                <w:sz w:val="13"/>
                <w:szCs w:val="13"/>
                <w:color w:val="auto"/>
              </w:rPr>
            </w:pPr>
          </w:p>
        </w:tc>
        <w:tc>
          <w:tcPr>
            <w:tcW w:w="9860" w:type="dxa"/>
            <w:vAlign w:val="bottom"/>
            <w:tcBorders>
              <w:top w:val="single" w:sz="8" w:color="0000FF"/>
            </w:tcBorders>
            <w:gridSpan w:val="15"/>
          </w:tcPr>
          <w:p>
            <w:pPr>
              <w:spacing w:after="0" w:line="152"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(Incorporated by reference from the Form 10-Q for the Registrant, for the quarter ended September 30, 2006, filed November 6, 2006.)</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33"/>
        </w:trPr>
        <w:tc>
          <w:tcPr>
            <w:tcW w:w="108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7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10.9.1*</w:t>
            </w:r>
          </w:p>
        </w:tc>
        <w:tc>
          <w:tcPr>
            <w:tcW w:w="10340" w:type="dxa"/>
            <w:vAlign w:val="bottom"/>
            <w:gridSpan w:val="39"/>
            <w:shd w:val="clear" w:color="auto" w:fill="CCEEFF"/>
          </w:tcPr>
          <w:p>
            <w:pPr>
              <w:spacing w:after="0" w:line="18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Restated Amendment Agreement, dated December 30, 2014 and entered into effective as of May 7, 2012, by and between Bayer</w:t>
              </w:r>
            </w:hyperlink>
          </w:p>
        </w:tc>
      </w:tr>
      <w:tr>
        <w:trPr>
          <w:trHeight w:val="152"/>
        </w:trPr>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9940" w:type="dxa"/>
            <w:vAlign w:val="bottom"/>
            <w:tcBorders>
              <w:top w:val="single" w:sz="8" w:color="0000FF"/>
              <w:bottom w:val="single" w:sz="8" w:color="0000FF"/>
            </w:tcBorders>
            <w:gridSpan w:val="19"/>
            <w:shd w:val="clear" w:color="auto" w:fill="CCEEFF"/>
          </w:tcPr>
          <w:p>
            <w:pPr>
              <w:spacing w:after="0" w:line="152"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HealthCare LLC and the Registrant. (Incorporated by reference from the Form 10-K for the Registrant, for the year ended December 31,</w:t>
              </w:r>
            </w:hyperlink>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00" w:type="dxa"/>
            <w:vAlign w:val="bottom"/>
            <w:tcBorders>
              <w:top w:val="single" w:sz="8" w:color="CCEEFF"/>
              <w:bottom w:val="single" w:sz="8" w:color="0000FF"/>
            </w:tcBorders>
            <w:gridSpan w:val="5"/>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120" w:type="dxa"/>
            <w:vAlign w:val="bottom"/>
            <w:tcBorders>
              <w:top w:val="single" w:sz="8" w:color="CCEEFF"/>
              <w:bottom w:val="single" w:sz="8" w:color="CCEEFF"/>
            </w:tcBorders>
            <w:gridSpan w:val="6"/>
            <w:shd w:val="clear" w:color="auto" w:fill="CCEEFF"/>
          </w:tcPr>
          <w:p>
            <w:pPr>
              <w:spacing w:after="0"/>
              <w:rPr>
                <w:sz w:val="13"/>
                <w:szCs w:val="13"/>
                <w:color w:val="auto"/>
              </w:rPr>
            </w:pPr>
          </w:p>
        </w:tc>
      </w:tr>
      <w:tr>
        <w:trPr>
          <w:trHeight w:val="165"/>
        </w:trPr>
        <w:tc>
          <w:tcPr>
            <w:tcW w:w="1080" w:type="dxa"/>
            <w:vAlign w:val="bottom"/>
            <w:shd w:val="clear" w:color="auto" w:fill="CCEEFF"/>
          </w:tcPr>
          <w:p>
            <w:pPr>
              <w:spacing w:after="0"/>
              <w:rPr>
                <w:sz w:val="14"/>
                <w:szCs w:val="14"/>
                <w:color w:val="auto"/>
              </w:rPr>
            </w:pPr>
          </w:p>
        </w:tc>
        <w:tc>
          <w:tcPr>
            <w:tcW w:w="10220" w:type="dxa"/>
            <w:vAlign w:val="bottom"/>
            <w:gridSpan w:val="33"/>
            <w:shd w:val="clear" w:color="auto" w:fill="CCEEFF"/>
          </w:tcPr>
          <w:p>
            <w:pPr>
              <w:spacing w:after="0" w:line="165"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2014, filed February 12, 2015.)</w:t>
              </w:r>
            </w:hyperlink>
          </w:p>
        </w:tc>
        <w:tc>
          <w:tcPr>
            <w:tcW w:w="120" w:type="dxa"/>
            <w:vAlign w:val="bottom"/>
            <w:gridSpan w:val="6"/>
            <w:shd w:val="clear" w:color="auto" w:fill="CCEEFF"/>
          </w:tcPr>
          <w:p>
            <w:pPr>
              <w:spacing w:after="0"/>
              <w:rPr>
                <w:sz w:val="14"/>
                <w:szCs w:val="14"/>
                <w:color w:val="auto"/>
              </w:rPr>
            </w:pPr>
          </w:p>
        </w:tc>
      </w:tr>
      <w:tr>
        <w:trPr>
          <w:trHeight w:val="40"/>
        </w:trPr>
        <w:tc>
          <w:tcPr>
            <w:tcW w:w="1080" w:type="dxa"/>
            <w:vAlign w:val="bottom"/>
            <w:shd w:val="clear" w:color="auto" w:fill="CCEE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10.9.2**</w:t>
            </w:r>
          </w:p>
        </w:tc>
        <w:tc>
          <w:tcPr>
            <w:tcW w:w="10340" w:type="dxa"/>
            <w:vAlign w:val="bottom"/>
            <w:gridSpan w:val="39"/>
          </w:tcPr>
          <w:p>
            <w:pPr>
              <w:spacing w:after="0" w:line="18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Second Amendment Agreement, dated December 19, 2019, by and between Bayer HealthCare LLC and the Registrant. (Incorporated by</w:t>
              </w:r>
            </w:hyperlink>
          </w:p>
        </w:tc>
      </w:tr>
      <w:tr>
        <w:trPr>
          <w:trHeight w:val="152"/>
        </w:trPr>
        <w:tc>
          <w:tcPr>
            <w:tcW w:w="1080" w:type="dxa"/>
            <w:vAlign w:val="bottom"/>
          </w:tcPr>
          <w:p>
            <w:pPr>
              <w:spacing w:after="0"/>
              <w:rPr>
                <w:sz w:val="13"/>
                <w:szCs w:val="13"/>
                <w:color w:val="auto"/>
              </w:rPr>
            </w:pPr>
          </w:p>
        </w:tc>
        <w:tc>
          <w:tcPr>
            <w:tcW w:w="10040" w:type="dxa"/>
            <w:vAlign w:val="bottom"/>
            <w:tcBorders>
              <w:top w:val="single" w:sz="8" w:color="0000FF"/>
            </w:tcBorders>
            <w:gridSpan w:val="24"/>
          </w:tcPr>
          <w:p>
            <w:pPr>
              <w:spacing w:after="0" w:line="152"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reference from the Form 10-K for the Registrant, for the year ended December 31, 2019, filed February 7, 2020.)</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33"/>
        </w:trPr>
        <w:tc>
          <w:tcPr>
            <w:tcW w:w="108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2700" w:type="dxa"/>
            <w:vAlign w:val="bottom"/>
            <w:tcBorders>
              <w:top w:val="single" w:sz="8" w:color="0000FF"/>
            </w:tcBorders>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10.10*</w:t>
            </w:r>
          </w:p>
        </w:tc>
        <w:tc>
          <w:tcPr>
            <w:tcW w:w="10340" w:type="dxa"/>
            <w:vAlign w:val="bottom"/>
            <w:gridSpan w:val="39"/>
            <w:shd w:val="clear" w:color="auto" w:fill="CCEEFF"/>
          </w:tcPr>
          <w:p>
            <w:pPr>
              <w:spacing w:after="0" w:line="18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Amended and Restated License and Collaboration Agreement, dated as of November 10, 2009, by and among Aventis Pharmaceuticals</w:t>
              </w:r>
            </w:hyperlink>
          </w:p>
        </w:tc>
      </w:tr>
      <w:tr>
        <w:trPr>
          <w:trHeight w:val="152"/>
        </w:trPr>
        <w:tc>
          <w:tcPr>
            <w:tcW w:w="1080" w:type="dxa"/>
            <w:vAlign w:val="bottom"/>
            <w:tcBorders>
              <w:top w:val="single" w:sz="8" w:color="CCEEFF"/>
            </w:tcBorders>
            <w:shd w:val="clear" w:color="auto" w:fill="CCEEFF"/>
          </w:tcPr>
          <w:p>
            <w:pPr>
              <w:spacing w:after="0"/>
              <w:rPr>
                <w:sz w:val="13"/>
                <w:szCs w:val="13"/>
                <w:color w:val="auto"/>
              </w:rPr>
            </w:pPr>
          </w:p>
        </w:tc>
        <w:tc>
          <w:tcPr>
            <w:tcW w:w="10060" w:type="dxa"/>
            <w:vAlign w:val="bottom"/>
            <w:tcBorders>
              <w:top w:val="single" w:sz="8" w:color="0000FF"/>
            </w:tcBorders>
            <w:gridSpan w:val="25"/>
            <w:shd w:val="clear" w:color="auto" w:fill="CCEEFF"/>
          </w:tcPr>
          <w:p>
            <w:pPr>
              <w:spacing w:after="0" w:line="152"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Inc., sanofi-aventis Amerique du Nord, and the Registrant. (Incorporated by reference from the Form 10-K/A for the Registrant, for the</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180" w:type="dxa"/>
            <w:vAlign w:val="bottom"/>
            <w:tcBorders>
              <w:top w:val="single" w:sz="8" w:color="CCEEFF"/>
            </w:tcBorders>
            <w:gridSpan w:val="9"/>
            <w:shd w:val="clear" w:color="auto" w:fill="CCEEFF"/>
          </w:tcPr>
          <w:p>
            <w:pPr>
              <w:spacing w:after="0"/>
              <w:rPr>
                <w:sz w:val="13"/>
                <w:szCs w:val="13"/>
                <w:color w:val="auto"/>
              </w:rPr>
            </w:pPr>
          </w:p>
        </w:tc>
      </w:tr>
      <w:tr>
        <w:trPr>
          <w:trHeight w:val="165"/>
        </w:trPr>
        <w:tc>
          <w:tcPr>
            <w:tcW w:w="108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000FF"/>
            </w:tcBorders>
            <w:gridSpan w:val="23"/>
            <w:shd w:val="clear" w:color="auto" w:fill="CCEEFF"/>
          </w:tcPr>
          <w:p>
            <w:pPr>
              <w:spacing w:after="0" w:line="165"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year ended December 31, 2009, filed June 2, 2010.)</w:t>
              </w:r>
            </w:hyperlink>
          </w:p>
        </w:tc>
        <w:tc>
          <w:tcPr>
            <w:tcW w:w="140" w:type="dxa"/>
            <w:vAlign w:val="bottom"/>
            <w:tcBorders>
              <w:top w:val="single" w:sz="8" w:color="CCEEFF"/>
            </w:tcBorders>
            <w:gridSpan w:val="7"/>
            <w:shd w:val="clear" w:color="auto" w:fill="CCEEFF"/>
          </w:tcPr>
          <w:p>
            <w:pPr>
              <w:spacing w:after="0"/>
              <w:rPr>
                <w:sz w:val="14"/>
                <w:szCs w:val="14"/>
                <w:color w:val="auto"/>
              </w:rPr>
            </w:pPr>
          </w:p>
        </w:tc>
        <w:tc>
          <w:tcPr>
            <w:tcW w:w="180" w:type="dxa"/>
            <w:vAlign w:val="bottom"/>
            <w:tcBorders>
              <w:top w:val="single" w:sz="8" w:color="CCEEFF"/>
            </w:tcBorders>
            <w:gridSpan w:val="9"/>
            <w:shd w:val="clear" w:color="auto" w:fill="CCEEFF"/>
          </w:tcPr>
          <w:p>
            <w:pPr>
              <w:spacing w:after="0"/>
              <w:rPr>
                <w:sz w:val="14"/>
                <w:szCs w:val="14"/>
                <w:color w:val="auto"/>
              </w:rPr>
            </w:pPr>
          </w:p>
        </w:tc>
      </w:tr>
      <w:tr>
        <w:trPr>
          <w:trHeight w:val="40"/>
        </w:trPr>
        <w:tc>
          <w:tcPr>
            <w:tcW w:w="1080" w:type="dxa"/>
            <w:vAlign w:val="bottom"/>
            <w:shd w:val="clear" w:color="auto" w:fill="CCEE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1080" w:type="dxa"/>
            <w:vAlign w:val="bottom"/>
            <w:shd w:val="clear" w:color="auto" w:fill="0000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10.10.1**</w:t>
            </w:r>
          </w:p>
        </w:tc>
        <w:tc>
          <w:tcPr>
            <w:tcW w:w="10340" w:type="dxa"/>
            <w:vAlign w:val="bottom"/>
            <w:gridSpan w:val="39"/>
          </w:tcPr>
          <w:p>
            <w:pPr>
              <w:spacing w:after="0" w:line="18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First Amendment to Amended and Restated License and Collaboration Agreement by and between the Registrant and Aventis</w:t>
              </w:r>
            </w:hyperlink>
          </w:p>
        </w:tc>
      </w:tr>
      <w:tr>
        <w:trPr>
          <w:trHeight w:val="152"/>
        </w:trPr>
        <w:tc>
          <w:tcPr>
            <w:tcW w:w="1080" w:type="dxa"/>
            <w:vAlign w:val="bottom"/>
          </w:tcPr>
          <w:p>
            <w:pPr>
              <w:spacing w:after="0"/>
              <w:rPr>
                <w:sz w:val="13"/>
                <w:szCs w:val="13"/>
                <w:color w:val="auto"/>
              </w:rPr>
            </w:pPr>
          </w:p>
        </w:tc>
        <w:tc>
          <w:tcPr>
            <w:tcW w:w="10160" w:type="dxa"/>
            <w:vAlign w:val="bottom"/>
            <w:tcBorders>
              <w:top w:val="single" w:sz="8" w:color="0000FF"/>
            </w:tcBorders>
            <w:gridSpan w:val="30"/>
          </w:tcPr>
          <w:p>
            <w:pPr>
              <w:spacing w:after="0" w:line="152"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Pharmaceuticals Inc., dated May 1, 2013. (Incorporated by reference from the Form 10-Q for the Registrant, for the quarter ended June 30,</w:t>
              </w:r>
            </w:hyperlink>
          </w:p>
        </w:tc>
        <w:tc>
          <w:tcPr>
            <w:tcW w:w="180" w:type="dxa"/>
            <w:vAlign w:val="bottom"/>
            <w:gridSpan w:val="9"/>
          </w:tcPr>
          <w:p>
            <w:pPr>
              <w:spacing w:after="0"/>
              <w:rPr>
                <w:sz w:val="13"/>
                <w:szCs w:val="13"/>
                <w:color w:val="auto"/>
              </w:rPr>
            </w:pPr>
          </w:p>
        </w:tc>
      </w:tr>
      <w:tr>
        <w:trPr>
          <w:trHeight w:val="166"/>
        </w:trPr>
        <w:tc>
          <w:tcPr>
            <w:tcW w:w="1080" w:type="dxa"/>
            <w:vAlign w:val="bottom"/>
          </w:tcPr>
          <w:p>
            <w:pPr>
              <w:spacing w:after="0"/>
              <w:rPr>
                <w:sz w:val="14"/>
                <w:szCs w:val="14"/>
                <w:color w:val="auto"/>
              </w:rPr>
            </w:pPr>
          </w:p>
        </w:tc>
        <w:tc>
          <w:tcPr>
            <w:tcW w:w="9920" w:type="dxa"/>
            <w:vAlign w:val="bottom"/>
            <w:tcBorders>
              <w:top w:val="single" w:sz="8" w:color="0000FF"/>
            </w:tcBorders>
            <w:gridSpan w:val="18"/>
          </w:tcPr>
          <w:p>
            <w:pPr>
              <w:spacing w:after="0" w:line="165"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2023, filed August 3, 2023.)</w:t>
              </w:r>
            </w:hyperlink>
          </w:p>
        </w:tc>
        <w:tc>
          <w:tcPr>
            <w:tcW w:w="420" w:type="dxa"/>
            <w:vAlign w:val="bottom"/>
            <w:gridSpan w:val="21"/>
          </w:tcPr>
          <w:p>
            <w:pPr>
              <w:spacing w:after="0"/>
              <w:rPr>
                <w:sz w:val="14"/>
                <w:szCs w:val="14"/>
                <w:color w:val="auto"/>
              </w:rPr>
            </w:pPr>
          </w:p>
        </w:tc>
      </w:tr>
      <w:tr>
        <w:trPr>
          <w:trHeight w:val="30"/>
        </w:trPr>
        <w:tc>
          <w:tcPr>
            <w:tcW w:w="1080" w:type="dxa"/>
            <w:vAlign w:val="bottom"/>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10.10.2*</w:t>
            </w:r>
          </w:p>
        </w:tc>
        <w:tc>
          <w:tcPr>
            <w:tcW w:w="10340" w:type="dxa"/>
            <w:vAlign w:val="bottom"/>
            <w:gridSpan w:val="39"/>
            <w:shd w:val="clear" w:color="auto" w:fill="CCEEFF"/>
          </w:tcPr>
          <w:p>
            <w:pPr>
              <w:spacing w:after="0" w:line="195"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Amendment No. 2 to Amended and Restated License and Collaboration Agreement, dated July 27, 2015 and entered into effective as of</w:t>
              </w:r>
            </w:hyperlink>
          </w:p>
        </w:tc>
      </w:tr>
      <w:tr>
        <w:trPr>
          <w:trHeight w:val="152"/>
        </w:trPr>
        <w:tc>
          <w:tcPr>
            <w:tcW w:w="1080" w:type="dxa"/>
            <w:vAlign w:val="bottom"/>
            <w:tcBorders>
              <w:top w:val="single" w:sz="8" w:color="CCEEFF"/>
            </w:tcBorders>
            <w:shd w:val="clear" w:color="auto" w:fill="CCEEFF"/>
          </w:tcPr>
          <w:p>
            <w:pPr>
              <w:spacing w:after="0"/>
              <w:rPr>
                <w:sz w:val="13"/>
                <w:szCs w:val="13"/>
                <w:color w:val="auto"/>
              </w:rPr>
            </w:pPr>
          </w:p>
        </w:tc>
        <w:tc>
          <w:tcPr>
            <w:tcW w:w="10100" w:type="dxa"/>
            <w:vAlign w:val="bottom"/>
            <w:tcBorders>
              <w:top w:val="single" w:sz="8" w:color="0000FF"/>
            </w:tcBorders>
            <w:gridSpan w:val="27"/>
            <w:shd w:val="clear" w:color="auto" w:fill="CCEEFF"/>
          </w:tcPr>
          <w:p>
            <w:pPr>
              <w:spacing w:after="0" w:line="152"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July 1, 2015, by and between the Registrant and Sanofi Biotechnology SAS, as successor-in-interest to Aventis Pharmaceuticals, Inc.</w:t>
              </w:r>
            </w:hyperlink>
          </w:p>
        </w:tc>
        <w:tc>
          <w:tcPr>
            <w:tcW w:w="240" w:type="dxa"/>
            <w:vAlign w:val="bottom"/>
            <w:tcBorders>
              <w:top w:val="single" w:sz="8" w:color="CCEEFF"/>
            </w:tcBorders>
            <w:gridSpan w:val="12"/>
            <w:shd w:val="clear" w:color="auto" w:fill="CCEEFF"/>
          </w:tcPr>
          <w:p>
            <w:pPr>
              <w:spacing w:after="0"/>
              <w:rPr>
                <w:sz w:val="13"/>
                <w:szCs w:val="13"/>
                <w:color w:val="auto"/>
              </w:rPr>
            </w:pPr>
          </w:p>
        </w:tc>
      </w:tr>
      <w:tr>
        <w:trPr>
          <w:trHeight w:val="185"/>
        </w:trPr>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9620" w:type="dxa"/>
            <w:vAlign w:val="bottom"/>
            <w:tcBorders>
              <w:top w:val="single" w:sz="8" w:color="0000FF"/>
              <w:bottom w:val="single" w:sz="8" w:color="0000FF"/>
              <w:right w:val="single" w:sz="8" w:color="CCEEFF"/>
            </w:tcBorders>
            <w:gridSpan w:val="13"/>
            <w:shd w:val="clear" w:color="auto" w:fill="CCEEFF"/>
          </w:tcPr>
          <w:p>
            <w:pPr>
              <w:spacing w:after="0" w:line="165" w:lineRule="exact"/>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(Incorporated by reference from the Form 10-Q for the Registrant, for the quarter ended September 30, 2015, filed November 4, 2015.)</w:t>
              </w:r>
            </w:hyperlink>
          </w:p>
        </w:tc>
        <w:tc>
          <w:tcPr>
            <w:tcW w:w="24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480" w:type="dxa"/>
            <w:vAlign w:val="bottom"/>
            <w:tcBorders>
              <w:top w:val="single" w:sz="8" w:color="CCEEFF"/>
              <w:bottom w:val="single" w:sz="8" w:color="CCEEFF"/>
            </w:tcBorders>
            <w:gridSpan w:val="24"/>
            <w:shd w:val="clear" w:color="auto" w:fill="CCEEFF"/>
          </w:tcPr>
          <w:p>
            <w:pPr>
              <w:spacing w:after="0"/>
              <w:rPr>
                <w:sz w:val="16"/>
                <w:szCs w:val="16"/>
                <w:color w:val="auto"/>
              </w:rPr>
            </w:pPr>
          </w:p>
        </w:tc>
      </w:tr>
      <w:tr>
        <w:trPr>
          <w:trHeight w:val="187"/>
        </w:trPr>
        <w:tc>
          <w:tcPr>
            <w:tcW w:w="108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10.10.3**</w:t>
            </w:r>
          </w:p>
        </w:tc>
        <w:tc>
          <w:tcPr>
            <w:tcW w:w="10340" w:type="dxa"/>
            <w:vAlign w:val="bottom"/>
            <w:gridSpan w:val="39"/>
          </w:tcPr>
          <w:p>
            <w:pPr>
              <w:spacing w:after="0" w:line="187" w:lineRule="exact"/>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Third Amendment to Amended and Restated License and Collaboration Agreement, dated as of April 5, 2020, and effective as of April 1,</w:t>
              </w:r>
            </w:hyperlink>
          </w:p>
        </w:tc>
      </w:tr>
    </w:tbl>
    <w:p>
      <w:pPr>
        <w:ind w:left="1220" w:right="20"/>
        <w:spacing w:after="0" w:line="230"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2020, by and between the Registrant, Sanofi Biotechnology SAS, and Sanofi. (Incorporated by reference from the Form 10-Q for the</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Registrant, for the quarter ended June 30, 2020, filed August 5, 2020.)</w:t>
        </w:r>
      </w:hyperlink>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364"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9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10.10.4**</w:t>
            </w:r>
          </w:p>
        </w:tc>
        <w:tc>
          <w:tcPr>
            <w:tcW w:w="10260" w:type="dxa"/>
            <w:vAlign w:val="bottom"/>
            <w:gridSpan w:val="39"/>
            <w:shd w:val="clear" w:color="auto" w:fill="CCEEFF"/>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Fourth Amendment to Amended and Restated License and Collaboration Agreement, dated as of October 6, 2021, by and between the</w:t>
              </w:r>
            </w:hyperlink>
          </w:p>
        </w:tc>
      </w:tr>
      <w:tr>
        <w:trPr>
          <w:trHeight w:val="152"/>
        </w:trPr>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9980" w:type="dxa"/>
            <w:vAlign w:val="bottom"/>
            <w:tcBorders>
              <w:top w:val="single" w:sz="8" w:color="0000FF"/>
              <w:bottom w:val="single" w:sz="8" w:color="0000FF"/>
            </w:tcBorders>
            <w:gridSpan w:val="25"/>
            <w:shd w:val="clear" w:color="auto" w:fill="CCEEFF"/>
          </w:tcPr>
          <w:p>
            <w:pPr>
              <w:spacing w:after="0" w:line="152"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Registrant, Sanofi Biotechnology SAS, and Sanofi. (Incorporated by reference from the Form 10-K for the Registrant, for the year ended</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6"/>
        </w:trPr>
        <w:tc>
          <w:tcPr>
            <w:tcW w:w="1080" w:type="dxa"/>
            <w:vAlign w:val="bottom"/>
            <w:shd w:val="clear" w:color="auto" w:fill="CCEEFF"/>
          </w:tcPr>
          <w:p>
            <w:pPr>
              <w:spacing w:after="0"/>
              <w:rPr>
                <w:sz w:val="14"/>
                <w:szCs w:val="14"/>
                <w:color w:val="auto"/>
              </w:rPr>
            </w:pPr>
          </w:p>
        </w:tc>
        <w:tc>
          <w:tcPr>
            <w:tcW w:w="10240" w:type="dxa"/>
            <w:vAlign w:val="bottom"/>
            <w:gridSpan w:val="38"/>
            <w:shd w:val="clear" w:color="auto" w:fill="CCEEFF"/>
          </w:tcPr>
          <w:p>
            <w:pPr>
              <w:spacing w:after="0" w:line="165"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December 31, 2021, filed February 7, 2022.)</w:t>
              </w:r>
            </w:hyperlink>
          </w:p>
        </w:tc>
        <w:tc>
          <w:tcPr>
            <w:tcW w:w="20" w:type="dxa"/>
            <w:vAlign w:val="bottom"/>
            <w:shd w:val="clear" w:color="auto" w:fill="CCEEFF"/>
          </w:tcPr>
          <w:p>
            <w:pPr>
              <w:spacing w:after="0"/>
              <w:rPr>
                <w:sz w:val="14"/>
                <w:szCs w:val="14"/>
                <w:color w:val="auto"/>
              </w:rPr>
            </w:pPr>
          </w:p>
        </w:tc>
      </w:tr>
      <w:tr>
        <w:trPr>
          <w:trHeight w:val="40"/>
        </w:trPr>
        <w:tc>
          <w:tcPr>
            <w:tcW w:w="1080" w:type="dxa"/>
            <w:vAlign w:val="bottom"/>
            <w:shd w:val="clear" w:color="auto" w:fill="CCEEFF"/>
          </w:tcPr>
          <w:p>
            <w:pPr>
              <w:spacing w:after="0"/>
              <w:rPr>
                <w:sz w:val="3"/>
                <w:szCs w:val="3"/>
                <w:color w:val="auto"/>
              </w:rPr>
            </w:pPr>
          </w:p>
        </w:tc>
        <w:tc>
          <w:tcPr>
            <w:tcW w:w="13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3140" w:type="dxa"/>
            <w:vAlign w:val="bottom"/>
            <w:tcBorders>
              <w:left w:val="single" w:sz="8" w:color="0000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10.10.5**</w:t>
            </w:r>
          </w:p>
        </w:tc>
        <w:tc>
          <w:tcPr>
            <w:tcW w:w="10260" w:type="dxa"/>
            <w:vAlign w:val="bottom"/>
            <w:gridSpan w:val="39"/>
          </w:tcPr>
          <w:p>
            <w:pPr>
              <w:spacing w:after="0" w:line="18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Fifth Amendment to Amended and Restated License and Collaboration Agreement, dated as of June 1, 2022, by and between the</w:t>
              </w:r>
            </w:hyperlink>
          </w:p>
        </w:tc>
      </w:tr>
      <w:tr>
        <w:trPr>
          <w:trHeight w:val="152"/>
        </w:trPr>
        <w:tc>
          <w:tcPr>
            <w:tcW w:w="108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3"/>
          </w:tcPr>
          <w:p>
            <w:pPr>
              <w:spacing w:after="0" w:line="152"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Registrant, Sanofi Biotechnology SAS, and Sanofi. (Incorporated by reference from the Form 10-Q for the Registrant, for the quarter</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6"/>
        </w:trPr>
        <w:tc>
          <w:tcPr>
            <w:tcW w:w="1080" w:type="dxa"/>
            <w:vAlign w:val="bottom"/>
          </w:tcPr>
          <w:p>
            <w:pPr>
              <w:spacing w:after="0"/>
              <w:rPr>
                <w:sz w:val="14"/>
                <w:szCs w:val="14"/>
                <w:color w:val="auto"/>
              </w:rPr>
            </w:pPr>
          </w:p>
        </w:tc>
        <w:tc>
          <w:tcPr>
            <w:tcW w:w="10000" w:type="dxa"/>
            <w:vAlign w:val="bottom"/>
            <w:gridSpan w:val="26"/>
          </w:tcPr>
          <w:p>
            <w:pPr>
              <w:spacing w:after="0" w:line="165"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ended June 30, 2022, filed August 3,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0"/>
        </w:trPr>
        <w:tc>
          <w:tcPr>
            <w:tcW w:w="1080" w:type="dxa"/>
            <w:vAlign w:val="bottom"/>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10.11**</w:t>
            </w:r>
          </w:p>
        </w:tc>
        <w:tc>
          <w:tcPr>
            <w:tcW w:w="10260" w:type="dxa"/>
            <w:vAlign w:val="bottom"/>
            <w:gridSpan w:val="39"/>
            <w:shd w:val="clear" w:color="auto" w:fill="CCEEFF"/>
          </w:tcPr>
          <w:p>
            <w:pPr>
              <w:spacing w:after="0" w:line="195"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Praluent Cross License &amp; Commercialization Agreement, dated as of April 5, 2020, and effective as of April 1, 2020, by and between the</w:t>
              </w:r>
            </w:hyperlink>
          </w:p>
        </w:tc>
      </w:tr>
      <w:tr>
        <w:trPr>
          <w:trHeight w:val="152"/>
        </w:trPr>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10040" w:type="dxa"/>
            <w:vAlign w:val="bottom"/>
            <w:tcBorders>
              <w:top w:val="single" w:sz="8" w:color="0000FF"/>
              <w:bottom w:val="single" w:sz="8" w:color="0000FF"/>
            </w:tcBorders>
            <w:gridSpan w:val="28"/>
            <w:shd w:val="clear" w:color="auto" w:fill="CCEEFF"/>
          </w:tcPr>
          <w:p>
            <w:pPr>
              <w:spacing w:after="0" w:line="152"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Registrant and Sanofi Biotechnology SAS. (Incorporated by reference from the Form 10-Q for the Registrant, for the quarter ended June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85"/>
        </w:trPr>
        <w:tc>
          <w:tcPr>
            <w:tcW w:w="108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0000FF"/>
            </w:tcBorders>
            <w:gridSpan w:val="4"/>
            <w:shd w:val="clear" w:color="auto" w:fill="CCEEFF"/>
          </w:tcPr>
          <w:p>
            <w:pPr>
              <w:spacing w:after="0" w:line="165" w:lineRule="exact"/>
              <w:rPr>
                <w:rFonts w:ascii="Times New Roman" w:cs="Times New Roman" w:eastAsia="Times New Roman" w:hAnsi="Times New Roman"/>
                <w:sz w:val="18"/>
                <w:szCs w:val="18"/>
                <w:color w:val="0000FF"/>
                <w:w w:val="98"/>
              </w:rPr>
            </w:pPr>
            <w:hyperlink r:id="rId172">
              <w:r>
                <w:rPr>
                  <w:rFonts w:ascii="Times New Roman" w:cs="Times New Roman" w:eastAsia="Times New Roman" w:hAnsi="Times New Roman"/>
                  <w:sz w:val="18"/>
                  <w:szCs w:val="18"/>
                  <w:color w:val="0000FF"/>
                  <w:w w:val="98"/>
                </w:rPr>
                <w:t>30, 2020, filed August 5, 2020.)</w:t>
              </w:r>
            </w:hyperlink>
          </w:p>
        </w:tc>
        <w:tc>
          <w:tcPr>
            <w:tcW w:w="7800" w:type="dxa"/>
            <w:vAlign w:val="bottom"/>
            <w:tcBorders>
              <w:bottom w:val="single" w:sz="8" w:color="CCEEFF"/>
            </w:tcBorders>
            <w:gridSpan w:val="26"/>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10.12</w:t>
            </w:r>
          </w:p>
        </w:tc>
        <w:tc>
          <w:tcPr>
            <w:tcW w:w="10260" w:type="dxa"/>
            <w:vAlign w:val="bottom"/>
            <w:gridSpan w:val="39"/>
          </w:tcPr>
          <w:p>
            <w:pPr>
              <w:spacing w:after="0" w:line="18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Amended and Restated Investor Agreement, dated as of January 11, 2014, by and among Sanofi, sanofi-aventis US LLC, Aventis</w:t>
              </w:r>
            </w:hyperlink>
          </w:p>
        </w:tc>
      </w:tr>
      <w:tr>
        <w:trPr>
          <w:trHeight w:val="152"/>
        </w:trPr>
        <w:tc>
          <w:tcPr>
            <w:tcW w:w="1080" w:type="dxa"/>
            <w:vAlign w:val="bottom"/>
          </w:tcPr>
          <w:p>
            <w:pPr>
              <w:spacing w:after="0"/>
              <w:rPr>
                <w:sz w:val="13"/>
                <w:szCs w:val="13"/>
                <w:color w:val="auto"/>
              </w:rPr>
            </w:pPr>
          </w:p>
        </w:tc>
        <w:tc>
          <w:tcPr>
            <w:tcW w:w="992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Pharmaceuticals Inc., sanofi-aventis Amerique du Nord, and the Registrant. (Incorporated by reference from the Form 8-K for the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6"/>
        </w:trPr>
        <w:tc>
          <w:tcPr>
            <w:tcW w:w="1080" w:type="dxa"/>
            <w:vAlign w:val="bottom"/>
          </w:tcPr>
          <w:p>
            <w:pPr>
              <w:spacing w:after="0"/>
              <w:rPr>
                <w:sz w:val="14"/>
                <w:szCs w:val="14"/>
                <w:color w:val="auto"/>
              </w:rPr>
            </w:pPr>
          </w:p>
        </w:tc>
        <w:tc>
          <w:tcPr>
            <w:tcW w:w="9880" w:type="dxa"/>
            <w:vAlign w:val="bottom"/>
            <w:tcBorders>
              <w:top w:val="single" w:sz="8" w:color="0000FF"/>
            </w:tcBorders>
            <w:gridSpan w:val="20"/>
          </w:tcPr>
          <w:p>
            <w:pPr>
              <w:spacing w:after="0" w:line="165"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Registrant, filed January 13, 2014.)</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0"/>
        </w:trPr>
        <w:tc>
          <w:tcPr>
            <w:tcW w:w="1080" w:type="dxa"/>
            <w:vAlign w:val="bottom"/>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10.12.1</w:t>
            </w:r>
          </w:p>
        </w:tc>
        <w:tc>
          <w:tcPr>
            <w:tcW w:w="10260" w:type="dxa"/>
            <w:vAlign w:val="bottom"/>
            <w:gridSpan w:val="39"/>
            <w:shd w:val="clear" w:color="auto" w:fill="CCEEFF"/>
          </w:tcPr>
          <w:p>
            <w:pPr>
              <w:spacing w:after="0" w:line="195"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Amendment to the Amended and Restated Investor Agreement, dated as of May 25, 2020, by and among the Registrant, Sanofi, Sanofi-</w:t>
              </w:r>
            </w:hyperlink>
          </w:p>
        </w:tc>
      </w:tr>
      <w:tr>
        <w:trPr>
          <w:trHeight w:val="185"/>
        </w:trPr>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8860" w:type="dxa"/>
            <w:vAlign w:val="bottom"/>
            <w:tcBorders>
              <w:top w:val="single" w:sz="8" w:color="0000FF"/>
              <w:bottom w:val="single" w:sz="8" w:color="0000FF"/>
            </w:tcBorders>
            <w:gridSpan w:val="15"/>
            <w:shd w:val="clear" w:color="auto" w:fill="CCEEFF"/>
          </w:tcPr>
          <w:p>
            <w:pPr>
              <w:spacing w:after="0" w:line="152"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Aventis US LLC, and Aventisub LLC. (Incorporated by reference from the Form 8-K for the Registrant, filed May 29, 2020.)</w:t>
              </w:r>
            </w:hyperlink>
          </w:p>
        </w:tc>
        <w:tc>
          <w:tcPr>
            <w:tcW w:w="128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10.13***</w:t>
            </w:r>
          </w:p>
        </w:tc>
        <w:tc>
          <w:tcPr>
            <w:tcW w:w="10260" w:type="dxa"/>
            <w:vAlign w:val="bottom"/>
            <w:gridSpan w:val="39"/>
          </w:tcPr>
          <w:p>
            <w:pPr>
              <w:spacing w:after="0" w:line="18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Credit Agreement, dated as of December 19, 2022, by and among the Registrant, as a borrower and guarantor, certain direct subsidiaries of</w:t>
              </w:r>
            </w:hyperlink>
          </w:p>
        </w:tc>
      </w:tr>
      <w:tr>
        <w:trPr>
          <w:trHeight w:val="152"/>
        </w:trPr>
        <w:tc>
          <w:tcPr>
            <w:tcW w:w="1080" w:type="dxa"/>
            <w:vAlign w:val="bottom"/>
          </w:tcPr>
          <w:p>
            <w:pPr>
              <w:spacing w:after="0"/>
              <w:rPr>
                <w:sz w:val="13"/>
                <w:szCs w:val="13"/>
                <w:color w:val="auto"/>
              </w:rPr>
            </w:pPr>
          </w:p>
        </w:tc>
        <w:tc>
          <w:tcPr>
            <w:tcW w:w="10180" w:type="dxa"/>
            <w:vAlign w:val="bottom"/>
            <w:tcBorders>
              <w:top w:val="single" w:sz="8" w:color="0000FF"/>
            </w:tcBorders>
            <w:gridSpan w:val="35"/>
          </w:tcPr>
          <w:p>
            <w:pPr>
              <w:spacing w:after="0" w:line="152"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the Registrant, as the initial subsidiary borrowers, the lenders and issuing banks party thereto, and JPMorgan Chase Bank, N.A.,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6"/>
        </w:trPr>
        <w:tc>
          <w:tcPr>
            <w:tcW w:w="1080" w:type="dxa"/>
            <w:vAlign w:val="bottom"/>
          </w:tcPr>
          <w:p>
            <w:pPr>
              <w:spacing w:after="0"/>
              <w:rPr>
                <w:sz w:val="14"/>
                <w:szCs w:val="14"/>
                <w:color w:val="auto"/>
              </w:rPr>
            </w:pPr>
          </w:p>
        </w:tc>
        <w:tc>
          <w:tcPr>
            <w:tcW w:w="10160" w:type="dxa"/>
            <w:vAlign w:val="bottom"/>
            <w:tcBorders>
              <w:top w:val="single" w:sz="8" w:color="0000FF"/>
            </w:tcBorders>
            <w:gridSpan w:val="34"/>
          </w:tcPr>
          <w:p>
            <w:pPr>
              <w:spacing w:after="0" w:line="165"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administrative agent, swingline lender, and an issuing bank. (Incorporated by reference from the Form 8-K for the Registrant, filed</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2"/>
        </w:trPr>
        <w:tc>
          <w:tcPr>
            <w:tcW w:w="108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December 20, 2022.)</w:t>
              </w:r>
            </w:hyperlink>
          </w:p>
        </w:tc>
        <w:tc>
          <w:tcPr>
            <w:tcW w:w="8400" w:type="dxa"/>
            <w:vAlign w:val="bottom"/>
            <w:tcBorders>
              <w:top w:val="single" w:sz="8" w:color="0000FF"/>
            </w:tcBorders>
            <w:gridSpan w:val="2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10.14**</w:t>
            </w:r>
          </w:p>
        </w:tc>
        <w:tc>
          <w:tcPr>
            <w:tcW w:w="10260" w:type="dxa"/>
            <w:vAlign w:val="bottom"/>
            <w:gridSpan w:val="39"/>
            <w:shd w:val="clear" w:color="auto" w:fill="CCEEFF"/>
          </w:tcPr>
          <w:p>
            <w:pPr>
              <w:spacing w:after="0" w:line="195"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Amended and Restated Immuno-oncology License and Collaboration Agreement, dated as of June 1, 2022, by and between the Registrant</w:t>
              </w:r>
            </w:hyperlink>
          </w:p>
        </w:tc>
      </w:tr>
      <w:tr>
        <w:trPr>
          <w:trHeight w:val="152"/>
        </w:trPr>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10200" w:type="dxa"/>
            <w:vAlign w:val="bottom"/>
            <w:tcBorders>
              <w:top w:val="single" w:sz="8" w:color="0000FF"/>
              <w:bottom w:val="single" w:sz="8" w:color="0000FF"/>
            </w:tcBorders>
            <w:gridSpan w:val="36"/>
            <w:shd w:val="clear" w:color="auto" w:fill="CCEEFF"/>
          </w:tcPr>
          <w:p>
            <w:pPr>
              <w:spacing w:after="0" w:line="152"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and Sanofi Biotechnology SAS. (Incorporated by reference from the Form 10-Q for the Registrant, for the quarter ended June 30, 2022,</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65"/>
        </w:trPr>
        <w:tc>
          <w:tcPr>
            <w:tcW w:w="1080" w:type="dxa"/>
            <w:vAlign w:val="bottom"/>
            <w:shd w:val="clear" w:color="auto" w:fill="CCEEFF"/>
          </w:tcPr>
          <w:p>
            <w:pPr>
              <w:spacing w:after="0"/>
              <w:rPr>
                <w:sz w:val="14"/>
                <w:szCs w:val="14"/>
                <w:color w:val="auto"/>
              </w:rPr>
            </w:pPr>
          </w:p>
        </w:tc>
        <w:tc>
          <w:tcPr>
            <w:tcW w:w="10220" w:type="dxa"/>
            <w:vAlign w:val="bottom"/>
            <w:gridSpan w:val="37"/>
            <w:shd w:val="clear" w:color="auto" w:fill="CCEEFF"/>
          </w:tcPr>
          <w:p>
            <w:pPr>
              <w:spacing w:after="0" w:line="165"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filed August 3, 2022.)</w:t>
              </w:r>
            </w:hyperlink>
          </w:p>
        </w:tc>
        <w:tc>
          <w:tcPr>
            <w:tcW w:w="40" w:type="dxa"/>
            <w:vAlign w:val="bottom"/>
            <w:gridSpan w:val="2"/>
            <w:shd w:val="clear" w:color="auto" w:fill="CCEEFF"/>
          </w:tcPr>
          <w:p>
            <w:pPr>
              <w:spacing w:after="0"/>
              <w:rPr>
                <w:sz w:val="14"/>
                <w:szCs w:val="14"/>
                <w:color w:val="auto"/>
              </w:rPr>
            </w:pPr>
          </w:p>
        </w:tc>
      </w:tr>
      <w:tr>
        <w:trPr>
          <w:trHeight w:val="40"/>
        </w:trPr>
        <w:tc>
          <w:tcPr>
            <w:tcW w:w="1080" w:type="dxa"/>
            <w:vAlign w:val="bottom"/>
            <w:shd w:val="clear" w:color="auto" w:fill="CCEEFF"/>
          </w:tcPr>
          <w:p>
            <w:pPr>
              <w:spacing w:after="0"/>
              <w:rPr>
                <w:sz w:val="3"/>
                <w:szCs w:val="3"/>
                <w:color w:val="auto"/>
              </w:rPr>
            </w:pPr>
          </w:p>
        </w:tc>
        <w:tc>
          <w:tcPr>
            <w:tcW w:w="13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314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10.15*</w:t>
            </w:r>
          </w:p>
        </w:tc>
        <w:tc>
          <w:tcPr>
            <w:tcW w:w="10260" w:type="dxa"/>
            <w:vAlign w:val="bottom"/>
            <w:gridSpan w:val="39"/>
          </w:tcPr>
          <w:p>
            <w:pPr>
              <w:spacing w:after="0" w:line="18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Purchase Agreement, dated as of December 30, 2016, by and among BMR-Landmark at Eastview LLC and BMR-Landmark at Eastview</w:t>
              </w:r>
            </w:hyperlink>
          </w:p>
        </w:tc>
      </w:tr>
      <w:tr>
        <w:trPr>
          <w:trHeight w:val="152"/>
        </w:trPr>
        <w:tc>
          <w:tcPr>
            <w:tcW w:w="1080" w:type="dxa"/>
            <w:vAlign w:val="bottom"/>
          </w:tcPr>
          <w:p>
            <w:pPr>
              <w:spacing w:after="0"/>
              <w:rPr>
                <w:sz w:val="13"/>
                <w:szCs w:val="13"/>
                <w:color w:val="auto"/>
              </w:rPr>
            </w:pPr>
          </w:p>
        </w:tc>
        <w:tc>
          <w:tcPr>
            <w:tcW w:w="10060" w:type="dxa"/>
            <w:vAlign w:val="bottom"/>
            <w:tcBorders>
              <w:top w:val="single" w:sz="8" w:color="0000FF"/>
            </w:tcBorders>
            <w:gridSpan w:val="29"/>
          </w:tcPr>
          <w:p>
            <w:pPr>
              <w:spacing w:after="0" w:line="152"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IV LLC and the Registrant. (Incorporated by reference from the Form 10-K for the Registrant, for the year ended December 31, 2016, filed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66"/>
        </w:trPr>
        <w:tc>
          <w:tcPr>
            <w:tcW w:w="1080" w:type="dxa"/>
            <w:vAlign w:val="bottom"/>
          </w:tcPr>
          <w:p>
            <w:pPr>
              <w:spacing w:after="0"/>
              <w:rPr>
                <w:sz w:val="14"/>
                <w:szCs w:val="14"/>
                <w:color w:val="auto"/>
              </w:rPr>
            </w:pPr>
          </w:p>
        </w:tc>
        <w:tc>
          <w:tcPr>
            <w:tcW w:w="9860" w:type="dxa"/>
            <w:vAlign w:val="bottom"/>
            <w:tcBorders>
              <w:top w:val="single" w:sz="8" w:color="0000FF"/>
            </w:tcBorders>
            <w:gridSpan w:val="19"/>
          </w:tcPr>
          <w:p>
            <w:pPr>
              <w:spacing w:after="0" w:line="165"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February 9, 2017.)</w:t>
              </w:r>
            </w:hyperlink>
          </w:p>
        </w:tc>
        <w:tc>
          <w:tcPr>
            <w:tcW w:w="40" w:type="dxa"/>
            <w:vAlign w:val="bottom"/>
            <w:gridSpan w:val="2"/>
          </w:tcPr>
          <w:p>
            <w:pPr>
              <w:spacing w:after="0"/>
              <w:rPr>
                <w:sz w:val="14"/>
                <w:szCs w:val="14"/>
                <w:color w:val="auto"/>
              </w:rPr>
            </w:pPr>
          </w:p>
        </w:tc>
        <w:tc>
          <w:tcPr>
            <w:tcW w:w="12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r>
      <w:tr>
        <w:trPr>
          <w:trHeight w:val="30"/>
        </w:trPr>
        <w:tc>
          <w:tcPr>
            <w:tcW w:w="1080" w:type="dxa"/>
            <w:vAlign w:val="bottom"/>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10.16***</w:t>
            </w:r>
          </w:p>
        </w:tc>
        <w:tc>
          <w:tcPr>
            <w:tcW w:w="10260" w:type="dxa"/>
            <w:vAlign w:val="bottom"/>
            <w:gridSpan w:val="39"/>
            <w:shd w:val="clear" w:color="auto" w:fill="CCEEFF"/>
          </w:tcPr>
          <w:p>
            <w:pPr>
              <w:spacing w:after="0" w:line="195"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Third Amended and Restated Participation Agreement, dated as of March 27, 2023, by and among Old Saw Mill Holdings LLC, as lessee,</w:t>
              </w:r>
            </w:hyperlink>
          </w:p>
        </w:tc>
      </w:tr>
      <w:tr>
        <w:trPr>
          <w:trHeight w:val="152"/>
        </w:trPr>
        <w:tc>
          <w:tcPr>
            <w:tcW w:w="1080" w:type="dxa"/>
            <w:vAlign w:val="bottom"/>
            <w:tcBorders>
              <w:top w:val="single" w:sz="8" w:color="CCEEFF"/>
            </w:tcBorders>
            <w:shd w:val="clear" w:color="auto" w:fill="CCEEFF"/>
          </w:tcPr>
          <w:p>
            <w:pPr>
              <w:spacing w:after="0"/>
              <w:rPr>
                <w:sz w:val="13"/>
                <w:szCs w:val="13"/>
                <w:color w:val="auto"/>
              </w:rPr>
            </w:pPr>
          </w:p>
        </w:tc>
        <w:tc>
          <w:tcPr>
            <w:tcW w:w="10100" w:type="dxa"/>
            <w:vAlign w:val="bottom"/>
            <w:tcBorders>
              <w:top w:val="single" w:sz="8" w:color="0000FF"/>
            </w:tcBorders>
            <w:gridSpan w:val="31"/>
            <w:shd w:val="clear" w:color="auto" w:fill="CCEEFF"/>
          </w:tcPr>
          <w:p>
            <w:pPr>
              <w:spacing w:after="0" w:line="152"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Bank of America, N.A., as administrative agent, BA Leasing BSC, LLC, as lessor, and the rent assignees party thereto from time to time.</w:t>
              </w:r>
            </w:hyperlink>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7"/>
            <w:shd w:val="clear" w:color="auto" w:fill="CCEEFF"/>
          </w:tcPr>
          <w:p>
            <w:pPr>
              <w:spacing w:after="0"/>
              <w:rPr>
                <w:sz w:val="13"/>
                <w:szCs w:val="13"/>
                <w:color w:val="auto"/>
              </w:rPr>
            </w:pPr>
          </w:p>
        </w:tc>
      </w:tr>
      <w:tr>
        <w:trPr>
          <w:trHeight w:val="165"/>
        </w:trPr>
        <w:tc>
          <w:tcPr>
            <w:tcW w:w="1080" w:type="dxa"/>
            <w:vAlign w:val="bottom"/>
            <w:tcBorders>
              <w:top w:val="single" w:sz="8" w:color="CCEEFF"/>
            </w:tcBorders>
            <w:shd w:val="clear" w:color="auto" w:fill="CCEEFF"/>
          </w:tcPr>
          <w:p>
            <w:pPr>
              <w:spacing w:after="0"/>
              <w:rPr>
                <w:sz w:val="14"/>
                <w:szCs w:val="14"/>
                <w:color w:val="auto"/>
              </w:rPr>
            </w:pPr>
          </w:p>
        </w:tc>
        <w:tc>
          <w:tcPr>
            <w:tcW w:w="10220" w:type="dxa"/>
            <w:vAlign w:val="bottom"/>
            <w:tcBorders>
              <w:top w:val="single" w:sz="8" w:color="0000FF"/>
            </w:tcBorders>
            <w:gridSpan w:val="37"/>
            <w:shd w:val="clear" w:color="auto" w:fill="CCEEFF"/>
          </w:tcPr>
          <w:p>
            <w:pPr>
              <w:spacing w:after="0" w:line="165"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(Incorporated by reference from the Form 8-K for the Registrant, filed March 29, 2023.)</w:t>
              </w:r>
            </w:hyperlink>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40"/>
        </w:trPr>
        <w:tc>
          <w:tcPr>
            <w:tcW w:w="1080" w:type="dxa"/>
            <w:vAlign w:val="bottom"/>
            <w:shd w:val="clear" w:color="auto" w:fill="CCEEFF"/>
          </w:tcPr>
          <w:p>
            <w:pPr>
              <w:spacing w:after="0"/>
              <w:rPr>
                <w:sz w:val="3"/>
                <w:szCs w:val="3"/>
                <w:color w:val="auto"/>
              </w:rPr>
            </w:pPr>
          </w:p>
        </w:tc>
        <w:tc>
          <w:tcPr>
            <w:tcW w:w="132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314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10.17***</w:t>
            </w:r>
          </w:p>
        </w:tc>
        <w:tc>
          <w:tcPr>
            <w:tcW w:w="10260" w:type="dxa"/>
            <w:vAlign w:val="bottom"/>
            <w:gridSpan w:val="39"/>
          </w:tcPr>
          <w:p>
            <w:pPr>
              <w:spacing w:after="0" w:line="18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Third Amended and Restated Lease and Remedies Agreement, dated as of March 27, 2023, between Old Saw Mill Holdings LLC, as</w:t>
              </w:r>
            </w:hyperlink>
          </w:p>
        </w:tc>
      </w:tr>
      <w:tr>
        <w:trPr>
          <w:trHeight w:val="152"/>
        </w:trPr>
        <w:tc>
          <w:tcPr>
            <w:tcW w:w="1080" w:type="dxa"/>
            <w:vAlign w:val="bottom"/>
          </w:tcPr>
          <w:p>
            <w:pPr>
              <w:spacing w:after="0"/>
              <w:rPr>
                <w:sz w:val="13"/>
                <w:szCs w:val="13"/>
                <w:color w:val="auto"/>
              </w:rPr>
            </w:pPr>
          </w:p>
        </w:tc>
        <w:tc>
          <w:tcPr>
            <w:tcW w:w="10020" w:type="dxa"/>
            <w:vAlign w:val="bottom"/>
            <w:tcBorders>
              <w:top w:val="single" w:sz="8" w:color="0000FF"/>
            </w:tcBorders>
            <w:gridSpan w:val="27"/>
          </w:tcPr>
          <w:p>
            <w:pPr>
              <w:spacing w:after="0" w:line="152"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lessee, and BA Leasing BSC, LLC, as lessor. (Incorporated by reference from the Form 8-K for the Registrant, filed March 29, 2023.)</w:t>
              </w:r>
            </w:hyperlink>
          </w:p>
        </w:tc>
        <w:tc>
          <w:tcPr>
            <w:tcW w:w="10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3"/>
        </w:trPr>
        <w:tc>
          <w:tcPr>
            <w:tcW w:w="1080" w:type="dxa"/>
            <w:vAlign w:val="bottom"/>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6"/>
        </w:trPr>
        <w:tc>
          <w:tcPr>
            <w:tcW w:w="10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10.18***</w:t>
            </w:r>
          </w:p>
        </w:tc>
        <w:tc>
          <w:tcPr>
            <w:tcW w:w="10260" w:type="dxa"/>
            <w:vAlign w:val="bottom"/>
            <w:gridSpan w:val="39"/>
            <w:shd w:val="clear" w:color="auto" w:fill="CCEEFF"/>
          </w:tcPr>
          <w:p>
            <w:pPr>
              <w:spacing w:after="0" w:line="18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Third Amended and Restated Guaranty, dated as of March 27, 2023, made by the Registrant, Regeneron Healthcare Solutions, Inc., and</w:t>
              </w:r>
            </w:hyperlink>
          </w:p>
        </w:tc>
      </w:tr>
      <w:tr>
        <w:trPr>
          <w:trHeight w:val="185"/>
        </w:trPr>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9680" w:type="dxa"/>
            <w:vAlign w:val="bottom"/>
            <w:tcBorders>
              <w:top w:val="single" w:sz="8" w:color="0000FF"/>
              <w:bottom w:val="single" w:sz="8" w:color="0000FF"/>
            </w:tcBorders>
            <w:gridSpan w:val="18"/>
            <w:shd w:val="clear" w:color="auto" w:fill="CCEEFF"/>
          </w:tcPr>
          <w:p>
            <w:pPr>
              <w:spacing w:after="0" w:line="152"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Regeneron Genetics Center LLC, as guarantors. (Incorporated by reference from the Form 8-K for the Registrant, filed March 29, 2023.)</w:t>
              </w:r>
            </w:hyperlink>
          </w:p>
        </w:tc>
        <w:tc>
          <w:tcPr>
            <w:tcW w:w="440" w:type="dxa"/>
            <w:vAlign w:val="bottom"/>
            <w:tcBorders>
              <w:top w:val="single" w:sz="8" w:color="0000FF"/>
              <w:bottom w:val="single" w:sz="8" w:color="CCEEFF"/>
            </w:tcBorders>
            <w:gridSpan w:val="14"/>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7"/>
            <w:shd w:val="clear" w:color="auto" w:fill="CCEEFF"/>
          </w:tcPr>
          <w:p>
            <w:pPr>
              <w:spacing w:after="0"/>
              <w:rPr>
                <w:sz w:val="16"/>
                <w:szCs w:val="16"/>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10.19**</w:t>
            </w:r>
          </w:p>
        </w:tc>
        <w:tc>
          <w:tcPr>
            <w:tcW w:w="10260" w:type="dxa"/>
            <w:vAlign w:val="bottom"/>
            <w:gridSpan w:val="39"/>
          </w:tcPr>
          <w:p>
            <w:pPr>
              <w:spacing w:after="0" w:line="18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Master Agreement, dated as of April 8, 2019, by and between the Registrant and Alnylam Pharmaceuticals, Inc. (Incorporated by reference</w:t>
              </w:r>
            </w:hyperlink>
          </w:p>
        </w:tc>
      </w:tr>
      <w:tr>
        <w:trPr>
          <w:trHeight w:val="152"/>
        </w:trPr>
        <w:tc>
          <w:tcPr>
            <w:tcW w:w="1080" w:type="dxa"/>
            <w:vAlign w:val="bottom"/>
          </w:tcPr>
          <w:p>
            <w:pPr>
              <w:spacing w:after="0"/>
              <w:rPr>
                <w:sz w:val="13"/>
                <w:szCs w:val="13"/>
                <w:color w:val="auto"/>
              </w:rPr>
            </w:pPr>
          </w:p>
        </w:tc>
        <w:tc>
          <w:tcPr>
            <w:tcW w:w="9860" w:type="dxa"/>
            <w:vAlign w:val="bottom"/>
            <w:tcBorders>
              <w:top w:val="single" w:sz="8" w:color="0000FF"/>
            </w:tcBorders>
            <w:gridSpan w:val="19"/>
          </w:tcPr>
          <w:p>
            <w:pPr>
              <w:spacing w:after="0" w:line="152"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from the Form 10-Q for the Registrant, for the quarter ended June 30, 2019, filed August 6, 2019.)</w:t>
              </w:r>
            </w:hyperlink>
          </w:p>
        </w:tc>
        <w:tc>
          <w:tcPr>
            <w:tcW w:w="40" w:type="dxa"/>
            <w:vAlign w:val="bottom"/>
            <w:gridSpan w:val="2"/>
          </w:tcPr>
          <w:p>
            <w:pPr>
              <w:spacing w:after="0"/>
              <w:rPr>
                <w:sz w:val="13"/>
                <w:szCs w:val="13"/>
                <w:color w:val="auto"/>
              </w:rPr>
            </w:pPr>
          </w:p>
        </w:tc>
        <w:tc>
          <w:tcPr>
            <w:tcW w:w="360" w:type="dxa"/>
            <w:vAlign w:val="bottom"/>
            <w:gridSpan w:val="18"/>
          </w:tcPr>
          <w:p>
            <w:pPr>
              <w:spacing w:after="0"/>
              <w:rPr>
                <w:sz w:val="13"/>
                <w:szCs w:val="13"/>
                <w:color w:val="auto"/>
              </w:rPr>
            </w:pPr>
          </w:p>
        </w:tc>
      </w:tr>
      <w:tr>
        <w:trPr>
          <w:trHeight w:val="33"/>
        </w:trPr>
        <w:tc>
          <w:tcPr>
            <w:tcW w:w="1080" w:type="dxa"/>
            <w:vAlign w:val="bottom"/>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5"/>
        </w:trPr>
        <w:tc>
          <w:tcPr>
            <w:tcW w:w="1080" w:type="dxa"/>
            <w:vAlign w:val="bottom"/>
            <w:tcBorders>
              <w:bottom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10.19.1**</w:t>
            </w:r>
          </w:p>
        </w:tc>
        <w:tc>
          <w:tcPr>
            <w:tcW w:w="7300" w:type="dxa"/>
            <w:vAlign w:val="bottom"/>
            <w:tcBorders>
              <w:bottom w:val="single" w:sz="8" w:color="0000FF"/>
            </w:tcBorders>
            <w:gridSpan w:val="12"/>
            <w:shd w:val="clear" w:color="auto" w:fill="CCEEFF"/>
          </w:tcPr>
          <w:p>
            <w:pPr>
              <w:spacing w:after="0" w:line="186"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 xml:space="preserve">Form of Co-Co Collaboration Agreement (Exhibit B to Master Agreement contained in Exhibit </w:t>
              </w:r>
            </w:hyperlink>
            <w:r>
              <w:rPr>
                <w:rFonts w:ascii="Times New Roman" w:cs="Times New Roman" w:eastAsia="Times New Roman" w:hAnsi="Times New Roman"/>
                <w:sz w:val="18"/>
                <w:szCs w:val="18"/>
                <w:color w:val="0000FF"/>
                <w:w w:val="98"/>
              </w:rPr>
              <w:t>10.19)</w:t>
            </w:r>
            <w:hyperlink r:id="rId182">
              <w:r>
                <w:rPr>
                  <w:rFonts w:ascii="Times New Roman" w:cs="Times New Roman" w:eastAsia="Times New Roman" w:hAnsi="Times New Roman"/>
                  <w:sz w:val="18"/>
                  <w:szCs w:val="18"/>
                  <w:color w:val="0000FF"/>
                  <w:w w:val="98"/>
                </w:rPr>
                <w:t>.</w:t>
              </w:r>
            </w:hyperlink>
          </w:p>
        </w:tc>
        <w:tc>
          <w:tcPr>
            <w:tcW w:w="2960" w:type="dxa"/>
            <w:vAlign w:val="bottom"/>
            <w:tcBorders>
              <w:bottom w:val="single" w:sz="8" w:color="CCEEFF"/>
            </w:tcBorders>
            <w:gridSpan w:val="27"/>
            <w:shd w:val="clear" w:color="auto" w:fill="CCEEFF"/>
          </w:tcPr>
          <w:p>
            <w:pPr>
              <w:spacing w:after="0"/>
              <w:rPr>
                <w:sz w:val="17"/>
                <w:szCs w:val="17"/>
                <w:color w:val="auto"/>
              </w:rPr>
            </w:pPr>
          </w:p>
        </w:tc>
      </w:tr>
      <w:tr>
        <w:trPr>
          <w:trHeight w:val="19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10.19.2**</w:t>
            </w:r>
          </w:p>
        </w:tc>
        <w:tc>
          <w:tcPr>
            <w:tcW w:w="6360" w:type="dxa"/>
            <w:vAlign w:val="bottom"/>
            <w:tcBorders>
              <w:bottom w:val="single" w:sz="8" w:color="0000FF"/>
            </w:tcBorders>
            <w:gridSpan w:val="9"/>
          </w:tcPr>
          <w:p>
            <w:pPr>
              <w:spacing w:after="0" w:line="186" w:lineRule="exact"/>
              <w:rPr>
                <w:rFonts w:ascii="Times New Roman" w:cs="Times New Roman" w:eastAsia="Times New Roman" w:hAnsi="Times New Roman"/>
                <w:sz w:val="18"/>
                <w:szCs w:val="18"/>
                <w:color w:val="0000FF"/>
                <w:w w:val="97"/>
              </w:rPr>
            </w:pPr>
            <w:hyperlink r:id="rId183">
              <w:r>
                <w:rPr>
                  <w:rFonts w:ascii="Times New Roman" w:cs="Times New Roman" w:eastAsia="Times New Roman" w:hAnsi="Times New Roman"/>
                  <w:sz w:val="18"/>
                  <w:szCs w:val="18"/>
                  <w:color w:val="0000FF"/>
                  <w:w w:val="97"/>
                </w:rPr>
                <w:t>Form of License Agreement (Exhibit C to Master Agreement contained in Exhibit 10.19).</w:t>
              </w:r>
            </w:hyperlink>
          </w:p>
        </w:tc>
        <w:tc>
          <w:tcPr>
            <w:tcW w:w="3900" w:type="dxa"/>
            <w:vAlign w:val="bottom"/>
            <w:gridSpan w:val="30"/>
          </w:tcPr>
          <w:p>
            <w:pPr>
              <w:spacing w:after="0"/>
              <w:rPr>
                <w:sz w:val="16"/>
                <w:szCs w:val="16"/>
                <w:color w:val="auto"/>
              </w:rPr>
            </w:pPr>
          </w:p>
        </w:tc>
      </w:tr>
      <w:tr>
        <w:trPr>
          <w:trHeight w:val="195"/>
        </w:trPr>
        <w:tc>
          <w:tcPr>
            <w:tcW w:w="10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10.19.3**</w:t>
            </w:r>
          </w:p>
        </w:tc>
        <w:tc>
          <w:tcPr>
            <w:tcW w:w="10260" w:type="dxa"/>
            <w:vAlign w:val="bottom"/>
            <w:gridSpan w:val="39"/>
            <w:shd w:val="clear" w:color="auto" w:fill="CCEEFF"/>
          </w:tcPr>
          <w:p>
            <w:pPr>
              <w:spacing w:after="0" w:line="195"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No. 1 to Master Agreement, dated as of April 10, 2023, by and between the Registrant and Alnylam Pharmaceuticals, Inc.</w:t>
              </w:r>
            </w:hyperlink>
          </w:p>
        </w:tc>
      </w:tr>
      <w:tr>
        <w:trPr>
          <w:trHeight w:val="185"/>
        </w:trPr>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8900" w:type="dxa"/>
            <w:vAlign w:val="bottom"/>
            <w:tcBorders>
              <w:top w:val="single" w:sz="8" w:color="0000FF"/>
              <w:bottom w:val="single" w:sz="8" w:color="0000FF"/>
            </w:tcBorders>
            <w:gridSpan w:val="16"/>
            <w:shd w:val="clear" w:color="auto" w:fill="CCEEFF"/>
          </w:tcPr>
          <w:p>
            <w:pPr>
              <w:spacing w:after="0" w:line="152"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(Incorporated by reference from the Form 10-Q for the Registrant, for the quarter ended June 30, 2023, filed August 3, 2023.)</w:t>
              </w:r>
            </w:hyperlink>
          </w:p>
        </w:tc>
        <w:tc>
          <w:tcPr>
            <w:tcW w:w="100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360" w:type="dxa"/>
            <w:vAlign w:val="bottom"/>
            <w:tcBorders>
              <w:top w:val="single" w:sz="8" w:color="CCEEFF"/>
              <w:bottom w:val="single" w:sz="8" w:color="CCEEFF"/>
            </w:tcBorders>
            <w:gridSpan w:val="18"/>
            <w:shd w:val="clear" w:color="auto" w:fill="CCEEFF"/>
          </w:tcPr>
          <w:p>
            <w:pPr>
              <w:spacing w:after="0"/>
              <w:rPr>
                <w:sz w:val="16"/>
                <w:szCs w:val="16"/>
                <w:color w:val="auto"/>
              </w:rPr>
            </w:pPr>
          </w:p>
        </w:tc>
      </w:tr>
      <w:tr>
        <w:trPr>
          <w:trHeight w:val="19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21.1</w:t>
            </w:r>
          </w:p>
        </w:tc>
        <w:tc>
          <w:tcPr>
            <w:tcW w:w="2140" w:type="dxa"/>
            <w:vAlign w:val="bottom"/>
            <w:tcBorders>
              <w:bottom w:val="single" w:sz="8" w:color="0000FF"/>
            </w:tcBorders>
            <w:gridSpan w:val="3"/>
          </w:tcPr>
          <w:p>
            <w:pPr>
              <w:spacing w:after="0" w:line="186" w:lineRule="exact"/>
              <w:rPr>
                <w:sz w:val="20"/>
                <w:szCs w:val="20"/>
                <w:color w:val="auto"/>
              </w:rPr>
            </w:pPr>
            <w:r>
              <w:rPr>
                <w:rFonts w:ascii="Times New Roman" w:cs="Times New Roman" w:eastAsia="Times New Roman" w:hAnsi="Times New Roman"/>
                <w:sz w:val="18"/>
                <w:szCs w:val="18"/>
                <w:color w:val="0000FF"/>
                <w:w w:val="97"/>
              </w:rPr>
              <w:t>Subsidiaries of the Registrant.</w:t>
            </w:r>
          </w:p>
        </w:tc>
        <w:tc>
          <w:tcPr>
            <w:tcW w:w="8120" w:type="dxa"/>
            <w:vAlign w:val="bottom"/>
            <w:gridSpan w:val="36"/>
          </w:tcPr>
          <w:p>
            <w:pPr>
              <w:spacing w:after="0"/>
              <w:rPr>
                <w:sz w:val="16"/>
                <w:szCs w:val="16"/>
                <w:color w:val="auto"/>
              </w:rPr>
            </w:pPr>
          </w:p>
        </w:tc>
      </w:tr>
      <w:tr>
        <w:trPr>
          <w:trHeight w:val="215"/>
        </w:trPr>
        <w:tc>
          <w:tcPr>
            <w:tcW w:w="108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23.1</w:t>
            </w:r>
          </w:p>
        </w:tc>
        <w:tc>
          <w:tcPr>
            <w:tcW w:w="6480" w:type="dxa"/>
            <w:vAlign w:val="bottom"/>
            <w:tcBorders>
              <w:bottom w:val="single" w:sz="8" w:color="0000FF"/>
            </w:tcBorders>
            <w:gridSpan w:val="10"/>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Consent of PricewaterhouseCoopers LLP, Independent Registered Public Accounting Firm.</w:t>
            </w:r>
          </w:p>
        </w:tc>
        <w:tc>
          <w:tcPr>
            <w:tcW w:w="3780" w:type="dxa"/>
            <w:vAlign w:val="bottom"/>
            <w:tcBorders>
              <w:bottom w:val="single" w:sz="8" w:color="CCEEFF"/>
            </w:tcBorders>
            <w:gridSpan w:val="29"/>
            <w:shd w:val="clear" w:color="auto" w:fill="CCEEFF"/>
          </w:tcPr>
          <w:p>
            <w:pPr>
              <w:spacing w:after="0"/>
              <w:rPr>
                <w:sz w:val="18"/>
                <w:szCs w:val="18"/>
                <w:color w:val="auto"/>
              </w:rPr>
            </w:pPr>
          </w:p>
        </w:tc>
      </w:tr>
      <w:tr>
        <w:trPr>
          <w:trHeight w:val="185"/>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24.1</w:t>
            </w:r>
          </w:p>
        </w:tc>
        <w:tc>
          <w:tcPr>
            <w:tcW w:w="10260" w:type="dxa"/>
            <w:vAlign w:val="bottom"/>
            <w:gridSpan w:val="39"/>
          </w:tcPr>
          <w:p>
            <w:pPr>
              <w:spacing w:after="0" w:line="186" w:lineRule="exact"/>
              <w:rPr>
                <w:sz w:val="20"/>
                <w:szCs w:val="20"/>
                <w:color w:val="auto"/>
              </w:rPr>
            </w:pPr>
            <w:r>
              <w:rPr>
                <w:rFonts w:ascii="Times New Roman" w:cs="Times New Roman" w:eastAsia="Times New Roman" w:hAnsi="Times New Roman"/>
                <w:sz w:val="18"/>
                <w:szCs w:val="18"/>
                <w:color w:val="0000FF"/>
              </w:rPr>
              <w:t>Power of Attorney (included on the signature page of this Annual Report on Form 10-K).</w:t>
            </w:r>
          </w:p>
        </w:tc>
      </w:tr>
      <w:tr>
        <w:trPr>
          <w:trHeight w:val="30"/>
        </w:trPr>
        <w:tc>
          <w:tcPr>
            <w:tcW w:w="1080" w:type="dxa"/>
            <w:vAlign w:val="bottom"/>
          </w:tcPr>
          <w:p>
            <w:pPr>
              <w:spacing w:after="0"/>
              <w:rPr>
                <w:sz w:val="2"/>
                <w:szCs w:val="2"/>
                <w:color w:val="auto"/>
              </w:rPr>
            </w:pPr>
          </w:p>
        </w:tc>
        <w:tc>
          <w:tcPr>
            <w:tcW w:w="13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3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08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31.1</w:t>
            </w:r>
          </w:p>
        </w:tc>
        <w:tc>
          <w:tcPr>
            <w:tcW w:w="8140" w:type="dxa"/>
            <w:vAlign w:val="bottom"/>
            <w:tcBorders>
              <w:bottom w:val="single" w:sz="8" w:color="0000FF"/>
            </w:tcBorders>
            <w:gridSpan w:val="1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Certification of Principal Executive Officer pursuant to Rule 13a-14(a) under the Securities Exchange Act of 1934.</w:t>
            </w:r>
          </w:p>
        </w:tc>
        <w:tc>
          <w:tcPr>
            <w:tcW w:w="2120" w:type="dxa"/>
            <w:vAlign w:val="bottom"/>
            <w:tcBorders>
              <w:bottom w:val="single" w:sz="8" w:color="CCEEFF"/>
            </w:tcBorders>
            <w:gridSpan w:val="25"/>
            <w:shd w:val="clear" w:color="auto" w:fill="CCEEFF"/>
          </w:tcPr>
          <w:p>
            <w:pPr>
              <w:spacing w:after="0"/>
              <w:rPr>
                <w:sz w:val="18"/>
                <w:szCs w:val="18"/>
                <w:color w:val="auto"/>
              </w:rPr>
            </w:pPr>
          </w:p>
        </w:tc>
      </w:tr>
      <w:tr>
        <w:trPr>
          <w:trHeight w:val="186"/>
        </w:trPr>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31.2</w:t>
            </w:r>
          </w:p>
        </w:tc>
        <w:tc>
          <w:tcPr>
            <w:tcW w:w="10260" w:type="dxa"/>
            <w:vAlign w:val="bottom"/>
            <w:gridSpan w:val="39"/>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 1934.</w:t>
            </w:r>
          </w:p>
        </w:tc>
      </w:tr>
      <w:tr>
        <w:trPr>
          <w:trHeight w:val="20"/>
        </w:trPr>
        <w:tc>
          <w:tcPr>
            <w:tcW w:w="108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 w:lineRule="exact"/>
        <w:rPr>
          <w:sz w:val="20"/>
          <w:szCs w:val="20"/>
          <w:color w:val="auto"/>
        </w:rPr>
      </w:pPr>
    </w:p>
    <w:p>
      <w:pPr>
        <w:ind w:left="1220" w:hanging="1064"/>
        <w:spacing w:after="0"/>
        <w:tabs>
          <w:tab w:leader="none" w:pos="1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-127635</wp:posOffset>
            </wp:positionV>
            <wp:extent cx="6966585" cy="142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5">
                      <a:extLst>
                        <a:ext uri="{28A0092B-C50C-407E-A947-70E740481C1C}"/>
                      </a:extLst>
                    </a:blip>
                    <a:srcRect/>
                    <a:stretch>
                      <a:fillRect/>
                    </a:stretch>
                  </pic:blipFill>
                  <pic:spPr bwMode="auto">
                    <a:xfrm>
                      <a:off x="0" y="0"/>
                      <a:ext cx="6966585" cy="142875"/>
                    </a:xfrm>
                    <a:prstGeom prst="rect">
                      <a:avLst/>
                    </a:prstGeom>
                    <a:noFill/>
                  </pic:spPr>
                </pic:pic>
              </a:graphicData>
            </a:graphic>
          </wp:anchor>
        </w:drawing>
      </w:r>
    </w:p>
    <w:p>
      <w:pPr>
        <w:spacing w:after="0" w:line="4" w:lineRule="exact"/>
        <w:rPr>
          <w:sz w:val="20"/>
          <w:szCs w:val="20"/>
          <w:color w:val="auto"/>
        </w:rPr>
      </w:pPr>
    </w:p>
    <w:p>
      <w:pPr>
        <w:ind w:left="160"/>
        <w:spacing w:after="0"/>
        <w:tabs>
          <w:tab w:leader="none" w:pos="120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u w:val="single" w:color="auto"/>
          <w:color w:val="0000FF"/>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10795</wp:posOffset>
            </wp:positionV>
            <wp:extent cx="6966585" cy="7067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6">
                      <a:extLst>
                        <a:ext uri="{28A0092B-C50C-407E-A947-70E740481C1C}"/>
                      </a:extLst>
                    </a:blip>
                    <a:srcRect/>
                    <a:stretch>
                      <a:fillRect/>
                    </a:stretch>
                  </pic:blipFill>
                  <pic:spPr bwMode="auto">
                    <a:xfrm>
                      <a:off x="0" y="0"/>
                      <a:ext cx="6966585" cy="706755"/>
                    </a:xfrm>
                    <a:prstGeom prst="rect">
                      <a:avLst/>
                    </a:prstGeom>
                    <a:noFill/>
                  </pic:spPr>
                </pic:pic>
              </a:graphicData>
            </a:graphic>
          </wp:anchor>
        </w:drawing>
      </w:r>
    </w:p>
    <w:p>
      <w:pPr>
        <w:jc w:val="both"/>
        <w:ind w:left="1220" w:hanging="1064"/>
        <w:spacing w:after="0" w:line="215" w:lineRule="auto"/>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Consolidated Balance Sheets as of December 31, 2023 and 2022; (ii) the Registrant's Consolidated Statements of Operations and Comprehensive Income for the years ended December 31, 2023, 2022, and 2021; (iii) the Registrant's Consolidated Statements of Stockholders’ Equity for the years ended December 31, 2023, 2022, and 2021; (iv) the Registrant's Consolidated Statements of Cash Flows for the years ended December 31, 2023, 2022, and 2021; and (v) the notes to the Registrant's Consolidated Financial Statements.</w:t>
      </w:r>
    </w:p>
    <w:p>
      <w:pPr>
        <w:ind w:left="5540" w:right="3420" w:hanging="5384"/>
        <w:spacing w:after="0" w:line="773" w:lineRule="auto"/>
        <w:tabs>
          <w:tab w:leader="none" w:pos="123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-85090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00"/>
          </w:cols>
          <w:pgMar w:left="320" w:top="364"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_______</w:t>
      </w:r>
    </w:p>
    <w:p>
      <w:pPr>
        <w:spacing w:after="0" w:line="235" w:lineRule="exact"/>
        <w:rPr>
          <w:sz w:val="20"/>
          <w:szCs w:val="20"/>
          <w:color w:val="auto"/>
        </w:rPr>
      </w:pPr>
    </w:p>
    <w:p>
      <w:pPr>
        <w:ind w:left="1940" w:right="79" w:hanging="132"/>
        <w:spacing w:after="0" w:line="225" w:lineRule="auto"/>
        <w:tabs>
          <w:tab w:leader="none" w:pos="19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Portions of this document have been omitted and filed separately with the SEC pursuant to requests for confidential treatment pursuant to Rule 24b-2.</w:t>
      </w:r>
    </w:p>
    <w:p>
      <w:pPr>
        <w:spacing w:after="0" w:line="4" w:lineRule="exact"/>
        <w:rPr>
          <w:rFonts w:ascii="Times New Roman" w:cs="Times New Roman" w:eastAsia="Times New Roman" w:hAnsi="Times New Roman"/>
          <w:sz w:val="18"/>
          <w:szCs w:val="18"/>
          <w:color w:val="auto"/>
        </w:rPr>
      </w:pPr>
    </w:p>
    <w:p>
      <w:pPr>
        <w:jc w:val="both"/>
        <w:ind w:left="1940" w:right="79" w:hanging="220"/>
        <w:spacing w:after="0" w:line="219" w:lineRule="auto"/>
        <w:tabs>
          <w:tab w:leader="none" w:pos="19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Certain confidential portions of this Exhibit were omitted in accordance with Item 601(b)(10) of Regulation S-K. The Registrant agrees to furnish supplementally a copy of all confidential portions of this Exhibit that were omitted to the SEC upon its request.</w:t>
      </w:r>
    </w:p>
    <w:p>
      <w:pPr>
        <w:spacing w:after="0" w:line="5" w:lineRule="exact"/>
        <w:rPr>
          <w:rFonts w:ascii="Times New Roman" w:cs="Times New Roman" w:eastAsia="Times New Roman" w:hAnsi="Times New Roman"/>
          <w:sz w:val="18"/>
          <w:szCs w:val="18"/>
          <w:color w:val="auto"/>
        </w:rPr>
      </w:pPr>
    </w:p>
    <w:p>
      <w:pPr>
        <w:jc w:val="both"/>
        <w:ind w:left="1940" w:right="79" w:hanging="308"/>
        <w:spacing w:after="0" w:line="219" w:lineRule="auto"/>
        <w:tabs>
          <w:tab w:leader="none" w:pos="19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Certain of the exhibits and/or schedules to this Exhibit have been omitted in accordance with Item 601(a)(5) of Regulation S-K. The Registrant agrees to furnish supplementally a copy of all omitted exhibits and schedules of this Exhibit to the SEC upon its request.</w:t>
      </w:r>
    </w:p>
    <w:p>
      <w:pPr>
        <w:spacing w:after="0" w:line="5" w:lineRule="exact"/>
        <w:rPr>
          <w:sz w:val="20"/>
          <w:szCs w:val="20"/>
          <w:color w:val="auto"/>
        </w:rPr>
      </w:pPr>
    </w:p>
    <w:p>
      <w:pPr>
        <w:ind w:left="1940" w:hanging="143"/>
        <w:spacing w:after="0"/>
        <w:tabs>
          <w:tab w:leader="none" w:pos="19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Indicates a management contract or compensatory plan or arrangement.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REGENERON PHARMACEUTICALS, INC.</w:t>
            </w:r>
          </w:p>
        </w:tc>
      </w:tr>
      <w:tr>
        <w:trPr>
          <w:trHeight w:val="47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5, 2024</w:t>
            </w: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LEONARD S. SCHLEIFER</w:t>
            </w:r>
          </w:p>
        </w:tc>
      </w:tr>
      <w:tr>
        <w:trPr>
          <w:trHeight w:val="20"/>
        </w:trPr>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0"/>
        </w:trPr>
        <w:tc>
          <w:tcPr>
            <w:tcW w:w="5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S. Schleifer, M.D., Ph.D.</w:t>
            </w:r>
          </w:p>
        </w:tc>
      </w:tr>
      <w:tr>
        <w:trPr>
          <w:trHeight w:val="231"/>
        </w:trPr>
        <w:tc>
          <w:tcPr>
            <w:tcW w:w="5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Leonard S. Schleifer and Christopher Fenimore,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140" w:type="dxa"/>
            <w:vAlign w:val="bottom"/>
            <w:gridSpan w:val="3"/>
          </w:tcPr>
          <w:p>
            <w:pPr>
              <w:ind w:left="20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140" w:type="dxa"/>
            <w:vAlign w:val="bottom"/>
            <w:gridSpan w:val="3"/>
          </w:tcPr>
          <w:p>
            <w:pPr>
              <w:ind w:left="300"/>
              <w:spacing w:after="0" w:line="192" w:lineRule="exact"/>
              <w:rPr>
                <w:sz w:val="20"/>
                <w:szCs w:val="20"/>
                <w:color w:val="auto"/>
              </w:rPr>
            </w:pPr>
            <w:r>
              <w:rPr>
                <w:rFonts w:ascii="Times New Roman" w:cs="Times New Roman" w:eastAsia="Times New Roman" w:hAnsi="Times New Roman"/>
                <w:sz w:val="18"/>
                <w:szCs w:val="18"/>
                <w:i w:val="1"/>
                <w:iCs w:val="1"/>
                <w:color w:val="auto"/>
              </w:rPr>
              <w:t>Board Co-Chair, President and Chief Executive</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LEONARD S. SCHLEIFER</w:t>
            </w:r>
          </w:p>
        </w:tc>
        <w:tc>
          <w:tcPr>
            <w:tcW w:w="414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Officer (Principal Executive Officer)</w:t>
            </w: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Executive Vice President, Finance and Chief</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4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ROBERT E. LANDRY</w:t>
            </w:r>
          </w:p>
        </w:tc>
        <w:tc>
          <w:tcPr>
            <w:tcW w:w="414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Financial Officer (Principal Financial Officer)</w:t>
            </w: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Robert E. Landry</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Senior Vice President, Controller (Principal</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4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CHRISTOPHER FENIMORE</w:t>
            </w:r>
          </w:p>
        </w:tc>
        <w:tc>
          <w:tcPr>
            <w:tcW w:w="414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Christopher Fenimore</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Board Co-Chair, President and Chief Scientific</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4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GEORGE D. YANCOPOULOS</w:t>
            </w:r>
          </w:p>
        </w:tc>
        <w:tc>
          <w:tcPr>
            <w:tcW w:w="4140" w:type="dxa"/>
            <w:vAlign w:val="bottom"/>
            <w:gridSpan w:val="3"/>
          </w:tcPr>
          <w:p>
            <w:pPr>
              <w:ind w:left="30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George D. Yancopoulos, M.D., Ph.D.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BONNIE L. BASSLER</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Bonnie L. Bassler, Ph.D.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MICHAEL S. BROWN</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Michael S. Brown, M.D.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N. ANTHONY COLES</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 Anthony Coles, M.D.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JOSEPH L. GOLDSTEIN</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Joseph L. Goldstein, M.D.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KATHRYN GUARINI</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Kathryn Guarini, Ph.D.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CHRISTINE A. POON</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Christine A. Poon</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ARTHUR F. RYAN</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Arthur F. Ryan</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DAVID P. SCHENKEIN</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David P. Schenkein, M.D.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GEORGE L. SING</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George L. Sing</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CRAIG B. THOMPSON</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Craig B. Thompson, M.D.</w:t>
            </w:r>
          </w:p>
        </w:tc>
        <w:tc>
          <w:tcPr>
            <w:tcW w:w="41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HUDA Y. ZOGHBI</w:t>
            </w:r>
          </w:p>
        </w:tc>
        <w:tc>
          <w:tcPr>
            <w:tcW w:w="4140" w:type="dxa"/>
            <w:vAlign w:val="bottom"/>
            <w:gridSpan w:val="3"/>
            <w:vMerge w:val="continue"/>
          </w:tcPr>
          <w:p>
            <w:pPr>
              <w:spacing w:after="0"/>
              <w:rPr>
                <w:sz w:val="20"/>
                <w:szCs w:val="20"/>
                <w:color w:val="auto"/>
              </w:rPr>
            </w:pPr>
          </w:p>
        </w:tc>
        <w:tc>
          <w:tcPr>
            <w:tcW w:w="25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5, 2024</w:t>
            </w:r>
          </w:p>
        </w:tc>
        <w:tc>
          <w:tcPr>
            <w:tcW w:w="0" w:type="dxa"/>
            <w:vAlign w:val="bottom"/>
          </w:tcPr>
          <w:p>
            <w:pPr>
              <w:spacing w:after="0"/>
              <w:rPr>
                <w:sz w:val="1"/>
                <w:szCs w:val="1"/>
                <w:color w:val="auto"/>
              </w:rPr>
            </w:pPr>
          </w:p>
        </w:tc>
      </w:tr>
      <w:tr>
        <w:trPr>
          <w:trHeight w:val="225"/>
        </w:trPr>
        <w:tc>
          <w:tcPr>
            <w:tcW w:w="860" w:type="dxa"/>
            <w:vAlign w:val="bottom"/>
          </w:tcPr>
          <w:p>
            <w:pPr>
              <w:spacing w:after="0"/>
              <w:rPr>
                <w:sz w:val="19"/>
                <w:szCs w:val="19"/>
                <w:color w:val="auto"/>
              </w:rPr>
            </w:pPr>
          </w:p>
        </w:tc>
        <w:tc>
          <w:tcPr>
            <w:tcW w:w="37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Huda Y. Zoghbi, M.D.</w:t>
            </w: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1"/>
        </w:trPr>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Page Numbers</w:t>
            </w:r>
          </w:p>
        </w:tc>
      </w:tr>
      <w:tr>
        <w:trPr>
          <w:trHeight w:val="215"/>
        </w:trPr>
        <w:tc>
          <w:tcPr>
            <w:tcW w:w="20" w:type="dxa"/>
            <w:vAlign w:val="bottom"/>
            <w:shd w:val="clear" w:color="auto" w:fill="CCEEFF"/>
          </w:tcPr>
          <w:p>
            <w:pPr>
              <w:spacing w:after="0"/>
              <w:rPr>
                <w:sz w:val="18"/>
                <w:szCs w:val="18"/>
                <w:color w:val="auto"/>
              </w:rPr>
            </w:pPr>
          </w:p>
        </w:tc>
        <w:tc>
          <w:tcPr>
            <w:tcW w:w="8660" w:type="dxa"/>
            <w:vAlign w:val="bottom"/>
            <w:gridSpan w:val="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center"/>
              <w:ind w:right="420"/>
              <w:spacing w:after="0" w:line="195" w:lineRule="exact"/>
              <w:rPr>
                <w:sz w:val="20"/>
                <w:szCs w:val="20"/>
                <w:color w:val="auto"/>
              </w:rPr>
            </w:pPr>
            <w:r>
              <w:rPr>
                <w:rFonts w:ascii="Times New Roman" w:cs="Times New Roman" w:eastAsia="Times New Roman" w:hAnsi="Times New Roman"/>
                <w:sz w:val="18"/>
                <w:szCs w:val="18"/>
                <w:color w:val="0000FF"/>
                <w:w w:val="95"/>
              </w:rPr>
              <w:t>F-2</w:t>
            </w:r>
          </w:p>
        </w:tc>
        <w:tc>
          <w:tcPr>
            <w:tcW w:w="160" w:type="dxa"/>
            <w:vAlign w:val="bottom"/>
            <w:shd w:val="clear" w:color="auto" w:fill="CCEEFF"/>
          </w:tcPr>
          <w:p>
            <w:pPr>
              <w:spacing w:after="0"/>
              <w:rPr>
                <w:sz w:val="18"/>
                <w:szCs w:val="18"/>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4560" w:type="dxa"/>
            <w:vAlign w:val="bottom"/>
            <w:tcBorders>
              <w:top w:val="single" w:sz="8" w:color="0000FF"/>
              <w:bottom w:val="single" w:sz="8" w:color="0000FF"/>
            </w:tcBorders>
            <w:gridSpan w:val="3"/>
          </w:tcPr>
          <w:p>
            <w:pPr>
              <w:spacing w:after="0" w:line="186" w:lineRule="exact"/>
              <w:rPr>
                <w:sz w:val="20"/>
                <w:szCs w:val="20"/>
                <w:color w:val="auto"/>
              </w:rPr>
            </w:pPr>
            <w:r>
              <w:rPr>
                <w:rFonts w:ascii="Times New Roman" w:cs="Times New Roman" w:eastAsia="Times New Roman" w:hAnsi="Times New Roman"/>
                <w:sz w:val="18"/>
                <w:szCs w:val="18"/>
                <w:color w:val="0000FF"/>
                <w:w w:val="97"/>
              </w:rPr>
              <w:t>Consolidated Balance Sheets as of December 31, 2023 and 2022</w:t>
            </w:r>
          </w:p>
        </w:tc>
        <w:tc>
          <w:tcPr>
            <w:tcW w:w="860" w:type="dxa"/>
            <w:vAlign w:val="bottom"/>
            <w:tcBorders>
              <w:top w:val="single" w:sz="8" w:color="0000FF"/>
            </w:tcBorders>
          </w:tcPr>
          <w:p>
            <w:pPr>
              <w:spacing w:after="0"/>
              <w:rPr>
                <w:sz w:val="16"/>
                <w:szCs w:val="16"/>
                <w:color w:val="auto"/>
              </w:rPr>
            </w:pPr>
          </w:p>
        </w:tc>
        <w:tc>
          <w:tcPr>
            <w:tcW w:w="3240" w:type="dxa"/>
            <w:vAlign w:val="bottom"/>
            <w:tcBorders>
              <w:top w:val="single" w:sz="8" w:color="CCEEFF"/>
            </w:tcBorders>
            <w:gridSpan w:val="4"/>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40" w:type="dxa"/>
            <w:vAlign w:val="bottom"/>
            <w:tcBorders>
              <w:top w:val="single" w:sz="8" w:color="0000FF"/>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5"/>
              </w:rPr>
              <w:t>F-4</w:t>
            </w:r>
          </w:p>
        </w:tc>
        <w:tc>
          <w:tcPr>
            <w:tcW w:w="580" w:type="dxa"/>
            <w:vAlign w:val="bottom"/>
            <w:tcBorders>
              <w:top w:val="single" w:sz="8" w:color="CCEEFF"/>
            </w:tcBorders>
            <w:gridSpan w:val="3"/>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8660" w:type="dxa"/>
            <w:vAlign w:val="bottom"/>
            <w:gridSpan w:val="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 for the Years Ended December 31, 2023, 2022,</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center"/>
              <w:ind w:right="580"/>
              <w:spacing w:after="0" w:line="195" w:lineRule="exact"/>
              <w:rPr>
                <w:sz w:val="20"/>
                <w:szCs w:val="20"/>
                <w:color w:val="auto"/>
              </w:rPr>
            </w:pPr>
            <w:r>
              <w:rPr>
                <w:rFonts w:ascii="Times New Roman" w:cs="Times New Roman" w:eastAsia="Times New Roman" w:hAnsi="Times New Roman"/>
                <w:sz w:val="18"/>
                <w:szCs w:val="18"/>
                <w:color w:val="0000FF"/>
                <w:w w:val="95"/>
              </w:rPr>
              <w:t>F-5</w:t>
            </w:r>
          </w:p>
        </w:tc>
      </w:tr>
      <w:tr>
        <w:trPr>
          <w:trHeight w:val="185"/>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0000FF"/>
              <w:bottom w:val="single" w:sz="8" w:color="0000FF"/>
            </w:tcBorders>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0000FF"/>
                <w:w w:val="96"/>
              </w:rPr>
              <w:t>and 2021</w:t>
            </w:r>
          </w:p>
        </w:tc>
        <w:tc>
          <w:tcPr>
            <w:tcW w:w="748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7520" w:type="dxa"/>
            <w:vAlign w:val="bottom"/>
            <w:tcBorders>
              <w:bottom w:val="single" w:sz="8" w:color="0000FF"/>
            </w:tcBorders>
            <w:gridSpan w:val="6"/>
          </w:tcPr>
          <w:p>
            <w:pPr>
              <w:spacing w:after="0" w:line="186" w:lineRule="exact"/>
              <w:rPr>
                <w:sz w:val="20"/>
                <w:szCs w:val="20"/>
                <w:color w:val="auto"/>
              </w:rPr>
            </w:pPr>
            <w:r>
              <w:rPr>
                <w:rFonts w:ascii="Times New Roman" w:cs="Times New Roman" w:eastAsia="Times New Roman" w:hAnsi="Times New Roman"/>
                <w:sz w:val="18"/>
                <w:szCs w:val="18"/>
                <w:color w:val="0000FF"/>
                <w:w w:val="97"/>
              </w:rPr>
              <w:t>Consolidated Statements of Stockholders' Equity for the Years Ended December 31, 2023, 2022, and 2021</w:t>
            </w:r>
          </w:p>
        </w:tc>
        <w:tc>
          <w:tcPr>
            <w:tcW w:w="11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0000FF"/>
            </w:tcBorders>
          </w:tcPr>
          <w:p>
            <w:pPr>
              <w:jc w:val="center"/>
              <w:spacing w:after="0" w:line="186" w:lineRule="exact"/>
              <w:rPr>
                <w:sz w:val="20"/>
                <w:szCs w:val="20"/>
                <w:color w:val="auto"/>
              </w:rPr>
            </w:pPr>
            <w:r>
              <w:rPr>
                <w:rFonts w:ascii="Times New Roman" w:cs="Times New Roman" w:eastAsia="Times New Roman" w:hAnsi="Times New Roman"/>
                <w:sz w:val="18"/>
                <w:szCs w:val="18"/>
                <w:color w:val="0000FF"/>
                <w:w w:val="95"/>
              </w:rPr>
              <w:t>F-6</w:t>
            </w:r>
          </w:p>
        </w:tc>
        <w:tc>
          <w:tcPr>
            <w:tcW w:w="580" w:type="dxa"/>
            <w:vAlign w:val="bottom"/>
            <w:gridSpan w:val="3"/>
          </w:tcPr>
          <w:p>
            <w:pPr>
              <w:spacing w:after="0"/>
              <w:rPr>
                <w:sz w:val="16"/>
                <w:szCs w:val="16"/>
                <w:color w:val="auto"/>
              </w:rPr>
            </w:pPr>
          </w:p>
        </w:tc>
      </w:tr>
      <w:tr>
        <w:trPr>
          <w:trHeight w:val="215"/>
        </w:trPr>
        <w:tc>
          <w:tcPr>
            <w:tcW w:w="20" w:type="dxa"/>
            <w:vAlign w:val="bottom"/>
            <w:tcBorders>
              <w:bottom w:val="single" w:sz="8" w:color="CCEEFF"/>
            </w:tcBorders>
            <w:shd w:val="clear" w:color="auto" w:fill="CCEEFF"/>
          </w:tcPr>
          <w:p>
            <w:pPr>
              <w:spacing w:after="0"/>
              <w:rPr>
                <w:sz w:val="18"/>
                <w:szCs w:val="18"/>
                <w:color w:val="auto"/>
              </w:rPr>
            </w:pPr>
          </w:p>
        </w:tc>
        <w:tc>
          <w:tcPr>
            <w:tcW w:w="6880" w:type="dxa"/>
            <w:vAlign w:val="bottom"/>
            <w:tcBorders>
              <w:bottom w:val="single" w:sz="8" w:color="0000FF"/>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Consolidated Statements of Cash Flows for the Years Ended December 31, 2023, 2022, and 2021</w:t>
            </w:r>
          </w:p>
        </w:tc>
        <w:tc>
          <w:tcPr>
            <w:tcW w:w="1780" w:type="dxa"/>
            <w:vAlign w:val="bottom"/>
            <w:tcBorders>
              <w:bottom w:val="single" w:sz="8" w:color="CCEEFF"/>
            </w:tcBorders>
            <w:gridSpan w:val="3"/>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0000FF"/>
              <w:right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0000FF"/>
                <w:w w:val="95"/>
              </w:rPr>
              <w:t>F-8</w:t>
            </w:r>
          </w:p>
        </w:tc>
        <w:tc>
          <w:tcPr>
            <w:tcW w:w="580" w:type="dxa"/>
            <w:vAlign w:val="bottom"/>
            <w:tcBorders>
              <w:bottom w:val="single" w:sz="8" w:color="CCEEFF"/>
            </w:tcBorders>
            <w:gridSpan w:val="3"/>
            <w:shd w:val="clear" w:color="auto" w:fill="CCEEFF"/>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8660" w:type="dxa"/>
            <w:vAlign w:val="bottom"/>
            <w:gridSpan w:val="8"/>
          </w:tcPr>
          <w:p>
            <w:pPr>
              <w:spacing w:after="0" w:line="18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260" w:type="dxa"/>
            <w:vAlign w:val="bottom"/>
            <w:gridSpan w:val="7"/>
          </w:tcPr>
          <w:p>
            <w:pPr>
              <w:jc w:val="center"/>
              <w:ind w:right="140"/>
              <w:spacing w:after="0" w:line="186" w:lineRule="exact"/>
              <w:rPr>
                <w:sz w:val="20"/>
                <w:szCs w:val="20"/>
                <w:color w:val="auto"/>
              </w:rPr>
            </w:pPr>
            <w:r>
              <w:rPr>
                <w:rFonts w:ascii="Times New Roman" w:cs="Times New Roman" w:eastAsia="Times New Roman" w:hAnsi="Times New Roman"/>
                <w:sz w:val="18"/>
                <w:szCs w:val="18"/>
                <w:color w:val="0000FF"/>
                <w:w w:val="97"/>
              </w:rPr>
              <w:t>F-9 to F-46</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00"/>
          </w:cols>
          <w:pgMar w:left="320" w:top="364" w:right="9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Regeneron Pharmaceuticals, Inc.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Regeneron Pharmaceuticals, Inc. and its subsidiaries (the "Company") as of December 31, 2023 and 2022, and the related consolidated statements of operations and comprehensive income, of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an Uncertain Tax Position</w:t>
      </w:r>
    </w:p>
    <w:p>
      <w:pPr>
        <w:spacing w:after="0" w:line="21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described in Notes 1 and 15 to the consolidated financial statements, the Company's reserves for uncertain tax positions were $696.4 million as of December 31, 2023. A reserve for an individual uncertain tax position represents a portion of the consolidated balance. The Company recognizes the financial statement effects of a tax position when management's assessment is that there is more than a 50% probability that the position will be sustained upon examination by a taxing authority based upon its technical merits. Uncertain tax positions are recorded based upon certain recognition and measurement criteria. Management re-evaluates uncertain tax positions and considers various factors, including, but not limited to, changes in tax law, the measurement of tax positions taken or expected to be taken in tax returns, and changes in facts or circumstances related to a tax position. The Company adjusts the amount of the liability to reflect any subsequent changes in the relevant facts and circumstances surrounding the uncertain tax positions.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the reserve for an uncertain tax position is a critical audit matter are</w:t>
      </w:r>
    </w:p>
    <w:p>
      <w:pPr>
        <w:spacing w:after="0" w:line="23" w:lineRule="exact"/>
        <w:rPr>
          <w:sz w:val="20"/>
          <w:szCs w:val="20"/>
          <w:color w:val="auto"/>
        </w:rPr>
      </w:pPr>
    </w:p>
    <w:p>
      <w:pPr>
        <w:jc w:val="both"/>
        <w:ind w:firstLine="6"/>
        <w:spacing w:after="0" w:line="230" w:lineRule="auto"/>
        <w:tabs>
          <w:tab w:leader="none" w:pos="2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judgment by management when determining the reserve for the uncertain tax position; (ii) a high degree of auditor judgment, subjectivity and effort in performing procedures and evaluating management's determination of the reserve for the uncertain tax position; (iii) the assessment and evaluation of audit evidence available to support the reserve for the uncertain tax position is complex, and (iv) the audit effort involved the use of professionals with specialized skill and knowledge.</w:t>
      </w:r>
    </w:p>
    <w:p>
      <w:pPr>
        <w:spacing w:after="0" w:line="20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recognition of reserves for uncertain tax positions. These procedures also included, among others, (i) testing the information used in the calculation of the reserve for the individual uncertain tax position, such as international and federal filing positions, and the related final tax returns; (ii) testing the calculation of the reserve for the uncertain tax position; and (iii) evaluating management's assessment of the technical merits of tax positions and estimates of the amount of tax benefit expected to be sustained, as well as the likelihood of the possible outcome. Professionals with specialized skills and knowledge were used to assist in evaluating the technical merits and the tax benefit expected to be sustained and the application of relevant tax laws.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2024</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1989.</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8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569"/>
        </w:trPr>
        <w:tc>
          <w:tcPr>
            <w:tcW w:w="12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6860" w:type="dxa"/>
            <w:vAlign w:val="bottom"/>
          </w:tcPr>
          <w:p>
            <w:pPr>
              <w:jc w:val="center"/>
              <w:ind w:left="2032"/>
              <w:spacing w:after="0"/>
              <w:rPr>
                <w:sz w:val="20"/>
                <w:szCs w:val="20"/>
                <w:color w:val="auto"/>
              </w:rPr>
            </w:pPr>
            <w:r>
              <w:rPr>
                <w:rFonts w:ascii="Times New Roman" w:cs="Times New Roman" w:eastAsia="Times New Roman" w:hAnsi="Times New Roman"/>
                <w:sz w:val="18"/>
                <w:szCs w:val="18"/>
                <w:b w:val="1"/>
                <w:bCs w:val="1"/>
                <w:color w:val="auto"/>
                <w:w w:val="98"/>
              </w:rPr>
              <w:t>REGENERON PHARMACEUTICALS, INC.</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60" w:type="dxa"/>
            <w:vAlign w:val="bottom"/>
          </w:tcPr>
          <w:p>
            <w:pPr>
              <w:jc w:val="center"/>
              <w:ind w:left="203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5"/>
        </w:trPr>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60" w:type="dxa"/>
            <w:vAlign w:val="bottom"/>
          </w:tcPr>
          <w:p>
            <w:pPr>
              <w:jc w:val="center"/>
              <w:ind w:left="2012"/>
              <w:spacing w:after="0"/>
              <w:rPr>
                <w:sz w:val="20"/>
                <w:szCs w:val="20"/>
                <w:color w:val="auto"/>
              </w:rPr>
            </w:pPr>
            <w:r>
              <w:rPr>
                <w:rFonts w:ascii="Times New Roman" w:cs="Times New Roman" w:eastAsia="Times New Roman" w:hAnsi="Times New Roman"/>
                <w:sz w:val="18"/>
                <w:szCs w:val="18"/>
                <w:b w:val="1"/>
                <w:bCs w:val="1"/>
                <w:i w:val="1"/>
                <w:iCs w:val="1"/>
                <w:color w:val="auto"/>
                <w:w w:val="98"/>
              </w:rPr>
              <w:t>(In millions, except per share data)</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43"/>
        </w:trPr>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18"/>
        </w:trPr>
        <w:tc>
          <w:tcPr>
            <w:tcW w:w="120" w:type="dxa"/>
            <w:vAlign w:val="bottom"/>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68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5"/>
        </w:trPr>
        <w:tc>
          <w:tcPr>
            <w:tcW w:w="120" w:type="dxa"/>
            <w:vAlign w:val="bottom"/>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60" w:type="dxa"/>
            <w:vAlign w:val="bottom"/>
            <w:shd w:val="clear" w:color="auto" w:fill="CCEEFF"/>
          </w:tcPr>
          <w:p>
            <w:pPr>
              <w:jc w:val="center"/>
              <w:ind w:left="2032"/>
              <w:spacing w:after="0" w:line="205"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3,105.9</w:t>
            </w: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8,114.8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4,636.4</w:t>
            </w:r>
          </w:p>
        </w:tc>
      </w:tr>
      <w:tr>
        <w:trPr>
          <w:trHeight w:val="225"/>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5,328.7</w:t>
            </w: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2,401.9</w:t>
            </w:r>
          </w:p>
        </w:tc>
      </w:tr>
      <w:tr>
        <w:trPr>
          <w:trHeight w:val="225"/>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r>
      <w:tr>
        <w:trPr>
          <w:trHeight w:val="219"/>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15,884.1</w:t>
            </w:r>
          </w:p>
        </w:tc>
      </w:tr>
      <w:tr>
        <w:trPr>
          <w:trHeight w:val="212"/>
        </w:trPr>
        <w:tc>
          <w:tcPr>
            <w:tcW w:w="120" w:type="dxa"/>
            <w:vAlign w:val="bottom"/>
          </w:tcPr>
          <w:p>
            <w:pPr>
              <w:spacing w:after="0"/>
              <w:rPr>
                <w:sz w:val="18"/>
                <w:szCs w:val="18"/>
                <w:color w:val="auto"/>
              </w:rPr>
            </w:pPr>
          </w:p>
        </w:tc>
        <w:tc>
          <w:tcPr>
            <w:tcW w:w="78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6,591.8</w:t>
            </w:r>
          </w:p>
        </w:tc>
      </w:tr>
      <w:tr>
        <w:trPr>
          <w:trHeight w:val="225"/>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3,763.0</w:t>
            </w: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w:t>
            </w:r>
          </w:p>
        </w:tc>
      </w:tr>
      <w:tr>
        <w:trPr>
          <w:trHeight w:val="225"/>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1,723.7</w:t>
            </w:r>
          </w:p>
        </w:tc>
      </w:tr>
      <w:tr>
        <w:trPr>
          <w:trHeight w:val="225"/>
        </w:trPr>
        <w:tc>
          <w:tcPr>
            <w:tcW w:w="120" w:type="dxa"/>
            <w:vAlign w:val="bottom"/>
          </w:tcPr>
          <w:p>
            <w:pPr>
              <w:spacing w:after="0"/>
              <w:rPr>
                <w:sz w:val="19"/>
                <w:szCs w:val="19"/>
                <w:color w:val="auto"/>
              </w:rPr>
            </w:pPr>
          </w:p>
        </w:tc>
        <w:tc>
          <w:tcPr>
            <w:tcW w:w="7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43"/>
        </w:trPr>
        <w:tc>
          <w:tcPr>
            <w:tcW w:w="120" w:type="dxa"/>
            <w:vAlign w:val="bottom"/>
          </w:tcPr>
          <w:p>
            <w:pPr>
              <w:spacing w:after="0"/>
              <w:rPr>
                <w:sz w:val="20"/>
                <w:szCs w:val="20"/>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33,080.2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29,214.5</w:t>
            </w:r>
          </w:p>
        </w:tc>
      </w:tr>
      <w:tr>
        <w:trPr>
          <w:trHeight w:val="20"/>
        </w:trPr>
        <w:tc>
          <w:tcPr>
            <w:tcW w:w="12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25"/>
        </w:trPr>
        <w:tc>
          <w:tcPr>
            <w:tcW w:w="1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60" w:type="dxa"/>
            <w:vAlign w:val="bottom"/>
            <w:shd w:val="clear" w:color="auto" w:fill="CCEEFF"/>
          </w:tcPr>
          <w:p>
            <w:pPr>
              <w:jc w:val="center"/>
              <w:ind w:left="2012"/>
              <w:spacing w:after="0"/>
              <w:rPr>
                <w:sz w:val="20"/>
                <w:szCs w:val="20"/>
                <w:color w:val="auto"/>
              </w:rPr>
            </w:pPr>
            <w:r>
              <w:rPr>
                <w:rFonts w:ascii="Times New Roman" w:cs="Times New Roman" w:eastAsia="Times New Roman" w:hAnsi="Times New Roman"/>
                <w:sz w:val="18"/>
                <w:szCs w:val="18"/>
                <w:b w:val="1"/>
                <w:bCs w:val="1"/>
                <w:color w:val="auto"/>
                <w:w w:val="98"/>
              </w:rPr>
              <w:t>LIABILITIES AND STOCKHOLDERS' EQUITY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2,074.2</w:t>
            </w:r>
          </w:p>
        </w:tc>
      </w:tr>
      <w:tr>
        <w:trPr>
          <w:trHeight w:val="225"/>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r>
      <w:tr>
        <w:trPr>
          <w:trHeight w:val="219"/>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3,141.3</w:t>
            </w:r>
          </w:p>
        </w:tc>
      </w:tr>
      <w:tr>
        <w:trPr>
          <w:trHeight w:val="212"/>
        </w:trPr>
        <w:tc>
          <w:tcPr>
            <w:tcW w:w="120" w:type="dxa"/>
            <w:vAlign w:val="bottom"/>
          </w:tcPr>
          <w:p>
            <w:pPr>
              <w:spacing w:after="0"/>
              <w:rPr>
                <w:sz w:val="18"/>
                <w:szCs w:val="18"/>
                <w:color w:val="auto"/>
              </w:rPr>
            </w:pPr>
          </w:p>
        </w:tc>
        <w:tc>
          <w:tcPr>
            <w:tcW w:w="78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1,981.4</w:t>
            </w:r>
          </w:p>
        </w:tc>
      </w:tr>
      <w:tr>
        <w:trPr>
          <w:trHeight w:val="225"/>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25"/>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18"/>
        </w:trPr>
        <w:tc>
          <w:tcPr>
            <w:tcW w:w="120" w:type="dxa"/>
            <w:vAlign w:val="bottom"/>
          </w:tcPr>
          <w:p>
            <w:pPr>
              <w:spacing w:after="0"/>
              <w:rPr>
                <w:sz w:val="19"/>
                <w:szCs w:val="19"/>
                <w:color w:val="auto"/>
              </w:rPr>
            </w:pPr>
          </w:p>
        </w:tc>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6,550.5</w:t>
            </w:r>
          </w:p>
        </w:tc>
      </w:tr>
      <w:tr>
        <w:trPr>
          <w:trHeight w:val="192"/>
        </w:trPr>
        <w:tc>
          <w:tcPr>
            <w:tcW w:w="120" w:type="dxa"/>
            <w:vAlign w:val="bottom"/>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2"/>
        </w:trPr>
        <w:tc>
          <w:tcPr>
            <w:tcW w:w="120" w:type="dxa"/>
            <w:vAlign w:val="bottom"/>
          </w:tcPr>
          <w:p>
            <w:pPr>
              <w:spacing w:after="0"/>
              <w:rPr>
                <w:sz w:val="18"/>
                <w:szCs w:val="18"/>
                <w:color w:val="auto"/>
              </w:rPr>
            </w:pPr>
          </w:p>
        </w:tc>
        <w:tc>
          <w:tcPr>
            <w:tcW w:w="78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shares issued and outstanding - none</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120" w:type="dxa"/>
            <w:vAlign w:val="bottom"/>
          </w:tcPr>
          <w:p>
            <w:pPr>
              <w:spacing w:after="0"/>
              <w:rPr>
                <w:sz w:val="14"/>
                <w:szCs w:val="14"/>
                <w:color w:val="auto"/>
              </w:rPr>
            </w:pPr>
          </w:p>
        </w:tc>
        <w:tc>
          <w:tcPr>
            <w:tcW w:w="7880" w:type="dxa"/>
            <w:vAlign w:val="bottom"/>
            <w:gridSpan w:val="2"/>
          </w:tcPr>
          <w:p>
            <w:pPr>
              <w:ind w:left="220"/>
              <w:spacing w:after="0" w:line="172" w:lineRule="exact"/>
              <w:rPr>
                <w:sz w:val="20"/>
                <w:szCs w:val="20"/>
                <w:color w:val="auto"/>
              </w:rPr>
            </w:pPr>
            <w:r>
              <w:rPr>
                <w:rFonts w:ascii="Times New Roman" w:cs="Times New Roman" w:eastAsia="Times New Roman" w:hAnsi="Times New Roman"/>
                <w:sz w:val="18"/>
                <w:szCs w:val="18"/>
                <w:color w:val="auto"/>
                <w:w w:val="98"/>
              </w:rPr>
              <w:t>Class A Stock, convertible, par value $.001 per share; 40.0 shares authorized; shares issued and outstanding</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8"/>
        </w:trPr>
        <w:tc>
          <w:tcPr>
            <w:tcW w:w="120" w:type="dxa"/>
            <w:vAlign w:val="bottom"/>
          </w:tcPr>
          <w:p>
            <w:pPr>
              <w:spacing w:after="0"/>
              <w:rPr>
                <w:sz w:val="20"/>
                <w:szCs w:val="20"/>
                <w:color w:val="auto"/>
              </w:rPr>
            </w:pPr>
          </w:p>
        </w:tc>
        <w:tc>
          <w:tcPr>
            <w:tcW w:w="78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- 1.8 in 2023 and 2022</w:t>
            </w:r>
          </w:p>
        </w:tc>
        <w:tc>
          <w:tcPr>
            <w:tcW w:w="3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120" w:type="dxa"/>
            <w:vAlign w:val="bottom"/>
          </w:tcPr>
          <w:p>
            <w:pPr>
              <w:spacing w:after="0"/>
              <w:rPr>
                <w:sz w:val="14"/>
                <w:szCs w:val="14"/>
                <w:color w:val="auto"/>
              </w:rPr>
            </w:pPr>
          </w:p>
        </w:tc>
        <w:tc>
          <w:tcPr>
            <w:tcW w:w="7880" w:type="dxa"/>
            <w:vAlign w:val="bottom"/>
            <w:gridSpan w:val="2"/>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w w:val="98"/>
              </w:rPr>
              <w:t>Common Stock, par value $.001 per share; 320.0 shares authorized; shares issued - 133.1 in 2023 and 130.4</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9"/>
        </w:trPr>
        <w:tc>
          <w:tcPr>
            <w:tcW w:w="120" w:type="dxa"/>
            <w:vAlign w:val="bottom"/>
          </w:tcPr>
          <w:p>
            <w:pPr>
              <w:spacing w:after="0"/>
              <w:rPr>
                <w:sz w:val="20"/>
                <w:szCs w:val="20"/>
                <w:color w:val="auto"/>
              </w:rPr>
            </w:pPr>
          </w:p>
        </w:tc>
        <w:tc>
          <w:tcPr>
            <w:tcW w:w="78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 2022</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w:t>
            </w:r>
          </w:p>
        </w:tc>
      </w:tr>
      <w:tr>
        <w:trPr>
          <w:trHeight w:val="225"/>
        </w:trPr>
        <w:tc>
          <w:tcPr>
            <w:tcW w:w="120" w:type="dxa"/>
            <w:vAlign w:val="bottom"/>
          </w:tcPr>
          <w:p>
            <w:pPr>
              <w:spacing w:after="0"/>
              <w:rPr>
                <w:sz w:val="19"/>
                <w:szCs w:val="19"/>
                <w:color w:val="auto"/>
              </w:rPr>
            </w:pPr>
          </w:p>
        </w:tc>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27,260.3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23,306.7</w:t>
            </w:r>
          </w:p>
        </w:tc>
      </w:tr>
      <w:tr>
        <w:trPr>
          <w:trHeight w:val="225"/>
        </w:trPr>
        <w:tc>
          <w:tcPr>
            <w:tcW w:w="120" w:type="dxa"/>
            <w:vAlign w:val="bottom"/>
          </w:tcPr>
          <w:p>
            <w:pPr>
              <w:spacing w:after="0"/>
              <w:rPr>
                <w:sz w:val="19"/>
                <w:szCs w:val="19"/>
                <w:color w:val="auto"/>
              </w:rPr>
            </w:pPr>
          </w:p>
        </w:tc>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25"/>
        </w:trPr>
        <w:tc>
          <w:tcPr>
            <w:tcW w:w="1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25.5 shares in 2023 and 22.6 shares in 2022</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(10,353.3)</w:t>
            </w:r>
          </w:p>
        </w:tc>
      </w:tr>
      <w:tr>
        <w:trPr>
          <w:trHeight w:val="218"/>
        </w:trPr>
        <w:tc>
          <w:tcPr>
            <w:tcW w:w="120" w:type="dxa"/>
            <w:vAlign w:val="bottom"/>
          </w:tcPr>
          <w:p>
            <w:pPr>
              <w:spacing w:after="0"/>
              <w:rPr>
                <w:sz w:val="19"/>
                <w:szCs w:val="19"/>
                <w:color w:val="auto"/>
              </w:rPr>
            </w:pPr>
          </w:p>
        </w:tc>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25,973.1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22,664.0</w:t>
            </w:r>
          </w:p>
        </w:tc>
      </w:tr>
      <w:tr>
        <w:trPr>
          <w:trHeight w:val="244"/>
        </w:trPr>
        <w:tc>
          <w:tcPr>
            <w:tcW w:w="120" w:type="dxa"/>
            <w:vAlign w:val="bottom"/>
          </w:tcPr>
          <w:p>
            <w:pPr>
              <w:spacing w:after="0"/>
              <w:rPr>
                <w:sz w:val="20"/>
                <w:szCs w:val="20"/>
                <w:color w:val="auto"/>
              </w:rPr>
            </w:pPr>
          </w:p>
        </w:tc>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33,080.2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29,214.5</w:t>
            </w:r>
          </w:p>
        </w:tc>
      </w:tr>
      <w:tr>
        <w:trPr>
          <w:trHeight w:val="20"/>
        </w:trPr>
        <w:tc>
          <w:tcPr>
            <w:tcW w:w="120" w:type="dxa"/>
            <w:vAlign w:val="bottom"/>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15875</wp:posOffset>
            </wp:positionV>
            <wp:extent cx="69830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5">
                      <a:extLst>
                        <a:ext uri="{28A0092B-C50C-407E-A947-70E740481C1C}"/>
                      </a:extLst>
                    </a:blip>
                    <a:srcRect/>
                    <a:stretch>
                      <a:fillRect/>
                    </a:stretch>
                  </pic:blipFill>
                  <pic:spPr bwMode="auto">
                    <a:xfrm>
                      <a:off x="0" y="0"/>
                      <a:ext cx="6983095" cy="8255"/>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41275</wp:posOffset>
            </wp:positionV>
            <wp:extent cx="69830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6">
                      <a:extLst>
                        <a:ext uri="{28A0092B-C50C-407E-A947-70E740481C1C}"/>
                      </a:extLst>
                    </a:blip>
                    <a:srcRect/>
                    <a:stretch>
                      <a:fillRect/>
                    </a:stretch>
                  </pic:blipFill>
                  <pic:spPr bwMode="auto">
                    <a:xfrm>
                      <a:off x="0" y="0"/>
                      <a:ext cx="698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353" w:right="4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38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69"/>
        </w:trPr>
        <w:tc>
          <w:tcPr>
            <w:tcW w:w="14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720" w:type="dxa"/>
            <w:vAlign w:val="bottom"/>
          </w:tcPr>
          <w:p>
            <w:pPr>
              <w:spacing w:after="0"/>
              <w:rPr>
                <w:sz w:val="24"/>
                <w:szCs w:val="24"/>
                <w:color w:val="auto"/>
              </w:rPr>
            </w:pPr>
          </w:p>
        </w:tc>
        <w:tc>
          <w:tcPr>
            <w:tcW w:w="402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REGENERON PHARMACEUTICALS, INC.</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0"/>
        </w:trPr>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20" w:type="dxa"/>
            <w:vAlign w:val="bottom"/>
            <w:gridSpan w:val="8"/>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OPERATIONS AND COMPREHENSIVE INCOME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5"/>
        </w:trPr>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02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i w:val="1"/>
                <w:iCs w:val="1"/>
                <w:color w:val="auto"/>
                <w:w w:val="98"/>
              </w:rPr>
              <w:t>(In millions, except per share data)</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43"/>
        </w:trPr>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4"/>
                <w:szCs w:val="24"/>
                <w:color w:val="auto"/>
              </w:rPr>
            </w:pPr>
          </w:p>
        </w:tc>
      </w:tr>
      <w:tr>
        <w:trPr>
          <w:trHeight w:val="218"/>
        </w:trPr>
        <w:tc>
          <w:tcPr>
            <w:tcW w:w="140" w:type="dxa"/>
            <w:vAlign w:val="bottom"/>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5"/>
        </w:trPr>
        <w:tc>
          <w:tcPr>
            <w:tcW w:w="140" w:type="dxa"/>
            <w:vAlign w:val="bottom"/>
          </w:tcPr>
          <w:p>
            <w:pPr>
              <w:spacing w:after="0"/>
              <w:rPr>
                <w:sz w:val="17"/>
                <w:szCs w:val="17"/>
                <w:color w:val="auto"/>
              </w:rPr>
            </w:pPr>
          </w:p>
        </w:tc>
        <w:tc>
          <w:tcPr>
            <w:tcW w:w="372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product sales</w:t>
            </w:r>
          </w:p>
        </w:tc>
        <w:tc>
          <w:tcPr>
            <w:tcW w:w="27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12,117.2</w:t>
            </w:r>
          </w:p>
        </w:tc>
      </w:tr>
      <w:tr>
        <w:trPr>
          <w:trHeight w:val="225"/>
        </w:trPr>
        <w:tc>
          <w:tcPr>
            <w:tcW w:w="140" w:type="dxa"/>
            <w:vAlign w:val="bottom"/>
          </w:tcPr>
          <w:p>
            <w:pPr>
              <w:spacing w:after="0"/>
              <w:rPr>
                <w:sz w:val="19"/>
                <w:szCs w:val="19"/>
                <w:color w:val="auto"/>
              </w:rPr>
            </w:pPr>
          </w:p>
        </w:tc>
        <w:tc>
          <w:tcPr>
            <w:tcW w:w="3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Collaboration revenue</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3,673.3</w:t>
            </w: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revenue</w:t>
            </w:r>
          </w:p>
        </w:tc>
        <w:tc>
          <w:tcPr>
            <w:tcW w:w="23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r>
      <w:tr>
        <w:trPr>
          <w:trHeight w:val="218"/>
        </w:trPr>
        <w:tc>
          <w:tcPr>
            <w:tcW w:w="140" w:type="dxa"/>
            <w:vAlign w:val="bottom"/>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16,071.7</w:t>
            </w:r>
          </w:p>
        </w:tc>
      </w:tr>
      <w:tr>
        <w:trPr>
          <w:trHeight w:val="192"/>
        </w:trPr>
        <w:tc>
          <w:tcPr>
            <w:tcW w:w="140" w:type="dxa"/>
            <w:vAlign w:val="bottom"/>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2,860.1</w:t>
            </w:r>
          </w:p>
        </w:tc>
      </w:tr>
      <w:tr>
        <w:trPr>
          <w:trHeight w:val="225"/>
        </w:trPr>
        <w:tc>
          <w:tcPr>
            <w:tcW w:w="140" w:type="dxa"/>
            <w:vAlign w:val="bottom"/>
          </w:tcPr>
          <w:p>
            <w:pPr>
              <w:spacing w:after="0"/>
              <w:rPr>
                <w:sz w:val="19"/>
                <w:szCs w:val="19"/>
                <w:color w:val="auto"/>
              </w:rPr>
            </w:pPr>
          </w:p>
        </w:tc>
        <w:tc>
          <w:tcPr>
            <w:tcW w:w="3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1,824.9</w:t>
            </w:r>
          </w:p>
        </w:tc>
      </w:tr>
      <w:tr>
        <w:trPr>
          <w:trHeight w:val="225"/>
        </w:trPr>
        <w:tc>
          <w:tcPr>
            <w:tcW w:w="140" w:type="dxa"/>
            <w:vAlign w:val="bottom"/>
          </w:tcPr>
          <w:p>
            <w:pPr>
              <w:spacing w:after="0"/>
              <w:rPr>
                <w:sz w:val="19"/>
                <w:szCs w:val="19"/>
                <w:color w:val="auto"/>
              </w:rPr>
            </w:pPr>
          </w:p>
        </w:tc>
        <w:tc>
          <w:tcPr>
            <w:tcW w:w="3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1,773.1</w:t>
            </w: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Cost of collaboration and contract manufacturing</w:t>
            </w:r>
          </w:p>
        </w:tc>
        <w:tc>
          <w:tcPr>
            <w:tcW w:w="2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r>
      <w:tr>
        <w:trPr>
          <w:trHeight w:val="225"/>
        </w:trPr>
        <w:tc>
          <w:tcPr>
            <w:tcW w:w="140" w:type="dxa"/>
            <w:vAlign w:val="bottom"/>
          </w:tcPr>
          <w:p>
            <w:pPr>
              <w:spacing w:after="0"/>
              <w:rPr>
                <w:sz w:val="19"/>
                <w:szCs w:val="19"/>
                <w:color w:val="auto"/>
              </w:rPr>
            </w:pPr>
          </w:p>
        </w:tc>
        <w:tc>
          <w:tcPr>
            <w:tcW w:w="37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8"/>
        </w:trPr>
        <w:tc>
          <w:tcPr>
            <w:tcW w:w="140" w:type="dxa"/>
            <w:vAlign w:val="bottom"/>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7,124.9</w:t>
            </w:r>
          </w:p>
        </w:tc>
      </w:tr>
      <w:tr>
        <w:trPr>
          <w:trHeight w:val="192"/>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3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8,946.8</w:t>
            </w:r>
          </w:p>
        </w:tc>
      </w:tr>
      <w:tr>
        <w:trPr>
          <w:trHeight w:val="192"/>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3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19"/>
        </w:trPr>
        <w:tc>
          <w:tcPr>
            <w:tcW w:w="140" w:type="dxa"/>
            <w:vAlign w:val="bottom"/>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w:t>
            </w:r>
          </w:p>
        </w:tc>
      </w:tr>
      <w:tr>
        <w:trPr>
          <w:trHeight w:val="192"/>
        </w:trPr>
        <w:tc>
          <w:tcPr>
            <w:tcW w:w="140" w:type="dxa"/>
            <w:vAlign w:val="bottom"/>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9,325.8</w:t>
            </w:r>
          </w:p>
        </w:tc>
      </w:tr>
      <w:tr>
        <w:trPr>
          <w:trHeight w:val="212"/>
        </w:trPr>
        <w:tc>
          <w:tcPr>
            <w:tcW w:w="140" w:type="dxa"/>
            <w:vAlign w:val="bottom"/>
          </w:tcPr>
          <w:p>
            <w:pPr>
              <w:spacing w:after="0"/>
              <w:rPr>
                <w:sz w:val="18"/>
                <w:szCs w:val="18"/>
                <w:color w:val="auto"/>
              </w:rPr>
            </w:pPr>
          </w:p>
        </w:tc>
        <w:tc>
          <w:tcPr>
            <w:tcW w:w="3720" w:type="dxa"/>
            <w:vAlign w:val="bottom"/>
            <w:gridSpan w:val="2"/>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5"/>
        </w:trPr>
        <w:tc>
          <w:tcPr>
            <w:tcW w:w="140" w:type="dxa"/>
            <w:vAlign w:val="bottom"/>
          </w:tcPr>
          <w:p>
            <w:pPr>
              <w:spacing w:after="0"/>
              <w:rPr>
                <w:sz w:val="19"/>
                <w:szCs w:val="19"/>
                <w:color w:val="auto"/>
              </w:rPr>
            </w:pPr>
          </w:p>
        </w:tc>
        <w:tc>
          <w:tcPr>
            <w:tcW w:w="3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1,250.5</w:t>
            </w:r>
          </w:p>
        </w:tc>
      </w:tr>
      <w:tr>
        <w:trPr>
          <w:trHeight w:val="192"/>
        </w:trPr>
        <w:tc>
          <w:tcPr>
            <w:tcW w:w="140" w:type="dxa"/>
            <w:vAlign w:val="bottom"/>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8,075.3</w:t>
            </w:r>
          </w:p>
        </w:tc>
      </w:tr>
      <w:tr>
        <w:trPr>
          <w:trHeight w:val="20"/>
        </w:trPr>
        <w:tc>
          <w:tcPr>
            <w:tcW w:w="140" w:type="dxa"/>
            <w:vAlign w:val="bottom"/>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140" w:type="dxa"/>
            <w:vAlign w:val="bottom"/>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70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7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r>
      <w:tr>
        <w:trPr>
          <w:trHeight w:val="212"/>
        </w:trPr>
        <w:tc>
          <w:tcPr>
            <w:tcW w:w="140" w:type="dxa"/>
            <w:vAlign w:val="bottom"/>
          </w:tcPr>
          <w:p>
            <w:pPr>
              <w:spacing w:after="0"/>
              <w:rPr>
                <w:sz w:val="18"/>
                <w:szCs w:val="18"/>
                <w:color w:val="auto"/>
              </w:rPr>
            </w:pPr>
          </w:p>
        </w:tc>
        <w:tc>
          <w:tcPr>
            <w:tcW w:w="3720" w:type="dxa"/>
            <w:vAlign w:val="bottom"/>
            <w:gridSpan w:val="2"/>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5"/>
        </w:trPr>
        <w:tc>
          <w:tcPr>
            <w:tcW w:w="1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12"/>
        </w:trPr>
        <w:tc>
          <w:tcPr>
            <w:tcW w:w="140" w:type="dxa"/>
            <w:vAlign w:val="bottom"/>
          </w:tcPr>
          <w:p>
            <w:pPr>
              <w:spacing w:after="0"/>
              <w:rPr>
                <w:sz w:val="18"/>
                <w:szCs w:val="18"/>
                <w:color w:val="auto"/>
              </w:rPr>
            </w:pPr>
          </w:p>
        </w:tc>
        <w:tc>
          <w:tcPr>
            <w:tcW w:w="3720" w:type="dxa"/>
            <w:vAlign w:val="bottom"/>
            <w:gridSpan w:val="2"/>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0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8,075.3</w:t>
            </w:r>
          </w:p>
        </w:tc>
      </w:tr>
      <w:tr>
        <w:trPr>
          <w:trHeight w:val="225"/>
        </w:trPr>
        <w:tc>
          <w:tcPr>
            <w:tcW w:w="1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 (loss) on debt securities</w:t>
            </w:r>
          </w:p>
        </w:tc>
        <w:tc>
          <w:tcPr>
            <w:tcW w:w="2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5"/>
        </w:trPr>
        <w:tc>
          <w:tcPr>
            <w:tcW w:w="140" w:type="dxa"/>
            <w:vAlign w:val="bottom"/>
          </w:tcPr>
          <w:p>
            <w:pPr>
              <w:spacing w:after="0"/>
              <w:rPr>
                <w:sz w:val="19"/>
                <w:szCs w:val="19"/>
                <w:color w:val="auto"/>
              </w:rPr>
            </w:pPr>
          </w:p>
        </w:tc>
        <w:tc>
          <w:tcPr>
            <w:tcW w:w="3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on foreign currency translation</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40" w:type="dxa"/>
            <w:vAlign w:val="bottom"/>
          </w:tcPr>
          <w:p>
            <w:pPr>
              <w:spacing w:after="0"/>
              <w:rPr>
                <w:sz w:val="19"/>
                <w:szCs w:val="19"/>
                <w:color w:val="auto"/>
              </w:rPr>
            </w:pPr>
          </w:p>
        </w:tc>
        <w:tc>
          <w:tcPr>
            <w:tcW w:w="37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2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8"/>
        </w:trPr>
        <w:tc>
          <w:tcPr>
            <w:tcW w:w="14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3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4,111.5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8,019.8</w:t>
            </w:r>
          </w:p>
        </w:tc>
      </w:tr>
      <w:tr>
        <w:trPr>
          <w:trHeight w:val="20"/>
        </w:trPr>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15875</wp:posOffset>
            </wp:positionV>
            <wp:extent cx="69748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8">
                      <a:extLst>
                        <a:ext uri="{28A0092B-C50C-407E-A947-70E740481C1C}"/>
                      </a:extLst>
                    </a:blip>
                    <a:srcRect/>
                    <a:stretch>
                      <a:fillRect/>
                    </a:stretch>
                  </pic:blipFill>
                  <pic:spPr bwMode="auto">
                    <a:xfrm>
                      <a:off x="0" y="0"/>
                      <a:ext cx="6974840" cy="82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41275</wp:posOffset>
            </wp:positionV>
            <wp:extent cx="69748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9">
                      <a:extLst>
                        <a:ext uri="{28A0092B-C50C-407E-A947-70E740481C1C}"/>
                      </a:extLst>
                    </a:blip>
                    <a:srcRect/>
                    <a:stretch>
                      <a:fillRect/>
                    </a:stretch>
                  </pic:blipFill>
                  <pic:spPr bwMode="auto">
                    <a:xfrm>
                      <a:off x="0" y="0"/>
                      <a:ext cx="6974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353" w:right="4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26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9"/>
        </w:trPr>
        <w:tc>
          <w:tcPr>
            <w:tcW w:w="8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0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REGENERON PHARMACEUTICALS, INC.</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960" w:type="dxa"/>
            <w:vAlign w:val="bottom"/>
            <w:gridSpan w:val="16"/>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STOCKHOLDERS' EQUITY</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4"/>
          </w:tcPr>
          <w:p>
            <w:pPr>
              <w:jc w:val="center"/>
              <w:ind w:left="72"/>
              <w:spacing w:after="0"/>
              <w:rPr>
                <w:sz w:val="20"/>
                <w:szCs w:val="20"/>
                <w:color w:val="auto"/>
              </w:rPr>
            </w:pPr>
            <w:r>
              <w:rPr>
                <w:rFonts w:ascii="Times New Roman" w:cs="Times New Roman" w:eastAsia="Times New Roman" w:hAnsi="Times New Roman"/>
                <w:sz w:val="18"/>
                <w:szCs w:val="18"/>
                <w:b w:val="1"/>
                <w:bCs w:val="1"/>
                <w:i w:val="1"/>
                <w:iCs w:val="1"/>
                <w:color w:val="auto"/>
                <w:w w:val="98"/>
              </w:rPr>
              <w:t>(In millions)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gridSpan w:val="3"/>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8"/>
                <w:szCs w:val="18"/>
                <w:b w:val="1"/>
                <w:bCs w:val="1"/>
                <w:color w:val="auto"/>
                <w:w w:val="95"/>
              </w:rPr>
              <w:t>Other</w:t>
            </w:r>
          </w:p>
        </w:tc>
        <w:tc>
          <w:tcPr>
            <w:tcW w:w="1440" w:type="dxa"/>
            <w:vAlign w:val="bottom"/>
            <w:gridSpan w:val="3"/>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vMerge w:val="restart"/>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60" w:type="dxa"/>
            <w:vAlign w:val="bottom"/>
            <w:tcBorders>
              <w:bottom w:val="single" w:sz="8" w:color="auto"/>
            </w:tcBorders>
            <w:gridSpan w:val="3"/>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920" w:type="dxa"/>
            <w:vAlign w:val="bottom"/>
            <w:gridSpan w:val="2"/>
            <w:vMerge w:val="restart"/>
          </w:tcPr>
          <w:p>
            <w:pPr>
              <w:ind w:left="140"/>
              <w:spacing w:after="0" w:line="186" w:lineRule="exact"/>
              <w:rPr>
                <w:sz w:val="20"/>
                <w:szCs w:val="20"/>
                <w:color w:val="auto"/>
              </w:rPr>
            </w:pPr>
            <w:r>
              <w:rPr>
                <w:rFonts w:ascii="Times New Roman" w:cs="Times New Roman" w:eastAsia="Times New Roman" w:hAnsi="Times New Roman"/>
                <w:sz w:val="18"/>
                <w:szCs w:val="18"/>
                <w:b w:val="1"/>
                <w:bCs w:val="1"/>
                <w:color w:val="auto"/>
              </w:rPr>
              <w:t>Paid-in</w:t>
            </w:r>
          </w:p>
        </w:tc>
        <w:tc>
          <w:tcPr>
            <w:tcW w:w="900" w:type="dxa"/>
            <w:vAlign w:val="bottom"/>
            <w:gridSpan w:val="2"/>
            <w:vMerge w:val="restart"/>
          </w:tcPr>
          <w:p>
            <w:pPr>
              <w:ind w:left="60"/>
              <w:spacing w:after="0" w:line="18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00" w:type="dxa"/>
            <w:vAlign w:val="bottom"/>
            <w:gridSpan w:val="3"/>
            <w:vMerge w:val="restart"/>
          </w:tcPr>
          <w:p>
            <w:pPr>
              <w:jc w:val="center"/>
              <w:ind w:right="80"/>
              <w:spacing w:after="0" w:line="186"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440" w:type="dxa"/>
            <w:vAlign w:val="bottom"/>
            <w:tcBorders>
              <w:bottom w:val="single" w:sz="8" w:color="auto"/>
            </w:tcBorders>
            <w:gridSpan w:val="3"/>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80" w:type="dxa"/>
            <w:vAlign w:val="bottom"/>
            <w:vMerge w:val="restart"/>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Income (Loss)</w:t>
            </w:r>
          </w:p>
        </w:tc>
        <w:tc>
          <w:tcPr>
            <w:tcW w:w="66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9"/>
                <w:szCs w:val="19"/>
                <w:color w:val="auto"/>
              </w:rPr>
            </w:pPr>
          </w:p>
        </w:tc>
        <w:tc>
          <w:tcPr>
            <w:tcW w:w="2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0.1</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6,716.2</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$ 10,893.0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$(6,613.3)</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11,025.3</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5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5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equity awards granted under</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incentive plans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5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Common Stock tendered upon</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5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exercise of stock options and</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540" w:type="dxa"/>
            <w:vAlign w:val="bottom"/>
            <w:gridSpan w:val="2"/>
            <w:shd w:val="clear" w:color="auto" w:fill="CCEEFF"/>
          </w:tcPr>
          <w:p>
            <w:pPr>
              <w:ind w:left="160"/>
              <w:spacing w:after="0" w:line="177" w:lineRule="exact"/>
              <w:rPr>
                <w:sz w:val="20"/>
                <w:szCs w:val="20"/>
                <w:color w:val="auto"/>
              </w:rPr>
            </w:pPr>
            <w:r>
              <w:rPr>
                <w:rFonts w:ascii="Times New Roman" w:cs="Times New Roman" w:eastAsia="Times New Roman" w:hAnsi="Times New Roman"/>
                <w:sz w:val="18"/>
                <w:szCs w:val="18"/>
                <w:color w:val="auto"/>
              </w:rPr>
              <w:t>vesting of restricted stock for</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2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tax obligations</w:t>
            </w:r>
          </w:p>
        </w:tc>
        <w:tc>
          <w:tcPr>
            <w:tcW w:w="64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5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Issuance/distribution of Common</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 for 401(k) Savings Plan</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5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5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Other comprehensive loss, net of</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9"/>
                <w:szCs w:val="19"/>
                <w:color w:val="auto"/>
              </w:rPr>
            </w:pPr>
          </w:p>
        </w:tc>
        <w:tc>
          <w:tcPr>
            <w:tcW w:w="2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8,087.5</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18,968.3</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(8,260.9)</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18,768.8</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5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5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equity awards granted under</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incentive plans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1,517.4</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5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Common Stock tendered upon</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5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exercise of stock options and</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540" w:type="dxa"/>
            <w:vAlign w:val="bottom"/>
            <w:gridSpan w:val="2"/>
            <w:shd w:val="clear" w:color="auto" w:fill="CCEEFF"/>
          </w:tcPr>
          <w:p>
            <w:pPr>
              <w:ind w:left="160"/>
              <w:spacing w:after="0" w:line="177" w:lineRule="exact"/>
              <w:rPr>
                <w:sz w:val="20"/>
                <w:szCs w:val="20"/>
                <w:color w:val="auto"/>
              </w:rPr>
            </w:pPr>
            <w:r>
              <w:rPr>
                <w:rFonts w:ascii="Times New Roman" w:cs="Times New Roman" w:eastAsia="Times New Roman" w:hAnsi="Times New Roman"/>
                <w:sz w:val="18"/>
                <w:szCs w:val="18"/>
                <w:color w:val="auto"/>
              </w:rPr>
              <w:t>vesting of restricted stock for</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2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tax obligations</w:t>
            </w:r>
          </w:p>
        </w:tc>
        <w:tc>
          <w:tcPr>
            <w:tcW w:w="64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74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5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Issuance/distribution of Common</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 for 401(k) Savings Plan</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(2,099.8)</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(2,099.8)</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5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5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Other comprehensive loss, net of</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8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9"/>
                <w:szCs w:val="19"/>
                <w:color w:val="auto"/>
              </w:rPr>
            </w:pPr>
          </w:p>
        </w:tc>
        <w:tc>
          <w:tcPr>
            <w:tcW w:w="2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9,949.3</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23,306.7</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(10,353.3)</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353" w:right="39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25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0"/>
        </w:trPr>
        <w:tc>
          <w:tcPr>
            <w:tcW w:w="8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6620" w:type="dxa"/>
            <w:vAlign w:val="bottom"/>
            <w:gridSpan w:val="17"/>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STOCKHOLDERS' EQUITY </w:t>
            </w:r>
            <w:r>
              <w:rPr>
                <w:rFonts w:ascii="Times New Roman" w:cs="Times New Roman" w:eastAsia="Times New Roman" w:hAnsi="Times New Roman"/>
                <w:sz w:val="18"/>
                <w:szCs w:val="18"/>
                <w:b w:val="1"/>
                <w:bCs w:val="1"/>
                <w:i w:val="1"/>
                <w:iCs w:val="1"/>
                <w:color w:val="auto"/>
              </w:rPr>
              <w:t>(continued)</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0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80" w:type="dxa"/>
            <w:vAlign w:val="bottom"/>
          </w:tcPr>
          <w:p>
            <w:pPr>
              <w:spacing w:after="0"/>
              <w:rPr>
                <w:sz w:val="14"/>
                <w:szCs w:val="14"/>
                <w:color w:val="auto"/>
              </w:rPr>
            </w:pPr>
          </w:p>
        </w:tc>
        <w:tc>
          <w:tcPr>
            <w:tcW w:w="1380" w:type="dxa"/>
            <w:vAlign w:val="bottom"/>
            <w:gridSpan w:val="3"/>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line="17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540" w:type="dxa"/>
            <w:vAlign w:val="bottom"/>
            <w:gridSpan w:val="3"/>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bottom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90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30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540" w:type="dxa"/>
            <w:vAlign w:val="bottom"/>
            <w:tcBorders>
              <w:bottom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2"/>
        </w:trPr>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Income (Loss)</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2440" w:type="dxa"/>
            <w:vAlign w:val="bottom"/>
            <w:tcBorders>
              <w:top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auto"/>
              </w:rPr>
              <w:t>Issuance of Common Stock for</w:t>
            </w: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4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equity awards granted under</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incentive plans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4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Common Stock tendered upon</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440" w:type="dxa"/>
            <w:vAlign w:val="bottom"/>
            <w:gridSpan w:val="2"/>
          </w:tcPr>
          <w:p>
            <w:pPr>
              <w:ind w:left="160"/>
              <w:spacing w:after="0" w:line="181" w:lineRule="exact"/>
              <w:rPr>
                <w:sz w:val="20"/>
                <w:szCs w:val="20"/>
                <w:color w:val="auto"/>
              </w:rPr>
            </w:pPr>
            <w:r>
              <w:rPr>
                <w:rFonts w:ascii="Times New Roman" w:cs="Times New Roman" w:eastAsia="Times New Roman" w:hAnsi="Times New Roman"/>
                <w:sz w:val="18"/>
                <w:szCs w:val="18"/>
                <w:color w:val="auto"/>
              </w:rPr>
              <w:t>exercise of stock options and</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2440" w:type="dxa"/>
            <w:vAlign w:val="bottom"/>
            <w:gridSpan w:val="2"/>
          </w:tcPr>
          <w:p>
            <w:pPr>
              <w:ind w:left="160"/>
              <w:spacing w:after="0" w:line="177" w:lineRule="exact"/>
              <w:rPr>
                <w:sz w:val="20"/>
                <w:szCs w:val="20"/>
                <w:color w:val="auto"/>
              </w:rPr>
            </w:pPr>
            <w:r>
              <w:rPr>
                <w:rFonts w:ascii="Times New Roman" w:cs="Times New Roman" w:eastAsia="Times New Roman" w:hAnsi="Times New Roman"/>
                <w:sz w:val="18"/>
                <w:szCs w:val="18"/>
                <w:color w:val="auto"/>
              </w:rPr>
              <w:t>vesting of restricted stock for</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8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2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employee tax obligations</w:t>
            </w:r>
          </w:p>
        </w:tc>
        <w:tc>
          <w:tcPr>
            <w:tcW w:w="640" w:type="dxa"/>
            <w:vAlign w:val="bottom"/>
            <w:gridSpan w:val="2"/>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4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Issuance/distribution of</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2440" w:type="dxa"/>
            <w:vAlign w:val="bottom"/>
            <w:gridSpan w:val="2"/>
            <w:shd w:val="clear" w:color="auto" w:fill="CCEEFF"/>
          </w:tcPr>
          <w:p>
            <w:pPr>
              <w:ind w:left="160"/>
              <w:spacing w:after="0" w:line="181" w:lineRule="exact"/>
              <w:rPr>
                <w:sz w:val="20"/>
                <w:szCs w:val="20"/>
                <w:color w:val="auto"/>
              </w:rPr>
            </w:pPr>
            <w:r>
              <w:rPr>
                <w:rFonts w:ascii="Times New Roman" w:cs="Times New Roman" w:eastAsia="Times New Roman" w:hAnsi="Times New Roman"/>
                <w:sz w:val="18"/>
                <w:szCs w:val="18"/>
                <w:color w:val="auto"/>
              </w:rPr>
              <w:t>Common Stock for 401(k)</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2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Savings Plan</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4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2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charges</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w:t>
            </w: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44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Other comprehensive income,</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2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of tax</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w:t>
            </w:r>
            <w:r>
              <w:rPr>
                <w:rFonts w:ascii="Times New Roman" w:cs="Times New Roman" w:eastAsia="Times New Roman" w:hAnsi="Times New Roman"/>
                <w:sz w:val="18"/>
                <w:szCs w:val="18"/>
                <w:u w:val="single" w:color="auto"/>
                <w:color w:val="auto"/>
              </w:rPr>
              <w:t>1</w:t>
            </w: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$ 11,354.0</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$ 27,260.3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(12,560.4)</w:t>
            </w:r>
          </w:p>
        </w:tc>
        <w:tc>
          <w:tcPr>
            <w:tcW w:w="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25,973.1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15875</wp:posOffset>
            </wp:positionV>
            <wp:extent cx="70592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2">
                      <a:extLst>
                        <a:ext uri="{28A0092B-C50C-407E-A947-70E740481C1C}"/>
                      </a:extLst>
                    </a:blip>
                    <a:srcRect/>
                    <a:stretch>
                      <a:fillRect/>
                    </a:stretch>
                  </pic:blipFill>
                  <pic:spPr bwMode="auto">
                    <a:xfrm>
                      <a:off x="0" y="0"/>
                      <a:ext cx="7059295"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41275</wp:posOffset>
            </wp:positionV>
            <wp:extent cx="70592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3">
                      <a:extLst>
                        <a:ext uri="{28A0092B-C50C-407E-A947-70E740481C1C}"/>
                      </a:extLst>
                    </a:blip>
                    <a:srcRect/>
                    <a:stretch>
                      <a:fillRect/>
                    </a:stretch>
                  </pic:blipFill>
                  <pic:spPr bwMode="auto">
                    <a:xfrm>
                      <a:off x="0" y="0"/>
                      <a:ext cx="70592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353" w:right="3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68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69"/>
        </w:trPr>
        <w:tc>
          <w:tcPr>
            <w:tcW w:w="6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6220" w:type="dxa"/>
            <w:vAlign w:val="bottom"/>
            <w:gridSpan w:val="2"/>
          </w:tcPr>
          <w:p>
            <w:pPr>
              <w:jc w:val="center"/>
              <w:ind w:left="2672"/>
              <w:spacing w:after="0"/>
              <w:rPr>
                <w:sz w:val="20"/>
                <w:szCs w:val="20"/>
                <w:color w:val="auto"/>
              </w:rPr>
            </w:pPr>
            <w:r>
              <w:rPr>
                <w:rFonts w:ascii="Times New Roman" w:cs="Times New Roman" w:eastAsia="Times New Roman" w:hAnsi="Times New Roman"/>
                <w:sz w:val="18"/>
                <w:szCs w:val="18"/>
                <w:b w:val="1"/>
                <w:bCs w:val="1"/>
                <w:color w:val="auto"/>
                <w:w w:val="98"/>
              </w:rPr>
              <w:t>REGENERON PHARMACEUTICALS,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0" w:type="dxa"/>
            <w:vAlign w:val="bottom"/>
            <w:gridSpan w:val="4"/>
          </w:tcPr>
          <w:p>
            <w:pPr>
              <w:jc w:val="center"/>
              <w:ind w:left="1672"/>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CASH FLOWS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5"/>
        </w:trPr>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tcPr>
          <w:p>
            <w:pPr>
              <w:jc w:val="center"/>
              <w:ind w:left="3152"/>
              <w:spacing w:after="0"/>
              <w:rPr>
                <w:sz w:val="20"/>
                <w:szCs w:val="20"/>
                <w:color w:val="auto"/>
              </w:rPr>
            </w:pPr>
            <w:r>
              <w:rPr>
                <w:rFonts w:ascii="Times New Roman" w:cs="Times New Roman" w:eastAsia="Times New Roman" w:hAnsi="Times New Roman"/>
                <w:sz w:val="18"/>
                <w:szCs w:val="18"/>
                <w:b w:val="1"/>
                <w:bCs w:val="1"/>
                <w:i w:val="1"/>
                <w:iCs w:val="1"/>
                <w:color w:val="auto"/>
                <w:w w:val="98"/>
              </w:rPr>
              <w:t>(In millions)</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43"/>
        </w:trPr>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4"/>
                <w:szCs w:val="24"/>
                <w:color w:val="auto"/>
              </w:rPr>
            </w:pPr>
          </w:p>
        </w:tc>
      </w:tr>
      <w:tr>
        <w:trPr>
          <w:trHeight w:val="218"/>
        </w:trPr>
        <w:tc>
          <w:tcPr>
            <w:tcW w:w="60" w:type="dxa"/>
            <w:vAlign w:val="bottom"/>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57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5"/>
        </w:trPr>
        <w:tc>
          <w:tcPr>
            <w:tcW w:w="60" w:type="dxa"/>
            <w:vAlign w:val="bottom"/>
          </w:tcPr>
          <w:p>
            <w:pPr>
              <w:spacing w:after="0"/>
              <w:rPr>
                <w:sz w:val="17"/>
                <w:szCs w:val="17"/>
                <w:color w:val="auto"/>
              </w:rPr>
            </w:pPr>
          </w:p>
        </w:tc>
        <w:tc>
          <w:tcPr>
            <w:tcW w:w="680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5"/>
        </w:trPr>
        <w:tc>
          <w:tcPr>
            <w:tcW w:w="60" w:type="dxa"/>
            <w:vAlign w:val="bottom"/>
          </w:tcPr>
          <w:p>
            <w:pPr>
              <w:spacing w:after="0"/>
              <w:rPr>
                <w:sz w:val="19"/>
                <w:szCs w:val="19"/>
                <w:color w:val="auto"/>
              </w:rPr>
            </w:pPr>
          </w:p>
        </w:tc>
        <w:tc>
          <w:tcPr>
            <w:tcW w:w="6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8,075.3</w:t>
            </w: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0" w:type="dxa"/>
            <w:vAlign w:val="bottom"/>
          </w:tcPr>
          <w:p>
            <w:pPr>
              <w:spacing w:after="0"/>
              <w:rPr>
                <w:sz w:val="19"/>
                <w:szCs w:val="19"/>
                <w:color w:val="auto"/>
              </w:rPr>
            </w:pPr>
          </w:p>
        </w:tc>
        <w:tc>
          <w:tcPr>
            <w:tcW w:w="6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r>
      <w:tr>
        <w:trPr>
          <w:trHeight w:val="225"/>
        </w:trPr>
        <w:tc>
          <w:tcPr>
            <w:tcW w:w="60" w:type="dxa"/>
            <w:vAlign w:val="bottom"/>
          </w:tcPr>
          <w:p>
            <w:pPr>
              <w:spacing w:after="0"/>
              <w:rPr>
                <w:sz w:val="19"/>
                <w:szCs w:val="19"/>
                <w:color w:val="auto"/>
              </w:rPr>
            </w:pPr>
          </w:p>
        </w:tc>
        <w:tc>
          <w:tcPr>
            <w:tcW w:w="6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Losses (gains) on marketable and other securities, net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non-cash items, net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r>
      <w:tr>
        <w:trPr>
          <w:trHeight w:val="225"/>
        </w:trPr>
        <w:tc>
          <w:tcPr>
            <w:tcW w:w="60" w:type="dxa"/>
            <w:vAlign w:val="bottom"/>
          </w:tcPr>
          <w:p>
            <w:pPr>
              <w:spacing w:after="0"/>
              <w:rPr>
                <w:sz w:val="19"/>
                <w:szCs w:val="19"/>
                <w:color w:val="auto"/>
              </w:rPr>
            </w:pPr>
          </w:p>
        </w:tc>
        <w:tc>
          <w:tcPr>
            <w:tcW w:w="6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Acquired in-process research and development in connection with asset acquisition</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0" w:type="dxa"/>
            <w:vAlign w:val="bottom"/>
          </w:tcPr>
          <w:p>
            <w:pPr>
              <w:spacing w:after="0"/>
              <w:rPr>
                <w:sz w:val="19"/>
                <w:szCs w:val="19"/>
                <w:color w:val="auto"/>
              </w:rPr>
            </w:pPr>
          </w:p>
        </w:tc>
        <w:tc>
          <w:tcPr>
            <w:tcW w:w="6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w:t>
            </w:r>
          </w:p>
        </w:tc>
      </w:tr>
      <w:tr>
        <w:trPr>
          <w:trHeight w:val="225"/>
        </w:trPr>
        <w:tc>
          <w:tcPr>
            <w:tcW w:w="60" w:type="dxa"/>
            <w:vAlign w:val="bottom"/>
          </w:tcPr>
          <w:p>
            <w:pPr>
              <w:spacing w:after="0"/>
              <w:rPr>
                <w:sz w:val="19"/>
                <w:szCs w:val="19"/>
                <w:color w:val="auto"/>
              </w:rPr>
            </w:pPr>
          </w:p>
        </w:tc>
        <w:tc>
          <w:tcPr>
            <w:tcW w:w="6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Increase in inventories</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w:t>
            </w: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25"/>
        </w:trPr>
        <w:tc>
          <w:tcPr>
            <w:tcW w:w="60" w:type="dxa"/>
            <w:vAlign w:val="bottom"/>
          </w:tcPr>
          <w:p>
            <w:pPr>
              <w:spacing w:after="0"/>
              <w:rPr>
                <w:sz w:val="19"/>
                <w:szCs w:val="19"/>
                <w:color w:val="auto"/>
              </w:rPr>
            </w:pPr>
          </w:p>
        </w:tc>
        <w:tc>
          <w:tcPr>
            <w:tcW w:w="68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other liabilities</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w:t>
            </w:r>
          </w:p>
        </w:tc>
      </w:tr>
      <w:tr>
        <w:trPr>
          <w:trHeight w:val="218"/>
        </w:trPr>
        <w:tc>
          <w:tcPr>
            <w:tcW w:w="60" w:type="dxa"/>
            <w:vAlign w:val="bottom"/>
          </w:tcPr>
          <w:p>
            <w:pPr>
              <w:spacing w:after="0"/>
              <w:rPr>
                <w:sz w:val="19"/>
                <w:szCs w:val="19"/>
                <w:color w:val="auto"/>
              </w:rPr>
            </w:pPr>
          </w:p>
        </w:tc>
        <w:tc>
          <w:tcPr>
            <w:tcW w:w="6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adjustments</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(994.0)</w:t>
            </w:r>
          </w:p>
        </w:tc>
      </w:tr>
      <w:tr>
        <w:trPr>
          <w:trHeight w:val="218"/>
        </w:trPr>
        <w:tc>
          <w:tcPr>
            <w:tcW w:w="6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7,081.3</w:t>
            </w:r>
          </w:p>
        </w:tc>
      </w:tr>
      <w:tr>
        <w:trPr>
          <w:trHeight w:val="192"/>
        </w:trPr>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0" w:type="dxa"/>
            <w:vAlign w:val="bottom"/>
          </w:tcPr>
          <w:p>
            <w:pPr>
              <w:spacing w:after="0"/>
              <w:rPr>
                <w:sz w:val="19"/>
                <w:szCs w:val="19"/>
                <w:color w:val="auto"/>
              </w:rPr>
            </w:pPr>
          </w:p>
        </w:tc>
        <w:tc>
          <w:tcPr>
            <w:tcW w:w="6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(7,048.1)</w:t>
            </w: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2,215.3</w:t>
            </w:r>
          </w:p>
        </w:tc>
      </w:tr>
      <w:tr>
        <w:trPr>
          <w:trHeight w:val="225"/>
        </w:trPr>
        <w:tc>
          <w:tcPr>
            <w:tcW w:w="60" w:type="dxa"/>
            <w:vAlign w:val="bottom"/>
          </w:tcPr>
          <w:p>
            <w:pPr>
              <w:spacing w:after="0"/>
              <w:rPr>
                <w:sz w:val="19"/>
                <w:szCs w:val="19"/>
                <w:color w:val="auto"/>
              </w:rPr>
            </w:pPr>
          </w:p>
        </w:tc>
        <w:tc>
          <w:tcPr>
            <w:tcW w:w="6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for Libtayo intangible asset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0" w:type="dxa"/>
            <w:vAlign w:val="bottom"/>
          </w:tcPr>
          <w:p>
            <w:pPr>
              <w:spacing w:after="0"/>
              <w:rPr>
                <w:sz w:val="19"/>
                <w:szCs w:val="19"/>
                <w:color w:val="auto"/>
              </w:rPr>
            </w:pPr>
          </w:p>
        </w:tc>
        <w:tc>
          <w:tcPr>
            <w:tcW w:w="6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6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(5,384.7)</w:t>
            </w:r>
          </w:p>
        </w:tc>
      </w:tr>
      <w:tr>
        <w:trPr>
          <w:trHeight w:val="192"/>
        </w:trPr>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0" w:type="dxa"/>
            <w:vAlign w:val="bottom"/>
          </w:tcPr>
          <w:p>
            <w:pPr>
              <w:spacing w:after="0"/>
              <w:rPr>
                <w:sz w:val="19"/>
                <w:szCs w:val="19"/>
                <w:color w:val="auto"/>
              </w:rPr>
            </w:pPr>
          </w:p>
        </w:tc>
        <w:tc>
          <w:tcPr>
            <w:tcW w:w="6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1,672.3</w:t>
            </w: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(1,032.7)</w:t>
            </w:r>
          </w:p>
        </w:tc>
      </w:tr>
      <w:tr>
        <w:trPr>
          <w:trHeight w:val="225"/>
        </w:trPr>
        <w:tc>
          <w:tcPr>
            <w:tcW w:w="60" w:type="dxa"/>
            <w:vAlign w:val="bottom"/>
          </w:tcPr>
          <w:p>
            <w:pPr>
              <w:spacing w:after="0"/>
              <w:rPr>
                <w:sz w:val="19"/>
                <w:szCs w:val="19"/>
                <w:color w:val="auto"/>
              </w:rPr>
            </w:pPr>
          </w:p>
        </w:tc>
        <w:tc>
          <w:tcPr>
            <w:tcW w:w="68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(1,645.4)</w:t>
            </w:r>
          </w:p>
        </w:tc>
      </w:tr>
      <w:tr>
        <w:trPr>
          <w:trHeight w:val="218"/>
        </w:trPr>
        <w:tc>
          <w:tcPr>
            <w:tcW w:w="6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w:t>
            </w:r>
          </w:p>
        </w:tc>
      </w:tr>
      <w:tr>
        <w:trPr>
          <w:trHeight w:val="212"/>
        </w:trPr>
        <w:tc>
          <w:tcPr>
            <w:tcW w:w="60" w:type="dxa"/>
            <w:vAlign w:val="bottom"/>
          </w:tcPr>
          <w:p>
            <w:pPr>
              <w:spacing w:after="0"/>
              <w:rPr>
                <w:sz w:val="18"/>
                <w:szCs w:val="18"/>
                <w:color w:val="auto"/>
              </w:rPr>
            </w:pPr>
          </w:p>
        </w:tc>
        <w:tc>
          <w:tcPr>
            <w:tcW w:w="68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60" w:type="dxa"/>
            <w:vAlign w:val="bottom"/>
          </w:tcPr>
          <w:p>
            <w:pPr>
              <w:spacing w:after="0"/>
              <w:rPr>
                <w:sz w:val="18"/>
                <w:szCs w:val="18"/>
                <w:color w:val="auto"/>
              </w:rPr>
            </w:pPr>
          </w:p>
        </w:tc>
        <w:tc>
          <w:tcPr>
            <w:tcW w:w="68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w:t>
            </w:r>
          </w:p>
        </w:tc>
      </w:tr>
      <w:tr>
        <w:trPr>
          <w:trHeight w:val="212"/>
        </w:trPr>
        <w:tc>
          <w:tcPr>
            <w:tcW w:w="60" w:type="dxa"/>
            <w:vAlign w:val="bottom"/>
          </w:tcPr>
          <w:p>
            <w:pPr>
              <w:spacing w:after="0"/>
              <w:rPr>
                <w:sz w:val="18"/>
                <w:szCs w:val="18"/>
                <w:color w:val="auto"/>
              </w:rPr>
            </w:pPr>
          </w:p>
        </w:tc>
        <w:tc>
          <w:tcPr>
            <w:tcW w:w="68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2,207.3</w:t>
            </w:r>
          </w:p>
        </w:tc>
      </w:tr>
      <w:tr>
        <w:trPr>
          <w:trHeight w:val="192"/>
        </w:trPr>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50"/>
        </w:trPr>
        <w:tc>
          <w:tcPr>
            <w:tcW w:w="60" w:type="dxa"/>
            <w:vAlign w:val="bottom"/>
          </w:tcPr>
          <w:p>
            <w:pPr>
              <w:spacing w:after="0"/>
              <w:rPr>
                <w:sz w:val="21"/>
                <w:szCs w:val="21"/>
                <w:color w:val="auto"/>
              </w:rPr>
            </w:pPr>
          </w:p>
        </w:tc>
        <w:tc>
          <w:tcPr>
            <w:tcW w:w="6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w:t>
            </w:r>
          </w:p>
        </w:tc>
      </w:tr>
      <w:tr>
        <w:trPr>
          <w:trHeight w:val="20"/>
        </w:trPr>
        <w:tc>
          <w:tcPr>
            <w:tcW w:w="60" w:type="dxa"/>
            <w:vAlign w:val="bottom"/>
          </w:tcPr>
          <w:p>
            <w:pPr>
              <w:spacing w:after="0" w:line="20" w:lineRule="exact"/>
              <w:rPr>
                <w:sz w:val="1"/>
                <w:szCs w:val="1"/>
                <w:color w:val="auto"/>
              </w:rPr>
            </w:pPr>
          </w:p>
        </w:tc>
        <w:tc>
          <w:tcPr>
            <w:tcW w:w="680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5"/>
        </w:trPr>
        <w:tc>
          <w:tcPr>
            <w:tcW w:w="60" w:type="dxa"/>
            <w:vAlign w:val="bottom"/>
          </w:tcPr>
          <w:p>
            <w:pPr>
              <w:spacing w:after="0"/>
              <w:rPr>
                <w:sz w:val="19"/>
                <w:szCs w:val="19"/>
                <w:color w:val="auto"/>
              </w:rPr>
            </w:pPr>
          </w:p>
        </w:tc>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5"/>
        </w:trPr>
        <w:tc>
          <w:tcPr>
            <w:tcW w:w="60" w:type="dxa"/>
            <w:vAlign w:val="bottom"/>
          </w:tcPr>
          <w:p>
            <w:pPr>
              <w:spacing w:after="0"/>
              <w:rPr>
                <w:sz w:val="19"/>
                <w:szCs w:val="19"/>
                <w:color w:val="auto"/>
              </w:rPr>
            </w:pPr>
          </w:p>
        </w:tc>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w:t>
            </w:r>
          </w:p>
        </w:tc>
      </w:tr>
    </w:tbl>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15875</wp:posOffset>
            </wp:positionV>
            <wp:extent cx="70758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5">
                      <a:extLst>
                        <a:ext uri="{28A0092B-C50C-407E-A947-70E740481C1C}"/>
                      </a:extLst>
                    </a:blip>
                    <a:srcRect/>
                    <a:stretch>
                      <a:fillRect/>
                    </a:stretch>
                  </pic:blipFill>
                  <pic:spPr bwMode="auto">
                    <a:xfrm>
                      <a:off x="0" y="0"/>
                      <a:ext cx="7075805" cy="8255"/>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41275</wp:posOffset>
            </wp:positionV>
            <wp:extent cx="70758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6">
                      <a:extLst>
                        <a:ext uri="{28A0092B-C50C-407E-A947-70E740481C1C}"/>
                      </a:extLst>
                    </a:blip>
                    <a:srcRect/>
                    <a:stretch>
                      <a:fillRect/>
                    </a:stretch>
                  </pic:blipFill>
                  <pic:spPr bwMode="auto">
                    <a:xfrm>
                      <a:off x="0" y="0"/>
                      <a:ext cx="7075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353" w:right="3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Overview and Summary of Significant Accounting Policies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Regeneron Pharmaceuticals, Inc. and its subsidiaries ("Regeneron," "Company," "we," "us," and "our") is a fully integrated biotechnology company that invents, develops, manufactures, and commercializes medicines for people with serious diseases. The Company's products and product candidates in development are designed to help patients with eye diseases, allergic and inflammatory diseases, cancer, cardiovascular and metabolic diseases, hematologic conditions, infectious diseases, and rare diseases. The Company's research and development efforts have led to eleven products that have received marketing approval by the U.S. Food and Drug Administration ("FDA"). In addition, REGEN-COV</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was authorized under an Emergency Use Authorization ("EUA") from November 2020 until January 2022 when the EUA was revised to exclude its use in geographic regions where infection or exposure is likely due to a variant that is not susceptible to the treatment; as a result, REGEN-COV is not currently authorized for use in any U.S. states, territories, or jurisdictions. The Company is a party to collaboration agreements to develop and commercialize, as applicable, certain products and product candidates (see Note 3).</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the discovery, development, and commercialization of medicines for serious diseases. The Company's business is subject to certain risks including, but not limited to, uncertainties relating to conducting research activities, product development, obtaining regulatory approvals, competition, and obtaining and enforcing patents.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Regeneron and its wholly-owned subsidiaries. Intercompany balances and transactions are eliminated in consolidation.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with the current period's presentation.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Financial instruments which potentially expose the Company to concentrations of credit risk consist of cash, cash equivalents, certain investments, and accounts receivable. In accordance with the Company's policies, the Company mandates asset diversification and monitors exposure with its counterparties.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Concentrations of credit risk with respect to collaborator (see Note 3) and customer accounts receivable are significant. As of December 31, 2023 and 2022, two individual customers accounted for 83% and 86% of the Company's net trade accounts receivable balances, respectively. The Company has contractual payment terms with each of its collaborators and customers, and the Company monitors their financial performance and credit worthiness so that it can properly assess and respond to any changes in their credit profile. As of December 31, 2023 and 2022, there were no write-offs and allowances of accounts receivable related to credit risk for the Company's collaborators or customers.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considers all highly liquid debt instruments with a maturity of three months or less when purchased to be cash equivalents. The carrying amount reported in the Consolidated Balance Sheet for cash and cash equivalents approximates its fair value.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Equity Securities</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has an investment policy that includes guidelines on acceptable investment securities, minimum credit quality, maturity parameters, and diversification. The Company invests its cash primarily in debt securities. The Company considers its investments in debt securities to be "available-for-sale," as defined by authoritative guidance issued by the Financial Accounting Standards Board ("FASB"). These assets are carried at fair value and the unrealized gains and losses are included in accumulated other comprehensive income (loss). Realized gains and losses on available-for-sale debt securities are included in other income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(expense), net.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Company also has investments in equity securities that are carried at fair value with changes in fair value recognized within other income (expense), net. The Company has elected to measure certain equity investments it holds that do not have readily determinable fair values at cost less impairment, if any, and adjusts for observable price changes in orderly transactions for identical or similar investments of the same issuer within other income (expense), net.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trade accounts receivable arise from product sales and represent amounts due from its customers. In addition, the Company records accounts receivable arising from its collaboration and licensing agreements. The Company monitors the financial performance and credit worthiness of its counterparties so that it can properly assess and respond to changes in their credit profile. The Company provides allowances against receivables for estimated losses, if any, that may result from a counterparty's inability to pay. Amounts determined to be uncollectible are written-off against the allowance.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are stated at the lower of cost or net realizable value. The Company determines the cost of inventory using the first-in, first-out, or FIFO, method.</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prior to expected sale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write down such inventory to its estimated realizable value.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Depreciation is calculated on a straight-line basis over the estimated useful lives of the assets. Leasehold improvements are amortized over the shorter of the estimated useful lives of the assets or the remaining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within income from operations. The estimated useful lives of property, plant, and equipment are as follows:</w:t>
      </w:r>
    </w:p>
    <w:p>
      <w:pPr>
        <w:spacing w:after="0" w:line="243" w:lineRule="exact"/>
        <w:rPr>
          <w:sz w:val="20"/>
          <w:szCs w:val="20"/>
          <w:color w:val="auto"/>
        </w:rPr>
      </w:pPr>
    </w:p>
    <w:tbl>
      <w:tblPr>
        <w:tblLayout w:type="fixed"/>
        <w:tblInd w:w="3520" w:type="dxa"/>
        <w:tblCellMar>
          <w:top w:w="0" w:type="dxa"/>
          <w:left w:w="0" w:type="dxa"/>
          <w:bottom w:w="0" w:type="dxa"/>
          <w:right w:w="0" w:type="dxa"/>
        </w:tblCellMar>
      </w:tblPr>
      <w:tr>
        <w:trPr>
          <w:trHeight w:val="225"/>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10–50 years</w:t>
            </w: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Laboratory and other equipment</w:t>
            </w:r>
          </w:p>
        </w:tc>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 years</w:t>
            </w:r>
          </w:p>
        </w:tc>
      </w:tr>
      <w:tr>
        <w:trPr>
          <w:trHeight w:val="225"/>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0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considering whether there is an identified asset and the contract conveys the right to control its use. Leases with an initial term of 12 months or less are not recorded on the balance sheet. The Company may include options to extend or terminate a lease within the lease term when it is reasonably certain that it will exercise that option. The Company accounts for lease components (e.g., rental payments) separately from non-lease components (e.g., common area maintenance costs).</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Lease liabilities are recognized at the lease commencement date based on the present value of the remaining lease payments, discounted using the rate implicit in the lease. For leases where an implicit rate is not readily determinable, the Company uses its incremental borrowing rate based on information available at the lease commencement date to determine the present value of future lease payments. Lease expense for operating leases is recognized on a straight-line basis over the expected lease term.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makes a determination whether a transaction should be accounted for as a business combination or as an asset acquisition. In a business combination, the acquisition method of accounting generally requires that the assets acquired and liabilities assumed be recorded as of the date of the acquisition at their respective fair values. Amounts allocated to acquired in-process research and development are capitalized as indefinite-lived intangible assets. Any excess of the purchase price (consideration transferred) over the fair values of net assets acquired is recorded as goodwill. In a business combination, contingent consideration obligations are recorded at fair value as of the acquisition date and remeasured each subsequent reporting period until the contingencies have been resolved, with any changes in fair value recorded in Other operating (income) expense, net.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it is determined that the assets acquired do not meet the definition of a business, or if substantially all of the fair value of the assets acquired are concentrated in a single identifiable asset, then the transaction is accounted for as an asset acquisition rather than a business combination. In an asset acquisition, assets acquired are recorded at cost, goodwill is not recognized, and acquired in-process research and development with no alternative future use is charged to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recorded at fair value, while intangible assets acquired in connection with an asset acquisition are recorded at cost.</w:t>
      </w:r>
    </w:p>
    <w:p>
      <w:pPr>
        <w:spacing w:after="0" w:line="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Payments to acquire intangible assets in an asset acquisition may include up-front payments and contingent consideration. With regard to contingent consideration in an asset acquisition, the Company recognizes regulatory milestones upon achievement, royalties in the period in which the underlying sales occur, and sales-based milestones when the milestone is deemed probable by the Company of being achieved. If contingent consideration is recognized subsequent to the acquisition date in an asset acquisition, the amount of such consideration is recorded as an addition to the cost basis of the intangible asset with a cumulative catch-up adjustment for amortization expense as if the additional amount of consideration had been accrued from the outset of the acquisition.</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Indefinite-lived intangible assets are subject to impairment testing until completion or abandonment of the associated research and development efforts. Definite-lived intangible assets are amortized to Cost of goods sold over the estimated useful lives of the assets based on the pattern in which the economic benefits of the intangible assets are consumed; if that pattern cannot be reliably determined, a straight-line basis is used.</w:t>
      </w:r>
    </w:p>
    <w:p>
      <w:pPr>
        <w:spacing w:after="0" w:line="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are reviewed for recoverability whenever events or changes in circumstances indicate that the carrying amount of the asset may not be recoverable. If an indicator of impairment exists, the Company compares the projected undiscounted cash flows to be generated by the asset to the intangible asset's carrying amount. If the projected undiscounted cash flows of the intangible asset are less than the carrying amount, the intangible asset is written down to its fair value in the period in which the impairment occurs.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Company's customer is deemed to have obtained control of the product, which generally occurs upon receipt or acceptance by its customer.</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amount of revenue the Company recognizes from product sales may vary due to rebates, chargebacks, and discounts provided under governmental and other programs, distribution-related fees, and other sales-related deductions. In order to determine the transaction price, the Company estimates, utilizing the expected value method, the amount of variable consideration to which the Company will be entitled. This estimate is based upon contracts with customers, healthcare providers, payors, and government agencies, statutorily-defined discounts applicable to government-funded programs, historical experience, estimated payor mix,</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and other relevant factors. The Company reviews its estimates of rebates, chargebacks, and other applicable provisions each period and records any necessary adjustments in the current period's net product sales.</w:t>
      </w:r>
    </w:p>
    <w:p>
      <w:pPr>
        <w:spacing w:after="0" w:line="82" w:lineRule="exact"/>
        <w:rPr>
          <w:sz w:val="20"/>
          <w:szCs w:val="20"/>
          <w:color w:val="auto"/>
        </w:rPr>
      </w:pPr>
    </w:p>
    <w:p>
      <w:pPr>
        <w:jc w:val="both"/>
        <w:ind w:left="640" w:hanging="316"/>
        <w:spacing w:after="0" w:line="250"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Rebates: </w:t>
      </w:r>
      <w:r>
        <w:rPr>
          <w:rFonts w:ascii="Times New Roman" w:cs="Times New Roman" w:eastAsia="Times New Roman" w:hAnsi="Times New Roman"/>
          <w:sz w:val="18"/>
          <w:szCs w:val="18"/>
          <w:color w:val="auto"/>
        </w:rPr>
        <w:t>The Company's rebates include amounts paid to managed care organizations, group purchasing organizations, state Medicaid programs,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rebate programs. The Company estimates reductions to product sales for each type of rebate and records an allowance for rebates in the same period in which the related product sales are recognized. The Company's liability for rebates consists of estimates for claims related to the current and prior periods that have not been paid and estimates for claims that will be made related to product that exists in the distribution channel at the end of the period.</w:t>
      </w:r>
    </w:p>
    <w:p>
      <w:pPr>
        <w:spacing w:after="0" w:line="3"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Chargebacks and Discounts: </w:t>
      </w:r>
      <w:r>
        <w:rPr>
          <w:rFonts w:ascii="Times New Roman" w:cs="Times New Roman" w:eastAsia="Times New Roman" w:hAnsi="Times New Roman"/>
          <w:sz w:val="18"/>
          <w:szCs w:val="18"/>
          <w:color w:val="auto"/>
        </w:rPr>
        <w:t>The Company's reserves related to discounted pricing to eligible physicians, Veterans' Administration ("VA"),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Services, and others (collectively "qualified healthcare providers") represent the Company's estimated obligations resulting from 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discounted selling price to the qualified healthcare providers. The Company estimates reductions to product sales for each type of chargeback and records an allowance for chargebacks in the same period that the related product sales are recognized. The Company's reserve for chargebacks consists of amounts for which it expects to issue credit based on expected sales by its customers to qualified healthcare providers and chargebacks that customers have claimed but for which the Company has not yet issued credit.</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Distribution-Related Fees: </w:t>
      </w:r>
      <w:r>
        <w:rPr>
          <w:rFonts w:ascii="Times New Roman" w:cs="Times New Roman" w:eastAsia="Times New Roman" w:hAnsi="Times New Roman"/>
          <w:sz w:val="18"/>
          <w:szCs w:val="18"/>
          <w:color w:val="auto"/>
        </w:rPr>
        <w:t>The Company has written contracts with its customers that include terms for distribution-related fees.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records distribution and related fees due to its customers generally based on gross sales.</w:t>
      </w:r>
    </w:p>
    <w:p>
      <w:pPr>
        <w:spacing w:after="0" w:line="1" w:lineRule="exact"/>
        <w:rPr>
          <w:rFonts w:ascii="Times New Roman" w:cs="Times New Roman" w:eastAsia="Times New Roman" w:hAnsi="Times New Roman"/>
          <w:sz w:val="18"/>
          <w:szCs w:val="18"/>
          <w:i w:val="1"/>
          <w:iCs w:val="1"/>
          <w:color w:val="auto"/>
        </w:rPr>
      </w:pPr>
    </w:p>
    <w:p>
      <w:pPr>
        <w:ind w:left="640" w:hanging="316"/>
        <w:spacing w:after="0" w:line="251" w:lineRule="auto"/>
        <w:tabs>
          <w:tab w:leader="none" w:pos="635"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Sales-Related Deductions</w:t>
      </w:r>
      <w:r>
        <w:rPr>
          <w:rFonts w:ascii="Times New Roman" w:cs="Times New Roman" w:eastAsia="Times New Roman" w:hAnsi="Times New Roman"/>
          <w:sz w:val="18"/>
          <w:szCs w:val="18"/>
          <w:color w:val="auto"/>
        </w:rPr>
        <w:t>: The Company's other sales-related deductions include co-pay assistance programs and product returns.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estimates and records other sales-related deductions generally based on gross sales, written contracts, and other relevant factors.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Consistent with industry practice, the Company generally offers its customers a limited right to return product purchased directly from the Company, which is principally based upon the product's expiration date. Product returned is generally not resalable given the nature of the Company's products and method of administration. The Company develops estimates for product returns based upon historical experience, shelf life of the product, and other relevant factors. The Company monitors product supply levels in the distribution channel, as well as sales by its customers, using product-specific data provided by its customers. If necessary, the Company's estimates of product returns may be adjusted in the future based on actual returns experience, known or expected changes in the marketplace, or other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Collaborative Arrangements</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entered into various collaborative arrangements to research, develop, manufacture, and commercialize products and/or product candidates. Although each of these arrangements is unique in nature, such arrangements involve a joint operating activity where both parties are active participants in the activities of the collaboration and exposed to significant risks and rewards dependent on the commercial success of the activities.</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arrangements where the Company does not deem its collaborator to be its customer, payments to and from its collaborator are presented in the Company's statement of operations based on the nature of our business operations, the nature of the arrangement, including the contractual terms, and the nature of the payments. In general, the presentation of such amounts is summarized below.</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8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Nature/Type of Payment</w:t>
            </w:r>
          </w:p>
        </w:tc>
        <w:tc>
          <w:tcPr>
            <w:tcW w:w="51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Statement of Operations Presentation</w:t>
            </w:r>
          </w:p>
        </w:tc>
      </w:tr>
      <w:tr>
        <w:trPr>
          <w:trHeight w:val="165"/>
        </w:trPr>
        <w:tc>
          <w:tcPr>
            <w:tcW w:w="548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w w:val="99"/>
              </w:rPr>
              <w:t>Regeneron's share of profits or losses in connection with commercialization</w:t>
            </w:r>
          </w:p>
        </w:tc>
        <w:tc>
          <w:tcPr>
            <w:tcW w:w="100" w:type="dxa"/>
            <w:vAlign w:val="bottom"/>
            <w:tcBorders>
              <w:top w:val="single" w:sz="8" w:color="CCEEFF"/>
            </w:tcBorders>
            <w:shd w:val="clear" w:color="auto" w:fill="CCEEFF"/>
          </w:tcPr>
          <w:p>
            <w:pPr>
              <w:spacing w:after="0"/>
              <w:rPr>
                <w:sz w:val="14"/>
                <w:szCs w:val="14"/>
                <w:color w:val="auto"/>
              </w:rPr>
            </w:pPr>
          </w:p>
        </w:tc>
        <w:tc>
          <w:tcPr>
            <w:tcW w:w="516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Collaboration revenue</w:t>
            </w:r>
          </w:p>
        </w:tc>
      </w:tr>
      <w:tr>
        <w:trPr>
          <w:trHeight w:val="239"/>
        </w:trPr>
        <w:tc>
          <w:tcPr>
            <w:tcW w:w="5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products</w:t>
            </w:r>
          </w:p>
        </w:tc>
        <w:tc>
          <w:tcPr>
            <w:tcW w:w="5160" w:type="dxa"/>
            <w:vAlign w:val="bottom"/>
            <w:shd w:val="clear" w:color="auto" w:fill="CCEEFF"/>
          </w:tcPr>
          <w:p>
            <w:pPr>
              <w:spacing w:after="0"/>
              <w:rPr>
                <w:sz w:val="20"/>
                <w:szCs w:val="20"/>
                <w:color w:val="auto"/>
              </w:rPr>
            </w:pPr>
          </w:p>
        </w:tc>
      </w:tr>
      <w:tr>
        <w:trPr>
          <w:trHeight w:val="22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Reimbursement for manufacturing of commercial supplies</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r>
      <w:tr>
        <w:trPr>
          <w:trHeight w:val="225"/>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 and/or sales-based milestones earned</w:t>
            </w: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r>
      <w:tr>
        <w:trPr>
          <w:trHeight w:val="22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Reimbursement of Regeneron's research and development expenses</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 to Research and development expenses</w:t>
            </w:r>
          </w:p>
        </w:tc>
      </w:tr>
      <w:tr>
        <w:trPr>
          <w:trHeight w:val="172"/>
        </w:trPr>
        <w:tc>
          <w:tcPr>
            <w:tcW w:w="55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Regeneron's obligation for its share of collaborator's research and</w:t>
            </w:r>
          </w:p>
        </w:tc>
        <w:tc>
          <w:tcPr>
            <w:tcW w:w="51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Research and development expense</w:t>
            </w:r>
          </w:p>
        </w:tc>
      </w:tr>
      <w:tr>
        <w:trPr>
          <w:trHeight w:val="238"/>
        </w:trPr>
        <w:tc>
          <w:tcPr>
            <w:tcW w:w="5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development expenses</w:t>
            </w:r>
          </w:p>
        </w:tc>
        <w:tc>
          <w:tcPr>
            <w:tcW w:w="5160" w:type="dxa"/>
            <w:vAlign w:val="bottom"/>
            <w:shd w:val="clear" w:color="auto" w:fill="CCEEFF"/>
          </w:tcPr>
          <w:p>
            <w:pPr>
              <w:spacing w:after="0"/>
              <w:rPr>
                <w:sz w:val="20"/>
                <w:szCs w:val="20"/>
                <w:color w:val="auto"/>
              </w:rPr>
            </w:pPr>
          </w:p>
        </w:tc>
      </w:tr>
      <w:tr>
        <w:trPr>
          <w:trHeight w:val="225"/>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Up-front/opt-in and development milestone payments to collaborators</w:t>
            </w: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 expense</w:t>
            </w:r>
          </w:p>
        </w:tc>
      </w:tr>
      <w:tr>
        <w:trPr>
          <w:trHeight w:val="225"/>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of Regeneron's commercialization-related expenses</w:t>
            </w: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to Selling, general, and administrative expense</w:t>
            </w:r>
          </w:p>
        </w:tc>
      </w:tr>
      <w:tr>
        <w:trPr>
          <w:trHeight w:val="172"/>
        </w:trPr>
        <w:tc>
          <w:tcPr>
            <w:tcW w:w="55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Regeneron's obligation for its share of collaborator's commercialization-</w:t>
            </w:r>
          </w:p>
        </w:tc>
        <w:tc>
          <w:tcPr>
            <w:tcW w:w="51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Selling, general, and administrative expense</w:t>
            </w:r>
          </w:p>
        </w:tc>
      </w:tr>
      <w:tr>
        <w:trPr>
          <w:trHeight w:val="235"/>
        </w:trPr>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expenses</w:t>
            </w:r>
          </w:p>
        </w:tc>
        <w:tc>
          <w:tcPr>
            <w:tcW w:w="5160" w:type="dxa"/>
            <w:vAlign w:val="bottom"/>
          </w:tcPr>
          <w:p>
            <w:pPr>
              <w:spacing w:after="0"/>
              <w:rPr>
                <w:sz w:val="20"/>
                <w:szCs w:val="20"/>
                <w:color w:val="auto"/>
              </w:rPr>
            </w:pPr>
          </w:p>
        </w:tc>
      </w:tr>
      <w:tr>
        <w:trPr>
          <w:trHeight w:val="176"/>
        </w:trPr>
        <w:tc>
          <w:tcPr>
            <w:tcW w:w="55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obligation to pay collaborator for its share of gross profits when</w:t>
            </w:r>
          </w:p>
        </w:tc>
        <w:tc>
          <w:tcPr>
            <w:tcW w:w="5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Cost of goods sold</w:t>
            </w:r>
          </w:p>
        </w:tc>
      </w:tr>
      <w:tr>
        <w:trPr>
          <w:trHeight w:val="239"/>
        </w:trPr>
        <w:tc>
          <w:tcPr>
            <w:tcW w:w="5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Regeneron is deemed to be the principal</w:t>
            </w:r>
          </w:p>
        </w:tc>
        <w:tc>
          <w:tcPr>
            <w:tcW w:w="5160" w:type="dxa"/>
            <w:vAlign w:val="bottom"/>
            <w:shd w:val="clear" w:color="auto" w:fill="CCEEFF"/>
          </w:tcPr>
          <w:p>
            <w:pPr>
              <w:spacing w:after="0"/>
              <w:rPr>
                <w:sz w:val="20"/>
                <w:szCs w:val="20"/>
                <w:color w:val="auto"/>
              </w:rPr>
            </w:pPr>
          </w:p>
        </w:tc>
      </w:tr>
      <w:tr>
        <w:trPr>
          <w:trHeight w:val="172"/>
        </w:trPr>
        <w:tc>
          <w:tcPr>
            <w:tcW w:w="55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Up-front and development milestones earned (when there is a combined unit</w:t>
            </w:r>
          </w:p>
        </w:tc>
        <w:tc>
          <w:tcPr>
            <w:tcW w:w="51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Other operating income</w:t>
            </w:r>
          </w:p>
        </w:tc>
      </w:tr>
      <w:tr>
        <w:trPr>
          <w:trHeight w:val="172"/>
        </w:trPr>
        <w:tc>
          <w:tcPr>
            <w:tcW w:w="558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8"/>
                <w:szCs w:val="18"/>
                <w:color w:val="auto"/>
              </w:rPr>
              <w:t>of account which includes a license and providing research and</w:t>
            </w:r>
          </w:p>
        </w:tc>
        <w:tc>
          <w:tcPr>
            <w:tcW w:w="5160" w:type="dxa"/>
            <w:vAlign w:val="bottom"/>
          </w:tcPr>
          <w:p>
            <w:pPr>
              <w:spacing w:after="0"/>
              <w:rPr>
                <w:sz w:val="14"/>
                <w:szCs w:val="14"/>
                <w:color w:val="auto"/>
              </w:rPr>
            </w:pPr>
          </w:p>
        </w:tc>
      </w:tr>
      <w:tr>
        <w:trPr>
          <w:trHeight w:val="231"/>
        </w:trPr>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development services)</w:t>
            </w:r>
          </w:p>
        </w:tc>
        <w:tc>
          <w:tcPr>
            <w:tcW w:w="5160" w:type="dxa"/>
            <w:vAlign w:val="bottom"/>
          </w:tcPr>
          <w:p>
            <w:pPr>
              <w:spacing w:after="0"/>
              <w:rPr>
                <w:sz w:val="20"/>
                <w:szCs w:val="20"/>
                <w:color w:val="auto"/>
              </w:rPr>
            </w:pPr>
          </w:p>
        </w:tc>
      </w:tr>
    </w:tbl>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agreements involving multiple goods or services promised to be transferred to the Company's collaborator, the Company assesses, at the inception of the contract, whether each promise represents a separate obligation (i.e., is "distinct"), or whether such promises should be combined as a single unit of account. When the Company has a combined unit of account which includes a license and providing research and development services to its collaborator, recognition of up-front payments and development milestones earned from its collaborator is deferred (as a liability) and recognized over the development period (i.e., over time) typically using an input method on the basis of the Company's research and development costs incurred relative to the total expected cost which determines the extent of the Company's progress toward completion. The Company reviews its estimates each period and makes revisions to such estimates as necessary.</w:t>
      </w:r>
    </w:p>
    <w:p>
      <w:pPr>
        <w:spacing w:after="0" w:line="1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When the Company is entitled to reimbursement of all or a portion of the expenses (e.g., research and development expenses) that it incurs under a collaboration, it records those reimbursable amounts in the period in which such costs are incurred.</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Company's collaborator performs research and development work or commercialization-related activities and the parties share the related costs, the Company also recognizes, as expense (e.g., research and development expense or selling, general, and administrative expense, as applicable) in the period when its collaborator incurs such expenses, the portion of the collaborator's expenses that the Company is obligated to reimburse. The Company's collaborators provide the Company with estimated expenses for the most recent fiscal quarter. The estimates are revised, if necessary, in subsequent periods if actual expenses differ from those estimates.</w:t>
      </w:r>
    </w:p>
    <w:p>
      <w:pPr>
        <w:spacing w:after="0" w:line="1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Under certain of the Company's collaboration agreements, product sales and cost of sales may be recorded by the Company's collaborators as they are deemed to be the principal in the transaction. In arrangements where the Company:</w:t>
      </w:r>
    </w:p>
    <w:p>
      <w:pPr>
        <w:spacing w:after="0" w:line="97" w:lineRule="exact"/>
        <w:rPr>
          <w:sz w:val="20"/>
          <w:szCs w:val="20"/>
          <w:color w:val="auto"/>
        </w:rPr>
      </w:pPr>
    </w:p>
    <w:p>
      <w:pPr>
        <w:jc w:val="both"/>
        <w:ind w:left="640" w:hanging="316"/>
        <w:spacing w:after="0" w:line="253" w:lineRule="auto"/>
        <w:tabs>
          <w:tab w:leader="none" w:pos="6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supplies commercial product to its collaborator, the Company may be reimbursed for its manufacturing costs as commercial product is shipped to the collaborator (however, recognition of such cost reimbursements may be deferred until the product is sold by the Company's collaborator to third-party customers);</w:t>
      </w:r>
    </w:p>
    <w:p>
      <w:pPr>
        <w:jc w:val="both"/>
        <w:ind w:left="640" w:hanging="316"/>
        <w:spacing w:after="0" w:line="245" w:lineRule="auto"/>
        <w:tabs>
          <w:tab w:leader="none" w:pos="6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 any profits or losses arising from the commercialization of such products, the Company records its share of the variable consideration, representing net product sales less cost of goods sold and shared commercialization and other expenses, in the period in which such underlying sales occur and costs are incurred by the collaborator;</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royalties and/or sales-based milestone payments from its collaborator, the Company recognizes such amounts in the period earned.</w:t>
      </w:r>
    </w:p>
    <w:p>
      <w:pPr>
        <w:spacing w:after="0" w:line="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Company's collaborators provide it with estimates of product sales and the Company's share of profits or losses, as applicable, for each quarter. The estimates are revised, if necessary, in subsequent periods if the Company's actual share of profits or losses differ from those estimates.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5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Research and development expenses include costs attributable to the conduct of research and development programs, including the cost of salaries, payroll taxes, employee benefits, materials, supplies, depreciation on and maintenance of research equipment,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costs related to research collaboration and licensing agreements, clinical trial expenses, the cost of services provided by outside contractors, including services related to the Company's clinical trials, the cost of manufacturing drug for use in research and development, amounts that the Company is obligated to reimburse to collaborators for research and development expenses that they incur, and the allocable portions of facility costs. Costs associated with research and development are expensed.</w:t>
      </w:r>
    </w:p>
    <w:p>
      <w:pPr>
        <w:spacing w:after="0" w:line="1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each clinical trial that the Company conducts, certain clinical trial costs are expensed immediately, while others are expensed over time based on the expected total number of patients in the trial, the rate at which patients enter and remain in the trial, and/or the period over which clinical investigators, contract research organizations ("CROs"), or other third-party service providers are expected to provide services. In the event of early termination of a clinical trial, the Company accrues and recognizes expenses in an amount based on its estimate of the remaining noncancelable obligations associated with the winding-down of the clinical trial, including any applicable penalties.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equity grants under the Company's long-term incentive plans (including stock options, restricted stock awards, and restricted stock units (both time-based and performance-based)) to employees and non-employee members of the Company's board of directors (as applicable) based on the grant-date fair value of those awards. The grant-date fair value of an award is generally recognized as compensation expense over the award's requisite service period. Stock-based compensation expense also includes an estimate, which is made at the time of grant, of the number of awards that are expected to be forfeited. This estimate is revised, if necessary, in subsequent periods if actual forfeitures differ from those estimates. In addition, the Company reassesses its forfeiture rate assumptions at least annually, considering both historical forfeiture experience and an estimate of future forfeitures for currently outstanding unvested awards.</w:t>
      </w:r>
    </w:p>
    <w:p>
      <w:pPr>
        <w:spacing w:after="0" w:line="1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uses the Black-Scholes model to compute the estimated fair value of stock option awards. Additionally, the Company uses a Monte Carlo simulation to compute the estimated fair value of performance-based restricted stock units that are subject to vesting based on the Company’s attainment of pre-established criteria that include a market condition.</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performance-based restricted stock units that contain a performance condition, the Company recognizes stock-based compensation expense if and when the Company determines that it is probable the performance condition will be achieved (based on the number of shares expected to be vested and issued). The Company reassesses the probability of achievement at each reporting period and adjusts compensation cost, as necessary. If there are any changes in the Company's probability assessment, the Company recognizes a cumulative catch-up adjustment in the period of the change in estimate, with the remaining unrecognized expense recognized prospectively over the remaining requisite service period. If the Company subsequently determines that the performance criteria are not met or are not expected to be met, any amounts previously recognized as compensation expense are reversed in the period when such determination is made.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provision for income taxes includes U.S. federal, state, local, and foreign taxes. Income taxes are accounted for under the liability method. Deferred tax assets and liabilities are recognized for the expected future tax consequences of events that have been included in the financial statements or tax returns, including deferred tax assets and liabilities for expected amounts of global intangible low-taxed income ("GILTI") inclusions. Deferred tax assets and liabilities are determined as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the financial statement effects of a tax position when management's assessment is that there is more than a 50% probability that the position will be sustained upon examination by a taxing authority based upon its technical merits. Uncertain tax positions are recorded based upon certain recognition and measurement criteria. The Company re-evaluates uncertain tax positions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The Company adjusts the amount of the liability to reflect any subsequent changes in the relevant facts and circumstances surrounding the uncertain tax positions. The Company recognizes interest and penalties related to income tax matters in income tax expense.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 Share Data</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until vested. Diluted net income per share includes the potential dilutive effect of common stock equivalents as if such securities were converted or exercised during the period, when the effect is dilutive. Common stock equivalents include outstanding stock options and unvested restricted stock under the Company's long-term incentive plans, which are included under the treasury stock method when dilutive.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No. 2023-07, </w:t>
      </w:r>
      <w:r>
        <w:rPr>
          <w:rFonts w:ascii="Times New Roman" w:cs="Times New Roman" w:eastAsia="Times New Roman" w:hAnsi="Times New Roman"/>
          <w:sz w:val="18"/>
          <w:szCs w:val="18"/>
          <w:i w:val="1"/>
          <w:iCs w:val="1"/>
          <w:color w:val="auto"/>
        </w:rPr>
        <w:t>Segment Reporting - Improvements to Reportable Segment Disclosures</w:t>
      </w:r>
      <w:r>
        <w:rPr>
          <w:rFonts w:ascii="Times New Roman" w:cs="Times New Roman" w:eastAsia="Times New Roman" w:hAnsi="Times New Roman"/>
          <w:sz w:val="18"/>
          <w:szCs w:val="18"/>
          <w:color w:val="auto"/>
        </w:rPr>
        <w:t xml:space="preserve">. The amendments require disclosure of incremental segment information on an annual and interim basis. The amendments also require companies with a single reportable segment to provide all disclosures required by this amendment and all existing segment disclosures in Accounting Standards Codification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amendments are effective for fiscal years beginning after December 15, 2023, and interim periods beginning after December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Company does not expect the adoption of the amendments to have a significant impact on its financial statements.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The amendments require (i) enhanced disclosures in connection with an entity's effective tax rate reconciliation and (ii) income taxes paid disaggregated by jurisdiction. The amendments are effective for annual periods beginning after December 15, 2024. The Company does not expect the adoption of the amendments to have a significant impact on its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68" w:lineRule="exact"/>
        <w:rPr>
          <w:sz w:val="20"/>
          <w:szCs w:val="20"/>
          <w:color w:val="auto"/>
        </w:rPr>
      </w:pPr>
    </w:p>
    <w:tbl>
      <w:tblPr>
        <w:tblLayout w:type="fixed"/>
        <w:tblInd w:w="1660" w:type="dxa"/>
        <w:tblCellMar>
          <w:top w:w="0" w:type="dxa"/>
          <w:left w:w="0" w:type="dxa"/>
          <w:bottom w:w="0" w:type="dxa"/>
          <w:right w:w="0" w:type="dxa"/>
        </w:tblCellMar>
      </w:tblPr>
      <w:tr>
        <w:trPr>
          <w:trHeight w:val="232"/>
        </w:trPr>
        <w:tc>
          <w:tcPr>
            <w:tcW w:w="2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18"/>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29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HD</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900" w:type="dxa"/>
            <w:vAlign w:val="bottom"/>
            <w:tcBorders>
              <w:bottom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2"/>
                <w:szCs w:val="22"/>
                <w:color w:val="auto"/>
                <w:vertAlign w:val="superscript"/>
              </w:rPr>
              <w:t>®</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5,792.3</w:t>
            </w:r>
          </w:p>
        </w:tc>
      </w:tr>
      <w:tr>
        <w:trPr>
          <w:trHeight w:val="219"/>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EYLEA HD and EYLEA</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5,792.3</w:t>
            </w:r>
          </w:p>
        </w:tc>
      </w:tr>
      <w:tr>
        <w:trPr>
          <w:trHeight w:val="217"/>
        </w:trPr>
        <w:tc>
          <w:tcPr>
            <w:tcW w:w="290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2"/>
                <w:szCs w:val="22"/>
                <w:color w:val="auto"/>
                <w:vertAlign w:val="superscript"/>
              </w:rPr>
              <w:t>®(a)</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33"/>
        </w:trPr>
        <w:tc>
          <w:tcPr>
            <w:tcW w:w="290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2"/>
                <w:szCs w:val="22"/>
                <w:color w:val="auto"/>
                <w:vertAlign w:val="superscript"/>
              </w:rPr>
              <w:t>(a)</w:t>
            </w:r>
          </w:p>
        </w:tc>
        <w:tc>
          <w:tcPr>
            <w:tcW w:w="80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ROW</w:t>
            </w:r>
            <w:r>
              <w:rPr>
                <w:rFonts w:ascii="Times New Roman" w:cs="Times New Roman" w:eastAsia="Times New Roman" w:hAnsi="Times New Roman"/>
                <w:sz w:val="22"/>
                <w:szCs w:val="22"/>
                <w:color w:val="auto"/>
                <w:vertAlign w:val="superscript"/>
              </w:rPr>
              <w:t>(b)</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Libtayo</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r>
      <w:tr>
        <w:trPr>
          <w:trHeight w:val="225"/>
        </w:trPr>
        <w:tc>
          <w:tcPr>
            <w:tcW w:w="29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2"/>
                <w:szCs w:val="22"/>
                <w:color w:val="auto"/>
                <w:vertAlign w:val="superscript"/>
              </w:rPr>
              <w: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25"/>
        </w:trPr>
        <w:tc>
          <w:tcPr>
            <w:tcW w:w="29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REGEN-COV</w:t>
            </w:r>
            <w:r>
              <w:rPr>
                <w:rFonts w:ascii="Times New Roman" w:cs="Times New Roman" w:eastAsia="Times New Roman" w:hAnsi="Times New Roman"/>
                <w:sz w:val="22"/>
                <w:szCs w:val="22"/>
                <w:color w:val="auto"/>
                <w:vertAlign w:val="superscript"/>
              </w:rPr>
              <w:t>®(c)</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5,828.0</w:t>
            </w:r>
          </w:p>
        </w:tc>
      </w:tr>
      <w:tr>
        <w:trPr>
          <w:trHeight w:val="225"/>
        </w:trPr>
        <w:tc>
          <w:tcPr>
            <w:tcW w:w="29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2"/>
                <w:szCs w:val="22"/>
                <w:color w:val="auto"/>
                <w:vertAlign w:val="superscript"/>
              </w:rPr>
              <w: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5"/>
        </w:trPr>
        <w:tc>
          <w:tcPr>
            <w:tcW w:w="29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Inmazeb</w:t>
            </w:r>
            <w:r>
              <w:rPr>
                <w:rFonts w:ascii="Times New Roman" w:cs="Times New Roman" w:eastAsia="Times New Roman" w:hAnsi="Times New Roman"/>
                <w:sz w:val="22"/>
                <w:szCs w:val="22"/>
                <w:color w:val="auto"/>
                <w:vertAlign w:val="superscript"/>
              </w:rPr>
              <w:t>®</w:t>
            </w: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9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2"/>
                <w:szCs w:val="22"/>
                <w:color w:val="auto"/>
                <w:vertAlign w:val="superscript"/>
              </w:rPr>
              <w:t>®(d)</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8"/>
        </w:trPr>
        <w:tc>
          <w:tcPr>
            <w:tcW w:w="2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6,893.7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12,117.2</w:t>
            </w:r>
          </w:p>
        </w:tc>
      </w:tr>
      <w:tr>
        <w:trPr>
          <w:trHeight w:val="20"/>
        </w:trPr>
        <w:tc>
          <w:tcPr>
            <w:tcW w:w="2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1900" w:right="1720" w:hanging="8"/>
        <w:spacing w:after="0" w:line="199" w:lineRule="auto"/>
        <w:tabs>
          <w:tab w:leader="none" w:pos="2067"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Prior to July 1, 2022, Regeneron recorded net product sales of Libtayo in the United States and Sanofi recorded net product sales of Libtayo outside the United States. Effective July 1, 2022, the Company records global net product sales of Libtayo. See Note 3 for further details.</w:t>
      </w:r>
    </w:p>
    <w:p>
      <w:pPr>
        <w:spacing w:after="0" w:line="1" w:lineRule="exact"/>
        <w:rPr>
          <w:rFonts w:ascii="Times New Roman" w:cs="Times New Roman" w:eastAsia="Times New Roman" w:hAnsi="Times New Roman"/>
          <w:sz w:val="23"/>
          <w:szCs w:val="23"/>
          <w:color w:val="auto"/>
          <w:vertAlign w:val="superscript"/>
        </w:rPr>
      </w:pPr>
    </w:p>
    <w:p>
      <w:pPr>
        <w:ind w:left="2060" w:hanging="168"/>
        <w:spacing w:after="0" w:line="210" w:lineRule="auto"/>
        <w:tabs>
          <w:tab w:leader="none" w:pos="2060"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Rest of world ("ROW")</w:t>
      </w:r>
    </w:p>
    <w:p>
      <w:pPr>
        <w:spacing w:after="0" w:line="23" w:lineRule="exact"/>
        <w:rPr>
          <w:rFonts w:ascii="Times New Roman" w:cs="Times New Roman" w:eastAsia="Times New Roman" w:hAnsi="Times New Roman"/>
          <w:sz w:val="21"/>
          <w:szCs w:val="21"/>
          <w:color w:val="auto"/>
          <w:vertAlign w:val="superscript"/>
        </w:rPr>
      </w:pPr>
    </w:p>
    <w:p>
      <w:pPr>
        <w:ind w:left="1900" w:right="2060" w:hanging="8"/>
        <w:spacing w:after="0" w:line="186" w:lineRule="auto"/>
        <w:tabs>
          <w:tab w:leader="none" w:pos="2067"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product sales of REGEN-COV in the United States relate to product sold in connection with the Company's agreements with the U.S. government. See Note 3 for further details.</w:t>
      </w:r>
    </w:p>
    <w:p>
      <w:pPr>
        <w:spacing w:after="0" w:line="5" w:lineRule="exact"/>
        <w:rPr>
          <w:rFonts w:ascii="Times New Roman" w:cs="Times New Roman" w:eastAsia="Times New Roman" w:hAnsi="Times New Roman"/>
          <w:sz w:val="23"/>
          <w:szCs w:val="23"/>
          <w:color w:val="auto"/>
          <w:vertAlign w:val="superscript"/>
        </w:rPr>
      </w:pPr>
    </w:p>
    <w:p>
      <w:pPr>
        <w:ind w:left="1900" w:right="2180" w:hanging="8"/>
        <w:spacing w:after="0" w:line="212" w:lineRule="auto"/>
        <w:tabs>
          <w:tab w:leader="none" w:pos="2059"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Effective April 1, 2021, Kiniksa records net product sales of ARCALYST in the United States. Previously, the Company recorded net product sales of ARCALYST in the United States.</w:t>
      </w:r>
    </w:p>
    <w:p>
      <w:pPr>
        <w:spacing w:after="0" w:line="21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As of December 31, 2023 and 2022, the Company had $3.888 billion and $3.586 billion, respectively, of trade accounts receivable that were recorded within Accounts receivable, net.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product sales to certain customers that accounted for more than 10% of total gross product revenue for each of the years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2022, and 2021. Sales to each of these customers as a percentage of the Company's total gross product revenue are as follows:</w:t>
      </w:r>
    </w:p>
    <w:p>
      <w:pPr>
        <w:spacing w:after="0" w:line="24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860" w:type="dxa"/>
        <w:tblCellMar>
          <w:top w:w="0" w:type="dxa"/>
          <w:left w:w="0" w:type="dxa"/>
          <w:bottom w:w="0" w:type="dxa"/>
          <w:right w:w="0" w:type="dxa"/>
        </w:tblCellMar>
      </w:tblPr>
      <w:tr>
        <w:trPr>
          <w:trHeight w:val="218"/>
        </w:trPr>
        <w:tc>
          <w:tcPr>
            <w:tcW w:w="55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Besse Medical, a subsidiary of Cencora, Inc.</w:t>
            </w:r>
          </w:p>
        </w:tc>
        <w:tc>
          <w:tcPr>
            <w:tcW w:w="84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5"/>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5"/>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bl>
    <w:p>
      <w:pPr>
        <w:spacing w:after="0" w:line="49" w:lineRule="exact"/>
        <w:rPr>
          <w:sz w:val="20"/>
          <w:szCs w:val="20"/>
          <w:color w:val="auto"/>
        </w:rPr>
      </w:pPr>
    </w:p>
    <w:p>
      <w:pPr>
        <w:ind w:left="1180" w:hanging="96"/>
        <w:spacing w:after="0"/>
        <w:tabs>
          <w:tab w:leader="none" w:pos="118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Sales to the U.S. government represented less than 10% of total gross product revenue during the period.</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chargebacks, and discounts, distribution-related fees, and other sales-related deductions. Accruals for chargebacks and discounts are recorded as a direct reduction to accounts receivable. Accruals for rebates, distribution-related fees, and other sales-related deductions are recorded within accrued liabilities. The following table summarizes the provisions, and credits/payments, for sales-related deductions.</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Rebates,</w:t>
            </w:r>
          </w:p>
        </w:tc>
        <w:tc>
          <w:tcPr>
            <w:tcW w:w="180" w:type="dxa"/>
            <w:vAlign w:val="bottom"/>
          </w:tcPr>
          <w:p>
            <w:pPr>
              <w:spacing w:after="0"/>
              <w:rPr>
                <w:sz w:val="17"/>
                <w:szCs w:val="17"/>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18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Pr>
          <w:p>
            <w:pPr>
              <w:spacing w:after="0"/>
              <w:rPr>
                <w:sz w:val="14"/>
                <w:szCs w:val="14"/>
                <w:color w:val="auto"/>
              </w:rPr>
            </w:pPr>
          </w:p>
        </w:tc>
        <w:tc>
          <w:tcPr>
            <w:tcW w:w="1460" w:type="dxa"/>
            <w:vAlign w:val="bottom"/>
            <w:gridSpan w:val="2"/>
          </w:tcPr>
          <w:p>
            <w:pPr>
              <w:jc w:val="center"/>
              <w:ind w:right="300"/>
              <w:spacing w:after="0" w:line="172" w:lineRule="exact"/>
              <w:rPr>
                <w:sz w:val="20"/>
                <w:szCs w:val="20"/>
                <w:color w:val="auto"/>
              </w:rPr>
            </w:pPr>
            <w:r>
              <w:rPr>
                <w:rFonts w:ascii="Times New Roman" w:cs="Times New Roman" w:eastAsia="Times New Roman" w:hAnsi="Times New Roman"/>
                <w:sz w:val="18"/>
                <w:szCs w:val="18"/>
                <w:b w:val="1"/>
                <w:bCs w:val="1"/>
                <w:color w:val="auto"/>
                <w:w w:val="98"/>
              </w:rPr>
              <w:t>Chargebacks,</w:t>
            </w:r>
          </w:p>
        </w:tc>
        <w:tc>
          <w:tcPr>
            <w:tcW w:w="1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line="172" w:lineRule="exact"/>
              <w:rPr>
                <w:sz w:val="20"/>
                <w:szCs w:val="20"/>
                <w:color w:val="auto"/>
              </w:rPr>
            </w:pPr>
            <w:r>
              <w:rPr>
                <w:rFonts w:ascii="Times New Roman" w:cs="Times New Roman" w:eastAsia="Times New Roman" w:hAnsi="Times New Roman"/>
                <w:sz w:val="18"/>
                <w:szCs w:val="18"/>
                <w:b w:val="1"/>
                <w:bCs w:val="1"/>
                <w:color w:val="auto"/>
                <w:w w:val="98"/>
              </w:rPr>
              <w:t>Related</w:t>
            </w:r>
          </w:p>
        </w:tc>
        <w:tc>
          <w:tcPr>
            <w:tcW w:w="320" w:type="dxa"/>
            <w:vAlign w:val="bottom"/>
          </w:tcPr>
          <w:p>
            <w:pPr>
              <w:spacing w:after="0"/>
              <w:rPr>
                <w:sz w:val="14"/>
                <w:szCs w:val="14"/>
                <w:color w:val="auto"/>
              </w:rPr>
            </w:pPr>
          </w:p>
        </w:tc>
        <w:tc>
          <w:tcPr>
            <w:tcW w:w="1180" w:type="dxa"/>
            <w:vAlign w:val="bottom"/>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9"/>
        </w:trPr>
        <w:tc>
          <w:tcPr>
            <w:tcW w:w="38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and Discounts</w:t>
            </w:r>
          </w:p>
        </w:tc>
        <w:tc>
          <w:tcPr>
            <w:tcW w:w="18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Related Fees</w:t>
            </w:r>
          </w:p>
        </w:tc>
        <w:tc>
          <w:tcPr>
            <w:tcW w:w="18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Deductions</w:t>
            </w:r>
          </w:p>
        </w:tc>
        <w:tc>
          <w:tcPr>
            <w:tcW w:w="32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25"/>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0" w:type="dxa"/>
            <w:vAlign w:val="bottom"/>
          </w:tcPr>
          <w:p>
            <w:pPr>
              <w:spacing w:after="0"/>
              <w:rPr>
                <w:sz w:val="1"/>
                <w:szCs w:val="1"/>
                <w:color w:val="auto"/>
              </w:rPr>
            </w:pPr>
          </w:p>
        </w:tc>
      </w:tr>
      <w:tr>
        <w:trPr>
          <w:trHeight w:val="21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0" w:type="dxa"/>
            <w:vAlign w:val="bottom"/>
          </w:tcPr>
          <w:p>
            <w:pPr>
              <w:spacing w:after="0"/>
              <w:rPr>
                <w:sz w:val="1"/>
                <w:szCs w:val="1"/>
                <w:color w:val="auto"/>
              </w:rPr>
            </w:pPr>
          </w:p>
        </w:tc>
      </w:tr>
      <w:tr>
        <w:trPr>
          <w:trHeight w:val="225"/>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0" w:type="dxa"/>
            <w:vAlign w:val="bottom"/>
          </w:tcPr>
          <w:p>
            <w:pPr>
              <w:spacing w:after="0"/>
              <w:rPr>
                <w:sz w:val="1"/>
                <w:szCs w:val="1"/>
                <w:color w:val="auto"/>
              </w:rPr>
            </w:pPr>
          </w:p>
        </w:tc>
      </w:tr>
      <w:tr>
        <w:trPr>
          <w:trHeight w:val="225"/>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2,669.0</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Credits/payments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(2,518.5)</w:t>
            </w:r>
          </w:p>
        </w:tc>
        <w:tc>
          <w:tcPr>
            <w:tcW w:w="0" w:type="dxa"/>
            <w:vAlign w:val="bottom"/>
          </w:tcPr>
          <w:p>
            <w:pPr>
              <w:spacing w:after="0"/>
              <w:rPr>
                <w:sz w:val="1"/>
                <w:szCs w:val="1"/>
                <w:color w:val="auto"/>
              </w:rPr>
            </w:pPr>
          </w:p>
        </w:tc>
      </w:tr>
      <w:tr>
        <w:trPr>
          <w:trHeight w:val="21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collaborations with Sanofi are detailed below:</w:t>
      </w:r>
    </w:p>
    <w:p>
      <w:pPr>
        <w:spacing w:after="0" w:line="215" w:lineRule="exact"/>
        <w:rPr>
          <w:sz w:val="20"/>
          <w:szCs w:val="20"/>
          <w:color w:val="auto"/>
        </w:rPr>
      </w:pPr>
    </w:p>
    <w:tbl>
      <w:tblPr>
        <w:tblLayout w:type="fixed"/>
        <w:tblInd w:w="340" w:type="dxa"/>
        <w:tblCellMar>
          <w:top w:w="0" w:type="dxa"/>
          <w:left w:w="0" w:type="dxa"/>
          <w:bottom w:w="0" w:type="dxa"/>
          <w:right w:w="0" w:type="dxa"/>
        </w:tblCellMar>
      </w:tblPr>
      <w:tr>
        <w:trPr>
          <w:trHeight w:val="232"/>
        </w:trPr>
        <w:tc>
          <w:tcPr>
            <w:tcW w:w="3960" w:type="dxa"/>
            <w:vAlign w:val="bottom"/>
          </w:tcPr>
          <w:p>
            <w:pPr>
              <w:spacing w:after="0"/>
              <w:rPr>
                <w:sz w:val="20"/>
                <w:szCs w:val="20"/>
                <w:color w:val="auto"/>
              </w:rPr>
            </w:pPr>
          </w:p>
        </w:tc>
        <w:tc>
          <w:tcPr>
            <w:tcW w:w="27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r>
      <w:tr>
        <w:trPr>
          <w:trHeight w:val="232"/>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8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60" w:type="dxa"/>
            <w:vAlign w:val="bottom"/>
          </w:tcPr>
          <w:p>
            <w:pPr>
              <w:spacing w:after="0"/>
              <w:rPr>
                <w:sz w:val="20"/>
                <w:szCs w:val="20"/>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5"/>
        </w:trPr>
        <w:tc>
          <w:tcPr>
            <w:tcW w:w="396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Antibody:</w:t>
            </w:r>
          </w:p>
        </w:tc>
        <w:tc>
          <w:tcPr>
            <w:tcW w:w="2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172"/>
        </w:trPr>
        <w:tc>
          <w:tcPr>
            <w:tcW w:w="396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7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8"/>
        </w:trPr>
        <w:tc>
          <w:tcPr>
            <w:tcW w:w="3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3,136.5</w:t>
            </w:r>
          </w:p>
        </w:tc>
        <w:tc>
          <w:tcPr>
            <w:tcW w:w="10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w:t>
            </w:r>
          </w:p>
        </w:tc>
      </w:tr>
      <w:tr>
        <w:trPr>
          <w:trHeight w:val="225"/>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Sales-based milestones earned</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172"/>
        </w:trPr>
        <w:tc>
          <w:tcPr>
            <w:tcW w:w="396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7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8"/>
        </w:trPr>
        <w:tc>
          <w:tcPr>
            <w:tcW w:w="3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supplies</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r>
      <w:tr>
        <w:trPr>
          <w:trHeight w:val="225"/>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396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7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(R&amp;D expense)/Reduction of R&amp;D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960" w:type="dxa"/>
            <w:vAlign w:val="bottom"/>
          </w:tcPr>
          <w:p>
            <w:pPr>
              <w:ind w:left="380"/>
              <w:spacing w:after="0" w:line="172" w:lineRule="exact"/>
              <w:rPr>
                <w:sz w:val="20"/>
                <w:szCs w:val="20"/>
                <w:color w:val="auto"/>
              </w:rPr>
            </w:pPr>
            <w:r>
              <w:rPr>
                <w:rFonts w:ascii="Times New Roman" w:cs="Times New Roman" w:eastAsia="Times New Roman" w:hAnsi="Times New Roman"/>
                <w:sz w:val="18"/>
                <w:szCs w:val="18"/>
                <w:color w:val="auto"/>
              </w:rPr>
              <w:t>R&amp;D expenses, net of reimbursement of R&amp;D</w:t>
            </w:r>
          </w:p>
        </w:tc>
        <w:tc>
          <w:tcPr>
            <w:tcW w:w="2780" w:type="dxa"/>
            <w:vAlign w:val="bottom"/>
            <w:gridSpan w:val="2"/>
          </w:tcPr>
          <w:p>
            <w:pPr>
              <w:ind w:left="180"/>
              <w:spacing w:after="0" w:line="172" w:lineRule="exact"/>
              <w:rPr>
                <w:sz w:val="20"/>
                <w:szCs w:val="20"/>
                <w:color w:val="auto"/>
              </w:rPr>
            </w:pPr>
            <w:r>
              <w:rPr>
                <w:rFonts w:ascii="Times New Roman" w:cs="Times New Roman" w:eastAsia="Times New Roman" w:hAnsi="Times New Roman"/>
                <w:sz w:val="18"/>
                <w:szCs w:val="18"/>
                <w:color w:val="auto"/>
              </w:rPr>
              <w:t>expense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8"/>
        </w:trPr>
        <w:tc>
          <w:tcPr>
            <w:tcW w:w="3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172"/>
        </w:trPr>
        <w:tc>
          <w:tcPr>
            <w:tcW w:w="396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7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Reduction of SG&amp;A expense</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8"/>
        </w:trPr>
        <w:tc>
          <w:tcPr>
            <w:tcW w:w="3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r>
      <w:tr>
        <w:trPr>
          <w:trHeight w:val="265"/>
        </w:trPr>
        <w:tc>
          <w:tcPr>
            <w:tcW w:w="39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5"/>
        </w:trPr>
        <w:tc>
          <w:tcPr>
            <w:tcW w:w="39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Immuno-oncology</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8"/>
                <w:szCs w:val="18"/>
                <w:color w:val="auto"/>
              </w:rPr>
              <w:t>:</w:t>
            </w:r>
          </w:p>
        </w:tc>
        <w:tc>
          <w:tcPr>
            <w:tcW w:w="2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72"/>
        </w:trPr>
        <w:tc>
          <w:tcPr>
            <w:tcW w:w="396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Regeneron's share of profits (losses) in connection</w:t>
            </w:r>
          </w:p>
        </w:tc>
        <w:tc>
          <w:tcPr>
            <w:tcW w:w="27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960" w:type="dxa"/>
            <w:vAlign w:val="bottom"/>
          </w:tcPr>
          <w:p>
            <w:pPr>
              <w:ind w:left="380"/>
              <w:spacing w:after="0" w:line="172" w:lineRule="exact"/>
              <w:rPr>
                <w:sz w:val="20"/>
                <w:szCs w:val="20"/>
                <w:color w:val="auto"/>
              </w:rPr>
            </w:pPr>
            <w:r>
              <w:rPr>
                <w:rFonts w:ascii="Times New Roman" w:cs="Times New Roman" w:eastAsia="Times New Roman" w:hAnsi="Times New Roman"/>
                <w:sz w:val="18"/>
                <w:szCs w:val="18"/>
                <w:color w:val="auto"/>
              </w:rPr>
              <w:t>with commercialization of Libtayo outside the</w:t>
            </w: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8"/>
        </w:trPr>
        <w:tc>
          <w:tcPr>
            <w:tcW w:w="3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172"/>
        </w:trPr>
        <w:tc>
          <w:tcPr>
            <w:tcW w:w="396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27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8"/>
        </w:trPr>
        <w:tc>
          <w:tcPr>
            <w:tcW w:w="3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commercial supplies</w:t>
            </w:r>
          </w:p>
        </w:tc>
        <w:tc>
          <w:tcPr>
            <w:tcW w:w="2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5"/>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Reimbursement of R&amp;D expenses</w:t>
            </w: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Reduction of R&amp;D expense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172"/>
        </w:trPr>
        <w:tc>
          <w:tcPr>
            <w:tcW w:w="396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7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Reduction of SG&amp;A expense</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8"/>
        </w:trPr>
        <w:tc>
          <w:tcPr>
            <w:tcW w:w="3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expenses</w:t>
            </w:r>
          </w:p>
        </w:tc>
        <w:tc>
          <w:tcPr>
            <w:tcW w:w="2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172"/>
        </w:trPr>
        <w:tc>
          <w:tcPr>
            <w:tcW w:w="396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7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SG&amp;A expense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9"/>
        </w:trPr>
        <w:tc>
          <w:tcPr>
            <w:tcW w:w="3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expenses</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172"/>
        </w:trPr>
        <w:tc>
          <w:tcPr>
            <w:tcW w:w="396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Regeneron's obligation for Sanofi's share of</w:t>
            </w:r>
          </w:p>
        </w:tc>
        <w:tc>
          <w:tcPr>
            <w:tcW w:w="278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8"/>
        </w:trPr>
        <w:tc>
          <w:tcPr>
            <w:tcW w:w="3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Libtayo U.S. gross profits</w:t>
            </w:r>
          </w:p>
        </w:tc>
        <w:tc>
          <w:tcPr>
            <w:tcW w:w="2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172"/>
        </w:trPr>
        <w:tc>
          <w:tcPr>
            <w:tcW w:w="3960" w:type="dxa"/>
            <w:vAlign w:val="bottom"/>
          </w:tcPr>
          <w:p>
            <w:pPr>
              <w:ind w:left="220"/>
              <w:spacing w:after="0" w:line="172" w:lineRule="exact"/>
              <w:rPr>
                <w:sz w:val="20"/>
                <w:szCs w:val="20"/>
                <w:color w:val="auto"/>
              </w:rPr>
            </w:pPr>
            <w:r>
              <w:rPr>
                <w:rFonts w:ascii="Times New Roman" w:cs="Times New Roman" w:eastAsia="Times New Roman" w:hAnsi="Times New Roman"/>
                <w:sz w:val="18"/>
                <w:szCs w:val="18"/>
                <w:color w:val="auto"/>
              </w:rPr>
              <w:t>Amounts recognized in connection with up-front</w:t>
            </w:r>
          </w:p>
        </w:tc>
        <w:tc>
          <w:tcPr>
            <w:tcW w:w="278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Other operating income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0"/>
        </w:trPr>
        <w:tc>
          <w:tcPr>
            <w:tcW w:w="3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received</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30" w:lineRule="exact"/>
        <w:rPr>
          <w:sz w:val="20"/>
          <w:szCs w:val="20"/>
          <w:color w:val="auto"/>
        </w:rPr>
      </w:pPr>
    </w:p>
    <w:p>
      <w:pPr>
        <w:ind w:left="600" w:hanging="86"/>
        <w:spacing w:after="0"/>
        <w:tabs>
          <w:tab w:leader="none" w:pos="60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Net of one-time payment of $56.9 million to Sanofi in connection with the amendment to the Antibody License and Collaboration Agreement</w:t>
      </w:r>
    </w:p>
    <w:p>
      <w:pPr>
        <w:spacing w:after="0" w:line="7" w:lineRule="exact"/>
        <w:rPr>
          <w:sz w:val="20"/>
          <w:szCs w:val="20"/>
          <w:color w:val="auto"/>
        </w:rPr>
      </w:pPr>
    </w:p>
    <w:p>
      <w:pPr>
        <w:ind w:left="520" w:right="580" w:hanging="6"/>
        <w:spacing w:after="0" w:line="213" w:lineRule="auto"/>
        <w:tabs>
          <w:tab w:leader="none" w:pos="673" w:val="left"/>
        </w:tabs>
        <w:numPr>
          <w:ilvl w:val="0"/>
          <w:numId w:val="5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As described within the "</w:t>
      </w:r>
      <w:r>
        <w:rPr>
          <w:rFonts w:ascii="Times New Roman" w:cs="Times New Roman" w:eastAsia="Times New Roman" w:hAnsi="Times New Roman"/>
          <w:sz w:val="15"/>
          <w:szCs w:val="15"/>
          <w:i w:val="1"/>
          <w:iCs w:val="1"/>
          <w:color w:val="auto"/>
        </w:rPr>
        <w:t>Immuno-Oncology</w:t>
      </w:r>
      <w:r>
        <w:rPr>
          <w:rFonts w:ascii="Times New Roman" w:cs="Times New Roman" w:eastAsia="Times New Roman" w:hAnsi="Times New Roman"/>
          <w:sz w:val="15"/>
          <w:szCs w:val="15"/>
          <w:color w:val="auto"/>
        </w:rPr>
        <w:t>" section below, effective July 1, 2022, the Company obtained the exclusive right to develop, commercialize, and manufacture Libtayo worldwide.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153"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(the "Antibody Collaboration"), which currently consists of Dupixent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spacing w:after="0" w:line="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the terms of the Antibody License and Collaboration Agreement (the "LCA"), Sanofi is generally responsible for funding 80% to 100% of agreed-upon development costs. The Company is obligated to reimburse Sanofi for 30% to 50% of worldwide development expenses that were funded by Sanofi based on the Company's share of collaboration profits from commercialization of collaboration products. Under the terms of the LCA, the Company was required to apply 10% of its share of the profits from the Antibody Collaboration in any calendar quarter to reimburse Sanofi for these development costs. On July 1, 2022, an amendment to the LCA became effective, pursuant to which the percentage of the Company's share of profits used to reimburse Sanofi for such development costs increased from 10% to 20%. A portion of the value associated with the increase in reimbursement percentage was deemed to be contingent consideration attributable to the Company's acquisition of the Libtayo (cemiplimab) rights described within the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section below; this portion is recorded as an increase to the Libtayo intangible asset over time as the Company repays such development costs to Sanofi. The Company's contingent reimbursement obligation to Sanofi under the Antibody Collaboration was approximately $2.330 billion as of December 31, 2023.</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Sanofi leads commercialization activities for products under the Antibody Collaboration, subject to the Company's right to co-commercialize such products. The Company co-commercializes Dupixent in the United States and in certain countries outside the United States. The parties equally share profits from sales within the United States. The parties share profits outside the United States on a sliding scale based on sales starting at 65% (Sanofi)/35% (Regeneron) and ending at 55% (Sanofi)/45% (Regeneron).</w:t>
      </w:r>
    </w:p>
    <w:p>
      <w:pPr>
        <w:spacing w:after="0" w:line="1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profit sharing, the Company was entitled to receive sales milestone payments from Sanofi. In 2023, the Company earned the final $50.0 million sales-based milestone from Sanofi, upon aggregate annual sales of antibodies outside the United States (including Praluent, which was previously included in the LCA) exceeding $3.0 billion on a rolling twelve-month basis. In 2022, the Company earned two $50.0 million sales-based milestones from Sanofi, upon aggregate annual sales of antibodies outside the United States (including Praluent) exceeding $2.0 billion and $2.5 billion, respectively, on a rolling twelve-month basis. In 2021, the Company earned a $50.0 million sales-based milestone from Sanofi, upon aggregate annual sales of antibodies outside the United States (including Praluent) exceeding $1.5 billion, on a rolling twelve-month basis.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significant promised goods and services in connection with the Antibody Collaboration consist of providing research and development services, including the manufacturing of clinical supplies, and providing commercial-related services, including the manufacturing of commercial supplies. The Company recognizes amounts in connection with the Antibody Collaboration based on the amount it has the right to invoice and such amount corresponds directly with the Company's performance to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Antibody Collaboration with Sanofi:</w:t>
      </w:r>
    </w:p>
    <w:p>
      <w:pPr>
        <w:spacing w:after="0" w:line="175" w:lineRule="exact"/>
        <w:rPr>
          <w:sz w:val="20"/>
          <w:szCs w:val="20"/>
          <w:color w:val="auto"/>
        </w:rPr>
      </w:pPr>
    </w:p>
    <w:tbl>
      <w:tblPr>
        <w:tblLayout w:type="fixed"/>
        <w:tblInd w:w="2000" w:type="dxa"/>
        <w:tblCellMar>
          <w:top w:w="0" w:type="dxa"/>
          <w:left w:w="0" w:type="dxa"/>
          <w:bottom w:w="0" w:type="dxa"/>
          <w:right w:w="0" w:type="dxa"/>
        </w:tblCellMar>
      </w:tblPr>
      <w:tr>
        <w:trPr>
          <w:trHeight w:val="232"/>
        </w:trPr>
        <w:tc>
          <w:tcPr>
            <w:tcW w:w="4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9"/>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r>
      <w:tr>
        <w:trPr>
          <w:trHeight w:val="23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was previously a party to a collaboration with Sanofi for antibody-based cancer treatments in the field of immuno-oncology (the "IO Collaboration"). The IO Collaboration was governed by an Amended and Restated Immuno-oncology Discovery and Development Agreement ("Amended IO Discovery Agreement"), and an Immuno-oncology License and Collaboration Agreement ("IO License and Collaboration Agreement"). In connection with the execution of the original Immuno-oncology Discovery and Development Agreement in 2015 ("2015 IO Discovery Agreement"), which was subsequently replaced by the Amended IO Discovery Agreement (as discussed below), Sanofi made a $265.0 million non-refundable up-front payment to the Company. Pursuant to the 2015 IO Discovery Agreement, the Company was to identify and validate potential immuno-oncology targets and develop therapeutic antibodies against such targets through clinical proof-of-concept.</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Effective December 31, 2018, the Company and Sanofi entered into the Amended IO Discovery Agreement, which narrowed the scope of the existing discovery and development activities conducted by the Company under the 2015 IO Discovery Agreement to developing therapeutic bispecific antibodies targeting (i) BCMA and CD3 and (ii) MUC16 and CD3 through clinical proof-of-concept. During 2021, Sanofi did not exercise its options to license rights to these product candidates; as a result, the Company retains the exclusive right to develop and commercialize such product candidates and Sanofi will receive a royalty on sales (if any). In addition, the Company has no further obligations to develop drug product candidates under the Amended IO Discovery Agreement.</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IO License and Collaboration Agreement in 2015, Sanofi made a $375.0 million non-refundable up-front payment to the Company. Under the terms of the IO License and Collaboration Agreement, the parties were co-developing and co-commercializing Libtayo. The parties shared equally, on an ongoing basis, development and commercialization expenses for Libtayo. The Company had principal control over the development of Libtayo and led commercialization activities in the United States, while Sanofi led commercialization activities outside the United States. The parties shared equally in profits and losses in connection with the commercialization of Libtayo.</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Recognition of the up-front payments received from Sanofi had been deferred (recorded within Other liabilities), and such amounts were being recognized over the remaining period in which the Company was obligated to perform development activities. During 2021, the Company updated its estimate of the total research and development costs expected to be incurred (which resulted in a change to the estimate of the stage of completion) in connection with the IO Collaboration, and, as a result, recorded a cumulative catch-up adjustment of $66.9 million as a reduction to other operating income.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Amended and Restated Immuno-oncology License and Collaboration Agreement with Sanofi (the "A&amp;R IO LCA") described below, the remaining IO Collaboration Other liabilities balance of $241.0 million as of July 1, 2022 was recognized as a reduction to the intangible asset recorded in connection with the transaction during 2022.</w:t>
      </w:r>
    </w:p>
    <w:p>
      <w:pPr>
        <w:spacing w:after="0" w:line="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Effective July 1, 2022, the Company obtained the exclusive right to develop, commercialize, and manufacture Libtayo worldwide under the A&amp;R IO LCA. In connection with the A&amp;R IO LCA, in 2022, the Company made a $900.0 million up-front payment to Sanofi, as well as a $100.0 million regulatory milestone payment. In addition, Sanofi was eligible to earn an aggregate of $100.0 million in Libtayo sales-based milestones under the terms of the A&amp;R IO LCA, of which they earned $65.0 million in 2022 and $35.0 million in 2023. The Company also pays Sanofi an 11% royalty on net product sales of Libtayo through March 31, 2034. The transaction was accounted for as an asset acquisition and amounts paid to Sanofi in connection with obtaining the worldwide rights to Libtayo, including the up-front payment and any contingent consideration, are recorded as an intangible asset. See Note 8 for additional information related to the intangible asset.</w:t>
      </w:r>
    </w:p>
    <w:p>
      <w:pPr>
        <w:spacing w:after="0" w:line="1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accordance with the Amended IO Discovery Agreement, the Company was obligated to reimburse Sanofi for half of the development costs it funded that were attributable to clinical development of product candidates from the Company's share of profits from commercialized IO Collaboration products. Under the A&amp;R IO LCA, the amount of development costs incurred under the IO Collaboration for which the Company was obligated to reimburse Sanofi was $35.0 million as of the effective date of the A&amp;R IO LCA, and the Company pays Sanofi a 0.5% royalty on net product sales of Libtayo until all such development costs have been reimbursed by Regeneron. The Company's contingent reimbursement obligation to Sanofi under the A&amp;R IO LCA was approximately $28 million as of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8 mg (aflibercept 8 mg) and EYLEA (aflibercept) outside the United States. Agreed-upon development expenses incurred by the Company and Bayer are generally shared equally. The Company is also obligated to use commercially reasonable efforts to supply clinical and commercial bulk product.</w:t>
      </w:r>
    </w:p>
    <w:p>
      <w:pPr>
        <w:spacing w:after="0" w:line="1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Within the United States, the Company is responsible for commercialization and retains profits from such sales. Bayer is responsible for commercialization activities outside the United States, and the companies share equally in profits from such sales. In Japan, the Company was entitled to receive a tiered percentage of between 33.5% and 40.0% of EYLEA net product sales through 2021, and effective January 1, 2022, the companies share equally in profits from sales in Japan. The Company is obligated to reimburse Bayer out of its share of the collaboration profits for 50% of the agreed-upon development expenses that Bayer has incurred in accordance with a formula based on the amount of development expenses that Bayer has incurred and the Company's share of the collaboration profits, or at a faster rate at the Company's option. The Company's contingent reimbursement obligation to Bayer was approximately $293 million as of December 31,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Bayer collaboration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5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5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6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4020" w:type="dxa"/>
            <w:vAlign w:val="bottom"/>
            <w:tcBorders>
              <w:top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Regeneron's share of profits in connection with</w:t>
            </w:r>
          </w:p>
        </w:tc>
        <w:tc>
          <w:tcPr>
            <w:tcW w:w="2440" w:type="dxa"/>
            <w:vAlign w:val="bottom"/>
            <w:tcBorders>
              <w:top w:val="single" w:sz="8" w:color="auto"/>
            </w:tcBorders>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60" w:type="dxa"/>
            <w:vAlign w:val="bottom"/>
          </w:tcPr>
          <w:p>
            <w:pPr>
              <w:spacing w:after="0"/>
              <w:rPr>
                <w:sz w:val="14"/>
                <w:szCs w:val="14"/>
                <w:color w:val="auto"/>
              </w:rPr>
            </w:pPr>
          </w:p>
        </w:tc>
        <w:tc>
          <w:tcPr>
            <w:tcW w:w="40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8"/>
                <w:szCs w:val="18"/>
                <w:color w:val="auto"/>
              </w:rPr>
              <w:t>commercialization of EYLEA outside the United</w:t>
            </w: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1,317.4</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2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40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Reimbursement for manufacturing of ex-U.S.</w:t>
            </w:r>
          </w:p>
        </w:tc>
        <w:tc>
          <w:tcPr>
            <w:tcW w:w="25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supplies</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40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One-time payment in connection with change in Japan</w:t>
            </w:r>
          </w:p>
        </w:tc>
        <w:tc>
          <w:tcPr>
            <w:tcW w:w="254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arrangement</w:t>
            </w:r>
          </w:p>
        </w:tc>
        <w:tc>
          <w:tcPr>
            <w:tcW w:w="2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40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Regeneron's obligation for its share of Bayer R&amp;D</w:t>
            </w:r>
          </w:p>
        </w:tc>
        <w:tc>
          <w:tcPr>
            <w:tcW w:w="25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(R&amp;D expense)/Reduction of</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net of reimbursement of R&amp;D expenses</w:t>
            </w: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R&amp;D expense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8"/>
        </w:trPr>
        <w:tc>
          <w:tcPr>
            <w:tcW w:w="4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5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F-19</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Bayer collaboration:</w:t>
      </w:r>
    </w:p>
    <w:p>
      <w:pPr>
        <w:spacing w:after="0" w:line="175" w:lineRule="exact"/>
        <w:rPr>
          <w:sz w:val="20"/>
          <w:szCs w:val="20"/>
          <w:color w:val="auto"/>
        </w:rPr>
      </w:pPr>
    </w:p>
    <w:tbl>
      <w:tblPr>
        <w:tblLayout w:type="fixed"/>
        <w:tblInd w:w="2400" w:type="dxa"/>
        <w:tblCellMar>
          <w:top w:w="0" w:type="dxa"/>
          <w:left w:w="0" w:type="dxa"/>
          <w:bottom w:w="0" w:type="dxa"/>
          <w:right w:w="0" w:type="dxa"/>
        </w:tblCellMar>
      </w:tblPr>
      <w:tr>
        <w:trPr>
          <w:trHeight w:val="232"/>
        </w:trPr>
        <w:tc>
          <w:tcPr>
            <w:tcW w:w="320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40" w:type="dxa"/>
            <w:vAlign w:val="bottom"/>
            <w:tcBorders>
              <w:bottom w:val="single" w:sz="8" w:color="auto"/>
            </w:tcBorders>
          </w:tcPr>
          <w:p>
            <w:pPr>
              <w:spacing w:after="0"/>
              <w:rPr>
                <w:sz w:val="20"/>
                <w:szCs w:val="20"/>
                <w:color w:val="auto"/>
              </w:rPr>
            </w:pPr>
          </w:p>
        </w:tc>
      </w:tr>
      <w:tr>
        <w:trPr>
          <w:trHeight w:val="219"/>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r>
      <w:tr>
        <w:trPr>
          <w:trHeight w:val="21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r>
      <w:tr>
        <w:trPr>
          <w:trHeight w:val="231"/>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20"/>
                <w:szCs w:val="20"/>
                <w:color w:val="auto"/>
              </w:rPr>
            </w:pP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Alnylam</w:t>
      </w:r>
    </w:p>
    <w:p>
      <w:pPr>
        <w:spacing w:after="0" w:line="1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2019, the Company and Alnylam Pharmaceuticals, Inc. entered into a global, strategic collaboration to discover, develop, and commercialize RNA interference ("RNAi") therapeutics for a broad range of diseases by addressing therapeutic disease targets expressed in the eye and central nervous system ("CNS"), in addition to a select number of targets expressed in the liver. In connection with entering into the collaboration, the Company made an up-front payment of $400.0 million to Alnylam, and also purchased shares of Alnylam common stock for $400.0 million. For each program, the Company provides Alnylam with a specified amount of funding at program initiation and at lead candidate designation. Under the terms of the collaboration, the parties perform discovery research until designation of lead candidates. Following designation of a lead candidate, the parties may further advance such lead candidate under either a co-development/co-commercialization collaboration agreement (under which the parties are advancing ALN-APP and ALN-PNP, which are currently in clinical development) or a license agreement.</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initial target nomination and discovery period is five years (which may under certain situations automatically be extended for up to seven years in the aggregate) (the "Research Term"). In addition, the Company has the option to extend the Research Term for an additional five-year period for a research extension fee of $300.0 million.</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2023, the Company paid a $100.0 million development milestone to Alnylam, which was recorded to Acquired in-process research and development expense, upon the achievement of specified proof-of-principle criteria for the ALN-APP program. Alnylam is eligible to receive an additional $100.0 million clinical proof-of-principle milestone in connection with an eye program.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Alnylam collaboration are as follows: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6" w:lineRule="exact"/>
        <w:rPr>
          <w:sz w:val="20"/>
          <w:szCs w:val="20"/>
          <w:color w:val="auto"/>
        </w:rPr>
      </w:pPr>
    </w:p>
    <w:p>
      <w:pPr>
        <w:jc w:val="both"/>
        <w:ind w:left="840" w:hanging="158"/>
        <w:spacing w:after="0" w:line="220" w:lineRule="auto"/>
        <w:rPr>
          <w:sz w:val="20"/>
          <w:szCs w:val="20"/>
          <w:color w:val="auto"/>
        </w:rPr>
      </w:pPr>
      <w:r>
        <w:rPr>
          <w:rFonts w:ascii="Times New Roman" w:cs="Times New Roman" w:eastAsia="Times New Roman" w:hAnsi="Times New Roman"/>
          <w:sz w:val="18"/>
          <w:szCs w:val="18"/>
          <w:color w:val="auto"/>
        </w:rPr>
        <w:t>Regeneron's obligation for its share of Alnylam R&amp;D expenses, net of reimbursement of R&amp;D expenses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Development milestone</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Statement of Operations</w:t>
            </w:r>
          </w:p>
        </w:tc>
        <w:tc>
          <w:tcPr>
            <w:tcW w:w="2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Classification</w:t>
            </w:r>
          </w:p>
        </w:tc>
        <w:tc>
          <w:tcPr>
            <w:tcW w:w="220" w:type="dxa"/>
            <w:vAlign w:val="bottom"/>
          </w:tcPr>
          <w:p>
            <w:pPr>
              <w:spacing w:after="0"/>
              <w:rPr>
                <w:sz w:val="21"/>
                <w:szCs w:val="21"/>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25"/>
        </w:trPr>
        <w:tc>
          <w:tcPr>
            <w:tcW w:w="2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(R&amp;D expense)</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Acquired in-process research and</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3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171"/>
        </w:trPr>
        <w:tc>
          <w:tcPr>
            <w:tcW w:w="26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-631190</wp:posOffset>
            </wp:positionV>
            <wp:extent cx="6301740" cy="3702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0">
                      <a:extLst>
                        <a:ext uri="{28A0092B-C50C-407E-A947-70E740481C1C}"/>
                      </a:extLst>
                    </a:blip>
                    <a:srcRect/>
                    <a:stretch>
                      <a:fillRect/>
                    </a:stretch>
                  </pic:blipFill>
                  <pic:spPr bwMode="auto">
                    <a:xfrm>
                      <a:off x="0" y="0"/>
                      <a:ext cx="6301740" cy="370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20" w:space="360"/>
            <w:col w:w="6760"/>
          </w:cols>
          <w:pgMar w:left="320" w:top="364"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Alnylam collaboration:</w:t>
      </w:r>
    </w:p>
    <w:p>
      <w:pPr>
        <w:spacing w:after="0" w:line="189" w:lineRule="exact"/>
        <w:rPr>
          <w:sz w:val="20"/>
          <w:szCs w:val="20"/>
          <w:color w:val="auto"/>
        </w:rPr>
      </w:pPr>
    </w:p>
    <w:tbl>
      <w:tblPr>
        <w:tblLayout w:type="fixed"/>
        <w:tblInd w:w="1960" w:type="dxa"/>
        <w:tblCellMar>
          <w:top w:w="0" w:type="dxa"/>
          <w:left w:w="0" w:type="dxa"/>
          <w:bottom w:w="0" w:type="dxa"/>
          <w:right w:w="0" w:type="dxa"/>
        </w:tblCellMar>
      </w:tblPr>
      <w:tr>
        <w:trPr>
          <w:trHeight w:val="232"/>
        </w:trPr>
        <w:tc>
          <w:tcPr>
            <w:tcW w:w="4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8"/>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Roche</w:t>
      </w:r>
    </w:p>
    <w:p>
      <w:pPr>
        <w:spacing w:after="0" w:line="15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is a party to a collaboration agreement with Roche to develop, manufacture, and distribute the casirivimab and imdevimab antibody cocktail (known as REGEN-COV in the United States and Ronapreve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in other countries). Under the terms of the collaboration agreement, the parties jointly fund certain studies, and the Company has the right to distribute the product in the United States while Roche has the right to distribute the product outside the United States. The parties share gross profits from worldwide sales based on a pre-specified formula, depending on the amount of manufactured product supplied by each party to the market.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Roche collaboration are as follows:</w:t>
      </w:r>
    </w:p>
    <w:p>
      <w:pPr>
        <w:spacing w:after="0" w:line="295" w:lineRule="exact"/>
        <w:rPr>
          <w:sz w:val="20"/>
          <w:szCs w:val="20"/>
          <w:color w:val="auto"/>
        </w:rPr>
      </w:pPr>
    </w:p>
    <w:tbl>
      <w:tblPr>
        <w:tblLayout w:type="fixed"/>
        <w:tblInd w:w="240" w:type="dxa"/>
        <w:tblCellMar>
          <w:top w:w="0" w:type="dxa"/>
          <w:left w:w="0" w:type="dxa"/>
          <w:bottom w:w="0" w:type="dxa"/>
          <w:right w:w="0" w:type="dxa"/>
        </w:tblCellMar>
      </w:tblPr>
      <w:tr>
        <w:trPr>
          <w:trHeight w:val="232"/>
        </w:trPr>
        <w:tc>
          <w:tcPr>
            <w:tcW w:w="3900" w:type="dxa"/>
            <w:vAlign w:val="bottom"/>
          </w:tcPr>
          <w:p>
            <w:pPr>
              <w:spacing w:after="0"/>
              <w:rPr>
                <w:sz w:val="20"/>
                <w:szCs w:val="20"/>
                <w:color w:val="auto"/>
              </w:rPr>
            </w:pPr>
          </w:p>
        </w:tc>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3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3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5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65"/>
        </w:trPr>
        <w:tc>
          <w:tcPr>
            <w:tcW w:w="3900" w:type="dxa"/>
            <w:vAlign w:val="bottom"/>
            <w:tcBorders>
              <w:top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Global gross profit payment from Roche in</w:t>
            </w:r>
          </w:p>
        </w:tc>
        <w:tc>
          <w:tcPr>
            <w:tcW w:w="242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67"/>
        </w:trPr>
        <w:tc>
          <w:tcPr>
            <w:tcW w:w="390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8"/>
                <w:szCs w:val="18"/>
                <w:color w:val="auto"/>
              </w:rPr>
              <w:t>connection with sales of REGEN-COV and</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Ronapreve</w:t>
            </w:r>
          </w:p>
        </w:tc>
        <w:tc>
          <w:tcPr>
            <w:tcW w:w="2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25"/>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2"/>
        </w:trPr>
        <w:tc>
          <w:tcPr>
            <w:tcW w:w="39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Reimbursement of R&amp;D expenses</w:t>
            </w:r>
          </w:p>
        </w:tc>
        <w:tc>
          <w:tcPr>
            <w:tcW w:w="25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(R&amp;D expense)/Reduction of</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8"/>
        </w:trPr>
        <w:tc>
          <w:tcPr>
            <w:tcW w:w="390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expense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172"/>
        </w:trPr>
        <w:tc>
          <w:tcPr>
            <w:tcW w:w="39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Global gross profit payment to Roche in connection</w:t>
            </w:r>
          </w:p>
        </w:tc>
        <w:tc>
          <w:tcPr>
            <w:tcW w:w="252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9"/>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sales of REGEN-COV and Ronapreve</w:t>
            </w: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Roche collaboration:</w:t>
      </w:r>
    </w:p>
    <w:p>
      <w:pPr>
        <w:spacing w:after="0" w:line="175" w:lineRule="exact"/>
        <w:rPr>
          <w:sz w:val="20"/>
          <w:szCs w:val="20"/>
          <w:color w:val="auto"/>
        </w:rPr>
      </w:pPr>
    </w:p>
    <w:tbl>
      <w:tblPr>
        <w:tblLayout w:type="fixed"/>
        <w:tblInd w:w="2440" w:type="dxa"/>
        <w:tblCellMar>
          <w:top w:w="0" w:type="dxa"/>
          <w:left w:w="0" w:type="dxa"/>
          <w:bottom w:w="0" w:type="dxa"/>
          <w:right w:w="0" w:type="dxa"/>
        </w:tblCellMar>
      </w:tblPr>
      <w:tr>
        <w:trPr>
          <w:trHeight w:val="232"/>
        </w:trPr>
        <w:tc>
          <w:tcPr>
            <w:tcW w:w="336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40" w:type="dxa"/>
            <w:vAlign w:val="bottom"/>
            <w:tcBorders>
              <w:bottom w:val="single" w:sz="8" w:color="auto"/>
            </w:tcBorders>
          </w:tcPr>
          <w:p>
            <w:pPr>
              <w:spacing w:after="0"/>
              <w:rPr>
                <w:sz w:val="20"/>
                <w:szCs w:val="20"/>
                <w:color w:val="auto"/>
              </w:rPr>
            </w:pPr>
          </w:p>
        </w:tc>
      </w:tr>
      <w:tr>
        <w:trPr>
          <w:trHeight w:val="218"/>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19"/>
                <w:szCs w:val="19"/>
                <w:color w:val="auto"/>
              </w:rPr>
            </w:pPr>
          </w:p>
        </w:tc>
      </w:tr>
      <w:tr>
        <w:trPr>
          <w:trHeight w:val="21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40" w:type="dxa"/>
            <w:vAlign w:val="bottom"/>
            <w:tcBorders>
              <w:top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Intellia</w:t>
      </w:r>
    </w:p>
    <w:p>
      <w:pPr>
        <w:spacing w:after="0" w:line="142"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 xml:space="preserve">In 2016, the Company entered into a license and collaboration agreement with Intellia Therapeutics, Inc. to advance CRISPR/Cas9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The parties collaborate to conduct research for the discovery, development, and commercialization of new therapies, in addition to the research and technology development of the CRISPR/Cas9 platform.</w:t>
      </w:r>
    </w:p>
    <w:p>
      <w:pPr>
        <w:spacing w:after="0" w:line="112"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18"/>
          <w:szCs w:val="18"/>
          <w:color w:val="auto"/>
        </w:rPr>
        <w:t>Under the terms of the 2016 agreement, the parties agreed to a target selection process, whereby the Company may obtain exclusive rights in up to 10 targets to be chosen by the Company during the collaboration term, subject to various adjustments and limitations set forth in the agreement. Certain targets that either the Company or Intellia selects may be subject to a co-development and co-commercialization arrangement at the Company's option or Intellia’s option, as applicable. NTLA-2001, which is in clinical development, is subject to a co-development and co-commercialization arrangement pursuant to which Intellia will lead development and commercialization activities and the parties share an agreed-upon percentage of development expenses and profits (if commercialized).</w:t>
      </w:r>
    </w:p>
    <w:p>
      <w:pPr>
        <w:spacing w:after="0" w:line="117"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2020, the Company expanded its existing collaboration with Intellia to provide the Company with rights to develop products for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CRISPR/Cas9-based therapeutic targets and for the parties to jointly develop potential products for the treatment of hemophilia A and B, with Regeneron leading development and commercialization activities. In addition, the Company also received non-exclusive rights to independently develop and commercialize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gene edited products. In connection with the agreement, in 2020, the Company made a $70.0 million up-front payment.</w:t>
      </w:r>
    </w:p>
    <w:p>
      <w:pPr>
        <w:spacing w:after="0" w:line="97"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2023, the Company further expanded its existing collaboration to develop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CRISPR-based gene editing therapies focused on neurological and muscular diseases. Intellia will lead the design of the editing methodology, the Company will lead the design of the targeted viral vector delivery approach, and the parties share costs equally. Each company will have the opportunity to lead potential development and commercialization of product candidates for one target, and the company that is not leading development and commercialization will have the option to enter into a co-development and co-commercialization agreement for the target.</w:t>
      </w:r>
    </w:p>
    <w:p>
      <w:pPr>
        <w:spacing w:after="0" w:line="117"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In October 2023, the Company elected to extend the period for selecting targets under the 2016 license and collaboration agreement for an additional two years until April 2026; as a result, the Company became obligated to make a $30.0 million extension payment to Intellia (which was recorded to Acquired in-process research and development expense in 2023).</w:t>
      </w:r>
    </w:p>
    <w:p>
      <w:pPr>
        <w:spacing w:after="0" w:line="112"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research and development activities co-funded under the Intellia agreements were not material for the years ended December 31, 2023, 2022, and 2021. In addition, contract balances in the Company's Balance Sheets in connection with the Intellia agreements were not material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0"/>
          </w:cols>
          <w:pgMar w:left="320" w:top="364" w:right="2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Sonoma</w:t>
      </w:r>
    </w:p>
    <w:p>
      <w:pPr>
        <w:spacing w:after="0" w:line="14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In March 2023, the Company and Sonoma Biotherapeutics, Inc. entered into a license and collaboration agreement to bring together the Company's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with Sonoma's technology platform for the discovery, development, and commercialization of novel regulatory T cell ("Treg")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therapies for autoimmune diseases. In connection with the agreement, the Company made a $45.0 million up-front payment (which was recorded to Acquired in-process research and development expense in 2023) and, in April 2023, the Company purchased an aggregate of $30.0 million of Sonoma preferred stock. Sonoma is also eligible to receive a $45.0 million development milestone payment. The Company and Sonoma will co-fund research and development activities and share equally any future commercial expenses and profits. The Company will have the option to lead late-stage development and commercialization on all products globally, with Sonoma retaining rights to co-promote all such products in the United States.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research and development activities co-funded under the Sonoma agreement were not material for the year ended December 31, 2023. In addition, contract balances in the Company's Balance Sheets in connection with the Sonoma agreement were not material as of December 31,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U.S. Government</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2021, the Company entered into agreements with the U.S. Department of Defense and the U.S. Department of Health and Human Services ("HHS") to manufacture and deliver filled and finished drug product of REGEN-COV to the U.S. government. Roche supplied a portion of the doses to Regeneron to fulfill the Company's agreement with the U.S. government (see "Roche" above for further details regarding the Company's collaboration agreement with Roche). As of December 31, 2021, the Company had completed its final deliveries of drug product under these agreements. See Note 2 for REGEN-COV net product sales recognized during the year ended December 31, 2021 in connection with these agreements.</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August 2023, the Company expanded its Other Transaction Agreement ("OTA") with the Biomedical Advanced Research and Development Authority ("BARDA"), pursuant to which the HHS is obligated to fund up to 70% of the Company's costs incurred for certain development activities related to a next-generation COVID-19 monoclonal antibody therapy for the prevention of SARS-CoV-2 infection. Pursuant to the terms of the expanded agreement, the Company could receive payments of up to approximately $326 million in the aggregate to support clinical development, clinical manufacturing, and the regulatory licensure process.</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Amounts recognized within Other revenue in the Company's Statements of Operations in connection with the expanded BARDA agreement were $50.4 million for the year ended December 31, 2023.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contract balances in connection with this BARDA agreement:</w:t>
      </w:r>
    </w:p>
    <w:p>
      <w:pPr>
        <w:spacing w:after="0" w:line="175" w:lineRule="exact"/>
        <w:rPr>
          <w:sz w:val="20"/>
          <w:szCs w:val="20"/>
          <w:color w:val="auto"/>
        </w:rPr>
      </w:pPr>
    </w:p>
    <w:tbl>
      <w:tblPr>
        <w:tblLayout w:type="fixed"/>
        <w:tblInd w:w="3180" w:type="dxa"/>
        <w:tblCellMar>
          <w:top w:w="0" w:type="dxa"/>
          <w:left w:w="0" w:type="dxa"/>
          <w:bottom w:w="0" w:type="dxa"/>
          <w:right w:w="0" w:type="dxa"/>
        </w:tblCellMar>
      </w:tblPr>
      <w:tr>
        <w:trPr>
          <w:trHeight w:val="225"/>
        </w:trPr>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As of December 31,</w:t>
            </w:r>
          </w:p>
        </w:tc>
      </w:tr>
      <w:tr>
        <w:trPr>
          <w:trHeight w:val="232"/>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Decibel</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2017, the Company entered into an agreement with Decibel Therapeutics, Inc. to discover and develop new potential therapeutics to protect, repair and restore hearing (including DB-OTO, which is currently in clinical development, and preclinical programs for GJB2-related and stereocilin-related hearing loss). In connection with the agreement, the Company also purchased shares of Decibel stock.</w:t>
      </w:r>
    </w:p>
    <w:p>
      <w:pPr>
        <w:spacing w:after="0" w:line="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August 2023, the Company entered into an Agreement and Plan of Merger to acquire Decibel, and in September 2023, the Company completed its acquisition of Decibel (which was accounted for as a business combination). The Company paid $101.3 million in cash (or $4.00 per share of Decibel common stock), of which $6.6 million was attributed to post-combination services to be rendered by Decibel equity award holders, and as a result, was excluded from the amount of consideration transferred for purchase accounting. In addition, Decibel shareholders received one non-tradeable contingent value right ("CVR") per share of Decibel common stock, which entitles the holder to receive up to $3.50 per share in cash upon achievement of certain clinical development and regulatory milestones for DB-OTO within specified time periods. At closing, the Company recorded a liability related to the fair value of the CVRs of $43.7 million (see Note 5). The maximum aggregate amount that holders of the CVRs may be entitled to receive if all the milestones contemplated by the CVRs are achieved is approximately $97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Company's investment in Decibel stock immediately before the acquisition date was $10.3 million.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amounts recognized for assets acquired and liabilities assumed based on their estimated fair values as of the acquisition date:</w:t>
      </w:r>
    </w:p>
    <w:p>
      <w:pPr>
        <w:spacing w:after="0" w:line="122" w:lineRule="exact"/>
        <w:rPr>
          <w:sz w:val="20"/>
          <w:szCs w:val="20"/>
          <w:color w:val="auto"/>
        </w:rPr>
      </w:pPr>
    </w:p>
    <w:tbl>
      <w:tblPr>
        <w:tblLayout w:type="fixed"/>
        <w:tblInd w:w="2800" w:type="dxa"/>
        <w:tblCellMar>
          <w:top w:w="0" w:type="dxa"/>
          <w:left w:w="0" w:type="dxa"/>
          <w:bottom w:w="0" w:type="dxa"/>
          <w:right w:w="0" w:type="dxa"/>
        </w:tblCellMar>
      </w:tblPr>
      <w:tr>
        <w:trPr>
          <w:trHeight w:val="225"/>
        </w:trPr>
        <w:tc>
          <w:tcPr>
            <w:tcW w:w="4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September 25,</w:t>
            </w:r>
          </w:p>
        </w:tc>
      </w:tr>
      <w:tr>
        <w:trPr>
          <w:trHeight w:val="232"/>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5"/>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5"/>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180"/>
        </w:trPr>
        <w:tc>
          <w:tcPr>
            <w:tcW w:w="4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Indefinite-lived intangible asset related to in-process</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30"/>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5"/>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and liabilities, net</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43"/>
        </w:trPr>
        <w:tc>
          <w:tcPr>
            <w:tcW w:w="4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final determination of fair values of assets acquired, liabilities assumed, and tax-related items will be completed no later than one year from the acquisition date.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Checkmate</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the Company completed its acquisition of Checkmate Pharmaceuticals, Inc. for a total equity value of approximately $250 million. As a result of the transaction, which was accounted for as an asset acquisition, the Company recorded, during 2022, (i) a charge of $195.0 million to Acquired in-process research and development and (ii) net assets of $61.7 million, including $26.4 million of cash and cash equivalents acquired, related to the assets acquired (including deferred tax assets and investments) and liabilities assumed.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Other</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to the collaboration agreements discussed above, the Company has various other license and collaboration agreements that are not individually significant to its operating results or financial condition at this time. Pursuant to the terms of those agreements, the Company may be required to pay, or it may receive, additional amounts contingent upon the occurrence of various future events (e.g., upon the achievement of various development and commercial milestones) which in the aggregate could be significant. The Company may also incur, or get reimbursed for, significant research and development costs.</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also in-licensed patent and/or technology pursuant to agreements which contain provisions that require the Company to pay royalties, as defined, at rates that range from 0.5% to 12.0%, in the event the Company sells or licenses any proprietary products developed under the respective agreements.</w:t>
      </w:r>
    </w:p>
    <w:p>
      <w:pPr>
        <w:spacing w:after="0" w:line="1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described above, as a result of obtaining worldwide rights to Libtayo, the Company pays Sanofi a royalty on net product sales of Libtayo. In addition, in 2018, the Company and Sanofi entered into a license agreement with Bristol-Myers Squibb Company, E. R. Squibb &amp; Sons, L.L.C., and Ono Pharmaceutical Co., Ltd. to obtain a license under certain patents owned and/or exclusively licensed by one or more of those parties that includes the right to develop and sell Libtayo. Under the agreement, the Company paid royalties of 8.0% on worldwide sales of Libtayo through December 31, 2023, and is obligated to pay royalties of 2.5% from January 1, 2024 through December 31, 2026. Prior to July 1, 2022, royalties on such sales were shared equally by the Company and Sanofi.</w:t>
      </w:r>
    </w:p>
    <w:p>
      <w:pPr>
        <w:spacing w:after="0" w:line="106"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For the years ended December 31, 2023, 2022, and 2021, the Company recorded royalty expense (net of reimbursements from collaborators, as applicable) in its Statements of Operations of $117.6 million, $84.5 million, and $66.9 million, respectively, based on product sales under various licensing agreements.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1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Marketable securities as of December 31, 2023 and 2022 consist of both available-for-sale debt securities of investment grade issuers (see below and Note 5) as well as equity securities of publicly traded companies (see Note 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89" w:lineRule="exact"/>
        <w:rPr>
          <w:sz w:val="20"/>
          <w:szCs w:val="20"/>
          <w:color w:val="auto"/>
        </w:rPr>
      </w:pPr>
    </w:p>
    <w:tbl>
      <w:tblPr>
        <w:tblLayout w:type="fixed"/>
        <w:tblInd w:w="150" w:type="dxa"/>
        <w:tblCellMar>
          <w:top w:w="0" w:type="dxa"/>
          <w:left w:w="0" w:type="dxa"/>
          <w:bottom w:w="0" w:type="dxa"/>
          <w:right w:w="0" w:type="dxa"/>
        </w:tblCellMar>
      </w:tblPr>
      <w:tr>
        <w:trPr>
          <w:trHeight w:val="232"/>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Pr>
          <w:p>
            <w:pPr>
              <w:spacing w:after="0"/>
              <w:rPr>
                <w:sz w:val="20"/>
                <w:szCs w:val="20"/>
                <w:color w:val="auto"/>
              </w:rPr>
            </w:pPr>
          </w:p>
        </w:tc>
        <w:tc>
          <w:tcPr>
            <w:tcW w:w="23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20"/>
                <w:szCs w:val="20"/>
                <w:color w:val="auto"/>
              </w:rPr>
            </w:pPr>
          </w:p>
        </w:tc>
        <w:tc>
          <w:tcPr>
            <w:tcW w:w="92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79"/>
        </w:trPr>
        <w:tc>
          <w:tcPr>
            <w:tcW w:w="59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Pr>
          <w:p>
            <w:pPr>
              <w:spacing w:after="0"/>
              <w:rPr>
                <w:sz w:val="15"/>
                <w:szCs w:val="15"/>
                <w:color w:val="auto"/>
              </w:rPr>
            </w:pPr>
          </w:p>
        </w:tc>
        <w:tc>
          <w:tcPr>
            <w:tcW w:w="1140" w:type="dxa"/>
            <w:vAlign w:val="bottom"/>
            <w:gridSpan w:val="2"/>
          </w:tcPr>
          <w:p>
            <w:pPr>
              <w:ind w:left="60"/>
              <w:spacing w:after="0" w:line="179"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ind w:left="120"/>
              <w:spacing w:after="0" w:line="179" w:lineRule="exact"/>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52"/>
              <w:spacing w:after="0" w:line="179" w:lineRule="exact"/>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272"/>
              <w:spacing w:after="0" w:line="179"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0"/>
        </w:trPr>
        <w:tc>
          <w:tcPr>
            <w:tcW w:w="188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59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6,398.0</w:t>
            </w: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4,833.4</w:t>
            </w:r>
          </w:p>
        </w:tc>
      </w:tr>
      <w:tr>
        <w:trPr>
          <w:trHeight w:val="225"/>
        </w:trPr>
        <w:tc>
          <w:tcPr>
            <w:tcW w:w="59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r>
      <w:tr>
        <w:trPr>
          <w:trHeight w:val="225"/>
        </w:trPr>
        <w:tc>
          <w:tcPr>
            <w:tcW w:w="59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r>
      <w:tr>
        <w:trPr>
          <w:trHeight w:val="225"/>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r>
      <w:tr>
        <w:trPr>
          <w:trHeight w:val="243"/>
        </w:trPr>
        <w:tc>
          <w:tcPr>
            <w:tcW w:w="1880" w:type="dxa"/>
            <w:vAlign w:val="bottom"/>
            <w:tcBorders>
              <w:left w:val="single" w:sz="8" w:color="CCEEFF"/>
              <w:bottom w:val="single" w:sz="8" w:color="CCEEFF"/>
            </w:tcBorders>
            <w:shd w:val="clear" w:color="auto" w:fill="CCEEFF"/>
          </w:tcPr>
          <w:p>
            <w:pPr>
              <w:spacing w:after="0"/>
              <w:rPr>
                <w:sz w:val="20"/>
                <w:szCs w:val="20"/>
                <w:color w:val="auto"/>
              </w:rPr>
            </w:pPr>
          </w:p>
        </w:tc>
        <w:tc>
          <w:tcPr>
            <w:tcW w:w="4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12,533.9</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18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5"/>
        </w:trPr>
        <w:tc>
          <w:tcPr>
            <w:tcW w:w="5940" w:type="dxa"/>
            <w:vAlign w:val="bottom"/>
            <w:tcBorders>
              <w:left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40"/>
        </w:trPr>
        <w:tc>
          <w:tcPr>
            <w:tcW w:w="1880" w:type="dxa"/>
            <w:vAlign w:val="bottom"/>
            <w:tcBorders>
              <w:left w:val="single" w:sz="8" w:color="CCEEFF"/>
            </w:tcBorders>
            <w:shd w:val="clear" w:color="auto" w:fill="000000"/>
          </w:tcPr>
          <w:p>
            <w:pPr>
              <w:spacing w:after="0"/>
              <w:rPr>
                <w:sz w:val="3"/>
                <w:szCs w:val="3"/>
                <w:color w:val="auto"/>
              </w:rPr>
            </w:pPr>
          </w:p>
        </w:tc>
        <w:tc>
          <w:tcPr>
            <w:tcW w:w="40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6,975.5</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6,684.4</w:t>
            </w:r>
          </w:p>
        </w:tc>
      </w:tr>
      <w:tr>
        <w:trPr>
          <w:trHeight w:val="225"/>
        </w:trPr>
        <w:tc>
          <w:tcPr>
            <w:tcW w:w="59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2,939.4</w:t>
            </w: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5"/>
        </w:trPr>
        <w:tc>
          <w:tcPr>
            <w:tcW w:w="59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5"/>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25"/>
        </w:trPr>
        <w:tc>
          <w:tcPr>
            <w:tcW w:w="59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8"/>
        </w:trPr>
        <w:tc>
          <w:tcPr>
            <w:tcW w:w="18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10,320.1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10,018.2</w:t>
            </w:r>
          </w:p>
        </w:tc>
      </w:tr>
      <w:tr>
        <w:trPr>
          <w:trHeight w:val="20"/>
        </w:trPr>
        <w:tc>
          <w:tcPr>
            <w:tcW w:w="1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as of December 31, 2023 mature at various dates through April 2029. The fair values of available-for-sale debt securities by contractual maturity consist of the following:</w:t>
      </w:r>
    </w:p>
    <w:p>
      <w:pPr>
        <w:spacing w:after="0" w:line="149" w:lineRule="exact"/>
        <w:rPr>
          <w:sz w:val="20"/>
          <w:szCs w:val="20"/>
          <w:color w:val="auto"/>
        </w:rPr>
      </w:pPr>
    </w:p>
    <w:tbl>
      <w:tblPr>
        <w:tblLayout w:type="fixed"/>
        <w:tblInd w:w="1920" w:type="dxa"/>
        <w:tblCellMar>
          <w:top w:w="0" w:type="dxa"/>
          <w:left w:w="0" w:type="dxa"/>
          <w:bottom w:w="0" w:type="dxa"/>
          <w:right w:w="0" w:type="dxa"/>
        </w:tblCellMar>
      </w:tblPr>
      <w:tr>
        <w:trPr>
          <w:trHeight w:val="232"/>
        </w:trPr>
        <w:tc>
          <w:tcPr>
            <w:tcW w:w="4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8"/>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4,636.4</w:t>
            </w:r>
          </w:p>
        </w:tc>
      </w:tr>
      <w:tr>
        <w:trPr>
          <w:trHeight w:val="225"/>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5,381.4</w:t>
            </w:r>
          </w:p>
        </w:tc>
      </w:tr>
      <w:tr>
        <w:trPr>
          <w:trHeight w:val="225"/>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Maturities after five years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8"/>
        </w:trPr>
        <w:tc>
          <w:tcPr>
            <w:tcW w:w="488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10,018.2</w:t>
            </w:r>
          </w:p>
        </w:tc>
      </w:tr>
      <w:tr>
        <w:trPr>
          <w:trHeight w:val="20"/>
        </w:trPr>
        <w:tc>
          <w:tcPr>
            <w:tcW w:w="4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following table shows the fair value of the Company's available-for-sale debt securities that have unrealized losses, aggregated by investment category and length of time that the individual securities have been in a continuous loss position.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4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40" w:type="dxa"/>
            <w:vAlign w:val="bottom"/>
            <w:gridSpan w:val="2"/>
          </w:tcPr>
          <w:p>
            <w:pPr>
              <w:spacing w:after="0" w:line="165"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52"/>
              <w:spacing w:after="0" w:line="165"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52"/>
              <w:spacing w:after="0" w:line="165"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72"/>
              <w:spacing w:after="0" w:line="165"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40" w:type="dxa"/>
            <w:vAlign w:val="bottom"/>
            <w:gridSpan w:val="2"/>
          </w:tcPr>
          <w:p>
            <w:pPr>
              <w:spacing w:after="0" w:line="165"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12"/>
              <w:spacing w:after="0" w:line="165" w:lineRule="exact"/>
              <w:rPr>
                <w:sz w:val="20"/>
                <w:szCs w:val="20"/>
                <w:color w:val="auto"/>
              </w:rPr>
            </w:pPr>
            <w:r>
              <w:rPr>
                <w:rFonts w:ascii="Times New Roman" w:cs="Times New Roman" w:eastAsia="Times New Roman" w:hAnsi="Times New Roman"/>
                <w:sz w:val="18"/>
                <w:szCs w:val="18"/>
                <w:b w:val="1"/>
                <w:bCs w:val="1"/>
                <w:color w:val="auto"/>
              </w:rPr>
              <w:t>Loss</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860" w:type="dxa"/>
            <w:vAlign w:val="bottom"/>
            <w:tcBorders>
              <w:top w:val="single" w:sz="8" w:color="auto"/>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gridSpan w:val="2"/>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unrealized losses on corporate bonds as of December 31, 2023 and 2022 were primarily driven by increased interest rates. The Company has reviewed its portfolio of available-for-sale debt securities and determined that the decline in fair value below cost did not result from credit-related factors. In addition, the Company does not intend to sell, and it is not more likely than not that the Company will be required to sell, such securities before recovery of their amortized cost bases.</w:t>
      </w:r>
    </w:p>
    <w:p>
      <w:pPr>
        <w:spacing w:after="0" w:line="1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With respect to marketable securities, for the years ended December 31, 2023, 2022, and 2021, amounts reclassified from Accumulated other comprehensive loss into Other income (expense), net were related to realized gains/losses on sales of available-for-sale debt securities. Realized gains and losses on sales of marketable securities were not material for the years ended December 31, 2023, 2022, and 2021.</w:t>
      </w:r>
    </w:p>
    <w:p>
      <w:pPr>
        <w:spacing w:after="0" w:line="9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recognized interest income of $495.9 million, $160.1 million, and $45.8 million for the years ended December 31, 2023, 2022, and 2021, respectively, in Other income (expense), net.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4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table below summarizes the Company's assets and liabilities which are measured at fair value on a recurring basis. The following fair value hierarchy is used to classify assets and liabilities, based on inputs to valuation techniques utilized to measure fair value:</w:t>
      </w:r>
    </w:p>
    <w:p>
      <w:pPr>
        <w:spacing w:after="0" w:line="97" w:lineRule="exact"/>
        <w:rPr>
          <w:sz w:val="20"/>
          <w:szCs w:val="20"/>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4"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gridSpan w:val="7"/>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7"/>
              </w:rPr>
              <w:t>Fair Value Measurements at Reporting Date</w:t>
            </w:r>
          </w:p>
        </w:tc>
      </w:tr>
      <w:tr>
        <w:trPr>
          <w:trHeight w:val="179"/>
        </w:trPr>
        <w:tc>
          <w:tcPr>
            <w:tcW w:w="20" w:type="dxa"/>
            <w:vAlign w:val="bottom"/>
          </w:tcPr>
          <w:p>
            <w:pPr>
              <w:spacing w:after="0"/>
              <w:rPr>
                <w:sz w:val="15"/>
                <w:szCs w:val="15"/>
                <w:color w:val="auto"/>
              </w:rPr>
            </w:pPr>
          </w:p>
        </w:tc>
        <w:tc>
          <w:tcPr>
            <w:tcW w:w="484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40" w:type="dxa"/>
            <w:vAlign w:val="bottom"/>
          </w:tcPr>
          <w:p>
            <w:pPr>
              <w:spacing w:after="0"/>
              <w:rPr>
                <w:sz w:val="15"/>
                <w:szCs w:val="15"/>
                <w:color w:val="auto"/>
              </w:rPr>
            </w:pPr>
          </w:p>
        </w:tc>
        <w:tc>
          <w:tcPr>
            <w:tcW w:w="1380" w:type="dxa"/>
            <w:vAlign w:val="bottom"/>
            <w:gridSpan w:val="2"/>
          </w:tcPr>
          <w:p>
            <w:pPr>
              <w:ind w:left="120"/>
              <w:spacing w:after="0" w:line="179"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15"/>
                <w:szCs w:val="15"/>
                <w:color w:val="auto"/>
              </w:rPr>
            </w:pPr>
          </w:p>
        </w:tc>
        <w:tc>
          <w:tcPr>
            <w:tcW w:w="1320" w:type="dxa"/>
            <w:vAlign w:val="bottom"/>
            <w:gridSpan w:val="2"/>
          </w:tcPr>
          <w:p>
            <w:pPr>
              <w:ind w:left="180"/>
              <w:spacing w:after="0" w:line="179"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5"/>
                <w:szCs w:val="15"/>
                <w:color w:val="auto"/>
              </w:rPr>
            </w:pPr>
          </w:p>
        </w:tc>
        <w:tc>
          <w:tcPr>
            <w:tcW w:w="1340" w:type="dxa"/>
            <w:vAlign w:val="bottom"/>
            <w:gridSpan w:val="2"/>
          </w:tcPr>
          <w:p>
            <w:pPr>
              <w:jc w:val="center"/>
              <w:ind w:right="400"/>
              <w:spacing w:after="0" w:line="179"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280" w:type="dxa"/>
            <w:vAlign w:val="bottom"/>
          </w:tcPr>
          <w:p>
            <w:pPr>
              <w:spacing w:after="0"/>
              <w:rPr>
                <w:sz w:val="15"/>
                <w:szCs w:val="15"/>
                <w:color w:val="auto"/>
              </w:rPr>
            </w:pPr>
          </w:p>
        </w:tc>
        <w:tc>
          <w:tcPr>
            <w:tcW w:w="1220" w:type="dxa"/>
            <w:vAlign w:val="bottom"/>
          </w:tcPr>
          <w:p>
            <w:pPr>
              <w:jc w:val="right"/>
              <w:ind w:right="392"/>
              <w:spacing w:after="0" w:line="179"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84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Sovereign bonds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14,439.4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13,455.6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Contingent consideration - CVRs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65"/>
        </w:trPr>
        <w:tc>
          <w:tcPr>
            <w:tcW w:w="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05"/>
        </w:trPr>
        <w:tc>
          <w:tcPr>
            <w:tcW w:w="20" w:type="dxa"/>
            <w:vAlign w:val="bottom"/>
            <w:shd w:val="clear" w:color="auto" w:fill="CCEEFF"/>
          </w:tcPr>
          <w:p>
            <w:pPr>
              <w:spacing w:after="0"/>
              <w:rPr>
                <w:sz w:val="17"/>
                <w:szCs w:val="17"/>
                <w:color w:val="auto"/>
              </w:rPr>
            </w:pPr>
          </w:p>
        </w:tc>
        <w:tc>
          <w:tcPr>
            <w:tcW w:w="484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20" w:type="dxa"/>
            <w:vAlign w:val="bottom"/>
            <w:tcBorders>
              <w:top w:val="single" w:sz="8" w:color="CCEEFF"/>
            </w:tcBorders>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29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Sovereign bonds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4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held certain restricted equity securities as of December 31, 2023 which are subject to transfer restrictions that expire at various dates through 2024.</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recorded $237.8 million and $39.8 million, respectively, of net unrealized losses on equity securities in Other income (expense), net. During the year ended December 31, 2021, the Company recorded $386.1 million of net unrealized gains on equity securities in Other income (expense), net. In addition, during the year ended December 31, 2023, the Company recorded a write-down of $29.0 million in Other income (expense), net related to the Company's investments in private companies.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addition to the investments summarized in the table above, as of December 31, 2023 and 2022, the Company had $74.3 million and $48.3 million, respectively, in equity investments that do not have a readily determinable fair value. These investments are recorded within Other noncurrent assets.</w:t>
      </w:r>
    </w:p>
    <w:p>
      <w:pPr>
        <w:spacing w:after="0" w:line="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described in Note 3, in September 2023, the Company acquired Decibel and recorded a liability for the CVRs within other liabilities. The fair value of the CVR liability is determined based on the probability of achieving certain clinical development and regulatory milestones and estimated discount rates. Through December 31, 2023, there were no changes in the fair value of the CVRs subsequent to the date of acquisition.</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fair value of the Company's long-term debt (see Note 10), which was determined based on Level 2 inputs, was estimated to be $1.528 billion and $1.443 billion as of December 31, 2023 and 2022,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42" w:lineRule="exact"/>
        <w:rPr>
          <w:sz w:val="20"/>
          <w:szCs w:val="20"/>
          <w:color w:val="auto"/>
        </w:rPr>
      </w:pPr>
    </w:p>
    <w:tbl>
      <w:tblPr>
        <w:tblLayout w:type="fixed"/>
        <w:tblInd w:w="2320" w:type="dxa"/>
        <w:tblCellMar>
          <w:top w:w="0" w:type="dxa"/>
          <w:left w:w="0" w:type="dxa"/>
          <w:bottom w:w="0" w:type="dxa"/>
          <w:right w:w="0" w:type="dxa"/>
        </w:tblCellMar>
      </w:tblPr>
      <w:tr>
        <w:trPr>
          <w:trHeight w:val="232"/>
        </w:trPr>
        <w:tc>
          <w:tcPr>
            <w:tcW w:w="3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60" w:type="dxa"/>
            <w:vAlign w:val="bottom"/>
            <w:tcBorders>
              <w:bottom w:val="single" w:sz="8" w:color="auto"/>
            </w:tcBorders>
          </w:tcPr>
          <w:p>
            <w:pPr>
              <w:spacing w:after="0"/>
              <w:rPr>
                <w:sz w:val="20"/>
                <w:szCs w:val="20"/>
                <w:color w:val="auto"/>
              </w:rPr>
            </w:pPr>
          </w:p>
        </w:tc>
      </w:tr>
      <w:tr>
        <w:trPr>
          <w:trHeight w:val="218"/>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18"/>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r>
      <w:tr>
        <w:trPr>
          <w:trHeight w:val="22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w:t>
            </w:r>
          </w:p>
        </w:tc>
      </w:tr>
      <w:tr>
        <w:trPr>
          <w:trHeight w:val="22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5"/>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costs</w:t>
            </w: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r>
      <w:tr>
        <w:trPr>
          <w:trHeight w:val="244"/>
        </w:trPr>
        <w:tc>
          <w:tcPr>
            <w:tcW w:w="3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2,401.9</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Inventory balances in the table above are net of reserves of $705.9 million and $720.7 million as of December 31, 2023 and 2022, respectively. For the years ended December 31, 2023, 2022, and 2021, Cost of goods sold included inventory write-offs and reserves of $102.3 million, $258.7 million, and $457.1 million, respectively. Inventory write-offs and reserves for the years ended 2022 and 2021 primarily related to REGEN-COV.</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5"/>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96"/>
        </w:trPr>
        <w:tc>
          <w:tcPr>
            <w:tcW w:w="22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4"/>
                <w:szCs w:val="24"/>
                <w:color w:val="auto"/>
              </w:rPr>
            </w:pPr>
          </w:p>
        </w:tc>
      </w:tr>
      <w:tr>
        <w:trPr>
          <w:trHeight w:val="218"/>
        </w:trPr>
        <w:tc>
          <w:tcPr>
            <w:tcW w:w="2200" w:type="dxa"/>
            <w:vAlign w:val="bottom"/>
          </w:tcPr>
          <w:p>
            <w:pPr>
              <w:spacing w:after="0"/>
              <w:rPr>
                <w:sz w:val="19"/>
                <w:szCs w:val="19"/>
                <w:color w:val="auto"/>
              </w:rPr>
            </w:pPr>
          </w:p>
        </w:tc>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19"/>
        </w:trPr>
        <w:tc>
          <w:tcPr>
            <w:tcW w:w="2200" w:type="dxa"/>
            <w:vAlign w:val="bottom"/>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2,270.0</w:t>
            </w:r>
          </w:p>
        </w:tc>
      </w:tr>
      <w:tr>
        <w:trPr>
          <w:trHeight w:val="225"/>
        </w:trPr>
        <w:tc>
          <w:tcPr>
            <w:tcW w:w="220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25"/>
        </w:trPr>
        <w:tc>
          <w:tcPr>
            <w:tcW w:w="2200" w:type="dxa"/>
            <w:vAlign w:val="bottom"/>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1,315.3</w:t>
            </w:r>
          </w:p>
        </w:tc>
      </w:tr>
      <w:tr>
        <w:trPr>
          <w:trHeight w:val="225"/>
        </w:trPr>
        <w:tc>
          <w:tcPr>
            <w:tcW w:w="220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r>
      <w:tr>
        <w:trPr>
          <w:trHeight w:val="225"/>
        </w:trPr>
        <w:tc>
          <w:tcPr>
            <w:tcW w:w="2200" w:type="dxa"/>
            <w:vAlign w:val="bottom"/>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office equipment, and other</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25"/>
        </w:trPr>
        <w:tc>
          <w:tcPr>
            <w:tcW w:w="220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25"/>
        </w:trPr>
        <w:tc>
          <w:tcPr>
            <w:tcW w:w="2200" w:type="dxa"/>
            <w:vAlign w:val="bottom"/>
          </w:tcPr>
          <w:p>
            <w:pPr>
              <w:spacing w:after="0"/>
              <w:rPr>
                <w:sz w:val="19"/>
                <w:szCs w:val="19"/>
                <w:color w:val="auto"/>
              </w:rPr>
            </w:pPr>
          </w:p>
        </w:tc>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r>
      <w:tr>
        <w:trPr>
          <w:trHeight w:val="218"/>
        </w:trPr>
        <w:tc>
          <w:tcPr>
            <w:tcW w:w="2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5,432.2</w:t>
            </w:r>
          </w:p>
        </w:tc>
      </w:tr>
      <w:tr>
        <w:trPr>
          <w:trHeight w:val="172"/>
        </w:trPr>
        <w:tc>
          <w:tcPr>
            <w:tcW w:w="2200" w:type="dxa"/>
            <w:vAlign w:val="bottom"/>
          </w:tcPr>
          <w:p>
            <w:pPr>
              <w:spacing w:after="0"/>
              <w:rPr>
                <w:sz w:val="14"/>
                <w:szCs w:val="14"/>
                <w:color w:val="auto"/>
              </w:rPr>
            </w:pPr>
          </w:p>
        </w:tc>
        <w:tc>
          <w:tcPr>
            <w:tcW w:w="32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Accumulated depreciation and</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38"/>
        </w:trPr>
        <w:tc>
          <w:tcPr>
            <w:tcW w:w="2200" w:type="dxa"/>
            <w:vAlign w:val="bottom"/>
          </w:tcPr>
          <w:p>
            <w:pPr>
              <w:spacing w:after="0"/>
              <w:rPr>
                <w:sz w:val="20"/>
                <w:szCs w:val="20"/>
                <w:color w:val="auto"/>
              </w:rPr>
            </w:pPr>
          </w:p>
        </w:tc>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12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(1,669.2)</w:t>
            </w:r>
          </w:p>
        </w:tc>
      </w:tr>
      <w:tr>
        <w:trPr>
          <w:trHeight w:val="218"/>
        </w:trPr>
        <w:tc>
          <w:tcPr>
            <w:tcW w:w="22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4,146.4</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3,763.0</w:t>
            </w:r>
          </w:p>
        </w:tc>
      </w:tr>
      <w:tr>
        <w:trPr>
          <w:trHeight w:val="20"/>
        </w:trPr>
        <w:tc>
          <w:tcPr>
            <w:tcW w:w="2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in the table above includes leased property under the Company's finance lease at its Tarrytown, New York facility. See Note 11.</w:t>
      </w:r>
    </w:p>
    <w:p>
      <w:pPr>
        <w:spacing w:after="0" w:line="16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Depreciation and amortization expense on property, plant, and equipment was $328.8 million, $303.9 million, and $281.1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December 31, 2023 and 2022, $3.375 billion and $2.960 billion, respectively, of the Company's net property, plant, and equipment was located in the United States and $771.4 million and $803.0 million, respectively, was located outside the United States (primarily in Ireland).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 of the following:</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232"/>
        </w:trPr>
        <w:tc>
          <w:tcPr>
            <w:tcW w:w="2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Estimated</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4"/>
                <w:szCs w:val="14"/>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180" w:type="dxa"/>
            <w:vAlign w:val="bottom"/>
          </w:tcPr>
          <w:p>
            <w:pPr>
              <w:spacing w:after="0"/>
              <w:rPr>
                <w:sz w:val="14"/>
                <w:szCs w:val="14"/>
                <w:color w:val="auto"/>
              </w:rPr>
            </w:pPr>
          </w:p>
        </w:tc>
        <w:tc>
          <w:tcPr>
            <w:tcW w:w="108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72"/>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2"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8"/>
                <w:szCs w:val="18"/>
                <w:b w:val="1"/>
                <w:bCs w:val="1"/>
                <w:color w:val="auto"/>
                <w:w w:val="96"/>
              </w:rPr>
              <w:t>carrying</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160" w:type="dxa"/>
            <w:vAlign w:val="bottom"/>
            <w:vMerge w:val="continue"/>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52"/>
        </w:trPr>
        <w:tc>
          <w:tcPr>
            <w:tcW w:w="2160" w:type="dxa"/>
            <w:vAlign w:val="bottom"/>
            <w:tcBorders>
              <w:top w:val="single" w:sz="8" w:color="CCEEFF"/>
            </w:tcBorders>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auto"/>
              </w:rPr>
              <w:t>Acquired product rights -</w:t>
            </w: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Libtayo</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8 years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72"/>
        </w:trPr>
        <w:tc>
          <w:tcPr>
            <w:tcW w:w="21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Acquired in-process</w:t>
            </w: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Indefinite</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described in Note 3, during the year ended December 31, 2023, the Company recorded an indefinite-lived intangible asset of $42.5 million in connection with its acquisition of Decibel.</w:t>
      </w:r>
    </w:p>
    <w:p>
      <w:pPr>
        <w:spacing w:after="0" w:line="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an intangible asset in connection with obtaining the exclusive right to develop, commercialize, and manufacture Libtayo worldwide. The intangible asset recognized upon the effective date of the A&amp;R IO LCA primarily consisted of the $900.0 million up-front payment, offset by the remaining IO Collaboration other liabilities balance of $241.0 million. Additionally, during the years ended December 31, 2023 and 2022, the Company recorded additions to the Libtayo intangible asset related to contingent consideration (including regulatory and sales-based milestones) due to Sanofi. See Note 3.</w:t>
      </w:r>
    </w:p>
    <w:p>
      <w:pPr>
        <w:spacing w:after="0" w:line="1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Amortization expense on intangible assets was $92.2 million and $37.6 million for the years ended December 31, 2023 and 2022, respectively. Amortization expense for the year ended December 31, 2021 was not material.</w:t>
      </w:r>
    </w:p>
    <w:p>
      <w:pPr>
        <w:spacing w:after="0" w:line="8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December 31, 2023, assuming no changes in the gross carrying amount of intangible assets, amortization expense is estimated to be approximately $85 million for each of the years ending December 31, 2024 through December 31, 2028.</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68" w:lineRule="exact"/>
        <w:rPr>
          <w:sz w:val="20"/>
          <w:szCs w:val="20"/>
          <w:color w:val="auto"/>
        </w:rPr>
      </w:pPr>
    </w:p>
    <w:tbl>
      <w:tblPr>
        <w:tblLayout w:type="fixed"/>
        <w:tblInd w:w="2400" w:type="dxa"/>
        <w:tblCellMar>
          <w:top w:w="0" w:type="dxa"/>
          <w:left w:w="0" w:type="dxa"/>
          <w:bottom w:w="0" w:type="dxa"/>
          <w:right w:w="0" w:type="dxa"/>
        </w:tblCellMar>
      </w:tblPr>
      <w:tr>
        <w:trPr>
          <w:trHeight w:val="232"/>
        </w:trPr>
        <w:tc>
          <w:tcPr>
            <w:tcW w:w="3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8"/>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r>
      <w:tr>
        <w:trPr>
          <w:trHeight w:val="22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2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sales-related costs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r>
      <w:tr>
        <w:trPr>
          <w:trHeight w:val="225"/>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w:t>
            </w:r>
          </w:p>
        </w:tc>
      </w:tr>
      <w:tr>
        <w:trPr>
          <w:trHeight w:val="244"/>
        </w:trPr>
        <w:tc>
          <w:tcPr>
            <w:tcW w:w="3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2,074.2</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December 2022, the Company entered into an agreement with a syndicate of lenders (the "2022 Credit Agreement") which provides for a $750.0 million senior unsecured five-year revolving credit facility (the "2022 Credit Facility") and replaced the Company's then-existing credit agreement, which was contemporaneously terminated. The 2022 Credit Agreement includes an option for the Company to elect to increase the commitments under the 2022 Credit Facility and/or to enter into one or more tranches of term loans in the aggregate principal amount of up to $500.0 million, subject to the consent of the lenders providing the additional commitments or term loans, as applicable, and certain other conditions. The 2022 Credit Agreement also provides a $50.0 million sublimit for letters of credit.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Proceeds of the loans under the 2022 Credit Facility may be used to finance working capital needs, and for general corporate or other lawful purposes, of Regeneron and its subsidiaries. Regeneron Pharmaceuticals, Inc. has guaranteed all obligations under the 2022 Credit Facility. The 2022 Credit Agreement includes an option for the Company to elect to extend the maturity date of the 2022 Credit Facility beyond December 2027, subject to the consent of the extending lenders and certain other conditions.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borrowings outstanding under the 2022 Credit Facility as of December 31, 2023.</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2022 Credit Agreement contains operating covenants and a maximum total leverage ratio financial covenant. The Company was in compliance with all covenants of the 2022 Credit Agreement as of December 31, 2023.</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2020, the Company issued and sold $1.250 billion aggregate principal amount of senior unsecured notes due 2030 and $750 million aggregate principal amount of senior unsecured notes due 2050 (collectively, the "Notes"). The underwriting discounts and offering expenses are being amortized as additional interest expense over the period from issuance through maturity.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in connection with the Notes, net of underwriting discounts and offering expenses, consists of the following:</w:t>
      </w:r>
    </w:p>
    <w:p>
      <w:pPr>
        <w:spacing w:after="0" w:line="189" w:lineRule="exact"/>
        <w:rPr>
          <w:sz w:val="20"/>
          <w:szCs w:val="20"/>
          <w:color w:val="auto"/>
        </w:rPr>
      </w:pPr>
    </w:p>
    <w:tbl>
      <w:tblPr>
        <w:tblLayout w:type="fixed"/>
        <w:tblInd w:w="1740" w:type="dxa"/>
        <w:tblCellMar>
          <w:top w:w="0" w:type="dxa"/>
          <w:left w:w="0" w:type="dxa"/>
          <w:bottom w:w="0" w:type="dxa"/>
          <w:right w:w="0" w:type="dxa"/>
        </w:tblCellMar>
      </w:tblPr>
      <w:tr>
        <w:trPr>
          <w:trHeight w:val="232"/>
        </w:trPr>
        <w:tc>
          <w:tcPr>
            <w:tcW w:w="4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9"/>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1.750% Senior Notes due September 2030</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r>
      <w:tr>
        <w:trPr>
          <w:trHeight w:val="225"/>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2.800% Senior Notes due September 2050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w:t>
            </w:r>
          </w:p>
        </w:tc>
      </w:tr>
      <w:tr>
        <w:trPr>
          <w:trHeight w:val="244"/>
        </w:trPr>
        <w:tc>
          <w:tcPr>
            <w:tcW w:w="48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Interest on each series of Notes is payable semi-annually in arrears on March 15 and September 15 of each year until their respective maturity dates. Interest expense related to the Notes was $44.4 million in each of the years ended December 31, 2023, 2022, and 2021.</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may be redeemed at the Company’s option at any time at 100% of the principal amount plus accrued and unpaid interest, and, until a specified period before maturity, a specified make-whole amount. The Notes contain a change-of-control provision that, under certain circumstances, may require the Company to offer to repurchase the Notes at a price equal to 101% of the principal amount plus accrued and unpaid interest. The Notes also contain certain limitations on the Company's ability to incur liens and enter into sale and leaseback transactions, as well as customary events of default.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conducts certain of its research, development, and administrative activities at leased facilities. The Company also leases vehicles and other assets.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Lease</w:t>
      </w:r>
    </w:p>
    <w:p>
      <w:pPr>
        <w:spacing w:after="0" w:line="1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party to a Third Amended and Restated Lease and Remedies Agreement (the "Third Amended and Restated Lease") with BA Leasing BSC, LLC, an affiliate of Banc of America Leasing &amp; Capital, LLC ("BAL"), as lessor, which relates to the Company’s lease of laboratory and office facilities in Tarrytown, New York (the “Facility”); and a Third Amended and Restated Participation Agreement (the "Third Amended and Restated Participation Agreement") with Bank of America, N.A., as administrative agent (the "Administrative Agent"), and a syndicate of lenders (collectively with BAL, the "Participants"), as rent assignees. The Third Amended and Restated Lease and Third Amended and Restated Participation Agreement provide for a March 2027 maturity date of the $720.0 million lease financing (previously advanced by the Participants in March 2017 in connection with the acquisition by BAL of the Facility and the Company's lease of the Facility from BAL) and the end of the term</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lease of the Facility from BAL, at which time all amounts outstanding thereunder will become due and payable in full.</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the terms of the Third Amended and Restated Lease, the Company pays all maintenance, insurance, taxes, and other costs arising out of the use of the Facility. The Company is also required to make monthly payments of basic rent during the remaining term of the Third Amended and Restated Lease to satisfy the yield payable to the Participants on their outstanding advances under the Third Amended and Restated Participation Agreement. Such advances accrue yield at a variable rate per annum based on the one-month forward-looking Secured Overnight Financing Rate ("SOFR") term rate, plus a spread adjustment, plus an applicable margin that varies with the Company's debt rating and total leverage ratio.</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Third Amended and Restated Participation Agreement and Third Amended and Restated Lease include an option for the Company to elect to further extend the maturity date of the Third Amended and Restated Participation Agreement and the term of the Third Amended and Restated Lease for an additional five-year period, subject to the consent of all the Participants and certain other conditions. The Company also has the option prior to the end of the term of the Third Amended and Restated Lease to (a) purchase the Facility by paying an amount equal to the outstanding principal amount of the Participants' advances under the Third Amended and Restated Participation Agreement, all accrued and unpaid yield thereon, and all other outstanding amounts under the Third Amended and Restated Participation Agreement, Third Amended and Restated Lease, and certain related documents or (b) sell the Facility to a third party on behalf of BAL.</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Third Amended and Restated Lease is classified as a finance lease as the Company has the option to purchase the Facility under terms that make it reasonably certain to be exercised. The agreements governing the Third Amended and Restated Lease financing contain financial and operating covenants. Such financial covenants and certain of the operating covenants are substantially similar to the covenants set forth in the 2022 Credit Agreement. The Company was in compliance with all such covenants as of December 31, 2023.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Lease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 related to the Company's leases are included in the table below.</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7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14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60" w:type="dxa"/>
            <w:vAlign w:val="bottom"/>
          </w:tcPr>
          <w:p>
            <w:pPr>
              <w:spacing w:after="0"/>
              <w:rPr>
                <w:sz w:val="19"/>
                <w:szCs w:val="19"/>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5"/>
        </w:trPr>
        <w:tc>
          <w:tcPr>
            <w:tcW w:w="37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Assets:</w:t>
            </w:r>
          </w:p>
        </w:tc>
        <w:tc>
          <w:tcPr>
            <w:tcW w:w="4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5"/>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14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Property, plant, and equipment, net</w:t>
            </w:r>
            <w:r>
              <w:rPr>
                <w:rFonts w:ascii="Times New Roman" w:cs="Times New Roman" w:eastAsia="Times New Roman" w:hAnsi="Times New Roman"/>
                <w:sz w:val="22"/>
                <w:szCs w:val="22"/>
                <w:color w:val="auto"/>
                <w:vertAlign w:val="superscript"/>
              </w:rPr>
              <w:t>(a)</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r>
      <w:tr>
        <w:trPr>
          <w:trHeight w:val="225"/>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14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noncurrent assets</w:t>
            </w:r>
            <w:r>
              <w:rPr>
                <w:rFonts w:ascii="Times New Roman" w:cs="Times New Roman" w:eastAsia="Times New Roman" w:hAnsi="Times New Roman"/>
                <w:sz w:val="22"/>
                <w:szCs w:val="22"/>
                <w:color w:val="auto"/>
                <w:vertAlign w:val="superscript"/>
              </w:rPr>
              <w:t>(b)</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18"/>
        </w:trPr>
        <w:tc>
          <w:tcPr>
            <w:tcW w:w="37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691.5</w:t>
            </w:r>
          </w:p>
        </w:tc>
      </w:tr>
      <w:tr>
        <w:trPr>
          <w:trHeight w:val="84"/>
        </w:trPr>
        <w:tc>
          <w:tcPr>
            <w:tcW w:w="3740" w:type="dxa"/>
            <w:vAlign w:val="bottom"/>
            <w:tcBorders>
              <w:bottom w:val="single" w:sz="8" w:color="CCEEFF"/>
            </w:tcBorders>
          </w:tcPr>
          <w:p>
            <w:pPr>
              <w:spacing w:after="0"/>
              <w:rPr>
                <w:sz w:val="6"/>
                <w:szCs w:val="6"/>
                <w:color w:val="auto"/>
              </w:rPr>
            </w:pPr>
          </w:p>
        </w:tc>
        <w:tc>
          <w:tcPr>
            <w:tcW w:w="40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r>
      <w:tr>
        <w:trPr>
          <w:trHeight w:val="225"/>
        </w:trPr>
        <w:tc>
          <w:tcPr>
            <w:tcW w:w="3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r>
      <w:tr>
        <w:trPr>
          <w:trHeight w:val="225"/>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 - noncurrent</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25"/>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5"/>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18"/>
        </w:trPr>
        <w:tc>
          <w:tcPr>
            <w:tcW w:w="37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w:t>
            </w:r>
          </w:p>
        </w:tc>
      </w:tr>
      <w:tr>
        <w:trPr>
          <w:trHeight w:val="20"/>
        </w:trPr>
        <w:tc>
          <w:tcPr>
            <w:tcW w:w="37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ind w:left="400" w:hanging="164"/>
        <w:spacing w:after="0"/>
        <w:tabs>
          <w:tab w:leader="none" w:pos="400" w:val="left"/>
        </w:tabs>
        <w:numPr>
          <w:ilvl w:val="0"/>
          <w:numId w:val="6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Finance lease right-of-use assets were recorded net of accumulated amortization of $133.9 million and $119.4 million as of December 31, 2023 and 2022, respectively.</w:t>
      </w:r>
    </w:p>
    <w:p>
      <w:pPr>
        <w:spacing w:after="0" w:line="22" w:lineRule="exact"/>
        <w:rPr>
          <w:rFonts w:ascii="Times New Roman" w:cs="Times New Roman" w:eastAsia="Times New Roman" w:hAnsi="Times New Roman"/>
          <w:sz w:val="22"/>
          <w:szCs w:val="22"/>
          <w:color w:val="auto"/>
          <w:vertAlign w:val="superscript"/>
        </w:rPr>
      </w:pPr>
    </w:p>
    <w:p>
      <w:pPr>
        <w:ind w:left="400" w:hanging="164"/>
        <w:spacing w:after="0" w:line="188" w:lineRule="auto"/>
        <w:tabs>
          <w:tab w:leader="none" w:pos="400" w:val="left"/>
        </w:tabs>
        <w:numPr>
          <w:ilvl w:val="0"/>
          <w:numId w:val="6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Operating lease right-of-use assets were recorded net of accumulated amortization of $44.6 million and $31.0 million as of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costs consist of the following:</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6"/>
        </w:trPr>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0"/>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Pr>
          <w:p>
            <w:pPr>
              <w:spacing w:after="0"/>
              <w:rPr>
                <w:sz w:val="19"/>
                <w:szCs w:val="19"/>
                <w:color w:val="auto"/>
              </w:rPr>
            </w:pPr>
          </w:p>
        </w:tc>
        <w:tc>
          <w:tcPr>
            <w:tcW w:w="980" w:type="dxa"/>
            <w:vAlign w:val="bottom"/>
            <w:gridSpan w:val="4"/>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36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9"/>
                <w:szCs w:val="19"/>
                <w:color w:val="auto"/>
              </w:rPr>
            </w:pPr>
          </w:p>
        </w:tc>
        <w:tc>
          <w:tcPr>
            <w:tcW w:w="4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costs: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4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4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93"/>
        </w:trPr>
        <w:tc>
          <w:tcPr>
            <w:tcW w:w="1300" w:type="dxa"/>
            <w:vAlign w:val="bottom"/>
          </w:tcPr>
          <w:p>
            <w:pPr>
              <w:spacing w:after="0"/>
              <w:rPr>
                <w:sz w:val="8"/>
                <w:szCs w:val="8"/>
                <w:color w:val="auto"/>
              </w:rPr>
            </w:pPr>
          </w:p>
        </w:tc>
        <w:tc>
          <w:tcPr>
            <w:tcW w:w="500" w:type="dxa"/>
            <w:vAlign w:val="bottom"/>
            <w:tcBorders>
              <w:bottom w:val="single" w:sz="8" w:color="CCEEFF"/>
            </w:tcBorders>
          </w:tcPr>
          <w:p>
            <w:pPr>
              <w:spacing w:after="0"/>
              <w:rPr>
                <w:sz w:val="8"/>
                <w:szCs w:val="8"/>
                <w:color w:val="auto"/>
              </w:rPr>
            </w:pPr>
          </w:p>
        </w:tc>
        <w:tc>
          <w:tcPr>
            <w:tcW w:w="4060" w:type="dxa"/>
            <w:vAlign w:val="bottom"/>
            <w:tcBorders>
              <w:bottom w:val="single" w:sz="8" w:color="CCEEFF"/>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1300" w:type="dxa"/>
            <w:vAlign w:val="bottom"/>
          </w:tcPr>
          <w:p>
            <w:pPr>
              <w:spacing w:after="0"/>
              <w:rPr>
                <w:sz w:val="19"/>
                <w:szCs w:val="19"/>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leases includes the following:</w:t>
            </w: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6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gridSpan w:val="9"/>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7"/>
              </w:rPr>
              <w:t>As of December 31,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3"/>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leases includes the following:</w:t>
      </w:r>
    </w:p>
    <w:p>
      <w:pPr>
        <w:spacing w:after="0" w:line="268" w:lineRule="exact"/>
        <w:rPr>
          <w:sz w:val="20"/>
          <w:szCs w:val="20"/>
          <w:color w:val="auto"/>
        </w:rPr>
      </w:pPr>
    </w:p>
    <w:tbl>
      <w:tblPr>
        <w:tblLayout w:type="fixed"/>
        <w:tblInd w:w="880" w:type="dxa"/>
        <w:tblCellMar>
          <w:top w:w="0" w:type="dxa"/>
          <w:left w:w="0" w:type="dxa"/>
          <w:bottom w:w="0" w:type="dxa"/>
          <w:right w:w="0" w:type="dxa"/>
        </w:tblCellMar>
      </w:tblPr>
      <w:tr>
        <w:trPr>
          <w:trHeight w:val="232"/>
        </w:trPr>
        <w:tc>
          <w:tcPr>
            <w:tcW w:w="5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r>
      <w:tr>
        <w:trPr>
          <w:trHeight w:val="218"/>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60"/>
        </w:trPr>
        <w:tc>
          <w:tcPr>
            <w:tcW w:w="53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w:t>
            </w: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30"/>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(included within cash flows from operating activities)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1"/>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maturity analysis of the Company's lease liabilities as of December 31, 2023:</w:t>
      </w: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232"/>
        </w:trPr>
        <w:tc>
          <w:tcPr>
            <w:tcW w:w="3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20"/>
                <w:szCs w:val="20"/>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60" w:type="dxa"/>
            <w:vAlign w:val="bottom"/>
          </w:tcPr>
          <w:p>
            <w:pPr>
              <w:spacing w:after="0"/>
              <w:rPr>
                <w:sz w:val="20"/>
                <w:szCs w:val="20"/>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80" w:type="dxa"/>
            <w:vAlign w:val="bottom"/>
          </w:tcPr>
          <w:p>
            <w:pPr>
              <w:spacing w:after="0"/>
              <w:rPr>
                <w:sz w:val="20"/>
                <w:szCs w:val="20"/>
                <w:color w:val="auto"/>
              </w:rPr>
            </w:pPr>
          </w:p>
        </w:tc>
        <w:tc>
          <w:tcPr>
            <w:tcW w:w="1640" w:type="dxa"/>
            <w:vAlign w:val="bottom"/>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740.8</w:t>
            </w:r>
          </w:p>
        </w:tc>
      </w:tr>
      <w:tr>
        <w:trPr>
          <w:trHeight w:val="225"/>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9"/>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0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r>
      <w:tr>
        <w:trPr>
          <w:trHeight w:val="225"/>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44"/>
        </w:trPr>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680"/>
          </w:cols>
          <w:pgMar w:left="320" w:top="364" w:right="8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4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Restated Certificate of Incorporation, as amended, provides for the issuance of up to 40 million shares of Class A Stock, par value $0.001 per share, and 320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January 2021, the Company's board of directors authorized a share repurchase program to repurchase up to $1.5 billion of the Company's Common Stock.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2021, the Company had repurchased the entire $1.5 billion of its Common Stock that it was authorized to repurchase under the program.</w:t>
      </w:r>
    </w:p>
    <w:p>
      <w:pPr>
        <w:spacing w:after="0" w:line="130"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In November 2021, the Company's board of directors authorized a share repurchase program to repurchase up to $3.0 billion of the Company's Common Stock. As of June 30, 2023, the Company had repurchased the entire $3.0 billion of its Common Stock that it was authorized to repurchase under the program.</w:t>
      </w:r>
    </w:p>
    <w:p>
      <w:pPr>
        <w:spacing w:after="0" w:line="11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January 2023, the Company's board of directors authorized an additional share repurchase program to repurchase up to $3.0 billion of the Company's Common Stock. The share repurchase program permits the Company to make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There can be no assurance as to the timing or number of shares of any repurchases in the future. As of December 31, 2023, $1.531 billion remained available for share repurchases under the program.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shares of the Company's Common Stock repurchased and the cost of the shares, which were recorded as Treasury Stock.</w:t>
      </w:r>
    </w:p>
    <w:p>
      <w:pPr>
        <w:spacing w:after="0" w:line="189" w:lineRule="exact"/>
        <w:rPr>
          <w:sz w:val="20"/>
          <w:szCs w:val="20"/>
          <w:color w:val="auto"/>
        </w:rPr>
      </w:pPr>
    </w:p>
    <w:tbl>
      <w:tblPr>
        <w:tblLayout w:type="fixed"/>
        <w:tblInd w:w="1540" w:type="dxa"/>
        <w:tblCellMar>
          <w:top w:w="0" w:type="dxa"/>
          <w:left w:w="0" w:type="dxa"/>
          <w:bottom w:w="0" w:type="dxa"/>
          <w:right w:w="0" w:type="dxa"/>
        </w:tblCellMar>
      </w:tblPr>
      <w:tr>
        <w:trPr>
          <w:trHeight w:val="232"/>
        </w:trPr>
        <w:tc>
          <w:tcPr>
            <w:tcW w:w="4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r>
      <w:tr>
        <w:trPr>
          <w:trHeight w:val="218"/>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1"/>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2,214.6</w:t>
            </w:r>
          </w:p>
        </w:tc>
        <w:tc>
          <w:tcPr>
            <w:tcW w:w="120" w:type="dxa"/>
            <w:vAlign w:val="bottom"/>
          </w:tcPr>
          <w:p>
            <w:pPr>
              <w:spacing w:after="0"/>
              <w:rPr>
                <w:sz w:val="20"/>
                <w:szCs w:val="20"/>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2,099.8</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Long-Term Incentive Plans</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has used long-term incentive plans for the purpose of granting equity awards to employees of the Company, including officers, and non-employee members of the Company's board of directors (collectively, "Participants"). The Participants may receive awards as determined by a committee of independent members of the Company's board of directors or, to the extent authorized by such committee with respect to certain Participants, a duly authorized employee (collectively, the "Committee"). The incentive plan currently used by the Company is the Second Amended and Restated Regeneron Pharmaceuticals, Inc. 2014 Long-Term Incentive Plan (the "Second Amended and Restated 2014 Incentive Plan"). It was most recently adopted and approved by the Company's shareholders in 2020. As of the most recent shareholder approval date, the Second Amended and Restated 2014 Incentive Plan provided for the issuance of up to 22.3 million shares of Common Stock in respect of awards. In addition, upon expiration, forfeiture, surrender, exchange, cancellation, or termination of any award previously granted under the Amended and Restated Regeneron Pharmaceuticals, Inc. 2014 Long-Term Incentive Plan (the "Amended and Restated 2014 Incentive Plan"), the Regeneron Pharmaceuticals, Inc. 2014 Long-Term Incentive Plan (the "Original 2014 Incentive Plan"), or the Second Amended and Restated 2000 Long-Term Incentive Plan (the "2000 Incentive Plan"), any shares subject to such award are added to the pool of shares available for grant under the Second Amended and Restated 2014 Incentive Plan.</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awards that may be made under the Second Amended and Restated 2014 Incentive Plan include: (a) non-qualified stock options and incentive stock options, (b) restricted stock awards, (c) shares of phantom stock (also referred to as restricted stock units, which may be time- or performance-based), and (d) other awards. Any award granted may (but is not required to) be subject to vesting based on the attainment by the Company of performance goals pre-established by the Committee.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 option awards grant Participants the right to purchase shares of Common Stock at prices determined by the Committee, with exercise prices that are equal to or greater than the average of the high and low market prices of the Company's Common Stock on the date of grant (the "Market Price"). Options vest over a period of time determined by the Committee, generally on a pro rata basis over a four-year period. The Committee also determines the expiration date of each option. The maximum term of options that have been awarded under the 2000 Incentive Plan, the Original 2014 Incentive Plan, the Amended and Restated 2014 Incentive Plan, and the Second Amended and Restated 2014 Incentive Plan (collectively, the "Incentive Plans") is ten years.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awards will be transferred to the Company.</w:t>
      </w:r>
    </w:p>
    <w:p>
      <w:pPr>
        <w:spacing w:after="0" w:line="1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Phantom stock awards provide the Participant the right to receive Common Stock or an amount of cash based on the value of the Common Stock at a future date. The award is subject to such restrictions, if any, as the Committee may impose at the date of grant or thereafter, including a specified period of employment or the achievement of performance goals. Time-based restricted stock units and performance-based restricted stock units are each a type of phantom stock award permitted under the Second Amended and Restated 2014 Incentive Plan.</w:t>
      </w:r>
    </w:p>
    <w:p>
      <w:pPr>
        <w:spacing w:after="0" w:line="1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Incentive Plans contain provisions that allow for the Committee to provide for the immediate vesting of awards upon a change in control of the Company, as defined in the Incentive Plans.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were 14.6 million shares available for future grants under the Second Amended and Restated 2014 Incentive Plan.</w:t>
      </w:r>
    </w:p>
    <w:p>
      <w:pPr>
        <w:spacing w:after="0" w:line="134" w:lineRule="exact"/>
        <w:rPr>
          <w:sz w:val="20"/>
          <w:szCs w:val="20"/>
          <w:color w:val="auto"/>
        </w:rPr>
      </w:pPr>
    </w:p>
    <w:p>
      <w:pPr>
        <w:ind w:left="360" w:hanging="354"/>
        <w:spacing w:after="0"/>
        <w:tabs>
          <w:tab w:leader="none" w:pos="360"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 Options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activity related to stock option awards under the Company's Incentive Plans during 2023.</w:t>
      </w:r>
    </w:p>
    <w:p>
      <w:pPr>
        <w:spacing w:after="0" w:line="161"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4"/>
              </w:rPr>
              <w:t>Weighted-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0" w:type="dxa"/>
            <w:vAlign w:val="bottom"/>
            <w:gridSpan w:val="2"/>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7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8"/>
                <w:szCs w:val="18"/>
                <w:b w:val="1"/>
                <w:bCs w:val="1"/>
                <w:color w:val="auto"/>
                <w:w w:val="93"/>
              </w:rPr>
              <w:t>Average</w:t>
            </w:r>
          </w:p>
        </w:tc>
        <w:tc>
          <w:tcPr>
            <w:tcW w:w="140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60" w:type="dxa"/>
            <w:vAlign w:val="bottom"/>
          </w:tcPr>
          <w:p>
            <w:pPr>
              <w:spacing w:after="0"/>
              <w:rPr>
                <w:sz w:val="14"/>
                <w:szCs w:val="14"/>
                <w:color w:val="auto"/>
              </w:rPr>
            </w:pPr>
          </w:p>
        </w:tc>
        <w:tc>
          <w:tcPr>
            <w:tcW w:w="14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172"/>
        </w:trPr>
        <w:tc>
          <w:tcPr>
            <w:tcW w:w="3780" w:type="dxa"/>
            <w:vAlign w:val="bottom"/>
          </w:tcPr>
          <w:p>
            <w:pPr>
              <w:spacing w:after="0"/>
              <w:rPr>
                <w:sz w:val="14"/>
                <w:szCs w:val="14"/>
                <w:color w:val="auto"/>
              </w:rPr>
            </w:pPr>
          </w:p>
        </w:tc>
        <w:tc>
          <w:tcPr>
            <w:tcW w:w="12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40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(In millions)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20"/>
                <w:szCs w:val="20"/>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18"/>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481.62</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8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412.05</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534.13</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7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7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Vested and expected to vest as of December 31,</w:t>
            </w: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526.95</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5.9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4,852.2</w:t>
            </w: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450.01</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4.7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4,118.0</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satisfies stock option exercises with newly issued shares of the Company's Common Stock. The total intrinsic value of stock options exercised during 2023, 2022, and 2021 was $1.096 billion, $1.214 billion, and $1.707 billion, respectively. The intrinsic value represents the amount by which the market price of the underlying stock exceeds the exercise price of an option.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table below summarizes the weighted-average exercise prices and weighted-average grant-date fair values of options issued during the years ended December 31, 2023, 2022, and 2021.</w:t>
      </w:r>
    </w:p>
    <w:p>
      <w:pPr>
        <w:spacing w:after="0" w:line="100"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Pr>
          <w:p>
            <w:pPr>
              <w:spacing w:after="0"/>
              <w:rPr>
                <w:sz w:val="17"/>
                <w:szCs w:val="17"/>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7"/>
                <w:szCs w:val="17"/>
                <w:color w:val="auto"/>
              </w:rPr>
            </w:pPr>
          </w:p>
        </w:tc>
        <w:tc>
          <w:tcPr>
            <w:tcW w:w="1080" w:type="dxa"/>
            <w:vAlign w:val="bottom"/>
            <w:vMerge w:val="restart"/>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9"/>
        </w:trPr>
        <w:tc>
          <w:tcPr>
            <w:tcW w:w="3940" w:type="dxa"/>
            <w:vAlign w:val="bottom"/>
          </w:tcPr>
          <w:p>
            <w:pPr>
              <w:spacing w:after="0"/>
              <w:rPr>
                <w:sz w:val="15"/>
                <w:szCs w:val="15"/>
                <w:color w:val="auto"/>
              </w:rPr>
            </w:pPr>
          </w:p>
        </w:tc>
        <w:tc>
          <w:tcPr>
            <w:tcW w:w="1280" w:type="dxa"/>
            <w:vAlign w:val="bottom"/>
            <w:gridSpan w:val="2"/>
          </w:tcPr>
          <w:p>
            <w:pPr>
              <w:jc w:val="center"/>
              <w:ind w:right="120"/>
              <w:spacing w:after="0" w:line="179"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940" w:type="dxa"/>
            <w:vAlign w:val="bottom"/>
          </w:tcPr>
          <w:p>
            <w:pPr>
              <w:spacing w:after="0"/>
              <w:rPr>
                <w:sz w:val="14"/>
                <w:szCs w:val="14"/>
                <w:color w:val="auto"/>
              </w:rPr>
            </w:pPr>
          </w:p>
        </w:tc>
        <w:tc>
          <w:tcPr>
            <w:tcW w:w="128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8"/>
                <w:szCs w:val="18"/>
                <w:b w:val="1"/>
                <w:bCs w:val="1"/>
                <w:color w:val="auto"/>
                <w:w w:val="98"/>
              </w:rPr>
              <w:t>Granted</w:t>
            </w:r>
          </w:p>
        </w:tc>
        <w:tc>
          <w:tcPr>
            <w:tcW w:w="160" w:type="dxa"/>
            <w:vAlign w:val="bottom"/>
          </w:tcPr>
          <w:p>
            <w:pPr>
              <w:spacing w:after="0"/>
              <w:rPr>
                <w:sz w:val="14"/>
                <w:szCs w:val="14"/>
                <w:color w:val="auto"/>
              </w:rPr>
            </w:pPr>
          </w:p>
        </w:tc>
        <w:tc>
          <w:tcPr>
            <w:tcW w:w="114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4"/>
                <w:szCs w:val="14"/>
                <w:color w:val="auto"/>
              </w:rPr>
            </w:pPr>
          </w:p>
        </w:tc>
        <w:tc>
          <w:tcPr>
            <w:tcW w:w="1080" w:type="dxa"/>
            <w:vAlign w:val="bottom"/>
          </w:tcPr>
          <w:p>
            <w:pPr>
              <w:jc w:val="center"/>
              <w:ind w:right="12"/>
              <w:spacing w:after="0" w:line="172" w:lineRule="exact"/>
              <w:rPr>
                <w:sz w:val="20"/>
                <w:szCs w:val="20"/>
                <w:color w:val="auto"/>
              </w:rPr>
            </w:pPr>
            <w:r>
              <w:rPr>
                <w:rFonts w:ascii="Times New Roman" w:cs="Times New Roman" w:eastAsia="Times New Roman" w:hAnsi="Times New Roman"/>
                <w:sz w:val="18"/>
                <w:szCs w:val="18"/>
                <w:b w:val="1"/>
                <w:bCs w:val="1"/>
                <w:color w:val="auto"/>
                <w:w w:val="96"/>
              </w:rPr>
              <w:t>Average Fair</w:t>
            </w: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(In millions)</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0" w:type="dxa"/>
            <w:vAlign w:val="bottom"/>
          </w:tcPr>
          <w:p>
            <w:pPr>
              <w:spacing w:after="0"/>
              <w:rPr>
                <w:sz w:val="19"/>
                <w:szCs w:val="19"/>
                <w:color w:val="auto"/>
              </w:rPr>
            </w:pPr>
          </w:p>
        </w:tc>
        <w:tc>
          <w:tcPr>
            <w:tcW w:w="108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05"/>
        </w:trPr>
        <w:tc>
          <w:tcPr>
            <w:tcW w:w="3940" w:type="dxa"/>
            <w:vAlign w:val="bottom"/>
            <w:tcBorders>
              <w:top w:val="single" w:sz="8" w:color="CCEEFF"/>
            </w:tcBorders>
            <w:shd w:val="clear" w:color="auto" w:fill="CCEEFF"/>
          </w:tcPr>
          <w:p>
            <w:pPr>
              <w:jc w:val="right"/>
              <w:ind w:right="3432"/>
              <w:spacing w:after="0" w:line="205" w:lineRule="exact"/>
              <w:rPr>
                <w:sz w:val="20"/>
                <w:szCs w:val="20"/>
                <w:color w:val="auto"/>
              </w:rPr>
            </w:pPr>
            <w:r>
              <w:rPr>
                <w:rFonts w:ascii="Times New Roman" w:cs="Times New Roman" w:eastAsia="Times New Roman" w:hAnsi="Times New Roman"/>
                <w:sz w:val="18"/>
                <w:szCs w:val="18"/>
                <w:color w:val="auto"/>
                <w:w w:val="97"/>
              </w:rPr>
              <w:t>2023:</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jc w:val="right"/>
              <w:ind w:right="3432"/>
              <w:spacing w:after="0"/>
              <w:rPr>
                <w:sz w:val="20"/>
                <w:szCs w:val="20"/>
                <w:color w:val="auto"/>
              </w:rPr>
            </w:pPr>
            <w:r>
              <w:rPr>
                <w:rFonts w:ascii="Times New Roman" w:cs="Times New Roman" w:eastAsia="Times New Roman" w:hAnsi="Times New Roman"/>
                <w:sz w:val="18"/>
                <w:szCs w:val="18"/>
                <w:color w:val="auto"/>
                <w:w w:val="97"/>
              </w:rPr>
              <w:t>2022:</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9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220.88</w:t>
            </w:r>
          </w:p>
        </w:tc>
        <w:tc>
          <w:tcPr>
            <w:tcW w:w="0" w:type="dxa"/>
            <w:vAlign w:val="bottom"/>
          </w:tcPr>
          <w:p>
            <w:pPr>
              <w:spacing w:after="0"/>
              <w:rPr>
                <w:sz w:val="1"/>
                <w:szCs w:val="1"/>
                <w:color w:val="auto"/>
              </w:rPr>
            </w:pPr>
          </w:p>
        </w:tc>
      </w:tr>
      <w:tr>
        <w:trPr>
          <w:trHeight w:val="225"/>
        </w:trPr>
        <w:tc>
          <w:tcPr>
            <w:tcW w:w="3940" w:type="dxa"/>
            <w:vAlign w:val="bottom"/>
            <w:shd w:val="clear" w:color="auto" w:fill="CCEEFF"/>
          </w:tcPr>
          <w:p>
            <w:pPr>
              <w:jc w:val="right"/>
              <w:ind w:right="3432"/>
              <w:spacing w:after="0"/>
              <w:rPr>
                <w:sz w:val="20"/>
                <w:szCs w:val="20"/>
                <w:color w:val="auto"/>
              </w:rPr>
            </w:pPr>
            <w:r>
              <w:rPr>
                <w:rFonts w:ascii="Times New Roman" w:cs="Times New Roman" w:eastAsia="Times New Roman" w:hAnsi="Times New Roman"/>
                <w:sz w:val="18"/>
                <w:szCs w:val="18"/>
                <w:color w:val="auto"/>
                <w:w w:val="97"/>
              </w:rPr>
              <w:t>2021:</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94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rPr>
              <w:t>Exercise price equal to Market Price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recognized $357.1 million, $341.9 million, and $328.7 million, respectively, of stock-based compensation expense related to stock option awards (net of amounts capitalized as inventory, which were not material for each of the three years). As of December 31, 2023, there was $589.6 million of stock-based compensation cost related to unvested stock options, net of estimated forfeitures, which had not yet been recognized. The Company expects to recognize this compensation cost over a weighted-average period of 1.8 years.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Assumptions:</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weighted average values of the assumptions used in computing the fair value of option grants during 2023, 2022, and 2021.</w:t>
      </w:r>
    </w:p>
    <w:p>
      <w:pPr>
        <w:spacing w:after="0" w:line="135" w:lineRule="exact"/>
        <w:rPr>
          <w:sz w:val="20"/>
          <w:szCs w:val="20"/>
          <w:color w:val="auto"/>
        </w:rPr>
      </w:pPr>
    </w:p>
    <w:tbl>
      <w:tblPr>
        <w:tblLayout w:type="fixed"/>
        <w:tblInd w:w="2280" w:type="dxa"/>
        <w:tblCellMar>
          <w:top w:w="0" w:type="dxa"/>
          <w:left w:w="0" w:type="dxa"/>
          <w:bottom w:w="0" w:type="dxa"/>
          <w:right w:w="0" w:type="dxa"/>
        </w:tblCellMar>
      </w:tblPr>
      <w:tr>
        <w:trPr>
          <w:trHeight w:val="232"/>
        </w:trPr>
        <w:tc>
          <w:tcPr>
            <w:tcW w:w="30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5"/>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Expected lives from grant date</w:t>
            </w: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5.1 years</w:t>
            </w:r>
          </w:p>
        </w:tc>
        <w:tc>
          <w:tcPr>
            <w:tcW w:w="12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5.2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years</w:t>
            </w:r>
          </w:p>
        </w:tc>
      </w:tr>
      <w:tr>
        <w:trPr>
          <w:trHeight w:val="22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r>
    </w:tbl>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have plans to do so. The risk-free interest rates are based on quoted U.S. Treasury rates for securities with maturities approximating the options' expected lives.</w:t>
      </w:r>
    </w:p>
    <w:p>
      <w:pPr>
        <w:spacing w:after="0" w:line="110" w:lineRule="exact"/>
        <w:rPr>
          <w:sz w:val="20"/>
          <w:szCs w:val="20"/>
          <w:color w:val="auto"/>
        </w:rPr>
      </w:pPr>
    </w:p>
    <w:p>
      <w:pPr>
        <w:ind w:left="360" w:hanging="354"/>
        <w:spacing w:after="0"/>
        <w:tabs>
          <w:tab w:leader="none" w:pos="360" w:val="left"/>
        </w:tabs>
        <w:numPr>
          <w:ilvl w:val="0"/>
          <w:numId w:val="6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Stock Awards and Time-Based Restricted Stock Units</w:t>
      </w:r>
    </w:p>
    <w:p>
      <w:pPr>
        <w:spacing w:after="0" w:line="14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summary of the Company's activity related to restricted stock awards and time-based restricted stock units (excluding performance-based restricted stock units, which are detailed further below) (collectively, "restricted stock") during 2023 is summarized below.</w:t>
      </w:r>
    </w:p>
    <w:p>
      <w:pPr>
        <w:spacing w:after="0" w:line="200" w:lineRule="exact"/>
        <w:rPr>
          <w:sz w:val="20"/>
          <w:szCs w:val="20"/>
          <w:color w:val="auto"/>
        </w:rPr>
      </w:pPr>
    </w:p>
    <w:tbl>
      <w:tblPr>
        <w:tblLayout w:type="fixed"/>
        <w:tblInd w:w="2200" w:type="dxa"/>
        <w:tblCellMar>
          <w:top w:w="0" w:type="dxa"/>
          <w:left w:w="0" w:type="dxa"/>
          <w:bottom w:w="0" w:type="dxa"/>
          <w:right w:w="0" w:type="dxa"/>
        </w:tblCellMar>
      </w:tblPr>
      <w:tr>
        <w:trPr>
          <w:trHeight w:val="207"/>
        </w:trPr>
        <w:tc>
          <w:tcPr>
            <w:tcW w:w="36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r>
      <w:tr>
        <w:trPr>
          <w:trHeight w:val="172"/>
        </w:trPr>
        <w:tc>
          <w:tcPr>
            <w:tcW w:w="3600" w:type="dxa"/>
            <w:vAlign w:val="bottom"/>
          </w:tcPr>
          <w:p>
            <w:pPr>
              <w:spacing w:after="0"/>
              <w:rPr>
                <w:sz w:val="14"/>
                <w:szCs w:val="14"/>
                <w:color w:val="auto"/>
              </w:rPr>
            </w:pPr>
          </w:p>
        </w:tc>
        <w:tc>
          <w:tcPr>
            <w:tcW w:w="15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Shares/Units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132"/>
              <w:spacing w:after="0" w:line="172" w:lineRule="exact"/>
              <w:rPr>
                <w:sz w:val="20"/>
                <w:szCs w:val="20"/>
                <w:color w:val="auto"/>
              </w:rPr>
            </w:pPr>
            <w:r>
              <w:rPr>
                <w:rFonts w:ascii="Times New Roman" w:cs="Times New Roman" w:eastAsia="Times New Roman" w:hAnsi="Times New Roman"/>
                <w:sz w:val="18"/>
                <w:szCs w:val="18"/>
                <w:b w:val="1"/>
                <w:bCs w:val="1"/>
                <w:color w:val="auto"/>
                <w:w w:val="97"/>
              </w:rPr>
              <w:t>Grant</w:t>
            </w:r>
          </w:p>
        </w:tc>
      </w:tr>
      <w:tr>
        <w:trPr>
          <w:trHeight w:val="236"/>
        </w:trPr>
        <w:tc>
          <w:tcPr>
            <w:tcW w:w="36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(In millions)</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r>
      <w:tr>
        <w:trPr>
          <w:trHeight w:val="22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560" w:type="dxa"/>
            <w:vAlign w:val="bottom"/>
            <w:shd w:val="clear" w:color="auto" w:fill="CCEEFF"/>
          </w:tcPr>
          <w:p>
            <w:pPr>
              <w:jc w:val="center"/>
              <w:ind w:left="1092"/>
              <w:spacing w:after="0"/>
              <w:rPr>
                <w:sz w:val="20"/>
                <w:szCs w:val="20"/>
                <w:color w:val="auto"/>
              </w:rPr>
            </w:pPr>
            <w:r>
              <w:rPr>
                <w:rFonts w:ascii="Times New Roman" w:cs="Times New Roman" w:eastAsia="Times New Roman" w:hAnsi="Times New Roman"/>
                <w:sz w:val="18"/>
                <w:szCs w:val="18"/>
                <w:color w:val="auto"/>
                <w:w w:val="97"/>
              </w:rPr>
              <w:t>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571.19</w:t>
            </w:r>
          </w:p>
        </w:tc>
      </w:tr>
      <w:tr>
        <w:trPr>
          <w:trHeight w:val="225"/>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18"/>
                <w:szCs w:val="18"/>
                <w:color w:val="auto"/>
              </w:rPr>
              <w:t>Granted</w:t>
            </w:r>
          </w:p>
        </w:tc>
        <w:tc>
          <w:tcPr>
            <w:tcW w:w="1560" w:type="dxa"/>
            <w:vAlign w:val="bottom"/>
          </w:tcPr>
          <w:p>
            <w:pPr>
              <w:jc w:val="center"/>
              <w:ind w:left="1092"/>
              <w:spacing w:after="0"/>
              <w:rPr>
                <w:sz w:val="20"/>
                <w:szCs w:val="20"/>
                <w:color w:val="auto"/>
              </w:rPr>
            </w:pPr>
            <w:r>
              <w:rPr>
                <w:rFonts w:ascii="Times New Roman" w:cs="Times New Roman" w:eastAsia="Times New Roman" w:hAnsi="Times New Roman"/>
                <w:sz w:val="18"/>
                <w:szCs w:val="18"/>
                <w:color w:val="auto"/>
                <w:w w:val="97"/>
              </w:rPr>
              <w:t>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838.11</w:t>
            </w:r>
          </w:p>
        </w:tc>
      </w:tr>
      <w:tr>
        <w:trPr>
          <w:trHeight w:val="225"/>
        </w:trPr>
        <w:tc>
          <w:tcPr>
            <w:tcW w:w="36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shd w:val="clear" w:color="auto" w:fill="CCEEFF"/>
          </w:tcPr>
          <w:p>
            <w:pPr>
              <w:jc w:val="center"/>
              <w:ind w:left="1052"/>
              <w:spacing w:after="0"/>
              <w:rPr>
                <w:sz w:val="20"/>
                <w:szCs w:val="20"/>
                <w:color w:val="auto"/>
              </w:rPr>
            </w:pPr>
            <w:r>
              <w:rPr>
                <w:rFonts w:ascii="Times New Roman" w:cs="Times New Roman" w:eastAsia="Times New Roman" w:hAnsi="Times New Roman"/>
                <w:sz w:val="18"/>
                <w:szCs w:val="18"/>
                <w:color w:val="auto"/>
                <w:w w:val="98"/>
              </w:rPr>
              <w:t>(1.0)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458.49</w:t>
            </w:r>
          </w:p>
        </w:tc>
      </w:tr>
      <w:tr>
        <w:trPr>
          <w:trHeight w:val="225"/>
        </w:trPr>
        <w:tc>
          <w:tcPr>
            <w:tcW w:w="36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center"/>
              <w:ind w:left="1052"/>
              <w:spacing w:after="0"/>
              <w:rPr>
                <w:sz w:val="20"/>
                <w:szCs w:val="20"/>
                <w:color w:val="auto"/>
              </w:rPr>
            </w:pPr>
            <w:r>
              <w:rPr>
                <w:rFonts w:ascii="Times New Roman" w:cs="Times New Roman" w:eastAsia="Times New Roman" w:hAnsi="Times New Roman"/>
                <w:sz w:val="18"/>
                <w:szCs w:val="18"/>
                <w:color w:val="auto"/>
                <w:w w:val="98"/>
              </w:rPr>
              <w:t>(0.1)</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585.23</w:t>
            </w:r>
          </w:p>
        </w:tc>
      </w:tr>
      <w:tr>
        <w:trPr>
          <w:trHeight w:val="243"/>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560" w:type="dxa"/>
            <w:vAlign w:val="bottom"/>
            <w:tcBorders>
              <w:bottom w:val="single" w:sz="8" w:color="auto"/>
            </w:tcBorders>
            <w:shd w:val="clear" w:color="auto" w:fill="CCEEFF"/>
          </w:tcPr>
          <w:p>
            <w:pPr>
              <w:jc w:val="center"/>
              <w:ind w:left="1092"/>
              <w:spacing w:after="0"/>
              <w:rPr>
                <w:sz w:val="20"/>
                <w:szCs w:val="20"/>
                <w:color w:val="auto"/>
              </w:rPr>
            </w:pPr>
            <w:r>
              <w:rPr>
                <w:rFonts w:ascii="Times New Roman" w:cs="Times New Roman" w:eastAsia="Times New Roman" w:hAnsi="Times New Roman"/>
                <w:sz w:val="18"/>
                <w:szCs w:val="18"/>
                <w:color w:val="auto"/>
                <w:w w:val="97"/>
              </w:rPr>
              <w:t>2.3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705.37</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the years ended December 31, 2023, 2022, and 2021, the Company recognized $475.9 million, $331.1 million, and $221.0 million, respectively, of stock-based compensation expense related to restricted stock (net of amounts capitalized as inventory, which were not material for each of the three years). As of December 31, 2023, there was $1.023 billion of stock-based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compensation cost related to unvested restricted stock which had not yet been recognized. The Company expects to recognize this compensation cost over a weighted-average period of 2.2 years.</w:t>
      </w:r>
    </w:p>
    <w:p>
      <w:pPr>
        <w:spacing w:after="0" w:line="80" w:lineRule="exact"/>
        <w:rPr>
          <w:sz w:val="20"/>
          <w:szCs w:val="20"/>
          <w:color w:val="auto"/>
        </w:rPr>
      </w:pPr>
    </w:p>
    <w:p>
      <w:pPr>
        <w:ind w:left="340" w:hanging="334"/>
        <w:spacing w:after="0"/>
        <w:tabs>
          <w:tab w:leader="none" w:pos="340" w:val="left"/>
        </w:tabs>
        <w:numPr>
          <w:ilvl w:val="0"/>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5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Performance-based restricted stock units ("PSUs") have been granted to certain members of senior management of the Company. PSUs may be earned based upon the attainment of pre-established performance criteria, which may include a market and/or performance condition. Depending on the terms of the PSUs and the outcome of the pre-established performance criteria, a recipient may ultimately earn the target number of PSUs granted or a specified multiple thereof at the end of a 4–6 year vesting period, as applicable.</w:t>
      </w:r>
    </w:p>
    <w:p>
      <w:pPr>
        <w:spacing w:after="0" w:line="11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table below summarizes activity related to PSUs during 2023. The number of unvested PSUs represents the maximum number of units that are eligible to be earned.</w:t>
      </w:r>
    </w:p>
    <w:tbl>
      <w:tblPr>
        <w:tblLayout w:type="fixed"/>
        <w:tblInd w:w="2200" w:type="dxa"/>
        <w:tblCellMar>
          <w:top w:w="0" w:type="dxa"/>
          <w:left w:w="0" w:type="dxa"/>
          <w:bottom w:w="0" w:type="dxa"/>
          <w:right w:w="0" w:type="dxa"/>
        </w:tblCellMar>
      </w:tblPr>
      <w:tr>
        <w:trPr>
          <w:trHeight w:val="183"/>
        </w:trPr>
        <w:tc>
          <w:tcPr>
            <w:tcW w:w="3600" w:type="dxa"/>
            <w:vAlign w:val="bottom"/>
          </w:tcPr>
          <w:p>
            <w:pPr>
              <w:spacing w:after="0"/>
              <w:rPr>
                <w:sz w:val="15"/>
                <w:szCs w:val="15"/>
                <w:color w:val="auto"/>
              </w:rPr>
            </w:pPr>
          </w:p>
        </w:tc>
        <w:tc>
          <w:tcPr>
            <w:tcW w:w="1540" w:type="dxa"/>
            <w:vAlign w:val="bottom"/>
          </w:tcPr>
          <w:p>
            <w:pPr>
              <w:jc w:val="center"/>
              <w:spacing w:after="0" w:line="183"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5"/>
                <w:szCs w:val="15"/>
                <w:color w:val="auto"/>
              </w:rPr>
            </w:pPr>
          </w:p>
        </w:tc>
        <w:tc>
          <w:tcPr>
            <w:tcW w:w="160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8"/>
                <w:szCs w:val="18"/>
                <w:b w:val="1"/>
                <w:bCs w:val="1"/>
                <w:color w:val="auto"/>
                <w:w w:val="95"/>
              </w:rPr>
              <w:t>Weighted-Average</w:t>
            </w:r>
          </w:p>
        </w:tc>
      </w:tr>
      <w:tr>
        <w:trPr>
          <w:trHeight w:val="172"/>
        </w:trPr>
        <w:tc>
          <w:tcPr>
            <w:tcW w:w="3600" w:type="dxa"/>
            <w:vAlign w:val="bottom"/>
          </w:tcPr>
          <w:p>
            <w:pPr>
              <w:spacing w:after="0"/>
              <w:rPr>
                <w:sz w:val="14"/>
                <w:szCs w:val="14"/>
                <w:color w:val="auto"/>
              </w:rPr>
            </w:pPr>
          </w:p>
        </w:tc>
        <w:tc>
          <w:tcPr>
            <w:tcW w:w="15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Shares/Units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center"/>
              <w:ind w:right="132"/>
              <w:spacing w:after="0" w:line="172" w:lineRule="exact"/>
              <w:rPr>
                <w:sz w:val="20"/>
                <w:szCs w:val="20"/>
                <w:color w:val="auto"/>
              </w:rPr>
            </w:pPr>
            <w:r>
              <w:rPr>
                <w:rFonts w:ascii="Times New Roman" w:cs="Times New Roman" w:eastAsia="Times New Roman" w:hAnsi="Times New Roman"/>
                <w:sz w:val="18"/>
                <w:szCs w:val="18"/>
                <w:b w:val="1"/>
                <w:bCs w:val="1"/>
                <w:color w:val="auto"/>
                <w:w w:val="97"/>
              </w:rPr>
              <w:t>Grant</w:t>
            </w:r>
          </w:p>
        </w:tc>
      </w:tr>
      <w:tr>
        <w:trPr>
          <w:trHeight w:val="236"/>
        </w:trPr>
        <w:tc>
          <w:tcPr>
            <w:tcW w:w="36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(In millions)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5"/>
              </w:rPr>
              <w:t>Date Fair Value</w:t>
            </w:r>
          </w:p>
        </w:tc>
      </w:tr>
      <w:tr>
        <w:trPr>
          <w:trHeight w:val="22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540" w:type="dxa"/>
            <w:vAlign w:val="bottom"/>
            <w:shd w:val="clear" w:color="auto" w:fill="CCEEFF"/>
          </w:tcPr>
          <w:p>
            <w:pPr>
              <w:jc w:val="center"/>
              <w:ind w:left="1072"/>
              <w:spacing w:after="0"/>
              <w:rPr>
                <w:sz w:val="20"/>
                <w:szCs w:val="20"/>
                <w:color w:val="auto"/>
              </w:rPr>
            </w:pPr>
            <w:r>
              <w:rPr>
                <w:rFonts w:ascii="Times New Roman" w:cs="Times New Roman" w:eastAsia="Times New Roman" w:hAnsi="Times New Roman"/>
                <w:sz w:val="18"/>
                <w:szCs w:val="18"/>
                <w:color w:val="auto"/>
                <w:w w:val="97"/>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245.94</w:t>
            </w:r>
          </w:p>
        </w:tc>
      </w:tr>
      <w:tr>
        <w:trPr>
          <w:trHeight w:val="225"/>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2023:   </w:t>
            </w:r>
            <w:r>
              <w:rPr>
                <w:rFonts w:ascii="Times New Roman" w:cs="Times New Roman" w:eastAsia="Times New Roman" w:hAnsi="Times New Roman"/>
                <w:sz w:val="18"/>
                <w:szCs w:val="18"/>
                <w:color w:val="auto"/>
              </w:rPr>
              <w:t>Vested</w:t>
            </w:r>
          </w:p>
        </w:tc>
        <w:tc>
          <w:tcPr>
            <w:tcW w:w="1540" w:type="dxa"/>
            <w:vAlign w:val="bottom"/>
            <w:tcBorders>
              <w:bottom w:val="single" w:sz="8" w:color="auto"/>
            </w:tcBorders>
          </w:tcPr>
          <w:p>
            <w:pPr>
              <w:jc w:val="center"/>
              <w:ind w:left="1072"/>
              <w:spacing w:after="0"/>
              <w:rPr>
                <w:sz w:val="20"/>
                <w:szCs w:val="20"/>
                <w:color w:val="auto"/>
              </w:rPr>
            </w:pPr>
            <w:r>
              <w:rPr>
                <w:rFonts w:ascii="Times New Roman" w:cs="Times New Roman" w:eastAsia="Times New Roman" w:hAnsi="Times New Roman"/>
                <w:sz w:val="18"/>
                <w:szCs w:val="18"/>
                <w:color w:val="auto"/>
                <w:w w:val="98"/>
              </w:rPr>
              <w:t>(0.1)</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198.10</w:t>
            </w:r>
          </w:p>
        </w:tc>
      </w:tr>
      <w:tr>
        <w:trPr>
          <w:trHeight w:val="243"/>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540" w:type="dxa"/>
            <w:vAlign w:val="bottom"/>
            <w:tcBorders>
              <w:bottom w:val="single" w:sz="8" w:color="auto"/>
            </w:tcBorders>
            <w:shd w:val="clear" w:color="auto" w:fill="CCEEFF"/>
          </w:tcPr>
          <w:p>
            <w:pPr>
              <w:jc w:val="center"/>
              <w:ind w:left="1072"/>
              <w:spacing w:after="0"/>
              <w:rPr>
                <w:sz w:val="20"/>
                <w:szCs w:val="20"/>
                <w:color w:val="auto"/>
              </w:rPr>
            </w:pPr>
            <w:r>
              <w:rPr>
                <w:rFonts w:ascii="Times New Roman" w:cs="Times New Roman" w:eastAsia="Times New Roman" w:hAnsi="Times New Roman"/>
                <w:sz w:val="18"/>
                <w:szCs w:val="18"/>
                <w:color w:val="auto"/>
                <w:w w:val="97"/>
              </w:rPr>
              <w:t>1.4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247.91</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For each of the years ended December 31, 2023, 2022, and 2021 the Company recognized $52.0 million of stock-based compensation expense related to PSUs. As of December 31, 2023, there was $104.1 million of stock-based compensation cost related to unvested PSUs which had not yet been recognized. The Company expects to recognize this compensation cost on a straight-line basis over a weighted average period of 2.3 years.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Assumptions:</w:t>
      </w:r>
    </w:p>
    <w:p>
      <w:pPr>
        <w:spacing w:after="0" w:line="1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weighted average values of the assumptions used in computing the fair value of PSUs that were granted during 2022. The Company did not grant PSUs during 2023 and 2021.</w:t>
      </w:r>
    </w:p>
    <w:p>
      <w:pPr>
        <w:spacing w:after="0" w:line="135" w:lineRule="exact"/>
        <w:rPr>
          <w:sz w:val="20"/>
          <w:szCs w:val="20"/>
          <w:color w:val="auto"/>
        </w:rPr>
      </w:pPr>
    </w:p>
    <w:tbl>
      <w:tblPr>
        <w:tblLayout w:type="fixed"/>
        <w:tblInd w:w="3380" w:type="dxa"/>
        <w:tblCellMar>
          <w:top w:w="0" w:type="dxa"/>
          <w:left w:w="0" w:type="dxa"/>
          <w:bottom w:w="0" w:type="dxa"/>
          <w:right w:w="0" w:type="dxa"/>
        </w:tblCellMar>
      </w:tblPr>
      <w:tr>
        <w:trPr>
          <w:trHeight w:val="232"/>
        </w:trPr>
        <w:tc>
          <w:tcPr>
            <w:tcW w:w="34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w:t>
            </w: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Savings Plans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the Regeneron Pharmaceuticals, Inc. 401(k) Savings Plan, as amended and restated (the "Savings Plan"). The terms of the Savings Plan allow U.S. employees (as defined by the Savings Plan) to contribute to the Savings Plan a percentage of their compensation. In addition, the Company may make discretionary contributions, as defined, to the accounts of participants under the Savings Plan. The Company also maintains additional employee savings plans outside the United States, which cover eligible employees.</w:t>
      </w:r>
    </w:p>
    <w:p>
      <w:pPr>
        <w:spacing w:after="0" w:line="1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Expenses recognized by the Company related to contributions to such plans were $84.7 million, $67.6 million, and $55.5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U.S. federal, state, and foreign income taxes. Components of income before income taxes consist of the following:</w:t>
      </w:r>
    </w:p>
    <w:p>
      <w:pPr>
        <w:spacing w:after="0" w:line="281" w:lineRule="exact"/>
        <w:rPr>
          <w:sz w:val="20"/>
          <w:szCs w:val="20"/>
          <w:color w:val="auto"/>
        </w:rPr>
      </w:pPr>
    </w:p>
    <w:tbl>
      <w:tblPr>
        <w:tblLayout w:type="fixed"/>
        <w:tblInd w:w="2620" w:type="dxa"/>
        <w:tblCellMar>
          <w:top w:w="0" w:type="dxa"/>
          <w:left w:w="0" w:type="dxa"/>
          <w:bottom w:w="0" w:type="dxa"/>
          <w:right w:w="0" w:type="dxa"/>
        </w:tblCellMar>
      </w:tblPr>
      <w:tr>
        <w:trPr>
          <w:trHeight w:val="232"/>
        </w:trPr>
        <w:tc>
          <w:tcPr>
            <w:tcW w:w="1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r>
      <w:tr>
        <w:trPr>
          <w:trHeight w:val="218"/>
        </w:trPr>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5,944.7</w:t>
            </w:r>
          </w:p>
        </w:tc>
      </w:tr>
      <w:tr>
        <w:trPr>
          <w:trHeight w:val="225"/>
        </w:trPr>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3,381.1</w:t>
            </w:r>
          </w:p>
        </w:tc>
      </w:tr>
      <w:tr>
        <w:trPr>
          <w:trHeight w:val="243"/>
        </w:trPr>
        <w:tc>
          <w:tcPr>
            <w:tcW w:w="1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9,325.8</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income tax expense consist of the following:</w:t>
      </w:r>
    </w:p>
    <w:p>
      <w:pPr>
        <w:spacing w:after="0" w:line="268" w:lineRule="exact"/>
        <w:rPr>
          <w:sz w:val="20"/>
          <w:szCs w:val="20"/>
          <w:color w:val="auto"/>
        </w:rPr>
      </w:pPr>
    </w:p>
    <w:tbl>
      <w:tblPr>
        <w:tblLayout w:type="fixed"/>
        <w:tblInd w:w="1740" w:type="dxa"/>
        <w:tblCellMar>
          <w:top w:w="0" w:type="dxa"/>
          <w:left w:w="0" w:type="dxa"/>
          <w:bottom w:w="0" w:type="dxa"/>
          <w:right w:w="0" w:type="dxa"/>
        </w:tblCellMar>
      </w:tblPr>
      <w:tr>
        <w:trPr>
          <w:trHeight w:val="232"/>
        </w:trPr>
        <w:tc>
          <w:tcPr>
            <w:tcW w:w="3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40" w:type="dxa"/>
            <w:vAlign w:val="bottom"/>
            <w:tcBorders>
              <w:bottom w:val="single" w:sz="8" w:color="auto"/>
            </w:tcBorders>
          </w:tcPr>
          <w:p>
            <w:pPr>
              <w:spacing w:after="0"/>
              <w:rPr>
                <w:sz w:val="20"/>
                <w:szCs w:val="20"/>
                <w:color w:val="auto"/>
              </w:rPr>
            </w:pPr>
          </w:p>
        </w:tc>
      </w:tr>
      <w:tr>
        <w:trPr>
          <w:trHeight w:val="219"/>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5"/>
        </w:trPr>
        <w:tc>
          <w:tcPr>
            <w:tcW w:w="33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5"/>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r>
      <w:tr>
        <w:trPr>
          <w:trHeight w:val="225"/>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5"/>
        </w:trPr>
        <w:tc>
          <w:tcPr>
            <w:tcW w:w="3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1,397.6</w:t>
            </w:r>
          </w:p>
        </w:tc>
      </w:tr>
      <w:tr>
        <w:trPr>
          <w:trHeight w:val="205"/>
        </w:trPr>
        <w:tc>
          <w:tcPr>
            <w:tcW w:w="33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5"/>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r>
      <w:tr>
        <w:trPr>
          <w:trHeight w:val="225"/>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18"/>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44"/>
        </w:trPr>
        <w:tc>
          <w:tcPr>
            <w:tcW w:w="3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statutory income tax rate to the Company's effective income tax rate is as follows:</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80" w:type="dxa"/>
            <w:vAlign w:val="bottom"/>
            <w:gridSpan w:val="2"/>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0" w:type="dxa"/>
            <w:vAlign w:val="bottom"/>
          </w:tcPr>
          <w:p>
            <w:pPr>
              <w:spacing w:after="0"/>
              <w:rPr>
                <w:sz w:val="19"/>
                <w:szCs w:val="19"/>
                <w:color w:val="auto"/>
              </w:rPr>
            </w:pPr>
          </w:p>
        </w:tc>
      </w:tr>
      <w:tr>
        <w:trPr>
          <w:trHeight w:val="218"/>
        </w:trPr>
        <w:tc>
          <w:tcPr>
            <w:tcW w:w="1460" w:type="dxa"/>
            <w:vAlign w:val="bottom"/>
          </w:tcPr>
          <w:p>
            <w:pPr>
              <w:spacing w:after="0"/>
              <w:rPr>
                <w:sz w:val="19"/>
                <w:szCs w:val="19"/>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9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0" w:type="dxa"/>
            <w:vAlign w:val="bottom"/>
          </w:tcPr>
          <w:p>
            <w:pPr>
              <w:spacing w:after="0"/>
              <w:rPr>
                <w:sz w:val="19"/>
                <w:szCs w:val="19"/>
                <w:color w:val="auto"/>
              </w:rPr>
            </w:pPr>
          </w:p>
        </w:tc>
      </w:tr>
      <w:tr>
        <w:trPr>
          <w:trHeight w:val="225"/>
        </w:trPr>
        <w:tc>
          <w:tcPr>
            <w:tcW w:w="146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Taxation of non-U.S. operations</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tcPr>
          <w:p>
            <w:pPr>
              <w:spacing w:after="0"/>
              <w:rPr>
                <w:sz w:val="19"/>
                <w:szCs w:val="19"/>
                <w:color w:val="auto"/>
              </w:rPr>
            </w:pPr>
          </w:p>
        </w:tc>
      </w:tr>
      <w:tr>
        <w:trPr>
          <w:trHeight w:val="225"/>
        </w:trPr>
        <w:tc>
          <w:tcPr>
            <w:tcW w:w="1460" w:type="dxa"/>
            <w:vAlign w:val="bottom"/>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tcPr>
          <w:p>
            <w:pPr>
              <w:spacing w:after="0"/>
              <w:rPr>
                <w:sz w:val="19"/>
                <w:szCs w:val="19"/>
                <w:color w:val="auto"/>
              </w:rPr>
            </w:pPr>
          </w:p>
        </w:tc>
      </w:tr>
      <w:tr>
        <w:trPr>
          <w:trHeight w:val="225"/>
        </w:trPr>
        <w:tc>
          <w:tcPr>
            <w:tcW w:w="146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credits</w:t>
            </w: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tcPr>
          <w:p>
            <w:pPr>
              <w:spacing w:after="0"/>
              <w:rPr>
                <w:sz w:val="19"/>
                <w:szCs w:val="19"/>
                <w:color w:val="auto"/>
              </w:rPr>
            </w:pPr>
          </w:p>
        </w:tc>
      </w:tr>
      <w:tr>
        <w:trPr>
          <w:trHeight w:val="225"/>
        </w:trPr>
        <w:tc>
          <w:tcPr>
            <w:tcW w:w="1460" w:type="dxa"/>
            <w:vAlign w:val="bottom"/>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Foreign-derived intangible income deduction</w:t>
            </w:r>
          </w:p>
        </w:tc>
        <w:tc>
          <w:tcPr>
            <w:tcW w:w="5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Pr>
          <w:p>
            <w:pPr>
              <w:spacing w:after="0"/>
              <w:rPr>
                <w:sz w:val="19"/>
                <w:szCs w:val="19"/>
                <w:color w:val="auto"/>
              </w:rPr>
            </w:pPr>
          </w:p>
        </w:tc>
      </w:tr>
      <w:tr>
        <w:trPr>
          <w:trHeight w:val="225"/>
        </w:trPr>
        <w:tc>
          <w:tcPr>
            <w:tcW w:w="1460" w:type="dxa"/>
            <w:vAlign w:val="bottom"/>
          </w:tcPr>
          <w:p>
            <w:pPr>
              <w:spacing w:after="0"/>
              <w:rPr>
                <w:sz w:val="19"/>
                <w:szCs w:val="19"/>
                <w:color w:val="auto"/>
              </w:rPr>
            </w:pPr>
          </w:p>
        </w:tc>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9"/>
                <w:szCs w:val="19"/>
                <w:color w:val="auto"/>
              </w:rPr>
            </w:pPr>
          </w:p>
        </w:tc>
      </w:tr>
      <w:tr>
        <w:trPr>
          <w:trHeight w:val="238"/>
        </w:trPr>
        <w:tc>
          <w:tcPr>
            <w:tcW w:w="1460" w:type="dxa"/>
            <w:vAlign w:val="bottom"/>
          </w:tcPr>
          <w:p>
            <w:pPr>
              <w:spacing w:after="0"/>
              <w:rPr>
                <w:sz w:val="20"/>
                <w:szCs w:val="20"/>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0" w:type="dxa"/>
            <w:vAlign w:val="bottom"/>
          </w:tcPr>
          <w:p>
            <w:pPr>
              <w:spacing w:after="0"/>
              <w:rPr>
                <w:sz w:val="20"/>
                <w:szCs w:val="20"/>
                <w:color w:val="auto"/>
              </w:rPr>
            </w:pPr>
          </w:p>
        </w:tc>
      </w:tr>
      <w:tr>
        <w:trPr>
          <w:trHeight w:val="20"/>
        </w:trPr>
        <w:tc>
          <w:tcPr>
            <w:tcW w:w="146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862"/>
        </w:trPr>
        <w:tc>
          <w:tcPr>
            <w:tcW w:w="1460" w:type="dxa"/>
            <w:vAlign w:val="bottom"/>
          </w:tcPr>
          <w:p>
            <w:pPr>
              <w:spacing w:after="0"/>
              <w:rPr>
                <w:sz w:val="24"/>
                <w:szCs w:val="24"/>
                <w:color w:val="auto"/>
              </w:rPr>
            </w:pPr>
          </w:p>
        </w:tc>
        <w:tc>
          <w:tcPr>
            <w:tcW w:w="492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F-36</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2"/>
        </w:trPr>
        <w:tc>
          <w:tcPr>
            <w:tcW w:w="146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22" w:lineRule="exact"/>
        <w:rPr>
          <w:sz w:val="20"/>
          <w:szCs w:val="20"/>
          <w:color w:val="auto"/>
        </w:rPr>
      </w:pPr>
    </w:p>
    <w:tbl>
      <w:tblPr>
        <w:tblLayout w:type="fixed"/>
        <w:tblInd w:w="2240" w:type="dxa"/>
        <w:tblCellMar>
          <w:top w:w="0" w:type="dxa"/>
          <w:left w:w="0" w:type="dxa"/>
          <w:bottom w:w="0" w:type="dxa"/>
          <w:right w:w="0" w:type="dxa"/>
        </w:tblCellMar>
      </w:tblPr>
      <w:tr>
        <w:trPr>
          <w:trHeight w:val="232"/>
        </w:trPr>
        <w:tc>
          <w:tcPr>
            <w:tcW w:w="4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8"/>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5"/>
        </w:trPr>
        <w:tc>
          <w:tcPr>
            <w:tcW w:w="464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5"/>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1,728.2</w:t>
            </w:r>
          </w:p>
        </w:tc>
        <w:tc>
          <w:tcPr>
            <w:tcW w:w="12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845.3</w:t>
            </w:r>
          </w:p>
        </w:tc>
      </w:tr>
      <w:tr>
        <w:trPr>
          <w:trHeight w:val="225"/>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r>
      <w:tr>
        <w:trPr>
          <w:trHeight w:val="225"/>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r>
      <w:tr>
        <w:trPr>
          <w:trHeight w:val="225"/>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25"/>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attribute carryforwards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25"/>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1,781.9</w:t>
            </w:r>
          </w:p>
        </w:tc>
      </w:tr>
      <w:tr>
        <w:trPr>
          <w:trHeight w:val="265"/>
        </w:trPr>
        <w:tc>
          <w:tcPr>
            <w:tcW w:w="4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2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5"/>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1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1,723.7</w:t>
            </w: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federal income tax returns for 2017 through 2022 remain open to examination by the IRS. The Company's 2017 and 2018 federal income tax returns are currently under audit by the IRS. In general, the Company's state income tax returns from 2018 to 2022 remain open to examination. The Company's income tax returns outside the United States remain open to examination from 2018 to 2022. The United States and many states generally have statutes of limitation ranging from 3 to 5 years; however, those statutes could be extended due to the Company's tax credit carryforward position. In general, tax authorities have the ability to review income tax returns in which the statute of limitation has previously expired to adjust the tax credits generated in those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beginning and ending amounts of unrecognized tax benefits: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232"/>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related to current year tax positions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(decreases) related to prior year tax positions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72"/>
        </w:trPr>
        <w:tc>
          <w:tcPr>
            <w:tcW w:w="46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Gross decreases due to settlements and lapse of statutes of</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39"/>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limitations</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43"/>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2023, 2022, and 2021, the increases in unrecognized tax benefits primarily related to the Company's calculation of certain tax credits and other items related to the Company's international operations. In 2021, the decrease in unrecognized tax benefits due to settlements and lapse of statutes of limitations was related to the closing of audits for the Company's federal income tax returns for 2015 and 2016. Interest expense related to unrecognized tax benefits was not material in 2023, 2022, and 2021. The Company does not believe that it is reasonably possible that the resolution of tax exposures within the next twelve months would have a material impact on the consolidated financial statements as of December 31, 2023.</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net unrecognized tax benefits that, if settled, would impact the effective tax rate is $442.5 million, $373.7 million, and $321.1 million as of December 31, 2023, 2022, and 2021, respectively.</w:t>
      </w:r>
    </w:p>
    <w:p>
      <w:pPr>
        <w:spacing w:after="0" w:line="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2022, the Inflation Reduction Act of 2022 ("IRA") was signed into law in the United States. The IRA created a new corporate alternative minimum tax of 15% on adjusted financial statement income and an excise tax of 1% of the value of certain stock repurchases. The provisions of the IRA became effective for periods beginning after December 31, 2022. The IRA did not have a material impact on the Company's financial statements as of and for the periods ended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Legal Matters</w:t>
      </w:r>
    </w:p>
    <w:p>
      <w:pPr>
        <w:spacing w:after="0" w:line="1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From time to time, the Company is a party to legal proceedings in the course of the Company's business. The outcome of any such proceedings, regardless of the merits, is inherently uncertain. If the Company were unable to prevail in any such proceedings, its consolidated financial position, results of operations, and future cash flows may be materially impacted. Costs associated with the Company's involvement in legal proceedings are expensed as incurred. The Company recognizes accruals for loss contingencies associated with such proceedings when it is probable that a liability will be incurred and the amount of loss can be reasonably estimated. As of December 31, 2023 and 2022, the Company's accruals for loss contingencies were not material. There are certain loss contingencies that the Company deems reasonably possible for which the possible loss or range of possible loss is not estimable at this time.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below, the Company is currently a party to patent infringement actions initiated by Amgen Inc. (and/or its affiliated entities) against the Company and/or Sanofi (and/or the Company's and Sanofi's respective affiliated entities) in a number of jurisdictions relating to Praluent. In addition, as described below, the Company filed a lawsuit against Amgen alleging that Amgen engaged in an anticompetitive bundling scheme which was designed to exclude Praluent from the market in violation of U.S. federal and state laws.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the United States, Amgen asserted claims of U.S. Patent Nos. 8,829,165 (the "'165 Patent") and 8,859,741 (the "'741 Patent"), and sought a permanent injunction to prevent the Company and the Sanofi defendants from commercial manufacturing, using, offering to sell, or selling within the United States (as well as importing into the United States) Praluent. Amgen also sought a judgment of patent infringement of the asserted patents, monetary damages (together with interest), costs and expenses of the lawsuits, and attorneys' fees. As previously reported, on February 11, 2021, the United States Court of Appeals for the Federal Circuit (the "Federal Circuit") affirmed the lower court's decision that certain of Amgen's asserted patent claims are invalid based on lack of enablement. On April 14, 2021, Amgen filed a petition for a rehearing en banc with the Federal Circuit, which was denied on June 21, 2021. On November 4, 2022, the United States Supreme Court granted Amgen's petition for writ of certiorari. An oral hearing was held on March 27, 2023. On May 28, 2023, the United States Supreme Court affirmed the Federal Circuit's decision that certain of Amgen's asserted patent claims are invalid based on lack of enablement.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May 27, 2022, the Company filed a lawsuit against Amgen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On August 1, 2022, Amgen filed a motion to dismiss the complaint. On August 11, 2022, Amgen filed a motion to stay these proceedings pending resolution of the patent litigation described in the preceding paragraph. An oral hearing on Amgen's motion to dismiss and motion to stay was held on January 6, 2023. On February 10, 2023, the court denied Amgen's motion to stay; and on March 21, 2023, the court denied Amgen's motion to dismiss. On August 28, 2023, the Company filed an amended complaint in this matter; and, as part of its response, on September 20, 2023, Amgen filed a counterclaim alleging that the Company engaged in unfair business practices in violation of state law. A trial has been scheduled to begin in November 2024.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Amgen has asserted European Patent No. 2,215,124 (the "'124 Patent"), which pertains to PCSK9 monoclonal antibodies, in certain countries in Europe. In October 2020, the '124 Patent claims directed to compositions of matter and medical use relevant to Praluent were ruled invalid based on a lack of inventive step by the Technical Board of Appeal (the "TBA") of the European Patent Office (the "EPO"). Following the EPO's decision, each of the '124 Patent infringement proceedings initiated by Amgen against the Company and certain of Sanofi's affiliated entities in these countries was dismissed, including in Germany. The dismissal in Germany followed an earlier finding of infringement and granting of an injunction, both of which were subsequently overturned. As a result of the overturned injunction in Germany, the Company and/or certain of Sanofi's affiliated entities are seeking damages caused by Amgen's enforcement of the injunction. An oral hearing has been scheduled for February 28, 2024. As part of its opposition to these damages claims, on March 23, 2022, Amgen filed a counterclaim that asserted the German designation of European Patent No. 2,641,917 (the "'917 Patent") and seeks, among other things, a judgment of patent infringement, injunctive relief, and monetary damages. The '917 Patent is a divisional patent of the '124 Patent discussed above (i.e., a patent that shares the same priority date, disclosure, and patent term of the parent '124 Patent but contains claims to a different invention). An oral hearing before the Munich Regional Court was held on November 29, 2023, at which Amgen's counterclaim was dismissed. The '917 Patent is also subject to opposition proceedings in the EPO, which were initiated by Sanofi on May 5, 2021. An oral hearing before the EPO was held on February 21, 2023, at which the '917 Patent was revoked. Amgen filed a notice to appeal to the TBA of the EPO on February 27, 2023.</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June 1, 2023, Amgen filed a lawsuit against the Company and certain of Sanofi's affiliated entities in the Munich Local Division of the Unified Patent Court (the "UPC") alleging infringement of Amgen's European Patent No. 3,666,797 (the "'797 Patent"). The lawsuit seeks, among other things, a permanent injunction in several countries in Europe and monetary damages. The '797 Patent is a divisional patent of the '124 Patent discussed above. A trial has been scheduled for October 16–17, 2024. Also on June 1, 2023, Sanofi filed an action in the Munich Central Division of the UPC seeking revocation of the '797 Patent. A trial has been scheduled for June 4–5,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the Company's patents pertaining to EYLEA are subject to post-grant proceedings before the United States Patent and Trademark Office ("USPTO"), EPO, or other comparable foreign authorities, including those described in greater detail below. In addition, the Company has filed patent infringement lawsuits in several jurisdictions alleging infringement of certain Company patents pertaining to EYLEA, including those described in greater detail below.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Post-Grant Proceedings Before USPTO</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32"/>
        </w:trPr>
        <w:tc>
          <w:tcPr>
            <w:tcW w:w="2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Company Patent(s)</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Challenger(s)</w:t>
            </w:r>
          </w:p>
        </w:tc>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Type of Challenge</w:t>
            </w: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Date of Challenge</w:t>
            </w:r>
          </w:p>
        </w:tc>
        <w:tc>
          <w:tcPr>
            <w:tcW w:w="3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Latest Events/Current Status</w:t>
            </w:r>
          </w:p>
        </w:tc>
      </w:tr>
      <w:tr>
        <w:trPr>
          <w:trHeight w:val="165"/>
        </w:trPr>
        <w:tc>
          <w:tcPr>
            <w:tcW w:w="196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U.S. Patent Nos.</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Anonymous parties</w:t>
            </w:r>
          </w:p>
        </w:tc>
        <w:tc>
          <w:tcPr>
            <w:tcW w:w="10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i w:val="1"/>
                <w:iCs w:val="1"/>
                <w:color w:val="auto"/>
              </w:rPr>
              <w:t xml:space="preserve">Ex parte </w:t>
            </w:r>
            <w:r>
              <w:rPr>
                <w:rFonts w:ascii="Times New Roman" w:cs="Times New Roman" w:eastAsia="Times New Roman" w:hAnsi="Times New Roman"/>
                <w:sz w:val="18"/>
                <w:szCs w:val="18"/>
                <w:color w:val="auto"/>
              </w:rPr>
              <w:t>reexamination</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February 11, 2020</w:t>
            </w:r>
          </w:p>
        </w:tc>
        <w:tc>
          <w:tcPr>
            <w:tcW w:w="10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On September 11, 2023, the USPTO</w:t>
            </w:r>
          </w:p>
        </w:tc>
      </w:tr>
      <w:tr>
        <w:trPr>
          <w:trHeight w:val="180"/>
        </w:trPr>
        <w:tc>
          <w:tcPr>
            <w:tcW w:w="20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10,406,226 (the "'226</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dismissed the '226 Patent reexamination</w:t>
            </w:r>
          </w:p>
        </w:tc>
      </w:tr>
      <w:tr>
        <w:trPr>
          <w:trHeight w:val="177"/>
        </w:trPr>
        <w:tc>
          <w:tcPr>
            <w:tcW w:w="206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Patent") and 10,464,992</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proceedings following the Company's filing</w:t>
            </w:r>
          </w:p>
        </w:tc>
      </w:tr>
      <w:tr>
        <w:trPr>
          <w:trHeight w:val="172"/>
        </w:trPr>
        <w:tc>
          <w:tcPr>
            <w:tcW w:w="20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(the "'992 Patent")</w:t>
            </w: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of a Notice of Disclaimer, disclaiming all</w:t>
            </w:r>
          </w:p>
        </w:tc>
      </w:tr>
      <w:tr>
        <w:trPr>
          <w:trHeight w:val="231"/>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of the '226 Patent.</w:t>
            </w:r>
          </w:p>
        </w:tc>
      </w:tr>
      <w:tr>
        <w:trPr>
          <w:trHeight w:val="365"/>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September 8, 2023, the '992 Patent</w:t>
            </w:r>
          </w:p>
        </w:tc>
      </w:tr>
      <w:tr>
        <w:trPr>
          <w:trHeight w:val="172"/>
        </w:trPr>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reexamination proceedings were stayed by</w:t>
            </w:r>
          </w:p>
        </w:tc>
      </w:tr>
      <w:tr>
        <w:trPr>
          <w:trHeight w:val="178"/>
        </w:trPr>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 xml:space="preserve">the USPTO pending resolution of the </w:t>
            </w:r>
            <w:r>
              <w:rPr>
                <w:rFonts w:ascii="Times New Roman" w:cs="Times New Roman" w:eastAsia="Times New Roman" w:hAnsi="Times New Roman"/>
                <w:sz w:val="18"/>
                <w:szCs w:val="18"/>
                <w:i w:val="1"/>
                <w:iCs w:val="1"/>
                <w:color w:val="auto"/>
              </w:rPr>
              <w:t>inter</w:t>
            </w:r>
          </w:p>
        </w:tc>
      </w:tr>
      <w:tr>
        <w:trPr>
          <w:trHeight w:val="179"/>
        </w:trPr>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("IPR") of the '992 Patent</w:t>
            </w:r>
          </w:p>
        </w:tc>
      </w:tr>
      <w:tr>
        <w:trPr>
          <w:trHeight w:val="172"/>
        </w:trPr>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initiated by Celltrion, Inc., as discussed</w:t>
            </w:r>
          </w:p>
        </w:tc>
      </w:tr>
      <w:tr>
        <w:trPr>
          <w:trHeight w:val="180"/>
        </w:trPr>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further below. On January 17, 2024, the</w:t>
            </w:r>
          </w:p>
        </w:tc>
      </w:tr>
      <w:tr>
        <w:trPr>
          <w:trHeight w:val="177"/>
        </w:trPr>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Company filed a Notice of Disclaimer with</w:t>
            </w:r>
          </w:p>
        </w:tc>
      </w:tr>
      <w:tr>
        <w:trPr>
          <w:trHeight w:val="172"/>
        </w:trPr>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the USPTO, disclaiming all claims of the</w:t>
            </w:r>
          </w:p>
        </w:tc>
      </w:tr>
      <w:tr>
        <w:trPr>
          <w:trHeight w:val="239"/>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'992 Patent.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Company Patent(s)</w:t>
            </w: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Challenger(s)</w:t>
            </w:r>
          </w:p>
        </w:tc>
        <w:tc>
          <w:tcPr>
            <w:tcW w:w="2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Type of Challenge</w:t>
            </w:r>
          </w:p>
        </w:tc>
        <w:tc>
          <w:tcPr>
            <w:tcW w:w="1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Date of Challenge</w:t>
            </w:r>
          </w:p>
        </w:tc>
        <w:tc>
          <w:tcPr>
            <w:tcW w:w="324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Latest Events/Current Status</w:t>
            </w:r>
          </w:p>
        </w:tc>
        <w:tc>
          <w:tcPr>
            <w:tcW w:w="0" w:type="dxa"/>
            <w:vAlign w:val="bottom"/>
          </w:tcPr>
          <w:p>
            <w:pPr>
              <w:spacing w:after="0"/>
              <w:rPr>
                <w:sz w:val="1"/>
                <w:szCs w:val="1"/>
                <w:color w:val="auto"/>
              </w:rPr>
            </w:pPr>
          </w:p>
        </w:tc>
      </w:tr>
      <w:tr>
        <w:trPr>
          <w:trHeight w:val="234"/>
        </w:trPr>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60" w:type="dxa"/>
            <w:vAlign w:val="bottom"/>
            <w:gridSpan w:val="2"/>
            <w:vMerge w:val="continue"/>
          </w:tcPr>
          <w:p>
            <w:pPr>
              <w:spacing w:after="0"/>
              <w:rPr>
                <w:sz w:val="20"/>
                <w:szCs w:val="20"/>
                <w:color w:val="auto"/>
              </w:rPr>
            </w:pPr>
          </w:p>
        </w:tc>
        <w:tc>
          <w:tcPr>
            <w:tcW w:w="2120" w:type="dxa"/>
            <w:vAlign w:val="bottom"/>
            <w:gridSpan w:val="2"/>
            <w:vMerge w:val="continue"/>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3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96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U.S. Patent Nos.</w:t>
            </w:r>
          </w:p>
        </w:tc>
        <w:tc>
          <w:tcPr>
            <w:tcW w:w="100" w:type="dxa"/>
            <w:vAlign w:val="bottom"/>
          </w:tcPr>
          <w:p>
            <w:pPr>
              <w:spacing w:after="0"/>
              <w:rPr>
                <w:sz w:val="15"/>
                <w:szCs w:val="15"/>
                <w:color w:val="auto"/>
              </w:rPr>
            </w:pPr>
          </w:p>
        </w:tc>
        <w:tc>
          <w:tcPr>
            <w:tcW w:w="154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Mylan</w:t>
            </w:r>
          </w:p>
        </w:tc>
        <w:tc>
          <w:tcPr>
            <w:tcW w:w="120" w:type="dxa"/>
            <w:vAlign w:val="bottom"/>
          </w:tcPr>
          <w:p>
            <w:pPr>
              <w:spacing w:after="0"/>
              <w:rPr>
                <w:sz w:val="15"/>
                <w:szCs w:val="15"/>
                <w:color w:val="auto"/>
              </w:rPr>
            </w:pPr>
          </w:p>
        </w:tc>
        <w:tc>
          <w:tcPr>
            <w:tcW w:w="202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IPR petitions seeking</w:t>
            </w:r>
          </w:p>
        </w:tc>
        <w:tc>
          <w:tcPr>
            <w:tcW w:w="100" w:type="dxa"/>
            <w:vAlign w:val="bottom"/>
          </w:tcPr>
          <w:p>
            <w:pPr>
              <w:spacing w:after="0"/>
              <w:rPr>
                <w:sz w:val="15"/>
                <w:szCs w:val="15"/>
                <w:color w:val="auto"/>
              </w:rPr>
            </w:pPr>
          </w:p>
        </w:tc>
        <w:tc>
          <w:tcPr>
            <w:tcW w:w="182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May 5, 2021</w:t>
            </w:r>
          </w:p>
        </w:tc>
        <w:tc>
          <w:tcPr>
            <w:tcW w:w="100" w:type="dxa"/>
            <w:vAlign w:val="bottom"/>
          </w:tcPr>
          <w:p>
            <w:pPr>
              <w:spacing w:after="0"/>
              <w:rPr>
                <w:sz w:val="15"/>
                <w:szCs w:val="15"/>
                <w:color w:val="auto"/>
              </w:rPr>
            </w:pPr>
          </w:p>
        </w:tc>
        <w:tc>
          <w:tcPr>
            <w:tcW w:w="3240" w:type="dxa"/>
            <w:vAlign w:val="bottom"/>
            <w:tcBorders>
              <w:top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On November 9, 2022, the USPTO issued</w:t>
            </w:r>
          </w:p>
        </w:tc>
        <w:tc>
          <w:tcPr>
            <w:tcW w:w="0" w:type="dxa"/>
            <w:vAlign w:val="bottom"/>
          </w:tcPr>
          <w:p>
            <w:pPr>
              <w:spacing w:after="0"/>
              <w:rPr>
                <w:sz w:val="1"/>
                <w:szCs w:val="1"/>
                <w:color w:val="auto"/>
              </w:rPr>
            </w:pPr>
          </w:p>
        </w:tc>
      </w:tr>
      <w:tr>
        <w:trPr>
          <w:trHeight w:val="177"/>
        </w:trPr>
        <w:tc>
          <w:tcPr>
            <w:tcW w:w="20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9,254,338 (the "'338</w:t>
            </w:r>
          </w:p>
        </w:tc>
        <w:tc>
          <w:tcPr>
            <w:tcW w:w="16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Pharmaceuticals Inc.,</w:t>
            </w:r>
          </w:p>
        </w:tc>
        <w:tc>
          <w:tcPr>
            <w:tcW w:w="212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declarations of invalidity</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final written decisions finding that the</w:t>
            </w:r>
          </w:p>
        </w:tc>
        <w:tc>
          <w:tcPr>
            <w:tcW w:w="0" w:type="dxa"/>
            <w:vAlign w:val="bottom"/>
          </w:tcPr>
          <w:p>
            <w:pPr>
              <w:spacing w:after="0"/>
              <w:rPr>
                <w:sz w:val="1"/>
                <w:szCs w:val="1"/>
                <w:color w:val="auto"/>
              </w:rPr>
            </w:pPr>
          </w:p>
        </w:tc>
      </w:tr>
      <w:tr>
        <w:trPr>
          <w:trHeight w:val="172"/>
        </w:trPr>
        <w:tc>
          <w:tcPr>
            <w:tcW w:w="206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Patent") and 9,669,069</w:t>
            </w:r>
          </w:p>
        </w:tc>
        <w:tc>
          <w:tcPr>
            <w:tcW w:w="166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color w:val="auto"/>
              </w:rPr>
              <w:t>joined by Apotex</w:t>
            </w: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challenged claims of the '338 and '069</w:t>
            </w:r>
          </w:p>
        </w:tc>
        <w:tc>
          <w:tcPr>
            <w:tcW w:w="0" w:type="dxa"/>
            <w:vAlign w:val="bottom"/>
          </w:tcPr>
          <w:p>
            <w:pPr>
              <w:spacing w:after="0"/>
              <w:rPr>
                <w:sz w:val="1"/>
                <w:szCs w:val="1"/>
                <w:color w:val="auto"/>
              </w:rPr>
            </w:pPr>
          </w:p>
        </w:tc>
      </w:tr>
      <w:tr>
        <w:trPr>
          <w:trHeight w:val="180"/>
        </w:trPr>
        <w:tc>
          <w:tcPr>
            <w:tcW w:w="20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(the "'069 Patent")</w:t>
            </w: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Inc. and Celltrion</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Patents are unpatentable and, therefore,</w:t>
            </w:r>
          </w:p>
        </w:tc>
        <w:tc>
          <w:tcPr>
            <w:tcW w:w="0" w:type="dxa"/>
            <w:vAlign w:val="bottom"/>
          </w:tcPr>
          <w:p>
            <w:pPr>
              <w:spacing w:after="0"/>
              <w:rPr>
                <w:sz w:val="1"/>
                <w:szCs w:val="1"/>
                <w:color w:val="auto"/>
              </w:rPr>
            </w:pPr>
          </w:p>
        </w:tc>
      </w:tr>
      <w:tr>
        <w:trPr>
          <w:trHeight w:val="231"/>
        </w:trPr>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invalid.</w:t>
            </w:r>
          </w:p>
        </w:tc>
        <w:tc>
          <w:tcPr>
            <w:tcW w:w="0" w:type="dxa"/>
            <w:vAlign w:val="bottom"/>
          </w:tcPr>
          <w:p>
            <w:pPr>
              <w:spacing w:after="0"/>
              <w:rPr>
                <w:sz w:val="1"/>
                <w:szCs w:val="1"/>
                <w:color w:val="auto"/>
              </w:rPr>
            </w:pPr>
          </w:p>
        </w:tc>
      </w:tr>
      <w:tr>
        <w:trPr>
          <w:trHeight w:val="357"/>
        </w:trPr>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January 10, 2023, the Company filed</w:t>
            </w:r>
          </w:p>
        </w:tc>
        <w:tc>
          <w:tcPr>
            <w:tcW w:w="0" w:type="dxa"/>
            <w:vAlign w:val="bottom"/>
          </w:tcPr>
          <w:p>
            <w:pPr>
              <w:spacing w:after="0"/>
              <w:rPr>
                <w:sz w:val="1"/>
                <w:szCs w:val="1"/>
                <w:color w:val="auto"/>
              </w:rPr>
            </w:pPr>
          </w:p>
        </w:tc>
      </w:tr>
      <w:tr>
        <w:trPr>
          <w:trHeight w:val="180"/>
        </w:trPr>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notices of appeal of the USPTO written</w:t>
            </w:r>
          </w:p>
        </w:tc>
        <w:tc>
          <w:tcPr>
            <w:tcW w:w="0" w:type="dxa"/>
            <w:vAlign w:val="bottom"/>
          </w:tcPr>
          <w:p>
            <w:pPr>
              <w:spacing w:after="0"/>
              <w:rPr>
                <w:sz w:val="1"/>
                <w:szCs w:val="1"/>
                <w:color w:val="auto"/>
              </w:rPr>
            </w:pPr>
          </w:p>
        </w:tc>
      </w:tr>
      <w:tr>
        <w:trPr>
          <w:trHeight w:val="177"/>
        </w:trPr>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decisions concerning the '338 and '069</w:t>
            </w:r>
          </w:p>
        </w:tc>
        <w:tc>
          <w:tcPr>
            <w:tcW w:w="0" w:type="dxa"/>
            <w:vAlign w:val="bottom"/>
          </w:tcPr>
          <w:p>
            <w:pPr>
              <w:spacing w:after="0"/>
              <w:rPr>
                <w:sz w:val="1"/>
                <w:szCs w:val="1"/>
                <w:color w:val="auto"/>
              </w:rPr>
            </w:pPr>
          </w:p>
        </w:tc>
      </w:tr>
      <w:tr>
        <w:trPr>
          <w:trHeight w:val="225"/>
        </w:trPr>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Patents with the Federal Circuit.</w:t>
            </w:r>
          </w:p>
        </w:tc>
        <w:tc>
          <w:tcPr>
            <w:tcW w:w="0" w:type="dxa"/>
            <w:vAlign w:val="bottom"/>
          </w:tcPr>
          <w:p>
            <w:pPr>
              <w:spacing w:after="0"/>
              <w:rPr>
                <w:sz w:val="1"/>
                <w:szCs w:val="1"/>
                <w:color w:val="auto"/>
              </w:rPr>
            </w:pPr>
          </w:p>
        </w:tc>
      </w:tr>
      <w:tr>
        <w:trPr>
          <w:trHeight w:val="180"/>
        </w:trPr>
        <w:tc>
          <w:tcPr>
            <w:tcW w:w="20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U.S. Patent Nos.</w:t>
            </w:r>
          </w:p>
        </w:tc>
        <w:tc>
          <w:tcPr>
            <w:tcW w:w="16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Mylan, joined by</w:t>
            </w:r>
          </w:p>
        </w:tc>
        <w:tc>
          <w:tcPr>
            <w:tcW w:w="2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IPR petitions seeking</w:t>
            </w:r>
          </w:p>
        </w:tc>
        <w:tc>
          <w:tcPr>
            <w:tcW w:w="19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July 1, 2022 ('681 Patent</w:t>
            </w:r>
          </w:p>
        </w:tc>
        <w:tc>
          <w:tcPr>
            <w:tcW w:w="3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On January 9, 2024, the USPTO issued final</w:t>
            </w:r>
          </w:p>
        </w:tc>
        <w:tc>
          <w:tcPr>
            <w:tcW w:w="0" w:type="dxa"/>
            <w:vAlign w:val="bottom"/>
          </w:tcPr>
          <w:p>
            <w:pPr>
              <w:spacing w:after="0"/>
              <w:rPr>
                <w:sz w:val="1"/>
                <w:szCs w:val="1"/>
                <w:color w:val="auto"/>
              </w:rPr>
            </w:pPr>
          </w:p>
        </w:tc>
      </w:tr>
      <w:tr>
        <w:trPr>
          <w:trHeight w:val="191"/>
        </w:trPr>
        <w:tc>
          <w:tcPr>
            <w:tcW w:w="206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10,130,681 (the "'681</w:t>
            </w:r>
          </w:p>
        </w:tc>
        <w:tc>
          <w:tcPr>
            <w:tcW w:w="166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Celltrion ('601 and</w:t>
            </w:r>
          </w:p>
        </w:tc>
        <w:tc>
          <w:tcPr>
            <w:tcW w:w="212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declarations of invalidity</w:t>
            </w:r>
          </w:p>
        </w:tc>
        <w:tc>
          <w:tcPr>
            <w:tcW w:w="1920" w:type="dxa"/>
            <w:vAlign w:val="bottom"/>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and '601 Patent)</w:t>
            </w:r>
          </w:p>
        </w:tc>
        <w:tc>
          <w:tcPr>
            <w:tcW w:w="32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written decisions finding that that the</w:t>
            </w:r>
          </w:p>
        </w:tc>
        <w:tc>
          <w:tcPr>
            <w:tcW w:w="0" w:type="dxa"/>
            <w:vAlign w:val="bottom"/>
          </w:tcPr>
          <w:p>
            <w:pPr>
              <w:spacing w:after="0"/>
              <w:rPr>
                <w:sz w:val="1"/>
                <w:szCs w:val="1"/>
                <w:color w:val="auto"/>
              </w:rPr>
            </w:pPr>
          </w:p>
        </w:tc>
      </w:tr>
      <w:tr>
        <w:trPr>
          <w:trHeight w:val="199"/>
        </w:trPr>
        <w:tc>
          <w:tcPr>
            <w:tcW w:w="2060" w:type="dxa"/>
            <w:vAlign w:val="bottom"/>
            <w:gridSpan w:val="2"/>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Patent"), 10,888,601 (the</w:t>
            </w:r>
          </w:p>
        </w:tc>
        <w:tc>
          <w:tcPr>
            <w:tcW w:w="1660" w:type="dxa"/>
            <w:vAlign w:val="bottom"/>
            <w:gridSpan w:val="2"/>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'681 Patents) and</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40" w:type="dxa"/>
            <w:vAlign w:val="bottom"/>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challenged claims of the '681 and '601</w:t>
            </w:r>
          </w:p>
        </w:tc>
        <w:tc>
          <w:tcPr>
            <w:tcW w:w="0" w:type="dxa"/>
            <w:vAlign w:val="bottom"/>
          </w:tcPr>
          <w:p>
            <w:pPr>
              <w:spacing w:after="0"/>
              <w:rPr>
                <w:sz w:val="1"/>
                <w:szCs w:val="1"/>
                <w:color w:val="auto"/>
              </w:rPr>
            </w:pPr>
          </w:p>
        </w:tc>
      </w:tr>
      <w:tr>
        <w:trPr>
          <w:trHeight w:val="141"/>
        </w:trPr>
        <w:tc>
          <w:tcPr>
            <w:tcW w:w="206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5"/>
                <w:szCs w:val="15"/>
                <w:color w:val="auto"/>
              </w:rPr>
              <w:t>"'601 Patent"), and</w:t>
            </w:r>
          </w:p>
        </w:tc>
        <w:tc>
          <w:tcPr>
            <w:tcW w:w="1660" w:type="dxa"/>
            <w:vAlign w:val="bottom"/>
            <w:gridSpan w:val="2"/>
            <w:vMerge w:val="restart"/>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Samsung Bioepis</w:t>
            </w: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20" w:type="dxa"/>
            <w:vAlign w:val="bottom"/>
            <w:gridSpan w:val="2"/>
            <w:vMerge w:val="restart"/>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October 28, 2022 ('205</w:t>
            </w:r>
          </w:p>
        </w:tc>
        <w:tc>
          <w:tcPr>
            <w:tcW w:w="32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5"/>
                <w:szCs w:val="15"/>
                <w:color w:val="auto"/>
              </w:rPr>
              <w:t>Patents are unpatentable and, therefore,</w:t>
            </w:r>
          </w:p>
        </w:tc>
        <w:tc>
          <w:tcPr>
            <w:tcW w:w="0" w:type="dxa"/>
            <w:vAlign w:val="bottom"/>
          </w:tcPr>
          <w:p>
            <w:pPr>
              <w:spacing w:after="0"/>
              <w:rPr>
                <w:sz w:val="1"/>
                <w:szCs w:val="1"/>
                <w:color w:val="auto"/>
              </w:rPr>
            </w:pPr>
          </w:p>
        </w:tc>
      </w:tr>
      <w:tr>
        <w:trPr>
          <w:trHeight w:val="58"/>
        </w:trPr>
        <w:tc>
          <w:tcPr>
            <w:tcW w:w="20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10,857,205 (the "'205</w:t>
            </w:r>
          </w:p>
        </w:tc>
        <w:tc>
          <w:tcPr>
            <w:tcW w:w="1660" w:type="dxa"/>
            <w:vAlign w:val="bottom"/>
            <w:gridSpan w:val="2"/>
            <w:vMerge w:val="continue"/>
            <w:shd w:val="clear" w:color="auto" w:fill="CCEEFF"/>
          </w:tcPr>
          <w:p>
            <w:pPr>
              <w:spacing w:after="0"/>
              <w:rPr>
                <w:sz w:val="5"/>
                <w:szCs w:val="5"/>
                <w:color w:val="auto"/>
              </w:rPr>
            </w:pPr>
          </w:p>
        </w:tc>
        <w:tc>
          <w:tcPr>
            <w:tcW w:w="2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20" w:type="dxa"/>
            <w:vAlign w:val="bottom"/>
            <w:gridSpan w:val="2"/>
            <w:vMerge w:val="continue"/>
            <w:shd w:val="clear" w:color="auto" w:fill="CCEEFF"/>
          </w:tcPr>
          <w:p>
            <w:pPr>
              <w:spacing w:after="0"/>
              <w:rPr>
                <w:sz w:val="5"/>
                <w:szCs w:val="5"/>
                <w:color w:val="auto"/>
              </w:rPr>
            </w:pPr>
          </w:p>
        </w:tc>
        <w:tc>
          <w:tcPr>
            <w:tcW w:w="3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invalid.</w:t>
            </w:r>
          </w:p>
        </w:tc>
        <w:tc>
          <w:tcPr>
            <w:tcW w:w="0" w:type="dxa"/>
            <w:vAlign w:val="bottom"/>
          </w:tcPr>
          <w:p>
            <w:pPr>
              <w:spacing w:after="0"/>
              <w:rPr>
                <w:sz w:val="1"/>
                <w:szCs w:val="1"/>
                <w:color w:val="auto"/>
              </w:rPr>
            </w:pPr>
          </w:p>
        </w:tc>
      </w:tr>
      <w:tr>
        <w:trPr>
          <w:trHeight w:val="199"/>
        </w:trPr>
        <w:tc>
          <w:tcPr>
            <w:tcW w:w="2060" w:type="dxa"/>
            <w:vAlign w:val="bottom"/>
            <w:gridSpan w:val="2"/>
            <w:vMerge w:val="continue"/>
            <w:shd w:val="clear" w:color="auto" w:fill="CCEEFF"/>
          </w:tcPr>
          <w:p>
            <w:pPr>
              <w:spacing w:after="0"/>
              <w:rPr>
                <w:sz w:val="17"/>
                <w:szCs w:val="17"/>
                <w:color w:val="auto"/>
              </w:rPr>
            </w:pPr>
          </w:p>
        </w:tc>
        <w:tc>
          <w:tcPr>
            <w:tcW w:w="1660" w:type="dxa"/>
            <w:vAlign w:val="bottom"/>
            <w:gridSpan w:val="2"/>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Co., Ltd. ('601</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color w:val="auto"/>
              </w:rPr>
              <w:t>Patent)</w:t>
            </w:r>
          </w:p>
        </w:tc>
        <w:tc>
          <w:tcPr>
            <w:tcW w:w="3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060" w:type="dxa"/>
            <w:vAlign w:val="bottom"/>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Patent")</w:t>
            </w: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1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60" w:type="dxa"/>
            <w:vAlign w:val="bottom"/>
            <w:gridSpan w:val="2"/>
            <w:vMerge w:val="continue"/>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40" w:type="dxa"/>
            <w:vAlign w:val="bottom"/>
            <w:vMerge w:val="restart"/>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On March 1, 2023, the USPTO denied</w:t>
            </w:r>
          </w:p>
        </w:tc>
        <w:tc>
          <w:tcPr>
            <w:tcW w:w="0" w:type="dxa"/>
            <w:vAlign w:val="bottom"/>
          </w:tcPr>
          <w:p>
            <w:pPr>
              <w:spacing w:after="0"/>
              <w:rPr>
                <w:sz w:val="1"/>
                <w:szCs w:val="1"/>
                <w:color w:val="auto"/>
              </w:rPr>
            </w:pPr>
          </w:p>
        </w:tc>
      </w:tr>
      <w:tr>
        <w:trPr>
          <w:trHeight w:val="78"/>
        </w:trPr>
        <w:tc>
          <w:tcPr>
            <w:tcW w:w="1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institution of Mylan's IPR petition against</w:t>
            </w:r>
          </w:p>
        </w:tc>
        <w:tc>
          <w:tcPr>
            <w:tcW w:w="0" w:type="dxa"/>
            <w:vAlign w:val="bottom"/>
          </w:tcPr>
          <w:p>
            <w:pPr>
              <w:spacing w:after="0"/>
              <w:rPr>
                <w:sz w:val="1"/>
                <w:szCs w:val="1"/>
                <w:color w:val="auto"/>
              </w:rPr>
            </w:pPr>
          </w:p>
        </w:tc>
      </w:tr>
      <w:tr>
        <w:trPr>
          <w:trHeight w:val="177"/>
        </w:trPr>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the '205 Patent following the Company's</w:t>
            </w:r>
          </w:p>
        </w:tc>
        <w:tc>
          <w:tcPr>
            <w:tcW w:w="0" w:type="dxa"/>
            <w:vAlign w:val="bottom"/>
          </w:tcPr>
          <w:p>
            <w:pPr>
              <w:spacing w:after="0"/>
              <w:rPr>
                <w:sz w:val="1"/>
                <w:szCs w:val="1"/>
                <w:color w:val="auto"/>
              </w:rPr>
            </w:pPr>
          </w:p>
        </w:tc>
      </w:tr>
      <w:tr>
        <w:trPr>
          <w:trHeight w:val="172"/>
        </w:trPr>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filing of a Notice of Disclaimer with the</w:t>
            </w:r>
          </w:p>
        </w:tc>
        <w:tc>
          <w:tcPr>
            <w:tcW w:w="0" w:type="dxa"/>
            <w:vAlign w:val="bottom"/>
          </w:tcPr>
          <w:p>
            <w:pPr>
              <w:spacing w:after="0"/>
              <w:rPr>
                <w:sz w:val="1"/>
                <w:szCs w:val="1"/>
                <w:color w:val="auto"/>
              </w:rPr>
            </w:pPr>
          </w:p>
        </w:tc>
      </w:tr>
      <w:tr>
        <w:trPr>
          <w:trHeight w:val="180"/>
        </w:trPr>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USPTO, disclaiming all claims of the '205</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20"/>
          </w:cols>
          <w:pgMar w:left="320" w:top="364" w:right="459" w:bottom="1440" w:gutter="0" w:footer="0" w:header="0"/>
        </w:sectPr>
      </w:pPr>
    </w:p>
    <w:tbl>
      <w:tblPr>
        <w:tblLayout w:type="fixed"/>
        <w:tblInd w:w="140" w:type="dxa"/>
        <w:tblCellMar>
          <w:top w:w="0" w:type="dxa"/>
          <w:left w:w="0" w:type="dxa"/>
          <w:bottom w:w="0" w:type="dxa"/>
          <w:right w:w="0" w:type="dxa"/>
        </w:tblCellMar>
      </w:tblPr>
      <w:tr>
        <w:trPr>
          <w:trHeight w:val="180"/>
        </w:trPr>
        <w:tc>
          <w:tcPr>
            <w:tcW w:w="3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'681 Patent and '601 Patent  Samsung Bioepis,</w:t>
            </w:r>
          </w:p>
        </w:tc>
        <w:tc>
          <w:tcPr>
            <w:tcW w:w="20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IPR petitions seeking</w:t>
            </w:r>
          </w:p>
        </w:tc>
        <w:tc>
          <w:tcPr>
            <w:tcW w:w="17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w w:val="96"/>
              </w:rPr>
              <w:t>January 6, 2023 ('681</w:t>
            </w:r>
          </w:p>
        </w:tc>
      </w:tr>
      <w:tr>
        <w:trPr>
          <w:trHeight w:val="212"/>
        </w:trPr>
        <w:tc>
          <w:tcPr>
            <w:tcW w:w="35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joined by Biocon</w:t>
            </w:r>
          </w:p>
        </w:tc>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declarations of invalidity</w:t>
            </w:r>
          </w:p>
        </w:tc>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w:t>
            </w:r>
          </w:p>
        </w:tc>
      </w:tr>
      <w:tr>
        <w:trPr>
          <w:trHeight w:val="199"/>
        </w:trPr>
        <w:tc>
          <w:tcPr>
            <w:tcW w:w="3580" w:type="dxa"/>
            <w:vAlign w:val="bottom"/>
          </w:tcPr>
          <w:p>
            <w:pPr>
              <w:ind w:left="2060"/>
              <w:spacing w:after="0" w:line="199" w:lineRule="exact"/>
              <w:rPr>
                <w:sz w:val="20"/>
                <w:szCs w:val="20"/>
                <w:color w:val="auto"/>
              </w:rPr>
            </w:pPr>
            <w:r>
              <w:rPr>
                <w:rFonts w:ascii="Times New Roman" w:cs="Times New Roman" w:eastAsia="Times New Roman" w:hAnsi="Times New Roman"/>
                <w:sz w:val="18"/>
                <w:szCs w:val="18"/>
                <w:color w:val="auto"/>
              </w:rPr>
              <w:t>Biologics Inc. ('601</w:t>
            </w:r>
          </w:p>
        </w:tc>
        <w:tc>
          <w:tcPr>
            <w:tcW w:w="20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77"/>
        </w:trPr>
        <w:tc>
          <w:tcPr>
            <w:tcW w:w="3580" w:type="dxa"/>
            <w:vAlign w:val="bottom"/>
          </w:tcPr>
          <w:p>
            <w:pPr>
              <w:ind w:left="2060"/>
              <w:spacing w:after="0" w:line="177" w:lineRule="exact"/>
              <w:rPr>
                <w:sz w:val="20"/>
                <w:szCs w:val="20"/>
                <w:color w:val="auto"/>
              </w:rPr>
            </w:pPr>
            <w:r>
              <w:rPr>
                <w:rFonts w:ascii="Times New Roman" w:cs="Times New Roman" w:eastAsia="Times New Roman" w:hAnsi="Times New Roman"/>
                <w:sz w:val="18"/>
                <w:szCs w:val="18"/>
                <w:color w:val="auto"/>
              </w:rPr>
              <w:t>Patent)</w:t>
            </w:r>
          </w:p>
        </w:tc>
        <w:tc>
          <w:tcPr>
            <w:tcW w:w="2080" w:type="dxa"/>
            <w:vAlign w:val="bottom"/>
          </w:tcPr>
          <w:p>
            <w:pPr>
              <w:spacing w:after="0"/>
              <w:rPr>
                <w:sz w:val="15"/>
                <w:szCs w:val="15"/>
                <w:color w:val="auto"/>
              </w:rPr>
            </w:pPr>
          </w:p>
        </w:tc>
        <w:tc>
          <w:tcPr>
            <w:tcW w:w="17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w w:val="96"/>
              </w:rPr>
              <w:t>March 26, 2023 ('601</w:t>
            </w:r>
          </w:p>
        </w:tc>
      </w:tr>
      <w:tr>
        <w:trPr>
          <w:trHeight w:val="223"/>
        </w:trPr>
        <w:tc>
          <w:tcPr>
            <w:tcW w:w="35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On July 19, 2023 and October 20, 2023, the</w:t>
      </w:r>
    </w:p>
    <w:p>
      <w:pPr>
        <w:spacing w:after="0" w:line="5" w:lineRule="exact"/>
        <w:rPr>
          <w:sz w:val="20"/>
          <w:szCs w:val="20"/>
          <w:color w:val="auto"/>
        </w:rPr>
      </w:pPr>
    </w:p>
    <w:p>
      <w:pPr>
        <w:ind w:right="440"/>
        <w:spacing w:after="0" w:line="214" w:lineRule="auto"/>
        <w:rPr>
          <w:sz w:val="20"/>
          <w:szCs w:val="20"/>
          <w:color w:val="auto"/>
        </w:rPr>
      </w:pPr>
      <w:r>
        <w:rPr>
          <w:rFonts w:ascii="Times New Roman" w:cs="Times New Roman" w:eastAsia="Times New Roman" w:hAnsi="Times New Roman"/>
          <w:sz w:val="18"/>
          <w:szCs w:val="18"/>
          <w:color w:val="auto"/>
        </w:rPr>
        <w:t>USPTO instituted IPR proceedings concerning the '681 Patent and the '601 Patent, respectively.</w:t>
      </w:r>
    </w:p>
    <w:p>
      <w:pPr>
        <w:spacing w:after="0" w:line="238" w:lineRule="exact"/>
        <w:rPr>
          <w:sz w:val="20"/>
          <w:szCs w:val="20"/>
          <w:color w:val="auto"/>
        </w:rPr>
      </w:pPr>
    </w:p>
    <w:p>
      <w:pPr>
        <w:sectPr>
          <w:pgSz w:w="11900" w:h="16838" w:orient="portrait"/>
          <w:cols w:equalWidth="0" w:num="2">
            <w:col w:w="7500" w:space="400"/>
            <w:col w:w="3220"/>
          </w:cols>
          <w:pgMar w:left="320" w:top="364" w:right="459" w:bottom="1440" w:gutter="0" w:footer="0" w:header="0"/>
          <w:type w:val="continuous"/>
        </w:sectPr>
      </w:pPr>
    </w:p>
    <w:tbl>
      <w:tblPr>
        <w:tblLayout w:type="fixed"/>
        <w:tblInd w:w="120" w:type="dxa"/>
        <w:tblCellMar>
          <w:top w:w="0" w:type="dxa"/>
          <w:left w:w="0" w:type="dxa"/>
          <w:bottom w:w="0" w:type="dxa"/>
          <w:right w:w="0" w:type="dxa"/>
        </w:tblCellMar>
      </w:tblPr>
      <w:tr>
        <w:trPr>
          <w:trHeight w:val="182"/>
        </w:trPr>
        <w:tc>
          <w:tcPr>
            <w:tcW w:w="19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U.S. Patent No.</w:t>
            </w:r>
          </w:p>
        </w:tc>
        <w:tc>
          <w:tcPr>
            <w:tcW w:w="156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Apotex</w:t>
            </w:r>
          </w:p>
        </w:tc>
        <w:tc>
          <w:tcPr>
            <w:tcW w:w="212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IPR petition seeking</w:t>
            </w:r>
          </w:p>
        </w:tc>
        <w:tc>
          <w:tcPr>
            <w:tcW w:w="186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September 9, 2022</w:t>
            </w:r>
          </w:p>
        </w:tc>
        <w:tc>
          <w:tcPr>
            <w:tcW w:w="3500" w:type="dxa"/>
            <w:vAlign w:val="bottom"/>
            <w:shd w:val="clear" w:color="auto" w:fill="CCEEFF"/>
          </w:tcPr>
          <w:p>
            <w:pPr>
              <w:ind w:left="280"/>
              <w:spacing w:after="0" w:line="182" w:lineRule="exact"/>
              <w:rPr>
                <w:sz w:val="20"/>
                <w:szCs w:val="20"/>
                <w:color w:val="auto"/>
              </w:rPr>
            </w:pPr>
            <w:r>
              <w:rPr>
                <w:rFonts w:ascii="Times New Roman" w:cs="Times New Roman" w:eastAsia="Times New Roman" w:hAnsi="Times New Roman"/>
                <w:sz w:val="18"/>
                <w:szCs w:val="18"/>
                <w:color w:val="auto"/>
              </w:rPr>
              <w:t>On March 10, 2023, the USPTO declined to</w:t>
            </w:r>
          </w:p>
        </w:tc>
      </w:tr>
      <w:tr>
        <w:trPr>
          <w:trHeight w:val="177"/>
        </w:trPr>
        <w:tc>
          <w:tcPr>
            <w:tcW w:w="19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11,253,572 (the "'572</w:t>
            </w:r>
          </w:p>
        </w:tc>
        <w:tc>
          <w:tcPr>
            <w:tcW w:w="1560" w:type="dxa"/>
            <w:vAlign w:val="bottom"/>
            <w:shd w:val="clear" w:color="auto" w:fill="CCEEFF"/>
          </w:tcPr>
          <w:p>
            <w:pPr>
              <w:spacing w:after="0"/>
              <w:rPr>
                <w:sz w:val="15"/>
                <w:szCs w:val="15"/>
                <w:color w:val="auto"/>
              </w:rPr>
            </w:pPr>
          </w:p>
        </w:tc>
        <w:tc>
          <w:tcPr>
            <w:tcW w:w="212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declaration of invalidity</w:t>
            </w:r>
          </w:p>
        </w:tc>
        <w:tc>
          <w:tcPr>
            <w:tcW w:w="1860" w:type="dxa"/>
            <w:vAlign w:val="bottom"/>
            <w:shd w:val="clear" w:color="auto" w:fill="CCEEFF"/>
          </w:tcPr>
          <w:p>
            <w:pPr>
              <w:spacing w:after="0"/>
              <w:rPr>
                <w:sz w:val="15"/>
                <w:szCs w:val="15"/>
                <w:color w:val="auto"/>
              </w:rPr>
            </w:pPr>
          </w:p>
        </w:tc>
        <w:tc>
          <w:tcPr>
            <w:tcW w:w="3500" w:type="dxa"/>
            <w:vAlign w:val="bottom"/>
            <w:shd w:val="clear" w:color="auto" w:fill="CCEEFF"/>
          </w:tcPr>
          <w:p>
            <w:pPr>
              <w:ind w:left="280"/>
              <w:spacing w:after="0" w:line="177" w:lineRule="exact"/>
              <w:rPr>
                <w:sz w:val="20"/>
                <w:szCs w:val="20"/>
                <w:color w:val="auto"/>
              </w:rPr>
            </w:pPr>
            <w:r>
              <w:rPr>
                <w:rFonts w:ascii="Times New Roman" w:cs="Times New Roman" w:eastAsia="Times New Roman" w:hAnsi="Times New Roman"/>
                <w:sz w:val="18"/>
                <w:szCs w:val="18"/>
                <w:color w:val="auto"/>
              </w:rPr>
              <w:t>institute an IPR proceeding based on the</w:t>
            </w:r>
          </w:p>
        </w:tc>
      </w:tr>
      <w:tr>
        <w:trPr>
          <w:trHeight w:val="225"/>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w:t>
            </w:r>
          </w:p>
        </w:tc>
        <w:tc>
          <w:tcPr>
            <w:tcW w:w="15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Apotex IPR petition.</w:t>
            </w:r>
          </w:p>
        </w:tc>
      </w:tr>
      <w:tr>
        <w:trPr>
          <w:trHeight w:val="180"/>
        </w:trPr>
        <w:tc>
          <w:tcPr>
            <w:tcW w:w="1960" w:type="dxa"/>
            <w:vAlign w:val="bottom"/>
            <w:shd w:val="clear" w:color="auto" w:fill="CCEEFF"/>
          </w:tcPr>
          <w:p>
            <w:pPr>
              <w:spacing w:after="0"/>
              <w:rPr>
                <w:sz w:val="15"/>
                <w:szCs w:val="15"/>
                <w:color w:val="auto"/>
              </w:rPr>
            </w:pPr>
          </w:p>
        </w:tc>
        <w:tc>
          <w:tcPr>
            <w:tcW w:w="15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rPr>
              <w:t>Samsung Bioepis</w:t>
            </w:r>
          </w:p>
        </w:tc>
        <w:tc>
          <w:tcPr>
            <w:tcW w:w="212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IPR petition seeking</w:t>
            </w:r>
          </w:p>
        </w:tc>
        <w:tc>
          <w:tcPr>
            <w:tcW w:w="1860" w:type="dxa"/>
            <w:vAlign w:val="bottom"/>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April 27, 2023</w:t>
            </w:r>
          </w:p>
        </w:tc>
        <w:tc>
          <w:tcPr>
            <w:tcW w:w="350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8"/>
                <w:szCs w:val="18"/>
                <w:color w:val="auto"/>
              </w:rPr>
              <w:t>On November 17, 2023, the USPTO</w:t>
            </w:r>
          </w:p>
        </w:tc>
      </w:tr>
      <w:tr>
        <w:trPr>
          <w:trHeight w:val="177"/>
        </w:trPr>
        <w:tc>
          <w:tcPr>
            <w:tcW w:w="19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12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declaration of invalidity</w:t>
            </w:r>
          </w:p>
        </w:tc>
        <w:tc>
          <w:tcPr>
            <w:tcW w:w="1860" w:type="dxa"/>
            <w:vAlign w:val="bottom"/>
            <w:shd w:val="clear" w:color="auto" w:fill="CCEEFF"/>
          </w:tcPr>
          <w:p>
            <w:pPr>
              <w:spacing w:after="0"/>
              <w:rPr>
                <w:sz w:val="15"/>
                <w:szCs w:val="15"/>
                <w:color w:val="auto"/>
              </w:rPr>
            </w:pPr>
          </w:p>
        </w:tc>
        <w:tc>
          <w:tcPr>
            <w:tcW w:w="3500" w:type="dxa"/>
            <w:vAlign w:val="bottom"/>
            <w:shd w:val="clear" w:color="auto" w:fill="CCEEFF"/>
          </w:tcPr>
          <w:p>
            <w:pPr>
              <w:ind w:left="280"/>
              <w:spacing w:after="0" w:line="177" w:lineRule="exact"/>
              <w:rPr>
                <w:sz w:val="20"/>
                <w:szCs w:val="20"/>
                <w:color w:val="auto"/>
              </w:rPr>
            </w:pPr>
            <w:r>
              <w:rPr>
                <w:rFonts w:ascii="Times New Roman" w:cs="Times New Roman" w:eastAsia="Times New Roman" w:hAnsi="Times New Roman"/>
                <w:sz w:val="18"/>
                <w:szCs w:val="18"/>
                <w:color w:val="auto"/>
              </w:rPr>
              <w:t>instituted IPR proceedings concerning the</w:t>
            </w:r>
          </w:p>
        </w:tc>
      </w:tr>
      <w:tr>
        <w:trPr>
          <w:trHeight w:val="172"/>
        </w:trPr>
        <w:tc>
          <w:tcPr>
            <w:tcW w:w="19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3500" w:type="dxa"/>
            <w:vAlign w:val="bottom"/>
            <w:shd w:val="clear" w:color="auto" w:fill="CCEEFF"/>
          </w:tcPr>
          <w:p>
            <w:pPr>
              <w:ind w:left="280"/>
              <w:spacing w:after="0" w:line="172" w:lineRule="exact"/>
              <w:rPr>
                <w:sz w:val="20"/>
                <w:szCs w:val="20"/>
                <w:color w:val="auto"/>
              </w:rPr>
            </w:pPr>
            <w:r>
              <w:rPr>
                <w:rFonts w:ascii="Times New Roman" w:cs="Times New Roman" w:eastAsia="Times New Roman" w:hAnsi="Times New Roman"/>
                <w:sz w:val="18"/>
                <w:szCs w:val="18"/>
                <w:color w:val="auto"/>
              </w:rPr>
              <w:t>'572 Patent based on the Samsung IPR</w:t>
            </w:r>
          </w:p>
        </w:tc>
      </w:tr>
      <w:tr>
        <w:trPr>
          <w:trHeight w:val="225"/>
        </w:trPr>
        <w:tc>
          <w:tcPr>
            <w:tcW w:w="19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petition.</w:t>
            </w:r>
          </w:p>
        </w:tc>
      </w:tr>
    </w:tbl>
    <w:p>
      <w:pPr>
        <w:spacing w:after="0" w:line="1" w:lineRule="exact"/>
        <w:rPr>
          <w:sz w:val="20"/>
          <w:szCs w:val="20"/>
          <w:color w:val="auto"/>
        </w:rPr>
      </w:pPr>
    </w:p>
    <w:p>
      <w:pPr>
        <w:sectPr>
          <w:pgSz w:w="11900" w:h="16838" w:orient="portrait"/>
          <w:cols w:equalWidth="0" w:num="1">
            <w:col w:w="11120"/>
          </w:cols>
          <w:pgMar w:left="320" w:top="364" w:right="459" w:bottom="1440" w:gutter="0" w:footer="0" w:header="0"/>
          <w:type w:val="continuous"/>
        </w:sectPr>
      </w:pPr>
    </w:p>
    <w:p>
      <w:pPr>
        <w:ind w:left="140"/>
        <w:spacing w:after="0"/>
        <w:tabs>
          <w:tab w:leader="none" w:pos="2180" w:val="left"/>
          <w:tab w:leader="none" w:pos="3840" w:val="left"/>
          <w:tab w:leader="none" w:pos="5960" w:val="left"/>
        </w:tabs>
        <w:rPr>
          <w:sz w:val="20"/>
          <w:szCs w:val="20"/>
          <w:color w:val="auto"/>
        </w:rPr>
      </w:pPr>
      <w:r>
        <w:rPr>
          <w:rFonts w:ascii="Times New Roman" w:cs="Times New Roman" w:eastAsia="Times New Roman" w:hAnsi="Times New Roman"/>
          <w:sz w:val="18"/>
          <w:szCs w:val="18"/>
          <w:color w:val="auto"/>
        </w:rPr>
        <w:t>'992 Patent and '226 Patent</w:t>
        <w:tab/>
        <w:t>Celltrion, joined by</w:t>
      </w:r>
      <w:r>
        <w:rPr>
          <w:sz w:val="20"/>
          <w:szCs w:val="20"/>
          <w:color w:val="auto"/>
        </w:rPr>
        <w:tab/>
      </w:r>
      <w:r>
        <w:rPr>
          <w:rFonts w:ascii="Times New Roman" w:cs="Times New Roman" w:eastAsia="Times New Roman" w:hAnsi="Times New Roman"/>
          <w:sz w:val="18"/>
          <w:szCs w:val="18"/>
          <w:color w:val="auto"/>
        </w:rPr>
        <w:t>IPR petitions seeking</w:t>
      </w:r>
      <w:r>
        <w:rPr>
          <w:sz w:val="20"/>
          <w:szCs w:val="20"/>
          <w:color w:val="auto"/>
        </w:rPr>
        <w:tab/>
      </w:r>
      <w:r>
        <w:rPr>
          <w:rFonts w:ascii="Times New Roman" w:cs="Times New Roman" w:eastAsia="Times New Roman" w:hAnsi="Times New Roman"/>
          <w:sz w:val="17"/>
          <w:szCs w:val="17"/>
          <w:color w:val="auto"/>
        </w:rPr>
        <w:t>January 17, 2023 ('992</w:t>
      </w:r>
    </w:p>
    <w:p>
      <w:pPr>
        <w:ind w:left="2200"/>
        <w:spacing w:after="0" w:line="211" w:lineRule="auto"/>
        <w:tabs>
          <w:tab w:leader="none" w:pos="3840" w:val="left"/>
          <w:tab w:leader="none" w:pos="5960" w:val="left"/>
        </w:tabs>
        <w:rPr>
          <w:sz w:val="20"/>
          <w:szCs w:val="20"/>
          <w:color w:val="auto"/>
        </w:rPr>
      </w:pPr>
      <w:r>
        <w:rPr>
          <w:rFonts w:ascii="Times New Roman" w:cs="Times New Roman" w:eastAsia="Times New Roman" w:hAnsi="Times New Roman"/>
          <w:sz w:val="18"/>
          <w:szCs w:val="18"/>
          <w:color w:val="auto"/>
        </w:rPr>
        <w:t>Samsung Bioepis</w:t>
      </w:r>
      <w:r>
        <w:rPr>
          <w:sz w:val="20"/>
          <w:szCs w:val="20"/>
          <w:color w:val="auto"/>
        </w:rPr>
        <w:tab/>
      </w:r>
      <w:r>
        <w:rPr>
          <w:rFonts w:ascii="Times New Roman" w:cs="Times New Roman" w:eastAsia="Times New Roman" w:hAnsi="Times New Roman"/>
          <w:sz w:val="18"/>
          <w:szCs w:val="18"/>
          <w:color w:val="auto"/>
        </w:rPr>
        <w:t>declarations of invalidity</w:t>
      </w:r>
      <w:r>
        <w:rPr>
          <w:sz w:val="20"/>
          <w:szCs w:val="20"/>
          <w:color w:val="auto"/>
        </w:rPr>
        <w:tab/>
      </w:r>
      <w:r>
        <w:rPr>
          <w:rFonts w:ascii="Times New Roman" w:cs="Times New Roman" w:eastAsia="Times New Roman" w:hAnsi="Times New Roman"/>
          <w:sz w:val="17"/>
          <w:szCs w:val="17"/>
          <w:color w:val="auto"/>
        </w:rPr>
        <w:t>Patent)</w:t>
      </w:r>
    </w:p>
    <w:p>
      <w:pPr>
        <w:ind w:left="2200"/>
        <w:spacing w:after="0"/>
        <w:rPr>
          <w:sz w:val="20"/>
          <w:szCs w:val="20"/>
          <w:color w:val="auto"/>
        </w:rPr>
      </w:pPr>
      <w:r>
        <w:rPr>
          <w:rFonts w:ascii="Times New Roman" w:cs="Times New Roman" w:eastAsia="Times New Roman" w:hAnsi="Times New Roman"/>
          <w:sz w:val="18"/>
          <w:szCs w:val="18"/>
          <w:color w:val="auto"/>
        </w:rPr>
        <w:t>('992 Patent)</w:t>
      </w:r>
    </w:p>
    <w:p>
      <w:pPr>
        <w:spacing w:after="0" w:line="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February 28, 2023 ('226</w:t>
      </w:r>
    </w:p>
    <w:p>
      <w:pPr>
        <w:ind w:left="5980"/>
        <w:spacing w:after="0"/>
        <w:rPr>
          <w:sz w:val="20"/>
          <w:szCs w:val="20"/>
          <w:color w:val="auto"/>
        </w:rPr>
      </w:pPr>
      <w:r>
        <w:rPr>
          <w:rFonts w:ascii="Times New Roman" w:cs="Times New Roman" w:eastAsia="Times New Roman" w:hAnsi="Times New Roman"/>
          <w:sz w:val="18"/>
          <w:szCs w:val="18"/>
          <w:color w:val="auto"/>
        </w:rPr>
        <w:t>Patent)</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Times New Roman" w:cs="Times New Roman" w:eastAsia="Times New Roman" w:hAnsi="Times New Roman"/>
          <w:sz w:val="18"/>
          <w:szCs w:val="18"/>
          <w:color w:val="auto"/>
        </w:rPr>
        <w:t>On July 20, 2023, the USPTO instituted an</w:t>
      </w:r>
    </w:p>
    <w:p>
      <w:pPr>
        <w:jc w:val="both"/>
        <w:ind w:right="140"/>
        <w:spacing w:after="0" w:line="216" w:lineRule="auto"/>
        <w:rPr>
          <w:sz w:val="20"/>
          <w:szCs w:val="20"/>
          <w:color w:val="auto"/>
        </w:rPr>
      </w:pPr>
      <w:r>
        <w:rPr>
          <w:rFonts w:ascii="Times New Roman" w:cs="Times New Roman" w:eastAsia="Times New Roman" w:hAnsi="Times New Roman"/>
          <w:sz w:val="17"/>
          <w:szCs w:val="17"/>
          <w:color w:val="auto"/>
        </w:rPr>
        <w:t>IPR proceeding concerning the '992 Patent. On January 17, 2024, the Company filed a Notice of Disclaimer with the USPTO,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disclaiming all claims of the '992 Patent.</w:t>
      </w:r>
    </w:p>
    <w:p>
      <w:pPr>
        <w:spacing w:after="0" w:line="184"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7"/>
          <w:szCs w:val="17"/>
          <w:color w:val="auto"/>
        </w:rPr>
        <w:t>On September 1, 2023, the USPTO denied institution of Celltrion's IPR petition against</w:t>
      </w:r>
    </w:p>
    <w:p>
      <w:pPr>
        <w:spacing w:after="0" w:line="1" w:lineRule="exact"/>
        <w:rPr>
          <w:sz w:val="20"/>
          <w:szCs w:val="20"/>
          <w:color w:val="auto"/>
        </w:rPr>
      </w:pPr>
    </w:p>
    <w:p>
      <w:pPr>
        <w:ind w:right="220"/>
        <w:spacing w:after="0" w:line="216" w:lineRule="auto"/>
        <w:rPr>
          <w:sz w:val="20"/>
          <w:szCs w:val="20"/>
          <w:color w:val="auto"/>
        </w:rPr>
      </w:pPr>
      <w:r>
        <w:rPr>
          <w:rFonts w:ascii="Times New Roman" w:cs="Times New Roman" w:eastAsia="Times New Roman" w:hAnsi="Times New Roman"/>
          <w:sz w:val="17"/>
          <w:szCs w:val="17"/>
          <w:color w:val="auto"/>
        </w:rPr>
        <w:t>the '226 Patent following the Company's filing of a Notice of Disclaimer with the USPTO, disclaiming all claims of the '226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w:t>
      </w:r>
    </w:p>
    <w:p>
      <w:pPr>
        <w:spacing w:after="0" w:line="200" w:lineRule="exact"/>
        <w:rPr>
          <w:sz w:val="20"/>
          <w:szCs w:val="20"/>
          <w:color w:val="auto"/>
        </w:rPr>
      </w:pPr>
    </w:p>
    <w:p>
      <w:pPr>
        <w:sectPr>
          <w:pgSz w:w="11900" w:h="16838" w:orient="portrait"/>
          <w:cols w:equalWidth="0" w:num="2">
            <w:col w:w="7680" w:space="220"/>
            <w:col w:w="3220"/>
          </w:cols>
          <w:pgMar w:left="320" w:top="36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Patent Litigation</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August 2, 2022, the Company filed a patent infringement lawsuit against Mylan, a wholly-owned subsidiary of Viatris Inc., in the United States District Court for the Northern District of West Virginia alleging that Mylan's filing for FDA approval of an aflibercept 2 mg biosimilar infringes certain Company patents. On April 20, 2023, Mylan filed a motion for summary judgment or partial summary judgment concerning four of the asserted patents. On April 26, 2023, the Company filed a stipulation accepting summary judgment of noninfringement of all asserted claims of the Company's U.S. Patent No. 11,104,715. On June 5, 2023, Biocon, as successor-in-interest to the aflibercept 2 mg biosimilar, was joined as a defendant to the lawsuit. A trial was held from June 12, 2023 through June 23, 2023 concerning certain claims of the '601 Patent, the '572 Patent, and the Company's U.S. Patent No. 11,084,865 (the "'865 Patent"). Closing arguments were presented on August 3, 2023. On December 27, 2023, the court issued a decision finding that (i) the asserted claims of the '865 Patent were valid and infringed by Mylan and (ii) the asserted claims of the '601 and '572 Patents were infringed by Mylan but were invalid as obvious.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November 8, November 22, and November 29, 2023, respectively, the Company filed patent infringement lawsuits against Celltrion, Samsung Bioepis, and Formycon AG in the United States District Court for the Northern District of West Virginia following service on Regeneron of each company's notice of commercial marketing. The lawsuits allege that each company has infringed certain Company patents, including based on each company's filing for FDA approval of an aflibercept 2 mg biosimilar. On December 27, 2023, the Company filed a second patent infringement lawsuit against Samsung Bioepis in the United States District Court for the Northern District of West Virginia alleging that Samsung's filing for FDA approval of an aflibercept 2 mg biosimilar infringes certain Company patents. A preliminary injunction hearing concerning each of these lawsuits has been scheduled for May 2, 2024.</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10, 2024, the Company filed a patent infringement lawsuit against Amgen in the United States District Court for the Central District of California alleging that Amgen's filing for FDA approval of an aflibercept 2 mg biosimilar infringes certain Company patents. On January 11, 2024, the Company filed a motion with the United States Judicial Panel on Multidistrict Litigation seeking to transfer this lawsuit to the United States District Court for the Northern District of West Virginia for coordinated pretrial proceedings with the lawsuits described in the preceding paragraph. A hearing on the motion to transfer has been scheduled for March 28,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Post-Grant Proceedings</w:t>
      </w:r>
    </w:p>
    <w:p>
      <w:pPr>
        <w:spacing w:after="0" w:line="24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Authority/Court</w:t>
            </w:r>
          </w:p>
        </w:tc>
        <w:tc>
          <w:tcPr>
            <w:tcW w:w="1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Company Patent(s)</w:t>
            </w:r>
          </w:p>
        </w:tc>
        <w:tc>
          <w:tcPr>
            <w:tcW w:w="16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Challenger(s)</w:t>
            </w:r>
          </w:p>
        </w:tc>
        <w:tc>
          <w:tcPr>
            <w:tcW w:w="1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Type of Challenge</w:t>
            </w:r>
          </w:p>
        </w:tc>
        <w:tc>
          <w:tcPr>
            <w:tcW w:w="17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Date of Challenge</w:t>
            </w:r>
          </w:p>
        </w:tc>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Latest Events/Current</w:t>
            </w:r>
          </w:p>
        </w:tc>
        <w:tc>
          <w:tcPr>
            <w:tcW w:w="0" w:type="dxa"/>
            <w:vAlign w:val="bottom"/>
          </w:tcPr>
          <w:p>
            <w:pPr>
              <w:spacing w:after="0"/>
              <w:rPr>
                <w:sz w:val="1"/>
                <w:szCs w:val="1"/>
                <w:color w:val="auto"/>
              </w:rPr>
            </w:pPr>
          </w:p>
        </w:tc>
      </w:tr>
      <w:tr>
        <w:trPr>
          <w:trHeight w:val="232"/>
        </w:trPr>
        <w:tc>
          <w:tcPr>
            <w:tcW w:w="1820" w:type="dxa"/>
            <w:vAlign w:val="bottom"/>
            <w:gridSpan w:val="2"/>
            <w:vMerge w:val="continue"/>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21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0" w:type="dxa"/>
            <w:vAlign w:val="bottom"/>
          </w:tcPr>
          <w:p>
            <w:pPr>
              <w:spacing w:after="0"/>
              <w:rPr>
                <w:sz w:val="1"/>
                <w:szCs w:val="1"/>
                <w:color w:val="auto"/>
              </w:rPr>
            </w:pPr>
          </w:p>
        </w:tc>
      </w:tr>
      <w:tr>
        <w:trPr>
          <w:trHeight w:val="174"/>
        </w:trPr>
        <w:tc>
          <w:tcPr>
            <w:tcW w:w="170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EPO</w:t>
            </w:r>
          </w:p>
        </w:tc>
        <w:tc>
          <w:tcPr>
            <w:tcW w:w="120" w:type="dxa"/>
            <w:vAlign w:val="bottom"/>
            <w:tcBorders>
              <w:top w:val="single" w:sz="8" w:color="CCEEFF"/>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European Patent No.</w:t>
            </w: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Anonymous parties</w:t>
            </w:r>
          </w:p>
        </w:tc>
        <w:tc>
          <w:tcPr>
            <w:tcW w:w="1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Opposition</w:t>
            </w:r>
          </w:p>
        </w:tc>
        <w:tc>
          <w:tcPr>
            <w:tcW w:w="1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October 26 and</w:t>
            </w:r>
          </w:p>
        </w:tc>
        <w:tc>
          <w:tcPr>
            <w:tcW w:w="10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8"/>
              </w:rPr>
              <w:t>Oral hearing to be scheduled.</w:t>
            </w:r>
          </w:p>
        </w:tc>
        <w:tc>
          <w:tcPr>
            <w:tcW w:w="0" w:type="dxa"/>
            <w:vAlign w:val="bottom"/>
          </w:tcPr>
          <w:p>
            <w:pPr>
              <w:spacing w:after="0"/>
              <w:rPr>
                <w:sz w:val="1"/>
                <w:szCs w:val="1"/>
                <w:color w:val="auto"/>
              </w:rPr>
            </w:pPr>
          </w:p>
        </w:tc>
      </w:tr>
      <w:tr>
        <w:trPr>
          <w:trHeight w:val="177"/>
        </w:trPr>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2,944,306 (the "'306</w:t>
            </w: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proceedings</w:t>
            </w:r>
          </w:p>
        </w:tc>
        <w:tc>
          <w:tcPr>
            <w:tcW w:w="170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October 27, 2021</w:t>
            </w: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EPO</w:t>
            </w:r>
          </w:p>
        </w:tc>
        <w:tc>
          <w:tcPr>
            <w:tcW w:w="18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European Patent No.</w:t>
            </w:r>
          </w:p>
        </w:tc>
        <w:tc>
          <w:tcPr>
            <w:tcW w:w="16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Amgen and three</w:t>
            </w:r>
          </w:p>
        </w:tc>
        <w:tc>
          <w:tcPr>
            <w:tcW w:w="16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Opposition</w:t>
            </w:r>
          </w:p>
        </w:tc>
        <w:tc>
          <w:tcPr>
            <w:tcW w:w="17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May 5-10, 2023</w:t>
            </w:r>
          </w:p>
        </w:tc>
        <w:tc>
          <w:tcPr>
            <w:tcW w:w="2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8"/>
              </w:rPr>
              <w:t>Oral hearing to be scheduled.</w:t>
            </w:r>
          </w:p>
        </w:tc>
        <w:tc>
          <w:tcPr>
            <w:tcW w:w="0" w:type="dxa"/>
            <w:vAlign w:val="bottom"/>
          </w:tcPr>
          <w:p>
            <w:pPr>
              <w:spacing w:after="0"/>
              <w:rPr>
                <w:sz w:val="1"/>
                <w:szCs w:val="1"/>
                <w:color w:val="auto"/>
              </w:rPr>
            </w:pPr>
          </w:p>
        </w:tc>
      </w:tr>
      <w:tr>
        <w:trPr>
          <w:trHeight w:val="177"/>
        </w:trPr>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3,716,992 (the "EP '992</w:t>
            </w:r>
          </w:p>
        </w:tc>
        <w:tc>
          <w:tcPr>
            <w:tcW w:w="162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anonymous parties</w:t>
            </w:r>
          </w:p>
        </w:tc>
        <w:tc>
          <w:tcPr>
            <w:tcW w:w="16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proceedings</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8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German Federal Patent</w:t>
            </w:r>
          </w:p>
        </w:tc>
        <w:tc>
          <w:tcPr>
            <w:tcW w:w="18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German designation of</w:t>
            </w:r>
          </w:p>
        </w:tc>
        <w:tc>
          <w:tcPr>
            <w:tcW w:w="16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Samsung Bioepis</w:t>
            </w:r>
          </w:p>
        </w:tc>
        <w:tc>
          <w:tcPr>
            <w:tcW w:w="16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Invalidation</w:t>
            </w:r>
          </w:p>
        </w:tc>
        <w:tc>
          <w:tcPr>
            <w:tcW w:w="17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June 22, 2023</w:t>
            </w:r>
          </w:p>
        </w:tc>
        <w:tc>
          <w:tcPr>
            <w:tcW w:w="21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Trial has been scheduled to</w:t>
            </w:r>
          </w:p>
        </w:tc>
        <w:tc>
          <w:tcPr>
            <w:tcW w:w="0" w:type="dxa"/>
            <w:vAlign w:val="bottom"/>
          </w:tcPr>
          <w:p>
            <w:pPr>
              <w:spacing w:after="0"/>
              <w:rPr>
                <w:sz w:val="1"/>
                <w:szCs w:val="1"/>
                <w:color w:val="auto"/>
              </w:rPr>
            </w:pPr>
          </w:p>
        </w:tc>
      </w:tr>
      <w:tr>
        <w:trPr>
          <w:trHeight w:val="212"/>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Court</w:t>
            </w: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European Patent No.</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NL B.V.</w:t>
            </w: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proceedings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 in June 2025.</w:t>
            </w:r>
          </w:p>
        </w:tc>
        <w:tc>
          <w:tcPr>
            <w:tcW w:w="0" w:type="dxa"/>
            <w:vAlign w:val="bottom"/>
          </w:tcPr>
          <w:p>
            <w:pPr>
              <w:spacing w:after="0"/>
              <w:rPr>
                <w:sz w:val="1"/>
                <w:szCs w:val="1"/>
                <w:color w:val="auto"/>
              </w:rPr>
            </w:pPr>
          </w:p>
        </w:tc>
      </w:tr>
      <w:tr>
        <w:trPr>
          <w:trHeight w:val="199"/>
        </w:trPr>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line="199" w:lineRule="exact"/>
              <w:rPr>
                <w:sz w:val="20"/>
                <w:szCs w:val="20"/>
                <w:color w:val="auto"/>
              </w:rPr>
            </w:pPr>
            <w:r>
              <w:rPr>
                <w:rFonts w:ascii="Times New Roman" w:cs="Times New Roman" w:eastAsia="Times New Roman" w:hAnsi="Times New Roman"/>
                <w:sz w:val="18"/>
                <w:szCs w:val="18"/>
                <w:color w:val="auto"/>
              </w:rPr>
              <w:t>2,364,691 (the "'691</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w:t>
            </w: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June 15, July 15, August 30, and October 4, 2022, the Company and Bayer Inc. filed patent infringement lawsuits against BGP Pharma ULC d.b.a Viatris Canada ("Viatris Canada") in the Federal Court of Canada seeking a declaration that the making, constructing, using, or selling of an aflibercept 2 mg biosimilar would directly or indirectly infringe one or more claims of the Company's Canadian Patent Nos. 2,654,510 (the "'510 Patent") and 3,007,276 (the "'276 Patent") (in the lawsuit filed on June 15, 2022); the Company's Canadian Patent No. 2,965,495 (the "'495 Patent") (in the lawsuit filed on July 15, 2022); the Company's Canadian Patent No. 2,906,768 (the "'768 Patent") (in the lawsuit filed on August 30, 2022, which has been joined with the lawsuit filed on July 15, 2022); and the Company's Canadian Patent No. 3,129,193 (the "'193 Patent") (in the lawsuit filed on October 4, 2022). A trial for the lawsuit concerning the '510 Patent and the '276 Patent (the "Viatris Canada 510/276 Lawsuit") has been scheduled for March 2024; a trial for the lawsuit concerning the '193 Patent has been scheduled for May 2024; and a trial for the lawsuit concerning the '495 Patent and the '768 Patent has been scheduled for November/December 2024. The filing of the Viatris Canada 510/276 Lawsuit resulted in a statutory 24-month stay of regulatory approval of Viatris Canada's aflibercept 2 mg</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biosimilar in Canada unless the lawsuit is resolved earlier. On March 27, 2023, in light of the transfer of Viatris Canada's New Drug Submission ("NDS") of its aflibercept 2 mg biosimilar to Biosimilar Collaborations Ireland Limited ("BCIL"), the Company filed a motion in the Federal Court of Canada seeking termination of the Viatris Canada 510/276 Lawsuit. On June 5, 2023, BCIL was added as a defendant in the Viatris Canada 510/276 Lawsuit.</w:t>
      </w:r>
    </w:p>
    <w:p>
      <w:pPr>
        <w:spacing w:after="0" w:line="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23, 2023 and June 14, 2023, the Company and Bayer Inc. filed patent infringement lawsuits against BCIL in the Federal Court of Canada seeking a declaration that the making, constructing, using, or selling of an aflibercept 2 mg biosimilar would directly or indirectly infringe one or more claims of the Company's '510 and '276 Patents. The June 14, 2023 lawsuit was filed after BCIL served Bayer Inc. with a statutory notification in relation to the NDS on May 23, 2023. On September 14, 2023, the Company, Bayer Inc., and Bayer Healthcare LLC filed patent infringement lawsuits against Viatris Canada and BCIL in the Federal Court of Canada seeking a declaration that the making, constructing, using, or selling of an aflibercept 2 mg biosimilar would directly or indirectly infringe one or more claims of Bayer Healthcare LLC's Canadian Patent No. 2,970,315 (the "'315 Patent").</w:t>
      </w:r>
    </w:p>
    <w:p>
      <w:pPr>
        <w:spacing w:after="0" w:line="1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May 9, 2023, Amgen Canada Inc. ("Amgen Canada") filed invalidation proceedings against the Company in the Federal Court of Canada seeking revocation of the '510 Patent and the '276 Patent. On September 14, 2023, the Company, Bayer Inc., and Bayer Healthcare LLC filed patent infringement lawsuits against Amgen Canada in the Federal Court of Canada seeking a declaration that the making, constructing, using, or selling of an aflibercept 2 mg biosimilar would directly or indirectly infringe one or more claims of the '315 Patent. On September 14, 2023, the Company and Bayer Inc. filed three separate patent infringement lawsuits against Amgen Canada in the Federal Court of Canada seeking a declaration that the making, constructing, using, or selling of an aflibercept 2 mg biosimilar would directly or indirectly infringe one or more claims of the Company's '193 Patent, '495 Patent, and '768 Patent, respectively. On October 11, 2023, the Company, Bayer Inc., and Bayer Healthcare LLC filed two separate patent infringement lawsuits against Amgen Canada in the Federal Court of Canada seeking a declaration that the making, constructing, using, or selling of an aflibercept 2 mg biosimilar would directly or indirectly infringe one or more claims of the Company's '510 Patent and '276 Patent, respectively. A trial for the lawsuits concerning the '510 Patent and the '276 Patent has been scheduled for May 2025.</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15, 2024, the Company and Bayer Inc. filed patent infringement lawsuits against Celltrion, Inc., Celltrion Healthcare Co, Ltd., Celltrion Pharma Inc., and Celltrion Healthcare Canada Ltd. in the Federal Court of Canada seeking a declaration that the making, constructing, using, or selling of an aflibercept 2 mg biosimilar would directly or indirectly infringe one or more claims of the '510 Patent, the '276 Patent, the '495 Patent, the '768 Patent, the '193 Patent, and the '315 Patent.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 Korea</w:t>
      </w:r>
    </w:p>
    <w:p>
      <w:pPr>
        <w:spacing w:after="0" w:line="1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On October 31, 2022 and December 13, 2022, Samsung Bioepis Co., Ltd. initiated invalidation proceedings before the Intellectual Property Trial and Appeal Board of the Korean Intellectual Property Office against the Company's Korean Patent Nos. 1131429 and 1406811, respectively, seeking revocation of each of such patents in its entirety.</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16, 2023, the Company filed patent infringement lawsuits against Samsung Bioepis Co., Ltd. and its parent company Samsung Biologics Co., Ltd. before the Seoul Central District Court seeking a declaration that the making, constructing, using, or selling of an aflibercept 2 mg biosimilar would infringe one or more claims of the Company's Korean Patent No. 659477 (the "'477 Patent"). On July 20, 2023, the Company filed a preliminary injunction petition against Samsung Bioepis Co., Ltd. and its parent company Samsung Biologics Co., Ltd. before the Seoul Central District Court seeking a court order enjoining the manufacture, use, and assignment of an aflibercept 2 mg biosimilar that infringes one or more claims of the '477 Patent; and on December 20, 2023, the Seoul Central District Court granted a preliminary injunction. On January 10, 2024, the injunction was lifted against the Samsung entities following the expiration of the '477 Patent.</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March 2, 2023, the Company filed an affirmative scope confirmation action against Samsung Bioepis Co., Ltd. before the Intellectual Property Tribunal and Appeal Board of the Korean Intellectual Property Office seeking a ruling that Samsung Bioepis's aflibercept 2 mg biosimilar is covered by the claims of the '477 Patent. On March 7, 2023, the action was designated for expedited proceedings.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June 19, 2020, Novartis Pharma AG, Novartis Pharmaceuticals Corporation, and Novartis Technology LLC (collectively, "Novartis") filed a patent infringement lawsuit (as amended on August 2, 2021) in the U.S. District Court for the Northern District of New York asserting claims of Novartis's U.S. Patent No. 9,220,631 (the "'631 Patent") and seeking preliminary and permanent injunctions to prevent the Company from continuing to infringe the '631 Patent. Novartis also seeks a judgment of patent infringement of the '631 Patent, monetary damages (together with interest), an order of willful infringement of the '631 Patent (which would allow the court in its discretion to award damages up to three times the amount assessed), costs and expenses of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lawsuits, and attorneys' fees. On November 7, 2022, the Company and Novartis entered into a stipulation staying the lawsuit in light of the decision in the IPR proceeding discussed below.</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16, 2020, the Company initiated two IPR petitions in the USPTO seeking a declaration of invalidity of the '631 Patent on two separate grounds. On October 26, 2021, the USPTO issued a decision instituting the IPR proceeding. An oral hearing was held on July 21, 2022. On October 25, 2022, the Patent Trial and Appeal Board ("PTAB") of the USPTO issued a final written decision invalidating all claims of the '631 Patent. On December 23, 2022, Novartis filed a notice of appeal of the PTAB's decision to the Federal Circuit.</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July 17, 2020, the Company filed an antitrust lawsuit against Novartis and Vetter Pharma International Gmbh ("Vetter") in the United States District Court for the Southern District of New York seeking a declaration that the '631 Patent is unenforceable and a judgment that the defendants' conduct violates Sections 1 and 2 of the Sherman Antitrust Act of 1890, as amended (the "Sherman Antitrust Act"). The Company is also seeking injunctive relief and treble damages. On September 4, 2020, Novartis filed, and Vetter moved to join, a motion to dismiss the complaint, to transfer the lawsuit to the Northern District of New York, or to stay the suit; and on October 19, 2020, Novartis filed, and Vetter moved to join, a second motion to dismiss the complaint on different grounds. On January 25, 2021, the Company filed an amended complaint seeking a judgment that Novartis's conduct violates Section 2 of the Sherman Antitrust Act based on additional grounds, as well as a judgment of tortious interference with contract. On February 22, 2021, Novartis filed, and Vetter moved to join, a motion to dismiss the amended complaint. On September 21, 2021, the court granted Novartis and Vetter's motion to transfer this lawsuit to the Northern District of New York. As a result, this lawsuit was transferred to the same judge that had been assigned to the patent infringement lawsuit discussed above. On November 5, 2021, the Company filed a motion to stay these proceedings in light of the pending IPR proceeding discussed above. On January 31, 2022, the court denied the Company's motion to stay these proceedings and granted Novartis and Vetter's motion to dismiss the amended complaint. On June 10, 2022, the Company filed an appeal of the District Court's decision to dismiss the amended complaint with the U.S. Court of Appeals for the Second Circuit. An oral hearing before the U.S. Court of Appeals for the Second Circuit was held on October 11,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REGEN-COV (casirivimab and imdevimab)</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October 5, 2020, Allele Biotechnology and Pharmaceuticals, Inc. ("Allele") filed a lawsuit (as amended on April 8, 2021 and December 12, 2022) against the Company in the United States District Court for the Southern District of New York, asserting infringement of U.S. Patent No. 10,221,221 (the "'221 Patent"). Allele seeks a judgment of patent infringement of the '221 Patent, an award of monetary damages (together with interest), an order of willful infringement of the '221 Patent (which would allow the court in its discretion to award damages up to three times the amount assessed), costs and expenses of the lawsuit, and attorneys' fees. On July 16, 2021, the Company filed a motion to dismiss the complaint, which motion was denied on March 2, 2022. On September 18, 2023, the parties entered into a stipulation that narrowed the case to (i) whether any safe harbor defense under federal law applies to Regeneron's use of the invention covered, based on the court's claim construction, by the '221 Patent; (ii) damages for any use by Regeneron found to not be covered by such safe harbor defense; and (iii) whether any use referred to in clause (ii) above was willful.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On August 24, 2020, the Company filed a motion to dismiss the complaint in its entirety. On December 4, 2020, the court denied the motion to dismiss. On December 28, 2022, the U.S. Attorney’s Office for the District of Massachusetts filed a motion for partial summary judgment. On January 31, 2023, the Company filed a motion for summary judgment. An oral hearing on the parties' respective motions for summary judgment was held on July 21, 2023. On September 27, 2023, the court (i) denied in part and granted in part the Company's motion for summary judgment and (ii) denied in its entirety the motion for partial summary judgment filed by the U.S. Attorney's Office for the District of Massachusetts. On October 25, 2023, the court certified for interlocutory appeal a portion of the court's September 27, 2023 order that addressed the causation standard applicable to the alleged violations of the federal Anti-Kickback Statute and federal False Claims Act; and on December 11, 2023, the U.S. Court of Appeals for the First Circuit certified for appeal the court's September 27, 2023 order.</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EYLEA, Praluent, Dupixent, ZALTRAP, ARCALYST, and Kevzara and cover the period from January 2015 to the present. On June 3, 2021, the United States District Court for the Central District of California unsealed a qui tam complaint filed against the Company, Regeneron Healthcare Solutions, Inc., and Sanofi-Aventis U.S. LLC by two qui tam plaintiffs (known as relators) purportedly on behalf of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qui tam plaintiffs filed an amended complaint in this matter. On January 14, 2022, the Company filed a motion to dismiss the amended complaint in its entirety. On July 25, 2023, the court in part granted and in part denied the Company's motion to dismiss. On September 1, 2023, the Company filed a second motion to dismiss the amended complaint or, in the alternative, a motion for judgment on the pleadings. A trial has been scheduled for April 2025.</w:t>
      </w:r>
    </w:p>
    <w:p>
      <w:pPr>
        <w:spacing w:after="0" w:line="1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the Centers for Medicare &amp; Medicaid Services. The CID covers the period from January 2011 through June 2021. The Company is cooperating with this investigation. On November 29, 2023, the U.S. Department of Justice informed the Company that it had filed a notice of partial intervention in this matter.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Department of Insurance Subpoena</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2022, the Company received a subpoena from the Insurance Commissioner for the State of California pursuant to the California Insurance Code. The subpoena seeks information relating to the marketing, sale, and distribution of EYLEA, including (i) discounts, rebates, credit card fees, and inventory management systems; (ii) Regeneron's relationships with distributors; (iii) price reporting; (iv) speaker programs; and (v) patient support programs. The subpoena covers the period from January 1, 2014 through August 1, 2021. The Company is cooperating with this investigation.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Initiated by Other Payors Relating to Patient Assistance Organization Support</w:t>
      </w:r>
    </w:p>
    <w:p>
      <w:pPr>
        <w:spacing w:after="0" w:line="15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civil complaint filed by the U.S. Attorney's Office for the District of Massachusetts discussed under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discussed under "Department of Justice Matters" above. On September 27, 2022, the lawsuits filed by BCBS, MMO, and Horizon were stayed by the U.S. District Court for the District of Massachusetts pending resolution of the proceedings before the same court discussed under "Department of Justice Matters" above; and, in light of these stays, the parties to the Local 464A action have also agreed to stay that matter.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Shareholder Derivative Complaint</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current and certain former members of the Company's board of directors and certain current and former executive officers of the Company as defendants and Regeneron as a nominal defendant. The complaint asserts that the individual defendants breached their fiduciary duties in relation to the allegations in the civil complaint filed by the U.S. Attorney's Office for the District of Massachusetts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plaintiff moved to remand the case to the New York Supreme Court. Also on September 23, 2021, the individual defendants moved to dismiss the complaint in its entirety. On December 19, 2022, the U.S. District Court for the Southern District of New York denied the plaintiff's motion to remand the case and granted a motion to stay the case pending resolution of the proceedings before the U.S. District Court for the District of Massachusetts discussed under "Department of Justice Matters" above. As a result of the stay, the court also terminated the Company's motion to dismiss the complaint without prejudice. The Company can therefore renew the motion to dismiss upon conclusion of the stay.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17. Net Income Per Share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8"/>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calculations of basic and diluted net income per share are as follows: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3"/>
        </w:trPr>
        <w:tc>
          <w:tcPr>
            <w:tcW w:w="13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r>
      <w:tr>
        <w:trPr>
          <w:trHeight w:val="219"/>
        </w:trPr>
        <w:tc>
          <w:tcPr>
            <w:tcW w:w="1300" w:type="dxa"/>
            <w:vAlign w:val="bottom"/>
          </w:tcPr>
          <w:p>
            <w:pPr>
              <w:spacing w:after="0"/>
              <w:rPr>
                <w:sz w:val="19"/>
                <w:szCs w:val="19"/>
                <w:color w:val="auto"/>
              </w:rPr>
            </w:pPr>
          </w:p>
        </w:tc>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130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8,075.3</w:t>
            </w:r>
          </w:p>
        </w:tc>
      </w:tr>
      <w:tr>
        <w:trPr>
          <w:trHeight w:val="265"/>
        </w:trPr>
        <w:tc>
          <w:tcPr>
            <w:tcW w:w="130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5"/>
        </w:trPr>
        <w:tc>
          <w:tcPr>
            <w:tcW w:w="130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r>
        <w:trPr>
          <w:trHeight w:val="225"/>
        </w:trPr>
        <w:tc>
          <w:tcPr>
            <w:tcW w:w="13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5"/>
        </w:trPr>
        <w:tc>
          <w:tcPr>
            <w:tcW w:w="1300" w:type="dxa"/>
            <w:vAlign w:val="bottom"/>
          </w:tcPr>
          <w:p>
            <w:pPr>
              <w:spacing w:after="0"/>
              <w:rPr>
                <w:sz w:val="19"/>
                <w:szCs w:val="19"/>
                <w:color w:val="auto"/>
              </w:rPr>
            </w:pPr>
          </w:p>
        </w:tc>
        <w:tc>
          <w:tcPr>
            <w:tcW w:w="4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5"/>
        </w:trPr>
        <w:tc>
          <w:tcPr>
            <w:tcW w:w="1300" w:type="dxa"/>
            <w:vAlign w:val="bottom"/>
          </w:tcPr>
          <w:p>
            <w:pPr>
              <w:spacing w:after="0"/>
              <w:rPr>
                <w:sz w:val="19"/>
                <w:szCs w:val="19"/>
                <w:color w:val="auto"/>
              </w:rPr>
            </w:pPr>
          </w:p>
        </w:tc>
        <w:tc>
          <w:tcPr>
            <w:tcW w:w="4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1300" w:type="dxa"/>
            <w:vAlign w:val="bottom"/>
          </w:tcPr>
          <w:p>
            <w:pPr>
              <w:spacing w:after="0"/>
              <w:rPr>
                <w:sz w:val="20"/>
                <w:szCs w:val="20"/>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0"/>
        </w:trPr>
        <w:tc>
          <w:tcPr>
            <w:tcW w:w="130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05"/>
        </w:trPr>
        <w:tc>
          <w:tcPr>
            <w:tcW w:w="130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225"/>
        </w:trPr>
        <w:tc>
          <w:tcPr>
            <w:tcW w:w="130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r>
      <w:tr>
        <w:trPr>
          <w:trHeight w:val="231"/>
        </w:trPr>
        <w:tc>
          <w:tcPr>
            <w:tcW w:w="13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232"/>
        </w:trPr>
        <w:tc>
          <w:tcPr>
            <w:tcW w:w="4680" w:type="dxa"/>
            <w:vAlign w:val="bottom"/>
          </w:tcPr>
          <w:p>
            <w:pPr>
              <w:spacing w:after="0"/>
              <w:rPr>
                <w:sz w:val="20"/>
                <w:szCs w:val="20"/>
                <w:color w:val="auto"/>
              </w:rPr>
            </w:pPr>
          </w:p>
        </w:tc>
        <w:tc>
          <w:tcPr>
            <w:tcW w:w="3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r>
      <w:tr>
        <w:trPr>
          <w:trHeight w:val="218"/>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Statement of Cash Flows</w:t>
      </w:r>
    </w:p>
    <w:p>
      <w:pPr>
        <w:spacing w:after="0" w:line="14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Consolidated Balance Sheet to the total of the same such amounts shown in the Consolidated Statement of Cash Flows:</w:t>
      </w:r>
    </w:p>
    <w:p>
      <w:pPr>
        <w:spacing w:after="0" w:line="228" w:lineRule="exact"/>
        <w:rPr>
          <w:sz w:val="20"/>
          <w:szCs w:val="20"/>
          <w:color w:val="auto"/>
        </w:rPr>
      </w:pPr>
    </w:p>
    <w:tbl>
      <w:tblPr>
        <w:tblLayout w:type="fixed"/>
        <w:tblInd w:w="1800" w:type="dxa"/>
        <w:tblCellMar>
          <w:top w:w="0" w:type="dxa"/>
          <w:left w:w="0" w:type="dxa"/>
          <w:bottom w:w="0" w:type="dxa"/>
          <w:right w:w="0" w:type="dxa"/>
        </w:tblCellMar>
      </w:tblPr>
      <w:tr>
        <w:trPr>
          <w:trHeight w:val="232"/>
        </w:trPr>
        <w:tc>
          <w:tcPr>
            <w:tcW w:w="3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0" w:type="dxa"/>
            <w:vAlign w:val="bottom"/>
          </w:tcPr>
          <w:p>
            <w:pPr>
              <w:spacing w:after="0"/>
              <w:rPr>
                <w:sz w:val="1"/>
                <w:szCs w:val="1"/>
                <w:color w:val="auto"/>
              </w:rPr>
            </w:pPr>
          </w:p>
        </w:tc>
      </w:tr>
      <w:tr>
        <w:trPr>
          <w:trHeight w:val="225"/>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52"/>
        </w:trPr>
        <w:tc>
          <w:tcPr>
            <w:tcW w:w="390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900" w:type="dxa"/>
            <w:vAlign w:val="bottom"/>
            <w:shd w:val="clear" w:color="auto" w:fill="CCEEFF"/>
          </w:tcPr>
          <w:p>
            <w:pPr>
              <w:ind w:left="160"/>
              <w:spacing w:after="0" w:line="172" w:lineRule="exact"/>
              <w:rPr>
                <w:sz w:val="20"/>
                <w:szCs w:val="20"/>
                <w:color w:val="auto"/>
              </w:rPr>
            </w:pPr>
            <w:r>
              <w:rPr>
                <w:rFonts w:ascii="Times New Roman" w:cs="Times New Roman" w:eastAsia="Times New Roman" w:hAnsi="Times New Roman"/>
                <w:sz w:val="18"/>
                <w:szCs w:val="18"/>
                <w:color w:val="auto"/>
              </w:rPr>
              <w:t>shown in the Consolidated Statement of Cash</w:t>
            </w:r>
          </w:p>
        </w:tc>
        <w:tc>
          <w:tcPr>
            <w:tcW w:w="24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2,737.8</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3,119.4</w:t>
            </w:r>
          </w:p>
        </w:tc>
        <w:tc>
          <w:tcPr>
            <w:tcW w:w="12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0" w:type="dxa"/>
            <w:vAlign w:val="bottom"/>
          </w:tcPr>
          <w:p>
            <w:pPr>
              <w:spacing w:after="0"/>
              <w:rPr>
                <w:sz w:val="1"/>
                <w:szCs w:val="1"/>
                <w:color w:val="auto"/>
              </w:rPr>
            </w:pPr>
          </w:p>
        </w:tc>
      </w:tr>
      <w:tr>
        <w:trPr>
          <w:trHeight w:val="232"/>
        </w:trPr>
        <w:tc>
          <w:tcPr>
            <w:tcW w:w="3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Flows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amounts held by financial institutions pursuant to contractual arrangements.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177" w:lineRule="exact"/>
        <w:rPr>
          <w:sz w:val="20"/>
          <w:szCs w:val="20"/>
          <w:color w:val="auto"/>
        </w:rPr>
      </w:pPr>
    </w:p>
    <w:tbl>
      <w:tblPr>
        <w:tblLayout w:type="fixed"/>
        <w:tblInd w:w="1100" w:type="dxa"/>
        <w:tblCellMar>
          <w:top w:w="0" w:type="dxa"/>
          <w:left w:w="0" w:type="dxa"/>
          <w:bottom w:w="0" w:type="dxa"/>
          <w:right w:w="0" w:type="dxa"/>
        </w:tblCellMar>
      </w:tblPr>
      <w:tr>
        <w:trPr>
          <w:trHeight w:val="232"/>
        </w:trPr>
        <w:tc>
          <w:tcPr>
            <w:tcW w:w="34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18"/>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180"/>
        </w:trPr>
        <w:tc>
          <w:tcPr>
            <w:tcW w:w="34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Accrued contingent consideration in connection</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31"/>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acquisitions</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0"/>
                <w:szCs w:val="20"/>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364"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309245</wp:posOffset>
            </wp:positionV>
            <wp:extent cx="71348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r>
      <w:tr>
        <w:trPr>
          <w:trHeight w:val="265"/>
        </w:trPr>
        <w:tc>
          <w:tcPr>
            <w:tcW w:w="4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ID: </w:t>
            </w:r>
            <w:r>
              <w:rPr>
                <w:rFonts w:ascii="Times New Roman" w:cs="Times New Roman" w:eastAsia="Times New Roman" w:hAnsi="Times New Roman"/>
                <w:sz w:val="18"/>
                <w:szCs w:val="18"/>
                <w:color w:val="auto"/>
              </w:rPr>
              <w:t>[</w:t>
            </w:r>
          </w:p>
        </w:tc>
        <w:tc>
          <w:tcPr>
            <w:tcW w:w="9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5"/>
        </w:trPr>
        <w:tc>
          <w:tcPr>
            <w:tcW w:w="3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Notice of Grant of Stock Options</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777 Old Saw Mill River Road</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5"/>
        </w:trPr>
        <w:tc>
          <w:tcPr>
            <w:tcW w:w="39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and Option Agreement for Time-Based Vesting</w:t>
            </w:r>
          </w:p>
        </w:tc>
        <w:tc>
          <w:tcPr>
            <w:tcW w:w="900" w:type="dxa"/>
            <w:vAlign w:val="bottom"/>
          </w:tcPr>
          <w:p>
            <w:pPr>
              <w:spacing w:after="0"/>
              <w:rPr>
                <w:sz w:val="23"/>
                <w:szCs w:val="23"/>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Tarrytown, New York 10591</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65"/>
        </w:trPr>
        <w:tc>
          <w:tcPr>
            <w:tcW w:w="3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84"/>
        </w:trPr>
        <w:tc>
          <w:tcPr>
            <w:tcW w:w="4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512"/>
        </w:trPr>
        <w:tc>
          <w:tcPr>
            <w:tcW w:w="3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[OPTIONEE NAME]</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Option Number:</w:t>
            </w:r>
          </w:p>
        </w:tc>
        <w:tc>
          <w:tcPr>
            <w:tcW w:w="640" w:type="dxa"/>
            <w:vAlign w:val="bottom"/>
          </w:tcPr>
          <w:p>
            <w:pPr>
              <w:ind w:left="120"/>
              <w:spacing w:after="0"/>
              <w:rPr>
                <w:sz w:val="20"/>
                <w:szCs w:val="20"/>
                <w:color w:val="auto"/>
              </w:rPr>
            </w:pPr>
            <w:r>
              <w:rPr>
                <w:rFonts w:ascii="Times New Roman" w:cs="Times New Roman" w:eastAsia="Times New Roman" w:hAnsi="Times New Roman"/>
                <w:sz w:val="21"/>
                <w:szCs w:val="21"/>
                <w:b w:val="1"/>
                <w:bCs w:val="1"/>
                <w:color w:val="auto"/>
              </w:rPr>
              <w:t>[</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21"/>
                <w:szCs w:val="21"/>
                <w:b w:val="1"/>
                <w:bCs w:val="1"/>
                <w:color w:val="auto"/>
              </w:rPr>
              <w:t>]</w:t>
            </w: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5"/>
        </w:trPr>
        <w:tc>
          <w:tcPr>
            <w:tcW w:w="3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[OPTIONEE ADDRESS]</w:t>
            </w: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Plan:</w:t>
            </w:r>
          </w:p>
        </w:tc>
        <w:tc>
          <w:tcPr>
            <w:tcW w:w="960" w:type="dxa"/>
            <w:vAlign w:val="bottom"/>
          </w:tcPr>
          <w:p>
            <w:pPr>
              <w:spacing w:after="0"/>
              <w:rPr>
                <w:sz w:val="23"/>
                <w:szCs w:val="2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21"/>
                <w:szCs w:val="21"/>
                <w:b w:val="1"/>
                <w:bCs w:val="1"/>
                <w:color w:val="auto"/>
              </w:rPr>
              <w:t>[</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21"/>
                <w:szCs w:val="21"/>
                <w:b w:val="1"/>
                <w:bCs w:val="1"/>
                <w:color w:val="auto"/>
              </w:rPr>
              <w:t>]</w:t>
            </w:r>
          </w:p>
        </w:tc>
        <w:tc>
          <w:tcPr>
            <w:tcW w:w="2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81"/>
        </w:trPr>
        <w:tc>
          <w:tcPr>
            <w:tcW w:w="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ID:</w:t>
            </w:r>
          </w:p>
        </w:tc>
        <w:tc>
          <w:tcPr>
            <w:tcW w:w="96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21"/>
                <w:szCs w:val="21"/>
                <w:b w:val="1"/>
                <w:bCs w:val="1"/>
                <w:color w:val="auto"/>
              </w:rPr>
              <w:t>[</w:t>
            </w:r>
          </w:p>
        </w:tc>
        <w:tc>
          <w:tcPr>
            <w:tcW w:w="360" w:type="dxa"/>
            <w:vAlign w:val="bottom"/>
          </w:tcPr>
          <w:p>
            <w:pPr>
              <w:jc w:val="right"/>
              <w:ind w:right="54"/>
              <w:spacing w:after="0"/>
              <w:rPr>
                <w:sz w:val="20"/>
                <w:szCs w:val="20"/>
                <w:color w:val="auto"/>
              </w:rPr>
            </w:pPr>
            <w:r>
              <w:rPr>
                <w:rFonts w:ascii="Times New Roman" w:cs="Times New Roman" w:eastAsia="Times New Roman" w:hAnsi="Times New Roman"/>
                <w:sz w:val="21"/>
                <w:szCs w:val="21"/>
                <w:b w:val="1"/>
                <w:bCs w:val="1"/>
                <w:color w:val="auto"/>
              </w:rPr>
              <w:t>]</w:t>
            </w: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4"/>
        </w:trPr>
        <w:tc>
          <w:tcPr>
            <w:tcW w:w="460" w:type="dxa"/>
            <w:vAlign w:val="bottom"/>
            <w:tcBorders>
              <w:bottom w:val="single" w:sz="8" w:color="auto"/>
            </w:tcBorders>
          </w:tcPr>
          <w:p>
            <w:pPr>
              <w:spacing w:after="0"/>
              <w:rPr>
                <w:sz w:val="23"/>
                <w:szCs w:val="23"/>
                <w:color w:val="auto"/>
              </w:rPr>
            </w:pPr>
          </w:p>
        </w:tc>
        <w:tc>
          <w:tcPr>
            <w:tcW w:w="22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4"/>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spacing w:after="0"/>
              <w:rPr>
                <w:sz w:val="23"/>
                <w:szCs w:val="23"/>
                <w:color w:val="auto"/>
              </w:rPr>
            </w:pPr>
          </w:p>
        </w:tc>
        <w:tc>
          <w:tcPr>
            <w:tcW w:w="1000" w:type="dxa"/>
            <w:vAlign w:val="bottom"/>
            <w:tcBorders>
              <w:bottom w:val="single" w:sz="8" w:color="auto"/>
            </w:tcBorders>
            <w:gridSpan w:val="2"/>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618"/>
        </w:trPr>
        <w:tc>
          <w:tcPr>
            <w:tcW w:w="6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Effective &lt;date&gt; (the “Grant Date”) you have been granted a Non-Qualified Option to buy [</w:t>
            </w:r>
          </w:p>
        </w:tc>
        <w:tc>
          <w:tcPr>
            <w:tcW w:w="46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shares of Regeneron Pharmaceuticals, Inc. (the “Company”)</w:t>
            </w:r>
          </w:p>
        </w:tc>
      </w:tr>
      <w:tr>
        <w:trPr>
          <w:trHeight w:val="231"/>
        </w:trPr>
        <w:tc>
          <w:tcPr>
            <w:tcW w:w="3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 at $[   ] per share.</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05"/>
        </w:trPr>
        <w:tc>
          <w:tcPr>
            <w:tcW w:w="34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total option price of the shares granted is $[</w:t>
            </w:r>
          </w:p>
        </w:tc>
        <w:tc>
          <w:tcPr>
            <w:tcW w:w="4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8"/>
        </w:trPr>
        <w:tc>
          <w:tcPr>
            <w:tcW w:w="4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in each period will become fully vested on the date shown.</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1"/>
        </w:trPr>
        <w:tc>
          <w:tcPr>
            <w:tcW w:w="460" w:type="dxa"/>
            <w:vAlign w:val="bottom"/>
          </w:tcPr>
          <w:p>
            <w:pPr>
              <w:spacing w:after="0"/>
              <w:rPr>
                <w:sz w:val="24"/>
                <w:szCs w:val="24"/>
                <w:color w:val="auto"/>
              </w:rPr>
            </w:pPr>
          </w:p>
        </w:tc>
        <w:tc>
          <w:tcPr>
            <w:tcW w:w="3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gridSpan w:val="2"/>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2"/>
              </w:rPr>
              <w:t>Vest Type</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Full Vest</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7"/>
              </w:rPr>
              <w:t>Expiration Date</w:t>
            </w:r>
          </w:p>
        </w:tc>
      </w:tr>
      <w:tr>
        <w:trPr>
          <w:trHeight w:val="264"/>
        </w:trPr>
        <w:tc>
          <w:tcPr>
            <w:tcW w:w="460" w:type="dxa"/>
            <w:vAlign w:val="bottom"/>
          </w:tcPr>
          <w:p>
            <w:pPr>
              <w:spacing w:after="0"/>
              <w:rPr>
                <w:sz w:val="22"/>
                <w:szCs w:val="22"/>
                <w:color w:val="auto"/>
              </w:rPr>
            </w:pPr>
          </w:p>
        </w:tc>
        <w:tc>
          <w:tcPr>
            <w:tcW w:w="2200" w:type="dxa"/>
            <w:vAlign w:val="bottom"/>
            <w:tcBorders>
              <w:top w:val="single" w:sz="8" w:color="auto"/>
            </w:tcBorders>
            <w:shd w:val="clear" w:color="auto" w:fill="C0C0C0"/>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0C0C0"/>
            </w:tcBorders>
            <w:shd w:val="clear" w:color="auto" w:fill="C0C0C0"/>
          </w:tcPr>
          <w:p>
            <w:pPr>
              <w:spacing w:after="0"/>
              <w:rPr>
                <w:sz w:val="22"/>
                <w:szCs w:val="22"/>
                <w:color w:val="auto"/>
              </w:rPr>
            </w:pPr>
          </w:p>
        </w:tc>
        <w:tc>
          <w:tcPr>
            <w:tcW w:w="560" w:type="dxa"/>
            <w:vAlign w:val="bottom"/>
            <w:tcBorders>
              <w:top w:val="single" w:sz="8" w:color="auto"/>
            </w:tcBorders>
            <w:shd w:val="clear" w:color="auto" w:fill="C0C0C0"/>
          </w:tcPr>
          <w:p>
            <w:pPr>
              <w:spacing w:after="0"/>
              <w:rPr>
                <w:sz w:val="22"/>
                <w:szCs w:val="22"/>
                <w:color w:val="auto"/>
              </w:rPr>
            </w:pPr>
          </w:p>
        </w:tc>
        <w:tc>
          <w:tcPr>
            <w:tcW w:w="1380" w:type="dxa"/>
            <w:vAlign w:val="bottom"/>
            <w:tcBorders>
              <w:top w:val="single" w:sz="8" w:color="auto"/>
            </w:tcBorders>
            <w:gridSpan w:val="2"/>
            <w:shd w:val="clear" w:color="auto" w:fill="C0C0C0"/>
          </w:tcPr>
          <w:p>
            <w:pPr>
              <w:jc w:val="center"/>
              <w:ind w:right="192"/>
              <w:spacing w:after="0"/>
              <w:rPr>
                <w:sz w:val="20"/>
                <w:szCs w:val="20"/>
                <w:color w:val="auto"/>
              </w:rPr>
            </w:pPr>
            <w:r>
              <w:rPr>
                <w:rFonts w:ascii="Times New Roman" w:cs="Times New Roman" w:eastAsia="Times New Roman" w:hAnsi="Times New Roman"/>
                <w:sz w:val="18"/>
                <w:szCs w:val="18"/>
                <w:color w:val="auto"/>
                <w:w w:val="95"/>
              </w:rPr>
              <w:t>On Vest Date</w:t>
            </w:r>
          </w:p>
        </w:tc>
        <w:tc>
          <w:tcPr>
            <w:tcW w:w="300" w:type="dxa"/>
            <w:vAlign w:val="bottom"/>
            <w:tcBorders>
              <w:top w:val="single" w:sz="8" w:color="auto"/>
            </w:tcBorders>
            <w:shd w:val="clear" w:color="auto" w:fill="C0C0C0"/>
          </w:tcPr>
          <w:p>
            <w:pPr>
              <w:spacing w:after="0"/>
              <w:rPr>
                <w:sz w:val="22"/>
                <w:szCs w:val="22"/>
                <w:color w:val="auto"/>
              </w:rPr>
            </w:pPr>
          </w:p>
        </w:tc>
        <w:tc>
          <w:tcPr>
            <w:tcW w:w="240" w:type="dxa"/>
            <w:vAlign w:val="bottom"/>
            <w:tcBorders>
              <w:top w:val="single" w:sz="8" w:color="C0C0C0"/>
            </w:tcBorders>
            <w:shd w:val="clear" w:color="auto" w:fill="C0C0C0"/>
          </w:tcPr>
          <w:p>
            <w:pPr>
              <w:spacing w:after="0"/>
              <w:rPr>
                <w:sz w:val="22"/>
                <w:szCs w:val="22"/>
                <w:color w:val="auto"/>
              </w:rPr>
            </w:pPr>
          </w:p>
        </w:tc>
        <w:tc>
          <w:tcPr>
            <w:tcW w:w="280" w:type="dxa"/>
            <w:vAlign w:val="bottom"/>
            <w:tcBorders>
              <w:top w:val="single" w:sz="8" w:color="auto"/>
            </w:tcBorders>
            <w:shd w:val="clear" w:color="auto" w:fill="C0C0C0"/>
          </w:tcPr>
          <w:p>
            <w:pPr>
              <w:spacing w:after="0"/>
              <w:rPr>
                <w:sz w:val="22"/>
                <w:szCs w:val="22"/>
                <w:color w:val="auto"/>
              </w:rPr>
            </w:pPr>
          </w:p>
        </w:tc>
        <w:tc>
          <w:tcPr>
            <w:tcW w:w="1600" w:type="dxa"/>
            <w:vAlign w:val="bottom"/>
            <w:tcBorders>
              <w:top w:val="single" w:sz="8" w:color="auto"/>
            </w:tcBorders>
            <w:gridSpan w:val="2"/>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7"/>
              </w:rPr>
              <w:t>[__/__/__]**</w:t>
            </w:r>
          </w:p>
        </w:tc>
        <w:tc>
          <w:tcPr>
            <w:tcW w:w="360" w:type="dxa"/>
            <w:vAlign w:val="bottom"/>
            <w:tcBorders>
              <w:top w:val="single" w:sz="8" w:color="auto"/>
            </w:tcBorders>
            <w:shd w:val="clear" w:color="auto" w:fill="C0C0C0"/>
          </w:tcPr>
          <w:p>
            <w:pPr>
              <w:spacing w:after="0"/>
              <w:rPr>
                <w:sz w:val="22"/>
                <w:szCs w:val="22"/>
                <w:color w:val="auto"/>
              </w:rPr>
            </w:pPr>
          </w:p>
        </w:tc>
        <w:tc>
          <w:tcPr>
            <w:tcW w:w="220" w:type="dxa"/>
            <w:vAlign w:val="bottom"/>
            <w:tcBorders>
              <w:top w:val="single" w:sz="8" w:color="C0C0C0"/>
            </w:tcBorders>
            <w:shd w:val="clear" w:color="auto" w:fill="C0C0C0"/>
          </w:tcPr>
          <w:p>
            <w:pPr>
              <w:spacing w:after="0"/>
              <w:rPr>
                <w:sz w:val="22"/>
                <w:szCs w:val="22"/>
                <w:color w:val="auto"/>
              </w:rPr>
            </w:pPr>
          </w:p>
        </w:tc>
        <w:tc>
          <w:tcPr>
            <w:tcW w:w="2460" w:type="dxa"/>
            <w:vAlign w:val="bottom"/>
            <w:tcBorders>
              <w:top w:val="single" w:sz="8" w:color="auto"/>
            </w:tcBorders>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7"/>
              </w:rPr>
              <w:t>[10 years from Grant Date]</w:t>
            </w:r>
          </w:p>
        </w:tc>
        <w:tc>
          <w:tcPr>
            <w:tcW w:w="940" w:type="dxa"/>
            <w:vAlign w:val="bottom"/>
          </w:tcPr>
          <w:p>
            <w:pPr>
              <w:spacing w:after="0"/>
              <w:rPr>
                <w:sz w:val="22"/>
                <w:szCs w:val="22"/>
                <w:color w:val="auto"/>
              </w:rPr>
            </w:pPr>
          </w:p>
        </w:tc>
      </w:tr>
      <w:tr>
        <w:trPr>
          <w:trHeight w:val="259"/>
        </w:trPr>
        <w:tc>
          <w:tcPr>
            <w:tcW w:w="2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8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w w:val="95"/>
              </w:rPr>
              <w:t>On Vest Date</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[__/__/__]**</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7"/>
              </w:rPr>
              <w:t>[10 years from Grant Date]</w:t>
            </w:r>
          </w:p>
        </w:tc>
      </w:tr>
      <w:tr>
        <w:trPr>
          <w:trHeight w:val="271"/>
        </w:trPr>
        <w:tc>
          <w:tcPr>
            <w:tcW w:w="460" w:type="dxa"/>
            <w:vAlign w:val="bottom"/>
          </w:tcPr>
          <w:p>
            <w:pPr>
              <w:spacing w:after="0"/>
              <w:rPr>
                <w:sz w:val="23"/>
                <w:szCs w:val="23"/>
                <w:color w:val="auto"/>
              </w:rPr>
            </w:pPr>
          </w:p>
        </w:tc>
        <w:tc>
          <w:tcPr>
            <w:tcW w:w="2200" w:type="dxa"/>
            <w:vAlign w:val="bottom"/>
            <w:shd w:val="clear" w:color="auto" w:fill="C0C0C0"/>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0C0C0"/>
          </w:tcPr>
          <w:p>
            <w:pPr>
              <w:spacing w:after="0"/>
              <w:rPr>
                <w:sz w:val="23"/>
                <w:szCs w:val="23"/>
                <w:color w:val="auto"/>
              </w:rPr>
            </w:pPr>
          </w:p>
        </w:tc>
        <w:tc>
          <w:tcPr>
            <w:tcW w:w="560" w:type="dxa"/>
            <w:vAlign w:val="bottom"/>
            <w:shd w:val="clear" w:color="auto" w:fill="C0C0C0"/>
          </w:tcPr>
          <w:p>
            <w:pPr>
              <w:spacing w:after="0"/>
              <w:rPr>
                <w:sz w:val="23"/>
                <w:szCs w:val="23"/>
                <w:color w:val="auto"/>
              </w:rPr>
            </w:pPr>
          </w:p>
        </w:tc>
        <w:tc>
          <w:tcPr>
            <w:tcW w:w="1380" w:type="dxa"/>
            <w:vAlign w:val="bottom"/>
            <w:gridSpan w:val="2"/>
            <w:shd w:val="clear" w:color="auto" w:fill="C0C0C0"/>
          </w:tcPr>
          <w:p>
            <w:pPr>
              <w:jc w:val="center"/>
              <w:ind w:right="192"/>
              <w:spacing w:after="0"/>
              <w:rPr>
                <w:sz w:val="20"/>
                <w:szCs w:val="20"/>
                <w:color w:val="auto"/>
              </w:rPr>
            </w:pPr>
            <w:r>
              <w:rPr>
                <w:rFonts w:ascii="Times New Roman" w:cs="Times New Roman" w:eastAsia="Times New Roman" w:hAnsi="Times New Roman"/>
                <w:sz w:val="18"/>
                <w:szCs w:val="18"/>
                <w:color w:val="auto"/>
                <w:w w:val="95"/>
              </w:rPr>
              <w:t>On Vest Date</w:t>
            </w:r>
          </w:p>
        </w:tc>
        <w:tc>
          <w:tcPr>
            <w:tcW w:w="300" w:type="dxa"/>
            <w:vAlign w:val="bottom"/>
            <w:shd w:val="clear" w:color="auto" w:fill="C0C0C0"/>
          </w:tcPr>
          <w:p>
            <w:pPr>
              <w:spacing w:after="0"/>
              <w:rPr>
                <w:sz w:val="23"/>
                <w:szCs w:val="23"/>
                <w:color w:val="auto"/>
              </w:rPr>
            </w:pPr>
          </w:p>
        </w:tc>
        <w:tc>
          <w:tcPr>
            <w:tcW w:w="240" w:type="dxa"/>
            <w:vAlign w:val="bottom"/>
            <w:shd w:val="clear" w:color="auto" w:fill="C0C0C0"/>
          </w:tcPr>
          <w:p>
            <w:pPr>
              <w:spacing w:after="0"/>
              <w:rPr>
                <w:sz w:val="23"/>
                <w:szCs w:val="23"/>
                <w:color w:val="auto"/>
              </w:rPr>
            </w:pPr>
          </w:p>
        </w:tc>
        <w:tc>
          <w:tcPr>
            <w:tcW w:w="280" w:type="dxa"/>
            <w:vAlign w:val="bottom"/>
            <w:shd w:val="clear" w:color="auto" w:fill="C0C0C0"/>
          </w:tcPr>
          <w:p>
            <w:pPr>
              <w:spacing w:after="0"/>
              <w:rPr>
                <w:sz w:val="23"/>
                <w:szCs w:val="23"/>
                <w:color w:val="auto"/>
              </w:rPr>
            </w:pPr>
          </w:p>
        </w:tc>
        <w:tc>
          <w:tcPr>
            <w:tcW w:w="1600" w:type="dxa"/>
            <w:vAlign w:val="bottom"/>
            <w:gridSpan w:val="2"/>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7"/>
              </w:rPr>
              <w:t>[__/__/__]**</w:t>
            </w:r>
          </w:p>
        </w:tc>
        <w:tc>
          <w:tcPr>
            <w:tcW w:w="360" w:type="dxa"/>
            <w:vAlign w:val="bottom"/>
            <w:shd w:val="clear" w:color="auto" w:fill="C0C0C0"/>
          </w:tcPr>
          <w:p>
            <w:pPr>
              <w:spacing w:after="0"/>
              <w:rPr>
                <w:sz w:val="23"/>
                <w:szCs w:val="23"/>
                <w:color w:val="auto"/>
              </w:rPr>
            </w:pPr>
          </w:p>
        </w:tc>
        <w:tc>
          <w:tcPr>
            <w:tcW w:w="220" w:type="dxa"/>
            <w:vAlign w:val="bottom"/>
            <w:shd w:val="clear" w:color="auto" w:fill="C0C0C0"/>
          </w:tcPr>
          <w:p>
            <w:pPr>
              <w:spacing w:after="0"/>
              <w:rPr>
                <w:sz w:val="23"/>
                <w:szCs w:val="23"/>
                <w:color w:val="auto"/>
              </w:rPr>
            </w:pPr>
          </w:p>
        </w:tc>
        <w:tc>
          <w:tcPr>
            <w:tcW w:w="2460" w:type="dxa"/>
            <w:vAlign w:val="bottom"/>
            <w:shd w:val="clear" w:color="auto" w:fill="C0C0C0"/>
          </w:tcPr>
          <w:p>
            <w:pPr>
              <w:jc w:val="center"/>
              <w:spacing w:after="0"/>
              <w:rPr>
                <w:sz w:val="20"/>
                <w:szCs w:val="20"/>
                <w:color w:val="auto"/>
              </w:rPr>
            </w:pPr>
            <w:r>
              <w:rPr>
                <w:rFonts w:ascii="Times New Roman" w:cs="Times New Roman" w:eastAsia="Times New Roman" w:hAnsi="Times New Roman"/>
                <w:sz w:val="18"/>
                <w:szCs w:val="18"/>
                <w:color w:val="auto"/>
                <w:w w:val="97"/>
              </w:rPr>
              <w:t>[10 years from Grant Date]</w:t>
            </w:r>
          </w:p>
        </w:tc>
        <w:tc>
          <w:tcPr>
            <w:tcW w:w="940" w:type="dxa"/>
            <w:vAlign w:val="bottom"/>
          </w:tcPr>
          <w:p>
            <w:pPr>
              <w:spacing w:after="0"/>
              <w:rPr>
                <w:sz w:val="23"/>
                <w:szCs w:val="23"/>
                <w:color w:val="auto"/>
              </w:rPr>
            </w:pPr>
          </w:p>
        </w:tc>
      </w:tr>
      <w:tr>
        <w:trPr>
          <w:trHeight w:val="253"/>
        </w:trPr>
        <w:tc>
          <w:tcPr>
            <w:tcW w:w="2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80" w:type="dxa"/>
            <w:vAlign w:val="bottom"/>
            <w:gridSpan w:val="2"/>
          </w:tcPr>
          <w:p>
            <w:pPr>
              <w:jc w:val="center"/>
              <w:ind w:right="192"/>
              <w:spacing w:after="0"/>
              <w:rPr>
                <w:sz w:val="20"/>
                <w:szCs w:val="20"/>
                <w:color w:val="auto"/>
              </w:rPr>
            </w:pPr>
            <w:r>
              <w:rPr>
                <w:rFonts w:ascii="Times New Roman" w:cs="Times New Roman" w:eastAsia="Times New Roman" w:hAnsi="Times New Roman"/>
                <w:sz w:val="18"/>
                <w:szCs w:val="18"/>
                <w:color w:val="auto"/>
                <w:w w:val="95"/>
              </w:rPr>
              <w:t>On Vest Date</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[__/__/__]**</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color w:val="auto"/>
                <w:w w:val="97"/>
              </w:rPr>
              <w:t>[10 years from Grant Date]</w:t>
            </w:r>
          </w:p>
        </w:tc>
      </w:tr>
      <w:tr>
        <w:trPr>
          <w:trHeight w:val="503"/>
        </w:trPr>
        <w:tc>
          <w:tcPr>
            <w:tcW w:w="460" w:type="dxa"/>
            <w:vAlign w:val="bottom"/>
          </w:tcPr>
          <w:p>
            <w:pPr>
              <w:spacing w:after="0"/>
              <w:rPr>
                <w:sz w:val="24"/>
                <w:szCs w:val="24"/>
                <w:color w:val="auto"/>
              </w:rPr>
            </w:pPr>
          </w:p>
        </w:tc>
        <w:tc>
          <w:tcPr>
            <w:tcW w:w="3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 Non-Qualified Stock Option expires on [</w:t>
            </w:r>
          </w:p>
        </w:tc>
        <w:tc>
          <w:tcPr>
            <w:tcW w:w="2680" w:type="dxa"/>
            <w:vAlign w:val="bottom"/>
            <w:gridSpan w:val="5"/>
          </w:tcPr>
          <w:p>
            <w:pPr>
              <w:jc w:val="right"/>
              <w:ind w:right="292"/>
              <w:spacing w:after="0"/>
              <w:rPr>
                <w:sz w:val="20"/>
                <w:szCs w:val="20"/>
                <w:color w:val="auto"/>
              </w:rPr>
            </w:pPr>
            <w:r>
              <w:rPr>
                <w:rFonts w:ascii="Times New Roman" w:cs="Times New Roman" w:eastAsia="Times New Roman" w:hAnsi="Times New Roman"/>
                <w:sz w:val="18"/>
                <w:szCs w:val="18"/>
                <w:color w:val="auto"/>
              </w:rPr>
              <w:t>]*** (the “Expiration Date”).</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386080</wp:posOffset>
            </wp:positionV>
            <wp:extent cx="71348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You and the Company agree that these options are granted under and governed by the terms and conditions of the Second Amended and Restated Regeneron</w:t>
      </w:r>
    </w:p>
    <w:p>
      <w:pPr>
        <w:spacing w:after="0" w:line="10" w:lineRule="exact"/>
        <w:rPr>
          <w:sz w:val="20"/>
          <w:szCs w:val="20"/>
          <w:color w:val="auto"/>
        </w:rPr>
      </w:pPr>
    </w:p>
    <w:p>
      <w:pPr>
        <w:ind w:left="20" w:right="320"/>
        <w:spacing w:after="0" w:line="222" w:lineRule="auto"/>
        <w:rPr>
          <w:sz w:val="20"/>
          <w:szCs w:val="20"/>
          <w:color w:val="auto"/>
        </w:rPr>
      </w:pPr>
      <w:r>
        <w:rPr>
          <w:rFonts w:ascii="Times New Roman" w:cs="Times New Roman" w:eastAsia="Times New Roman" w:hAnsi="Times New Roman"/>
          <w:sz w:val="18"/>
          <w:szCs w:val="18"/>
          <w:color w:val="auto"/>
        </w:rPr>
        <w:t>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168275</wp:posOffset>
            </wp:positionV>
            <wp:extent cx="71348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245" w:lineRule="exact"/>
        <w:rPr>
          <w:sz w:val="20"/>
          <w:szCs w:val="20"/>
          <w:color w:val="auto"/>
        </w:rPr>
      </w:pPr>
    </w:p>
    <w:p>
      <w:pPr>
        <w:ind w:left="560" w:right="440" w:hanging="536"/>
        <w:spacing w:after="0" w:line="234" w:lineRule="auto"/>
        <w:tabs>
          <w:tab w:leader="none" w:pos="5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for executive officers will vest in approximately equal annual 25% installments. Full Vest Dates will occur on the first, second, third and fourth anniversaries of the Grant Date.</w:t>
      </w:r>
    </w:p>
    <w:p>
      <w:pPr>
        <w:spacing w:after="0" w:line="272" w:lineRule="exact"/>
        <w:rPr>
          <w:rFonts w:ascii="Times New Roman" w:cs="Times New Roman" w:eastAsia="Times New Roman" w:hAnsi="Times New Roman"/>
          <w:sz w:val="18"/>
          <w:szCs w:val="18"/>
          <w:color w:val="auto"/>
        </w:rPr>
      </w:pPr>
    </w:p>
    <w:p>
      <w:pPr>
        <w:ind w:left="560" w:hanging="536"/>
        <w:spacing w:after="0"/>
        <w:tabs>
          <w:tab w:leader="none" w:pos="5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to be 10 years from the Grant Date.</w:t>
      </w:r>
    </w:p>
    <w:p>
      <w:pPr>
        <w:sectPr>
          <w:pgSz w:w="11900" w:h="16838" w:orient="portrait"/>
          <w:cols w:equalWidth="0" w:num="1">
            <w:col w:w="11240"/>
          </w:cols>
          <w:pgMar w:left="320" w:top="108"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5"/>
          <w:szCs w:val="25"/>
          <w:b w:val="1"/>
          <w:bCs w:val="1"/>
          <w:color w:val="800000"/>
        </w:rPr>
        <w:t>REGENERON PHARMACEUTICALS, INC.</w:t>
      </w:r>
    </w:p>
    <w:p>
      <w:pPr>
        <w:spacing w:after="0" w:line="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b w:val="1"/>
          <w:bCs w:val="1"/>
          <w:color w:val="auto"/>
        </w:rPr>
        <w:t>Non-Qualified Stock Option</w:t>
      </w:r>
    </w:p>
    <w:p>
      <w:pPr>
        <w:spacing w:after="0" w:line="7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OPTION AGREEMENT</w:t>
      </w:r>
    </w:p>
    <w:p>
      <w:pPr>
        <w:jc w:val="center"/>
        <w:spacing w:after="0" w:line="210" w:lineRule="auto"/>
        <w:rPr>
          <w:sz w:val="20"/>
          <w:szCs w:val="20"/>
          <w:color w:val="auto"/>
        </w:rPr>
      </w:pPr>
      <w:r>
        <w:rPr>
          <w:rFonts w:ascii="Times New Roman" w:cs="Times New Roman" w:eastAsia="Times New Roman" w:hAnsi="Times New Roman"/>
          <w:sz w:val="21"/>
          <w:szCs w:val="21"/>
          <w:b w:val="1"/>
          <w:bCs w:val="1"/>
          <w:color w:val="auto"/>
        </w:rPr>
        <w:t>PURSUANT TO</w:t>
      </w:r>
    </w:p>
    <w:p>
      <w:pPr>
        <w:jc w:val="center"/>
        <w:spacing w:after="0" w:line="211" w:lineRule="auto"/>
        <w:rPr>
          <w:sz w:val="20"/>
          <w:szCs w:val="20"/>
          <w:color w:val="auto"/>
        </w:rPr>
      </w:pPr>
      <w:r>
        <w:rPr>
          <w:rFonts w:ascii="Times New Roman" w:cs="Times New Roman" w:eastAsia="Times New Roman" w:hAnsi="Times New Roman"/>
          <w:sz w:val="21"/>
          <w:szCs w:val="21"/>
          <w:b w:val="1"/>
          <w:bCs w:val="1"/>
          <w:color w:val="auto"/>
        </w:rPr>
        <w:t>THE SECOND AMENDED AND RESTATED REGENERON PHARMACEUTICALS,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2014 LONG-TERM INCENTIVE PLAN</w:t>
      </w:r>
    </w:p>
    <w:p>
      <w:pPr>
        <w:spacing w:after="0" w:line="192" w:lineRule="exact"/>
        <w:rPr>
          <w:sz w:val="20"/>
          <w:szCs w:val="20"/>
          <w:color w:val="auto"/>
        </w:rPr>
      </w:pPr>
    </w:p>
    <w:p>
      <w:pPr>
        <w:jc w:val="both"/>
        <w:ind w:firstLine="1272"/>
        <w:spacing w:after="0" w:line="223"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made as of the date of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by and between Regeneron Pharmaceuticals, Inc., a New York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employee named on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Any capitalized term used but not defined in this Agreement shall have the meaning given to such term in the Plan (as defined below).</w:t>
      </w:r>
    </w:p>
    <w:p>
      <w:pPr>
        <w:spacing w:after="0" w:line="61" w:lineRule="exact"/>
        <w:rPr>
          <w:sz w:val="20"/>
          <w:szCs w:val="20"/>
          <w:color w:val="auto"/>
        </w:rPr>
      </w:pPr>
    </w:p>
    <w:p>
      <w:pPr>
        <w:jc w:val="both"/>
        <w:ind w:firstLine="1272"/>
        <w:spacing w:after="0" w:line="222" w:lineRule="auto"/>
        <w:rPr>
          <w:sz w:val="20"/>
          <w:szCs w:val="20"/>
          <w:color w:val="auto"/>
        </w:rPr>
      </w:pPr>
      <w:r>
        <w:rPr>
          <w:rFonts w:ascii="Times New Roman" w:cs="Times New Roman" w:eastAsia="Times New Roman" w:hAnsi="Times New Roman"/>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62" w:lineRule="exact"/>
        <w:rPr>
          <w:sz w:val="20"/>
          <w:szCs w:val="20"/>
          <w:color w:val="auto"/>
        </w:rPr>
      </w:pPr>
    </w:p>
    <w:p>
      <w:pPr>
        <w:jc w:val="both"/>
        <w:ind w:firstLine="1272"/>
        <w:spacing w:after="0" w:line="225" w:lineRule="auto"/>
        <w:rPr>
          <w:sz w:val="20"/>
          <w:szCs w:val="20"/>
          <w:color w:val="auto"/>
        </w:rPr>
      </w:pPr>
      <w:r>
        <w:rPr>
          <w:rFonts w:ascii="Times New Roman" w:cs="Times New Roman" w:eastAsia="Times New Roman" w:hAnsi="Times New Roman"/>
          <w:sz w:val="17"/>
          <w:szCs w:val="17"/>
          <w:color w:val="auto"/>
        </w:rPr>
        <w:t>WHEREAS, the Committee administering the Second Amended and Restated Regeneron Pharmaceuticals, Inc. 2014 Long-Term Incentive Plan (as amended from time to time,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xml:space="preserve">”) has granted (as of the effective date of grant specified in the </w:t>
      </w:r>
      <w:r>
        <w:rPr>
          <w:rFonts w:ascii="Times New Roman" w:cs="Times New Roman" w:eastAsia="Times New Roman" w:hAnsi="Times New Roman"/>
          <w:sz w:val="17"/>
          <w:szCs w:val="17"/>
          <w:i w:val="1"/>
          <w:iCs w:val="1"/>
          <w:color w:val="auto"/>
        </w:rPr>
        <w:t>Notice of Grant of Stock Options</w:t>
      </w:r>
      <w:r>
        <w:rPr>
          <w:rFonts w:ascii="Times New Roman" w:cs="Times New Roman" w:eastAsia="Times New Roman" w:hAnsi="Times New Roman"/>
          <w:sz w:val="17"/>
          <w:szCs w:val="17"/>
          <w:color w:val="auto"/>
        </w:rPr>
        <w:t>) to the Grantee a Stock Option to purchase the number of shares of the Company’s common stock, $0.001 par value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as set forth in the</w:t>
      </w:r>
    </w:p>
    <w:p>
      <w:pPr>
        <w:spacing w:after="0"/>
        <w:rPr>
          <w:sz w:val="20"/>
          <w:szCs w:val="20"/>
          <w:color w:val="auto"/>
        </w:rPr>
      </w:pP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NOW, THEREFORE, in consideration of the covenants and agreements herein contained, the parties agree as follows:</w:t>
      </w:r>
    </w:p>
    <w:p>
      <w:pPr>
        <w:spacing w:after="0" w:line="69" w:lineRule="exact"/>
        <w:rPr>
          <w:sz w:val="20"/>
          <w:szCs w:val="20"/>
          <w:color w:val="auto"/>
        </w:rPr>
      </w:pPr>
    </w:p>
    <w:p>
      <w:pPr>
        <w:jc w:val="both"/>
        <w:ind w:firstLine="642"/>
        <w:spacing w:after="0" w:line="221" w:lineRule="auto"/>
        <w:tabs>
          <w:tab w:leader="none" w:pos="1007"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of Award. </w:t>
      </w:r>
      <w:r>
        <w:rPr>
          <w:rFonts w:ascii="Times New Roman" w:cs="Times New Roman" w:eastAsia="Times New Roman" w:hAnsi="Times New Roman"/>
          <w:sz w:val="18"/>
          <w:szCs w:val="18"/>
          <w:color w:val="auto"/>
        </w:rPr>
        <w:t>Pursuant to Section 7 of the Plan, the Company grants to the Grantee, subject to the terms and conditions of the Plan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further to the terms and conditions set forth herein, the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to purchase from the Company all or any part of an aggregate of shares of Common Stock at the purchase price per share as shown on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No part of the Option granted hereby is intended to qualify as an Incentive Stock Option under Section 422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w:t>
      </w:r>
    </w:p>
    <w:p>
      <w:pPr>
        <w:spacing w:after="0" w:line="59" w:lineRule="exact"/>
        <w:rPr>
          <w:rFonts w:ascii="Times New Roman" w:cs="Times New Roman" w:eastAsia="Times New Roman" w:hAnsi="Times New Roman"/>
          <w:sz w:val="18"/>
          <w:szCs w:val="18"/>
          <w:b w:val="1"/>
          <w:bCs w:val="1"/>
          <w:color w:val="auto"/>
        </w:rPr>
      </w:pPr>
    </w:p>
    <w:p>
      <w:pPr>
        <w:jc w:val="both"/>
        <w:ind w:firstLine="642"/>
        <w:spacing w:after="0" w:line="211" w:lineRule="auto"/>
        <w:tabs>
          <w:tab w:leader="none" w:pos="94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Exercise. </w:t>
      </w:r>
      <w:r>
        <w:rPr>
          <w:rFonts w:ascii="Times New Roman" w:cs="Times New Roman" w:eastAsia="Times New Roman" w:hAnsi="Times New Roman"/>
          <w:sz w:val="18"/>
          <w:szCs w:val="18"/>
          <w:color w:val="auto"/>
        </w:rPr>
        <w:t>(a) The Option becomes exercisable in installments as provided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To the extent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Option has become exercisable with respect to the number of shares of Common Stock as provided on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Company shall have the right to require the Grantee in connection with the exercise of the Option to remit to the Company in cash an amount sufficient to satisfy any federal, state and local withholding tax requirements related thereto.</w:t>
      </w:r>
    </w:p>
    <w:p>
      <w:pPr>
        <w:spacing w:after="0" w:line="49" w:lineRule="exact"/>
        <w:rPr>
          <w:sz w:val="20"/>
          <w:szCs w:val="20"/>
          <w:color w:val="auto"/>
        </w:rPr>
      </w:pPr>
    </w:p>
    <w:p>
      <w:pPr>
        <w:jc w:val="both"/>
        <w:ind w:left="80" w:firstLine="562"/>
        <w:spacing w:after="0" w:line="214" w:lineRule="auto"/>
        <w:tabs>
          <w:tab w:leader="none" w:pos="127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Notice of Grant of Stock Options</w:t>
      </w:r>
      <w:r>
        <w:rPr>
          <w:rFonts w:ascii="Times New Roman" w:cs="Times New Roman" w:eastAsia="Times New Roman" w:hAnsi="Times New Roman"/>
          <w:sz w:val="17"/>
          <w:szCs w:val="17"/>
          <w:color w:val="auto"/>
        </w:rPr>
        <w:t xml:space="preserve"> indicates each date upon which the Grantee shall become entitled to exercise the Option with respect to the number of shares of Common Stock granted as indicated provided that [(except with respect to retirement on the terms set forth below)]</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 xml:space="preserve"> the Grantee has not incurred a termination of employment or service with the Company and all Subsidiaries (the Company and all Subsidiaries shall be referred to herein, collectively, as the “</w:t>
      </w:r>
      <w:r>
        <w:rPr>
          <w:rFonts w:ascii="Times New Roman" w:cs="Times New Roman" w:eastAsia="Times New Roman" w:hAnsi="Times New Roman"/>
          <w:sz w:val="17"/>
          <w:szCs w:val="17"/>
          <w:u w:val="single" w:color="auto"/>
          <w:color w:val="auto"/>
        </w:rPr>
        <w:t>Employer</w:t>
      </w:r>
      <w:r>
        <w:rPr>
          <w:rFonts w:ascii="Times New Roman" w:cs="Times New Roman" w:eastAsia="Times New Roman" w:hAnsi="Times New Roman"/>
          <w:sz w:val="17"/>
          <w:szCs w:val="17"/>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Times New Roman" w:cs="Times New Roman" w:eastAsia="Times New Roman" w:hAnsi="Times New Roman"/>
          <w:sz w:val="17"/>
          <w:szCs w:val="17"/>
          <w:i w:val="1"/>
          <w:iCs w:val="1"/>
          <w:color w:val="auto"/>
        </w:rPr>
        <w:t>Notice of Grant of Stock Options</w:t>
      </w:r>
      <w:r>
        <w:rPr>
          <w:rFonts w:ascii="Times New Roman" w:cs="Times New Roman" w:eastAsia="Times New Roman" w:hAnsi="Times New Roman"/>
          <w:sz w:val="17"/>
          <w:szCs w:val="17"/>
          <w:color w:val="auto"/>
        </w:rPr>
        <w:t xml:space="preserve"> and all vesting shall occur only on such Full Vest Dates. Except as otherwise provided below or in the Plan, no vesting shall occur after such date as the Grantee ceases to be employed by or provide services to the Employer and the entire unvested portion of the Option shall be forfeited at such time. [Notwithstanding the preceding sentence, upon the Grantee’s retirement (as defined in the applicable Company policy as in effect on the date hereof), the Option shall continue to vest in installments as provided in the </w:t>
      </w:r>
      <w:r>
        <w:rPr>
          <w:rFonts w:ascii="Times New Roman" w:cs="Times New Roman" w:eastAsia="Times New Roman" w:hAnsi="Times New Roman"/>
          <w:sz w:val="17"/>
          <w:szCs w:val="17"/>
          <w:i w:val="1"/>
          <w:iCs w:val="1"/>
          <w:color w:val="auto"/>
        </w:rPr>
        <w:t>Notice of Grant of Stock Options</w:t>
      </w:r>
      <w:r>
        <w:rPr>
          <w:rFonts w:ascii="Times New Roman" w:cs="Times New Roman" w:eastAsia="Times New Roman" w:hAnsi="Times New Roman"/>
          <w:sz w:val="17"/>
          <w:szCs w:val="17"/>
          <w:color w:val="auto"/>
        </w:rPr>
        <w:t xml:space="preserve"> as if the Grantee had continued to be employed by or provide services to the Employer.]</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 xml:space="preserve"> For the avoidance of doubt and notwithstanding anything herein or in the </w:t>
      </w:r>
      <w:r>
        <w:rPr>
          <w:rFonts w:ascii="Times New Roman" w:cs="Times New Roman" w:eastAsia="Times New Roman" w:hAnsi="Times New Roman"/>
          <w:sz w:val="17"/>
          <w:szCs w:val="17"/>
          <w:i w:val="1"/>
          <w:iCs w:val="1"/>
          <w:color w:val="auto"/>
        </w:rPr>
        <w:t>Notice of Grant of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to the contrary, any outstanding and unvested portion of the Option shall become fully vested on the date of the Grantee’s death. The provisions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this Section 2(b) are subject to (i) the provisions set forth in the </w:t>
      </w:r>
      <w:r>
        <w:rPr>
          <w:rFonts w:ascii="Times New Roman" w:cs="Times New Roman" w:eastAsia="Times New Roman" w:hAnsi="Times New Roman"/>
          <w:sz w:val="17"/>
          <w:szCs w:val="17"/>
          <w:i w:val="1"/>
          <w:iCs w:val="1"/>
          <w:color w:val="auto"/>
        </w:rPr>
        <w:t>Notice of Grant of Stock Options</w:t>
      </w:r>
      <w:r>
        <w:rPr>
          <w:rFonts w:ascii="Times New Roman" w:cs="Times New Roman" w:eastAsia="Times New Roman" w:hAnsi="Times New Roman"/>
          <w:sz w:val="17"/>
          <w:szCs w:val="17"/>
          <w:color w:val="auto"/>
        </w:rPr>
        <w:t xml:space="preserve"> or any employment agreement, consulting agreement, change in control agreement or plan, or similar agreement or plan in effect between the Employer and the Grantee (or otherwise applicable to the Grantee) on the date of grant specified in the </w:t>
      </w:r>
      <w:r>
        <w:rPr>
          <w:rFonts w:ascii="Times New Roman" w:cs="Times New Roman" w:eastAsia="Times New Roman" w:hAnsi="Times New Roman"/>
          <w:sz w:val="17"/>
          <w:szCs w:val="17"/>
          <w:i w:val="1"/>
          <w:iCs w:val="1"/>
          <w:color w:val="auto"/>
        </w:rPr>
        <w:t>Notice of Grant of Stock Options</w:t>
      </w:r>
      <w:r>
        <w:rPr>
          <w:rFonts w:ascii="Times New Roman" w:cs="Times New Roman" w:eastAsia="Times New Roman" w:hAnsi="Times New Roman"/>
          <w:sz w:val="17"/>
          <w:szCs w:val="17"/>
          <w:color w:val="auto"/>
        </w:rPr>
        <w:t xml:space="preserve"> and (ii) the Committee’s determination in accordance with Section 7(e) of the Plan.</w:t>
      </w:r>
    </w:p>
    <w:p>
      <w:pPr>
        <w:spacing w:after="0" w:line="48" w:lineRule="exact"/>
        <w:rPr>
          <w:rFonts w:ascii="Times New Roman" w:cs="Times New Roman" w:eastAsia="Times New Roman" w:hAnsi="Times New Roman"/>
          <w:sz w:val="17"/>
          <w:szCs w:val="17"/>
          <w:color w:val="auto"/>
        </w:rPr>
      </w:pPr>
    </w:p>
    <w:p>
      <w:pPr>
        <w:jc w:val="both"/>
        <w:ind w:left="80" w:firstLine="638"/>
        <w:spacing w:after="0" w:line="228" w:lineRule="auto"/>
        <w:tabs>
          <w:tab w:leader="none" w:pos="96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(except the following sentence) or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to the contrary, but subject to the provisions of any employment agreement, consulting agreement, change in control agreement or plan, or similar agreement or plan in effect between the Employer and the Grantee (or otherwise applicable to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16827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1">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141" w:lineRule="exact"/>
        <w:rPr>
          <w:sz w:val="20"/>
          <w:szCs w:val="20"/>
          <w:color w:val="auto"/>
        </w:rPr>
      </w:pPr>
    </w:p>
    <w:p>
      <w:pPr>
        <w:ind w:left="100" w:hanging="94"/>
        <w:spacing w:after="0"/>
        <w:tabs>
          <w:tab w:leader="none" w:pos="100"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Only applicable to Option Agreements for George D. Yancopoulos, M.D., Ph.D.</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Only applicable to Option Agreements for George D. Yancopoulos, M.D., Ph.D.</w:t>
      </w:r>
    </w:p>
    <w:p>
      <w:pPr>
        <w:sectPr>
          <w:pgSz w:w="11900" w:h="16838" w:orient="portrait"/>
          <w:cols w:equalWidth="0" w:num="1">
            <w:col w:w="11240"/>
          </w:cols>
          <w:pgMar w:left="320" w:top="722" w:right="339" w:bottom="1440" w:gutter="0" w:footer="0" w:header="0"/>
        </w:sectPr>
      </w:pPr>
    </w:p>
    <w:bookmarkStart w:id="147" w:name="page148"/>
    <w:bookmarkEnd w:id="147"/>
    <w:p>
      <w:pPr>
        <w:jc w:val="both"/>
        <w:ind w:left="80"/>
        <w:spacing w:after="0" w:line="233" w:lineRule="auto"/>
        <w:rPr>
          <w:sz w:val="20"/>
          <w:szCs w:val="20"/>
          <w:color w:val="auto"/>
        </w:rPr>
      </w:pPr>
      <w:r>
        <w:rPr>
          <w:rFonts w:ascii="Times New Roman" w:cs="Times New Roman" w:eastAsia="Times New Roman" w:hAnsi="Times New Roman"/>
          <w:sz w:val="17"/>
          <w:szCs w:val="17"/>
          <w:color w:val="auto"/>
        </w:rPr>
        <w:t xml:space="preserve">on the date of grant specified in the </w:t>
      </w:r>
      <w:r>
        <w:rPr>
          <w:rFonts w:ascii="Times New Roman" w:cs="Times New Roman" w:eastAsia="Times New Roman" w:hAnsi="Times New Roman"/>
          <w:sz w:val="17"/>
          <w:szCs w:val="17"/>
          <w:i w:val="1"/>
          <w:iCs w:val="1"/>
          <w:color w:val="auto"/>
        </w:rPr>
        <w:t>Notice of Grant of Stock Options,</w:t>
      </w:r>
      <w:r>
        <w:rPr>
          <w:rFonts w:ascii="Times New Roman" w:cs="Times New Roman" w:eastAsia="Times New Roman" w:hAnsi="Times New Roman"/>
          <w:sz w:val="17"/>
          <w:szCs w:val="17"/>
          <w:color w:val="auto"/>
        </w:rPr>
        <w:t xml:space="preserve"> the Option shall be fully vested on the date of termination of the Grantee’s employment with the Employer if the Grantee’s employment with the Employer is terminated on or within two years after the occurrence of a Change in Control by the</w:t>
      </w:r>
    </w:p>
    <w:p>
      <w:pPr>
        <w:jc w:val="both"/>
        <w:ind w:left="80"/>
        <w:spacing w:after="0" w:line="216" w:lineRule="auto"/>
        <w:rPr>
          <w:sz w:val="20"/>
          <w:szCs w:val="20"/>
          <w:color w:val="auto"/>
        </w:rPr>
      </w:pPr>
      <w:r>
        <w:rPr>
          <w:rFonts w:ascii="Times New Roman" w:cs="Times New Roman" w:eastAsia="Times New Roman" w:hAnsi="Times New Roman"/>
          <w:sz w:val="17"/>
          <w:szCs w:val="17"/>
          <w:color w:val="auto"/>
        </w:rPr>
        <w:t xml:space="preserve">Employer (other than for Cause) or by the Grantee for Good Reason.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Times New Roman" w:cs="Times New Roman" w:eastAsia="Times New Roman" w:hAnsi="Times New Roman"/>
          <w:sz w:val="17"/>
          <w:szCs w:val="17"/>
          <w:i w:val="1"/>
          <w:iCs w:val="1"/>
          <w:color w:val="auto"/>
        </w:rPr>
        <w:t>Notice of Grant of Stock Options</w:t>
      </w:r>
      <w:r>
        <w:rPr>
          <w:rFonts w:ascii="Times New Roman" w:cs="Times New Roman" w:eastAsia="Times New Roman" w:hAnsi="Times New Roman"/>
          <w:sz w:val="17"/>
          <w:szCs w:val="17"/>
          <w:color w:val="auto"/>
        </w:rPr>
        <w:t>, if the application of the provision in the foregoing sentence, similar provisions in other</w:t>
      </w:r>
    </w:p>
    <w:p>
      <w:pPr>
        <w:spacing w:after="0" w:line="2" w:lineRule="exact"/>
        <w:rPr>
          <w:sz w:val="20"/>
          <w:szCs w:val="20"/>
          <w:color w:val="auto"/>
        </w:rPr>
      </w:pPr>
    </w:p>
    <w:p>
      <w:pPr>
        <w:jc w:val="both"/>
        <w:ind w:left="80"/>
        <w:spacing w:after="0" w:line="216" w:lineRule="auto"/>
        <w:rPr>
          <w:sz w:val="20"/>
          <w:szCs w:val="20"/>
          <w:color w:val="auto"/>
        </w:rPr>
      </w:pPr>
      <w:r>
        <w:rPr>
          <w:rFonts w:ascii="Times New Roman" w:cs="Times New Roman" w:eastAsia="Times New Roman" w:hAnsi="Times New Roman"/>
          <w:sz w:val="17"/>
          <w:szCs w:val="17"/>
          <w:color w:val="auto"/>
        </w:rPr>
        <w:t>stock option or restricted stock grants, and other payments and benefits payable to the Grantee upon termination of employment with the Employer (collectively, the “</w:t>
      </w:r>
      <w:r>
        <w:rPr>
          <w:rFonts w:ascii="Times New Roman" w:cs="Times New Roman" w:eastAsia="Times New Roman" w:hAnsi="Times New Roman"/>
          <w:sz w:val="17"/>
          <w:szCs w:val="17"/>
          <w:u w:val="single" w:color="auto"/>
          <w:color w:val="auto"/>
        </w:rPr>
        <w:t>Company Payments</w:t>
      </w:r>
      <w:r>
        <w:rPr>
          <w:rFonts w:ascii="Times New Roman" w:cs="Times New Roman" w:eastAsia="Times New Roman" w:hAnsi="Times New Roman"/>
          <w:sz w:val="17"/>
          <w:szCs w:val="17"/>
          <w:color w:val="auto"/>
        </w:rPr>
        <w:t>”) would result in the Grantee being subject to the excise tax payable under Section 4999 of the Code (the “</w:t>
      </w:r>
      <w:r>
        <w:rPr>
          <w:rFonts w:ascii="Times New Roman" w:cs="Times New Roman" w:eastAsia="Times New Roman" w:hAnsi="Times New Roman"/>
          <w:sz w:val="17"/>
          <w:szCs w:val="17"/>
          <w:u w:val="single" w:color="auto"/>
          <w:color w:val="auto"/>
        </w:rPr>
        <w:t>Excise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the amount of any Company Payments shall be automatically reduced to an amount one dollar less than an amount that would subject the Grantee to</w:t>
      </w:r>
    </w:p>
    <w:p>
      <w:pPr>
        <w:spacing w:after="0" w:line="2" w:lineRule="exact"/>
        <w:rPr>
          <w:sz w:val="20"/>
          <w:szCs w:val="20"/>
          <w:color w:val="auto"/>
        </w:rPr>
      </w:pPr>
    </w:p>
    <w:p>
      <w:pPr>
        <w:jc w:val="both"/>
        <w:ind w:left="80"/>
        <w:spacing w:after="0" w:line="216" w:lineRule="auto"/>
        <w:rPr>
          <w:sz w:val="20"/>
          <w:szCs w:val="20"/>
          <w:color w:val="auto"/>
        </w:rPr>
      </w:pPr>
      <w:r>
        <w:rPr>
          <w:rFonts w:ascii="Times New Roman" w:cs="Times New Roman" w:eastAsia="Times New Roman" w:hAnsi="Times New Roman"/>
          <w:sz w:val="17"/>
          <w:szCs w:val="17"/>
          <w:color w:val="auto"/>
        </w:rPr>
        <w:t xml:space="preserve">the Excise Tax;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w:t>
      </w:r>
    </w:p>
    <w:p>
      <w:pPr>
        <w:spacing w:after="0" w:line="2" w:lineRule="exact"/>
        <w:rPr>
          <w:sz w:val="20"/>
          <w:szCs w:val="20"/>
          <w:color w:val="auto"/>
        </w:rPr>
      </w:pPr>
    </w:p>
    <w:p>
      <w:pPr>
        <w:jc w:val="both"/>
        <w:ind w:left="80"/>
        <w:spacing w:after="0" w:line="204" w:lineRule="auto"/>
        <w:rPr>
          <w:sz w:val="20"/>
          <w:szCs w:val="20"/>
          <w:color w:val="auto"/>
        </w:rPr>
      </w:pPr>
      <w:r>
        <w:rPr>
          <w:rFonts w:ascii="Times New Roman" w:cs="Times New Roman" w:eastAsia="Times New Roman" w:hAnsi="Times New Roman"/>
          <w:sz w:val="18"/>
          <w:szCs w:val="18"/>
          <w:color w:val="auto"/>
        </w:rPr>
        <w:t>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w:t>
      </w:r>
    </w:p>
    <w:p>
      <w:pPr>
        <w:spacing w:after="0" w:line="2" w:lineRule="exact"/>
        <w:rPr>
          <w:sz w:val="20"/>
          <w:szCs w:val="20"/>
          <w:color w:val="auto"/>
        </w:rPr>
      </w:pPr>
    </w:p>
    <w:p>
      <w:pPr>
        <w:jc w:val="both"/>
        <w:ind w:left="80"/>
        <w:spacing w:after="0" w:line="222" w:lineRule="auto"/>
        <w:rPr>
          <w:sz w:val="20"/>
          <w:szCs w:val="20"/>
          <w:color w:val="auto"/>
        </w:rPr>
      </w:pPr>
      <w:r>
        <w:rPr>
          <w:rFonts w:ascii="Times New Roman" w:cs="Times New Roman" w:eastAsia="Times New Roman" w:hAnsi="Times New Roman"/>
          <w:sz w:val="18"/>
          <w:szCs w:val="18"/>
          <w:color w:val="auto"/>
        </w:rPr>
        <w:t>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178" w:lineRule="exact"/>
        <w:rPr>
          <w:sz w:val="20"/>
          <w:szCs w:val="20"/>
          <w:color w:val="auto"/>
        </w:rPr>
      </w:pPr>
    </w:p>
    <w:p>
      <w:pPr>
        <w:jc w:val="both"/>
        <w:ind w:firstLine="642"/>
        <w:spacing w:after="0" w:line="203" w:lineRule="auto"/>
        <w:tabs>
          <w:tab w:leader="none" w:pos="963"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Option Term. </w:t>
      </w:r>
      <w:r>
        <w:rPr>
          <w:rFonts w:ascii="Times New Roman" w:cs="Times New Roman" w:eastAsia="Times New Roman" w:hAnsi="Times New Roman"/>
          <w:sz w:val="18"/>
          <w:szCs w:val="18"/>
          <w:color w:val="auto"/>
        </w:rPr>
        <w:t>(a) Except as otherwise provided in the next sentence or in the Plan, the Option shall expire on the tenth anniversary of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Option as shown on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In the event of termination of employment or service with the Employer, except as set forth in any employment agreement, consulting agreement, change in control agreement or plan, or similar agreement or plan in effect between the Employer and the Grantee (or otherwise applicable to the Grantee) on the date of grant specified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or as may be otherwise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applicable Company policy as in effect on the date hereof), or long-term disability, (B) the tenth anniversary of this grant if such termination is due to the Grantee’s retirement (as defined in the applicable Company policy as in effect on the date hereof) [or the Grantee’s death]</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 xml:space="preserve"> [or the Grantee’s death at a time when the Grantee is eligible for retirement (as defined in the applicable Company policy as in effect on the date hereof)]</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8"/>
          <w:szCs w:val="18"/>
          <w:color w:val="auto"/>
        </w:rPr>
        <w:t>, (C) one year after the termination if such termination is due to the Grantee’s [death at a time when the Grantee is not eligible for retirement (as defined in the applicable Company policy as in effect on the date hereof) or due to the Grantee’s]</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 xml:space="preserve"> long-term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by the Employer without Cause or by the Grantee for Good Reason. For the avoidance of doubt, any outstanding and unvested portion of the Option that has become fully vested as a result of termination of the Grantee’s employment or service with the Employer on account of the Grantee’s death pursuant to Section 7(e)(2) of the Plan and Section 2(b) of this Agreement shall expire [one year after such termination]</w:t>
      </w:r>
      <w:r>
        <w:rPr>
          <w:rFonts w:ascii="Times New Roman" w:cs="Times New Roman" w:eastAsia="Times New Roman" w:hAnsi="Times New Roman"/>
          <w:sz w:val="22"/>
          <w:szCs w:val="22"/>
          <w:color w:val="auto"/>
          <w:vertAlign w:val="superscript"/>
        </w:rPr>
        <w:t>6</w:t>
      </w:r>
      <w:r>
        <w:rPr>
          <w:rFonts w:ascii="Times New Roman" w:cs="Times New Roman" w:eastAsia="Times New Roman" w:hAnsi="Times New Roman"/>
          <w:sz w:val="18"/>
          <w:szCs w:val="18"/>
          <w:color w:val="auto"/>
        </w:rPr>
        <w:t xml:space="preserve"> [on the tenth anniversary of this grant].</w:t>
      </w:r>
      <w:r>
        <w:rPr>
          <w:rFonts w:ascii="Times New Roman" w:cs="Times New Roman" w:eastAsia="Times New Roman" w:hAnsi="Times New Roman"/>
          <w:sz w:val="22"/>
          <w:szCs w:val="22"/>
          <w:color w:val="auto"/>
          <w:vertAlign w:val="superscript"/>
        </w:rPr>
        <w:t>7</w:t>
      </w:r>
    </w:p>
    <w:p>
      <w:pPr>
        <w:spacing w:after="0" w:line="7" w:lineRule="exact"/>
        <w:rPr>
          <w:sz w:val="20"/>
          <w:szCs w:val="20"/>
          <w:color w:val="auto"/>
        </w:rPr>
      </w:pPr>
    </w:p>
    <w:p>
      <w:pPr>
        <w:jc w:val="both"/>
        <w:ind w:firstLine="642"/>
        <w:spacing w:after="0" w:line="211" w:lineRule="auto"/>
        <w:tabs>
          <w:tab w:leader="none" w:pos="126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Times New Roman" w:cs="Times New Roman" w:eastAsia="Times New Roman" w:hAnsi="Times New Roman"/>
          <w:sz w:val="17"/>
          <w:szCs w:val="17"/>
          <w:i w:val="1"/>
          <w:iCs w:val="1"/>
          <w:color w:val="auto"/>
        </w:rPr>
        <w:t>Notice of Grant of Stock Options</w:t>
      </w:r>
      <w:r>
        <w:rPr>
          <w:rFonts w:ascii="Times New Roman" w:cs="Times New Roman" w:eastAsia="Times New Roman" w:hAnsi="Times New Roman"/>
          <w:sz w:val="17"/>
          <w:szCs w:val="17"/>
          <w:color w:val="auto"/>
        </w:rPr>
        <w:t xml:space="preserve"> (or where there is such an agreement or plan but it does not define “cause” (or words of like import))</w:t>
      </w:r>
    </w:p>
    <w:p>
      <w:pPr>
        <w:spacing w:after="0" w:line="1" w:lineRule="exact"/>
        <w:rPr>
          <w:rFonts w:ascii="Times New Roman" w:cs="Times New Roman" w:eastAsia="Times New Roman" w:hAnsi="Times New Roman"/>
          <w:sz w:val="17"/>
          <w:szCs w:val="17"/>
          <w:color w:val="auto"/>
        </w:rPr>
      </w:pPr>
    </w:p>
    <w:p>
      <w:pPr>
        <w:ind w:left="320" w:hanging="314"/>
        <w:spacing w:after="0" w:line="215" w:lineRule="auto"/>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and continued failure by the Grantee substantially to perform his or her duties and obligations to the Employer (other than any such failure</w:t>
      </w:r>
    </w:p>
    <w:p>
      <w:pPr>
        <w:jc w:val="both"/>
        <w:spacing w:after="0" w:line="216" w:lineRule="auto"/>
        <w:rPr>
          <w:sz w:val="20"/>
          <w:szCs w:val="20"/>
          <w:color w:val="auto"/>
        </w:rPr>
      </w:pPr>
      <w:r>
        <w:rPr>
          <w:rFonts w:ascii="Times New Roman" w:cs="Times New Roman" w:eastAsia="Times New Roman" w:hAnsi="Times New Roman"/>
          <w:sz w:val="17"/>
          <w:szCs w:val="17"/>
          <w:color w:val="auto"/>
        </w:rPr>
        <w:t>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or intoxication with alcohol or illegal drugs while on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 xml:space="preserve">grant specified in the </w:t>
      </w:r>
      <w:r>
        <w:rPr>
          <w:rFonts w:ascii="Times New Roman" w:cs="Times New Roman" w:eastAsia="Times New Roman" w:hAnsi="Times New Roman"/>
          <w:sz w:val="17"/>
          <w:szCs w:val="17"/>
          <w:i w:val="1"/>
          <w:iCs w:val="1"/>
          <w:color w:val="auto"/>
        </w:rPr>
        <w:t>Notice of Grant of Stock Options</w:t>
      </w:r>
      <w:r>
        <w:rPr>
          <w:rFonts w:ascii="Times New Roman" w:cs="Times New Roman" w:eastAsia="Times New Roman" w:hAnsi="Times New Roman"/>
          <w:sz w:val="17"/>
          <w:szCs w:val="17"/>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Control shall be made by the Committee in its sole discretion.</w:t>
      </w:r>
    </w:p>
    <w:p>
      <w:pPr>
        <w:spacing w:after="0" w:line="51" w:lineRule="exact"/>
        <w:rPr>
          <w:sz w:val="20"/>
          <w:szCs w:val="20"/>
          <w:color w:val="auto"/>
        </w:rPr>
      </w:pPr>
    </w:p>
    <w:p>
      <w:pPr>
        <w:jc w:val="both"/>
        <w:ind w:firstLine="642"/>
        <w:spacing w:after="0" w:line="220" w:lineRule="auto"/>
        <w:tabs>
          <w:tab w:leader="none" w:pos="12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shall mean (i) in the case where there is no employment agreement, consulting agreement, change in control agreement or plan, or similar agreement or plan in effect between the Employer and the Grantee (or otherwise applicable to the Grantee) on the date of grant specified in the </w:t>
      </w:r>
      <w:r>
        <w:rPr>
          <w:rFonts w:ascii="Times New Roman" w:cs="Times New Roman" w:eastAsia="Times New Roman" w:hAnsi="Times New Roman"/>
          <w:sz w:val="18"/>
          <w:szCs w:val="18"/>
          <w:i w:val="1"/>
          <w:iCs w:val="1"/>
          <w:color w:val="auto"/>
        </w:rPr>
        <w:t>Notice of Grant of Stock Options</w:t>
      </w:r>
      <w:r>
        <w:rPr>
          <w:rFonts w:ascii="Times New Roman" w:cs="Times New Roman" w:eastAsia="Times New Roman" w:hAnsi="Times New Roman"/>
          <w:sz w:val="18"/>
          <w:szCs w:val="18"/>
          <w:color w:val="auto"/>
        </w:rPr>
        <w:t xml:space="preserve"> (or where there is such an agreement or plan but it does not define “good reason” (or words of like import)) a termination of employment by the Grantee within one hundred and twenty (120) days after the occurrence of one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16827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2">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143" w:lineRule="exact"/>
        <w:rPr>
          <w:sz w:val="20"/>
          <w:szCs w:val="20"/>
          <w:color w:val="auto"/>
        </w:rPr>
      </w:pPr>
    </w:p>
    <w:p>
      <w:pPr>
        <w:ind w:left="100" w:hanging="94"/>
        <w:spacing w:after="0"/>
        <w:tabs>
          <w:tab w:leader="none" w:pos="100" w:val="left"/>
        </w:tabs>
        <w:numPr>
          <w:ilvl w:val="0"/>
          <w:numId w:val="7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Only applicable to Option Agreements for George D. Yancopoulos, M.D., Ph.D.</w:t>
      </w:r>
    </w:p>
    <w:p>
      <w:pPr>
        <w:spacing w:after="0" w:line="18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5"/>
          <w:szCs w:val="15"/>
          <w:color w:val="auto"/>
        </w:rPr>
        <w:t xml:space="preserve"> Not applicable to Option Agreements for George D. Yancopoulos, M.D., Ph.D.</w:t>
      </w:r>
    </w:p>
    <w:p>
      <w:pPr>
        <w:spacing w:after="0" w:line="184"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7"/>
          <w:szCs w:val="17"/>
          <w:color w:val="auto"/>
        </w:rPr>
        <w:t xml:space="preserve"> Not applicable to Option Agreements for George D. Yancopoulos, M.D., Ph.D.</w:t>
      </w:r>
    </w:p>
    <w:p>
      <w:pPr>
        <w:spacing w:after="0" w:line="189"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5"/>
          <w:szCs w:val="15"/>
          <w:color w:val="auto"/>
        </w:rPr>
        <w:t xml:space="preserve"> Not applicable to Option Agreements for George D. Yancopoulos, M.D., Ph.D.</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7</w:t>
      </w:r>
      <w:r>
        <w:rPr>
          <w:rFonts w:ascii="Times New Roman" w:cs="Times New Roman" w:eastAsia="Times New Roman" w:hAnsi="Times New Roman"/>
          <w:sz w:val="18"/>
          <w:szCs w:val="18"/>
          <w:color w:val="auto"/>
        </w:rPr>
        <w:t xml:space="preserve"> Only applicable to Option Agreements for George D. Yancopoulos, M.D., Ph.D.</w:t>
      </w:r>
    </w:p>
    <w:p>
      <w:pPr>
        <w:sectPr>
          <w:pgSz w:w="11900" w:h="16838" w:orient="portrait"/>
          <w:cols w:equalWidth="0" w:num="1">
            <w:col w:w="11240"/>
          </w:cols>
          <w:pgMar w:left="320" w:top="848" w:right="339" w:bottom="1440" w:gutter="0" w:footer="0" w:header="0"/>
        </w:sectPr>
      </w:pPr>
    </w:p>
    <w:bookmarkStart w:id="148" w:name="page149"/>
    <w:bookmarkEnd w:id="148"/>
    <w:p>
      <w:pPr>
        <w:jc w:val="both"/>
        <w:spacing w:after="0" w:line="231" w:lineRule="auto"/>
        <w:rPr>
          <w:sz w:val="20"/>
          <w:szCs w:val="20"/>
          <w:color w:val="auto"/>
        </w:rPr>
      </w:pPr>
      <w:r>
        <w:rPr>
          <w:rFonts w:ascii="Times New Roman" w:cs="Times New Roman" w:eastAsia="Times New Roman" w:hAnsi="Times New Roman"/>
          <w:sz w:val="17"/>
          <w:szCs w:val="17"/>
          <w:color w:val="auto"/>
        </w:rPr>
        <w:t>following events after the occurrence of a Change in Control unless such events are fully corrected in all material respects by the Employer within thirty (30) days following written notification by the Grantee to the Employer that Grantee intends to terminate his employment hereunder for one of the reasons set forth</w:t>
      </w:r>
    </w:p>
    <w:p>
      <w:pPr>
        <w:spacing w:after="0" w:line="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below: (A) (1) any material diminution in the Grantee’s duties and responsibilities from those which existed immediately prior to a Change in Control (except in each case in connection with the termination of the Grantee’s employment for Cause or as a result of the Grantee’s death, or temporarily as a result of the Grantee’s illness or other absence), or (2) the assignment to the Grantee of duties and responsibilities materially inconsistent with the position held by the</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Grantee; (B) any material breach by the Employer of any material provision of any written agreement with the Grantee or failure to timely pay any compensation obligation to the Grantee; (C) a reduction in the Grantee’s annual base salary or target bonus opportunity (if any) from that which existed immediately prior to a Change in Control; or (D) if the Grantee is based at the Employer’s principal executive office, any relocation therefrom or, in any event,</w:t>
      </w:r>
    </w:p>
    <w:p>
      <w:pPr>
        <w:spacing w:after="0" w:line="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 xml:space="preserve">a relocation of the Grantee’s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Times New Roman" w:cs="Times New Roman" w:eastAsia="Times New Roman" w:hAnsi="Times New Roman"/>
          <w:sz w:val="17"/>
          <w:szCs w:val="17"/>
          <w:i w:val="1"/>
          <w:iCs w:val="1"/>
          <w:color w:val="auto"/>
        </w:rPr>
        <w:t>Notice of Grant of Stock Options</w:t>
      </w:r>
      <w:r>
        <w:rPr>
          <w:rFonts w:ascii="Times New Roman" w:cs="Times New Roman" w:eastAsia="Times New Roman" w:hAnsi="Times New Roman"/>
          <w:sz w:val="17"/>
          <w:szCs w:val="17"/>
          <w:color w:val="auto"/>
        </w:rPr>
        <w:t xml:space="preserve"> that defines “good reason” (or</w:t>
      </w:r>
    </w:p>
    <w:p>
      <w:pPr>
        <w:spacing w:after="0" w:line="2"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 xml:space="preserve">words of like import), as defined under such agreement or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definition shall 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Times New Roman" w:cs="Times New Roman" w:eastAsia="Times New Roman" w:hAnsi="Times New Roman"/>
          <w:sz w:val="18"/>
          <w:szCs w:val="18"/>
          <w:u w:val="single" w:color="auto"/>
          <w:color w:val="auto"/>
        </w:rPr>
        <w:t>Employment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ended due to Dr. Schleifer’s Involuntary Termination (as defined in the Employment Agreement)]</w:t>
      </w:r>
      <w:r>
        <w:rPr>
          <w:rFonts w:ascii="Times New Roman" w:cs="Times New Roman" w:eastAsia="Times New Roman" w:hAnsi="Times New Roman"/>
          <w:sz w:val="22"/>
          <w:szCs w:val="22"/>
          <w:color w:val="auto"/>
          <w:vertAlign w:val="superscript"/>
        </w:rPr>
        <w:t>8</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both"/>
        <w:ind w:firstLine="642"/>
        <w:spacing w:after="0" w:line="208" w:lineRule="auto"/>
        <w:tabs>
          <w:tab w:leader="none" w:pos="102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of Option. </w:t>
      </w:r>
      <w:r>
        <w:rPr>
          <w:rFonts w:ascii="Times New Roman" w:cs="Times New Roman" w:eastAsia="Times New Roman" w:hAnsi="Times New Roman"/>
          <w:sz w:val="18"/>
          <w:szCs w:val="18"/>
          <w:color w:val="auto"/>
        </w:rPr>
        <w:t>The Option granted hereby shall not be transferable other than by will or by the laws of descent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transfer may be made in exchange for consideration.</w:t>
      </w:r>
    </w:p>
    <w:p>
      <w:pPr>
        <w:spacing w:after="0" w:line="52" w:lineRule="exact"/>
        <w:rPr>
          <w:rFonts w:ascii="Times New Roman" w:cs="Times New Roman" w:eastAsia="Times New Roman" w:hAnsi="Times New Roman"/>
          <w:sz w:val="18"/>
          <w:szCs w:val="18"/>
          <w:b w:val="1"/>
          <w:bCs w:val="1"/>
          <w:color w:val="auto"/>
        </w:rPr>
      </w:pPr>
    </w:p>
    <w:p>
      <w:pPr>
        <w:jc w:val="both"/>
        <w:ind w:firstLine="642"/>
        <w:spacing w:after="0" w:line="214" w:lineRule="auto"/>
        <w:tabs>
          <w:tab w:leader="none" w:pos="968"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of a Shareholder. </w:t>
      </w:r>
      <w:r>
        <w:rPr>
          <w:rFonts w:ascii="Times New Roman" w:cs="Times New Roman" w:eastAsia="Times New Roman" w:hAnsi="Times New Roman"/>
          <w:sz w:val="18"/>
          <w:szCs w:val="18"/>
          <w:color w:val="auto"/>
        </w:rPr>
        <w:t>The Grantee shall have no rights as a shareholder with respect to any shares of Common Stock subject to this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 The Company may, in its sole discretion, determine to deliver any documents related to participation in the Plan or deliverable to the Grantee in the Grantee’s capacity as a shareholder of the Company by electronic means. The Grantee hereby consents to receive any and all such documents by electronic delivery to the extent the Company utilizes such delivery method from time to time.</w:t>
      </w:r>
    </w:p>
    <w:p>
      <w:pPr>
        <w:spacing w:after="0" w:line="59" w:lineRule="exact"/>
        <w:rPr>
          <w:rFonts w:ascii="Times New Roman" w:cs="Times New Roman" w:eastAsia="Times New Roman" w:hAnsi="Times New Roman"/>
          <w:sz w:val="18"/>
          <w:szCs w:val="18"/>
          <w:b w:val="1"/>
          <w:bCs w:val="1"/>
          <w:color w:val="auto"/>
        </w:rPr>
      </w:pPr>
    </w:p>
    <w:p>
      <w:pPr>
        <w:jc w:val="both"/>
        <w:ind w:firstLine="642"/>
        <w:spacing w:after="0" w:line="210" w:lineRule="auto"/>
        <w:tabs>
          <w:tab w:leader="none" w:pos="94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and Regulations. </w:t>
      </w:r>
      <w:r>
        <w:rPr>
          <w:rFonts w:ascii="Times New Roman" w:cs="Times New Roman" w:eastAsia="Times New Roman" w:hAnsi="Times New Roman"/>
          <w:sz w:val="18"/>
          <w:szCs w:val="18"/>
          <w:color w:val="auto"/>
        </w:rPr>
        <w:t>This Agreement, the award hereunder and any obligation of the Company hereunder shall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48" w:lineRule="exact"/>
        <w:rPr>
          <w:rFonts w:ascii="Times New Roman" w:cs="Times New Roman" w:eastAsia="Times New Roman" w:hAnsi="Times New Roman"/>
          <w:sz w:val="18"/>
          <w:szCs w:val="18"/>
          <w:b w:val="1"/>
          <w:bCs w:val="1"/>
          <w:color w:val="auto"/>
        </w:rPr>
      </w:pPr>
    </w:p>
    <w:p>
      <w:pPr>
        <w:jc w:val="both"/>
        <w:ind w:firstLine="642"/>
        <w:spacing w:after="0" w:line="228" w:lineRule="auto"/>
        <w:tabs>
          <w:tab w:leader="none" w:pos="1021"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Grantee Bound by Plan. </w:t>
      </w:r>
      <w:r>
        <w:rPr>
          <w:rFonts w:ascii="Times New Roman" w:cs="Times New Roman" w:eastAsia="Times New Roman" w:hAnsi="Times New Roman"/>
          <w:sz w:val="18"/>
          <w:szCs w:val="18"/>
          <w:color w:val="auto"/>
        </w:rPr>
        <w:t>The Grantee acknowledges receipt of a copy of the Plan and agrees to be bound by all the terms and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46" w:lineRule="exact"/>
        <w:rPr>
          <w:rFonts w:ascii="Times New Roman" w:cs="Times New Roman" w:eastAsia="Times New Roman" w:hAnsi="Times New Roman"/>
          <w:sz w:val="18"/>
          <w:szCs w:val="18"/>
          <w:b w:val="1"/>
          <w:bCs w:val="1"/>
          <w:color w:val="auto"/>
        </w:rPr>
      </w:pPr>
    </w:p>
    <w:p>
      <w:pPr>
        <w:jc w:val="both"/>
        <w:ind w:firstLine="642"/>
        <w:spacing w:after="0" w:line="216" w:lineRule="auto"/>
        <w:tabs>
          <w:tab w:leader="none" w:pos="985"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or communication given hereunder shall be in writing and shall be deemed given when delivered in person, or by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16827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3">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183" w:lineRule="exact"/>
        <w:rPr>
          <w:sz w:val="20"/>
          <w:szCs w:val="20"/>
          <w:color w:val="auto"/>
        </w:rPr>
      </w:pPr>
    </w:p>
    <w:p>
      <w:pPr>
        <w:ind w:left="100" w:hanging="94"/>
        <w:spacing w:after="0"/>
        <w:tabs>
          <w:tab w:leader="none" w:pos="100"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Only applicable to Option Agreements for George D. Yancopoulos, M.D., Ph.D.</w:t>
      </w:r>
    </w:p>
    <w:p>
      <w:pPr>
        <w:sectPr>
          <w:pgSz w:w="11900" w:h="16838" w:orient="portrait"/>
          <w:cols w:equalWidth="0" w:num="1">
            <w:col w:w="11240"/>
          </w:cols>
          <w:pgMar w:left="320" w:top="850" w:right="339" w:bottom="1440" w:gutter="0" w:footer="0" w:header="0"/>
        </w:sectPr>
      </w:pPr>
    </w:p>
    <w:bookmarkStart w:id="149" w:name="page150"/>
    <w:bookmarkEnd w:id="149"/>
    <w:p>
      <w:pPr>
        <w:ind w:left="-229" w:firstLine="249"/>
        <w:spacing w:after="0" w:line="235" w:lineRule="auto"/>
        <w:tabs>
          <w:tab w:leader="none" w:pos="389"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Continue Employment. </w:t>
      </w:r>
      <w:r>
        <w:rPr>
          <w:rFonts w:ascii="Times New Roman" w:cs="Times New Roman" w:eastAsia="Times New Roman" w:hAnsi="Times New Roman"/>
          <w:sz w:val="18"/>
          <w:szCs w:val="18"/>
          <w:color w:val="auto"/>
        </w:rPr>
        <w:t>This Agreement does not guarantee that the Employer will employ the Grantee for any specified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nor does it modify in any respect the Grantee’s employment or compensation.</w:t>
      </w:r>
    </w:p>
    <w:p>
      <w:pPr>
        <w:spacing w:after="0" w:line="58" w:lineRule="exact"/>
        <w:rPr>
          <w:sz w:val="20"/>
          <w:szCs w:val="20"/>
          <w:color w:val="auto"/>
        </w:rPr>
      </w:pPr>
    </w:p>
    <w:p>
      <w:pPr>
        <w:jc w:val="both"/>
        <w:ind w:left="-229" w:firstLine="229"/>
        <w:spacing w:after="0" w:line="221" w:lineRule="auto"/>
        <w:tabs>
          <w:tab w:leader="none" w:pos="43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Recoupment. </w:t>
      </w:r>
      <w:r>
        <w:rPr>
          <w:rFonts w:ascii="Times New Roman" w:cs="Times New Roman" w:eastAsia="Times New Roman" w:hAnsi="Times New Roman"/>
          <w:sz w:val="18"/>
          <w:szCs w:val="18"/>
          <w:color w:val="auto"/>
        </w:rPr>
        <w:t>By entering into this Agreement and accepting the award hereunder, the Grantee agrees to be bound by the terms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Policy Regarding Recoupment or Reduction of Incentive Compensation for Compliance Violations, as in effect from time to time (or any successor policy thereto) (the “</w:t>
      </w:r>
      <w:r>
        <w:rPr>
          <w:rFonts w:ascii="Times New Roman" w:cs="Times New Roman" w:eastAsia="Times New Roman" w:hAnsi="Times New Roman"/>
          <w:sz w:val="18"/>
          <w:szCs w:val="18"/>
          <w:u w:val="single" w:color="auto"/>
          <w:color w:val="auto"/>
        </w:rPr>
        <w:t>Recoupment Policy</w:t>
      </w:r>
      <w:r>
        <w:rPr>
          <w:rFonts w:ascii="Times New Roman" w:cs="Times New Roman" w:eastAsia="Times New Roman" w:hAnsi="Times New Roman"/>
          <w:sz w:val="18"/>
          <w:szCs w:val="18"/>
          <w:color w:val="auto"/>
        </w:rPr>
        <w:t>”), and further acknowledges and agrees that the Recoupment Policy shall apply to the Option and any shares of Common Stock issued pursuant thereto.</w:t>
      </w:r>
    </w:p>
    <w:p>
      <w:pPr>
        <w:sectPr>
          <w:pgSz w:w="11900" w:h="16838" w:orient="portrait"/>
          <w:cols w:equalWidth="0" w:num="1">
            <w:col w:w="11011"/>
          </w:cols>
          <w:pgMar w:left="549" w:top="848"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color w:val="auto"/>
        </w:rPr>
        <w:t>Exhibit 10.3.7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317500</wp:posOffset>
            </wp:positionV>
            <wp:extent cx="7134860"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4">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58" w:lineRule="exact"/>
        <w:rPr>
          <w:sz w:val="20"/>
          <w:szCs w:val="20"/>
          <w:color w:val="auto"/>
        </w:rPr>
      </w:pPr>
    </w:p>
    <w:p>
      <w:pPr>
        <w:ind w:left="5100"/>
        <w:spacing w:after="0"/>
        <w:tabs>
          <w:tab w:leader="none" w:pos="6020" w:val="left"/>
        </w:tabs>
        <w:rPr>
          <w:sz w:val="20"/>
          <w:szCs w:val="20"/>
          <w:color w:val="auto"/>
        </w:rPr>
      </w:pPr>
      <w:r>
        <w:rPr>
          <w:rFonts w:ascii="Times New Roman" w:cs="Times New Roman" w:eastAsia="Times New Roman" w:hAnsi="Times New Roman"/>
          <w:sz w:val="18"/>
          <w:szCs w:val="18"/>
          <w:b w:val="1"/>
          <w:bCs w:val="1"/>
          <w:color w:val="auto"/>
        </w:rPr>
        <w:t xml:space="preserve">ID: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20"/>
        <w:spacing w:after="0"/>
        <w:tabs>
          <w:tab w:leader="none" w:pos="5080" w:val="left"/>
        </w:tabs>
        <w:rPr>
          <w:sz w:val="20"/>
          <w:szCs w:val="20"/>
          <w:color w:val="auto"/>
        </w:rPr>
      </w:pPr>
      <w:r>
        <w:rPr>
          <w:rFonts w:ascii="Times New Roman" w:cs="Times New Roman" w:eastAsia="Times New Roman" w:hAnsi="Times New Roman"/>
          <w:sz w:val="18"/>
          <w:szCs w:val="18"/>
          <w:b w:val="1"/>
          <w:bCs w:val="1"/>
          <w:color w:val="auto"/>
        </w:rPr>
        <w:t>Notice of Grant of Award and Restricted Stock</w:t>
      </w:r>
      <w:r>
        <w:rPr>
          <w:sz w:val="20"/>
          <w:szCs w:val="20"/>
          <w:color w:val="auto"/>
        </w:rPr>
        <w:tab/>
      </w:r>
      <w:r>
        <w:rPr>
          <w:rFonts w:ascii="Times New Roman" w:cs="Times New Roman" w:eastAsia="Times New Roman" w:hAnsi="Times New Roman"/>
          <w:sz w:val="17"/>
          <w:szCs w:val="17"/>
          <w:color w:val="auto"/>
        </w:rPr>
        <w:t>777 Old Saw Mill River Road</w:t>
      </w:r>
    </w:p>
    <w:p>
      <w:pPr>
        <w:spacing w:after="0" w:line="60" w:lineRule="exact"/>
        <w:rPr>
          <w:sz w:val="20"/>
          <w:szCs w:val="20"/>
          <w:color w:val="auto"/>
        </w:rPr>
      </w:pPr>
    </w:p>
    <w:p>
      <w:pPr>
        <w:ind w:left="20"/>
        <w:spacing w:after="0"/>
        <w:tabs>
          <w:tab w:leader="none" w:pos="5080" w:val="left"/>
        </w:tabs>
        <w:rPr>
          <w:sz w:val="20"/>
          <w:szCs w:val="20"/>
          <w:color w:val="auto"/>
        </w:rPr>
      </w:pPr>
      <w:r>
        <w:rPr>
          <w:rFonts w:ascii="Times New Roman" w:cs="Times New Roman" w:eastAsia="Times New Roman" w:hAnsi="Times New Roman"/>
          <w:sz w:val="18"/>
          <w:szCs w:val="18"/>
          <w:b w:val="1"/>
          <w:bCs w:val="1"/>
          <w:color w:val="auto"/>
        </w:rPr>
        <w:t>Agreement</w:t>
      </w:r>
      <w:r>
        <w:rPr>
          <w:sz w:val="20"/>
          <w:szCs w:val="20"/>
          <w:color w:val="auto"/>
        </w:rPr>
        <w:tab/>
      </w:r>
      <w:r>
        <w:rPr>
          <w:rFonts w:ascii="Times New Roman" w:cs="Times New Roman" w:eastAsia="Times New Roman" w:hAnsi="Times New Roman"/>
          <w:sz w:val="18"/>
          <w:szCs w:val="18"/>
          <w:color w:val="auto"/>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360045</wp:posOffset>
            </wp:positionV>
            <wp:extent cx="71348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6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RSA Number:</w:t>
            </w: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21"/>
                <w:szCs w:val="21"/>
                <w:b w:val="1"/>
                <w:bCs w:val="1"/>
                <w:color w:val="auto"/>
              </w:rPr>
              <w:t>[</w:t>
            </w:r>
          </w:p>
        </w:tc>
        <w:tc>
          <w:tcPr>
            <w:tcW w:w="4260" w:type="dxa"/>
            <w:vAlign w:val="bottom"/>
          </w:tcPr>
          <w:p>
            <w:pPr>
              <w:jc w:val="right"/>
              <w:ind w:right="3794"/>
              <w:spacing w:after="0"/>
              <w:rPr>
                <w:sz w:val="20"/>
                <w:szCs w:val="20"/>
                <w:color w:val="auto"/>
              </w:rPr>
            </w:pPr>
            <w:r>
              <w:rPr>
                <w:rFonts w:ascii="Times New Roman" w:cs="Times New Roman" w:eastAsia="Times New Roman" w:hAnsi="Times New Roman"/>
                <w:sz w:val="21"/>
                <w:szCs w:val="21"/>
                <w:b w:val="1"/>
                <w:bCs w:val="1"/>
                <w:color w:val="auto"/>
              </w:rPr>
              <w:t>]</w:t>
            </w:r>
          </w:p>
        </w:tc>
      </w:tr>
      <w:tr>
        <w:trPr>
          <w:trHeight w:val="26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336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Plan:</w:t>
            </w: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21"/>
                <w:szCs w:val="21"/>
                <w:b w:val="1"/>
                <w:bCs w:val="1"/>
                <w:color w:val="auto"/>
              </w:rPr>
              <w:t>[</w:t>
            </w:r>
          </w:p>
        </w:tc>
        <w:tc>
          <w:tcPr>
            <w:tcW w:w="4260" w:type="dxa"/>
            <w:vAlign w:val="bottom"/>
          </w:tcPr>
          <w:p>
            <w:pPr>
              <w:jc w:val="right"/>
              <w:ind w:right="3794"/>
              <w:spacing w:after="0"/>
              <w:rPr>
                <w:sz w:val="20"/>
                <w:szCs w:val="20"/>
                <w:color w:val="auto"/>
              </w:rPr>
            </w:pPr>
            <w:r>
              <w:rPr>
                <w:rFonts w:ascii="Times New Roman" w:cs="Times New Roman" w:eastAsia="Times New Roman" w:hAnsi="Times New Roman"/>
                <w:sz w:val="21"/>
                <w:szCs w:val="21"/>
                <w:b w:val="1"/>
                <w:bCs w:val="1"/>
                <w:color w:val="auto"/>
              </w:rPr>
              <w:t>]</w:t>
            </w:r>
          </w:p>
        </w:tc>
      </w:tr>
      <w:tr>
        <w:trPr>
          <w:trHeight w:val="281"/>
        </w:trPr>
        <w:tc>
          <w:tcPr>
            <w:tcW w:w="3040" w:type="dxa"/>
            <w:vAlign w:val="bottom"/>
          </w:tcPr>
          <w:p>
            <w:pPr>
              <w:spacing w:after="0"/>
              <w:rPr>
                <w:sz w:val="24"/>
                <w:szCs w:val="24"/>
                <w:color w:val="auto"/>
              </w:rPr>
            </w:pPr>
          </w:p>
        </w:tc>
        <w:tc>
          <w:tcPr>
            <w:tcW w:w="336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ID:</w:t>
            </w:r>
          </w:p>
        </w:tc>
        <w:tc>
          <w:tcPr>
            <w:tcW w:w="580" w:type="dxa"/>
            <w:vAlign w:val="bottom"/>
          </w:tcPr>
          <w:p>
            <w:pPr>
              <w:jc w:val="right"/>
              <w:ind w:right="174"/>
              <w:spacing w:after="0"/>
              <w:rPr>
                <w:sz w:val="20"/>
                <w:szCs w:val="20"/>
                <w:color w:val="auto"/>
              </w:rPr>
            </w:pPr>
            <w:r>
              <w:rPr>
                <w:rFonts w:ascii="Times New Roman" w:cs="Times New Roman" w:eastAsia="Times New Roman" w:hAnsi="Times New Roman"/>
                <w:sz w:val="21"/>
                <w:szCs w:val="21"/>
                <w:b w:val="1"/>
                <w:bCs w:val="1"/>
                <w:color w:val="auto"/>
              </w:rPr>
              <w:t>[</w:t>
            </w:r>
          </w:p>
        </w:tc>
        <w:tc>
          <w:tcPr>
            <w:tcW w:w="4260" w:type="dxa"/>
            <w:vAlign w:val="bottom"/>
          </w:tcPr>
          <w:p>
            <w:pPr>
              <w:jc w:val="right"/>
              <w:ind w:right="3794"/>
              <w:spacing w:after="0"/>
              <w:rPr>
                <w:sz w:val="20"/>
                <w:szCs w:val="20"/>
                <w:color w:val="auto"/>
              </w:rPr>
            </w:pPr>
            <w:r>
              <w:rPr>
                <w:rFonts w:ascii="Times New Roman" w:cs="Times New Roman" w:eastAsia="Times New Roman" w:hAnsi="Times New Roman"/>
                <w:sz w:val="21"/>
                <w:szCs w:val="21"/>
                <w:b w:val="1"/>
                <w:bCs w:val="1"/>
                <w:color w:val="auto"/>
              </w:rPr>
              <w:t>]</w:t>
            </w:r>
          </w:p>
        </w:tc>
      </w:tr>
      <w:tr>
        <w:trPr>
          <w:trHeight w:val="274"/>
        </w:trPr>
        <w:tc>
          <w:tcPr>
            <w:tcW w:w="3040" w:type="dxa"/>
            <w:vAlign w:val="bottom"/>
            <w:tcBorders>
              <w:bottom w:val="single" w:sz="8" w:color="auto"/>
            </w:tcBorders>
          </w:tcPr>
          <w:p>
            <w:pPr>
              <w:spacing w:after="0"/>
              <w:rPr>
                <w:sz w:val="23"/>
                <w:szCs w:val="23"/>
                <w:color w:val="auto"/>
              </w:rPr>
            </w:pPr>
          </w:p>
        </w:tc>
        <w:tc>
          <w:tcPr>
            <w:tcW w:w="33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240"/>
          </w:cols>
          <w:pgMar w:left="320" w:top="346" w:right="339" w:bottom="1440" w:gutter="0" w:footer="0" w:header="0"/>
        </w:sectPr>
      </w:pPr>
    </w:p>
    <w:p>
      <w:pPr>
        <w:spacing w:after="0" w:line="21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Effective &lt;date&gt; (the “Grant Date”) you have been granted an award of [ These shares are restricted until the vest date(s) shown below.</w:t>
      </w:r>
    </w:p>
    <w:p>
      <w:pPr>
        <w:spacing w:after="0" w:line="18"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18"/>
          <w:szCs w:val="18"/>
          <w:color w:val="auto"/>
        </w:rPr>
        <w:t>The current total value of the award is $[</w:t>
      </w:r>
      <w:r>
        <w:rPr>
          <w:sz w:val="20"/>
          <w:szCs w:val="20"/>
          <w:color w:val="auto"/>
        </w:rPr>
        <w:tab/>
      </w:r>
      <w:r>
        <w:rPr>
          <w:rFonts w:ascii="Times New Roman" w:cs="Times New Roman" w:eastAsia="Times New Roman" w:hAnsi="Times New Roman"/>
          <w:sz w:val="17"/>
          <w:szCs w:val="17"/>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award will vest in full on the date(s) shown.</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shares of Regeneron Pharmaceuticals, Inc. (the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b w:val="1"/>
          <w:bCs w:val="1"/>
          <w:color w:val="auto"/>
        </w:rPr>
        <w:t>Full Vest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-3411855</wp:posOffset>
            </wp:positionH>
            <wp:positionV relativeFrom="paragraph">
              <wp:posOffset>24130</wp:posOffset>
            </wp:positionV>
            <wp:extent cx="7134860" cy="176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6">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5160" w:space="220"/>
            <w:col w:w="5860"/>
          </w:cols>
          <w:pgMar w:left="320" w:top="346" w:right="339" w:bottom="1440" w:gutter="0" w:footer="0" w:header="0"/>
          <w:type w:val="continuous"/>
        </w:sectPr>
      </w:pPr>
    </w:p>
    <w:p>
      <w:pPr>
        <w:ind w:left="20"/>
        <w:spacing w:after="0"/>
        <w:tabs>
          <w:tab w:leader="none" w:pos="640" w:val="left"/>
          <w:tab w:leader="none" w:pos="6220" w:val="left"/>
          <w:tab w:leader="none" w:pos="6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410210</wp:posOffset>
            </wp:positionV>
            <wp:extent cx="71348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right="440"/>
        <w:spacing w:after="0" w:line="231" w:lineRule="auto"/>
        <w:rPr>
          <w:sz w:val="20"/>
          <w:szCs w:val="20"/>
          <w:color w:val="auto"/>
        </w:rPr>
      </w:pPr>
      <w:r>
        <w:rPr>
          <w:rFonts w:ascii="Times New Roman" w:cs="Times New Roman" w:eastAsia="Times New Roman" w:hAnsi="Times New Roman"/>
          <w:sz w:val="17"/>
          <w:szCs w:val="17"/>
          <w:color w:val="auto"/>
        </w:rPr>
        <w:t>You and the Company agree that this award is granted under and governed by the terms and conditions of the Second Amended and Restated Regeneron Pharmaceuticals, Inc. 2014 Long Term Incentive Plan, as amended from time to time, and the enclosed Restricted Stock Agreement, both of which are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170180</wp:posOffset>
            </wp:positionV>
            <wp:extent cx="71348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3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245" w:lineRule="exact"/>
        <w:rPr>
          <w:sz w:val="20"/>
          <w:szCs w:val="20"/>
          <w:color w:val="auto"/>
        </w:rPr>
      </w:pPr>
    </w:p>
    <w:p>
      <w:pPr>
        <w:jc w:val="both"/>
        <w:ind w:left="540" w:right="140" w:hanging="516"/>
        <w:spacing w:after="0" w:line="235" w:lineRule="auto"/>
        <w:tabs>
          <w:tab w:leader="none" w:pos="5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designated as annual awards will vest 50% on the second anniversary of the Grant Date and 50% on the fourth anniversary of the Grant Date. Awards to Senior Vice Presidents and Executive Vice Presidents designated as special awards will vest in their entirety on the fifth anniversary of the Grant Date. Awards to Vice Presidents designated as special awards will vest in their entirety on the fourth anniversary of the Grant Date.</w:t>
      </w:r>
    </w:p>
    <w:p>
      <w:pPr>
        <w:sectPr>
          <w:pgSz w:w="11900" w:h="16838" w:orient="portrait"/>
          <w:cols w:equalWidth="0" w:num="1">
            <w:col w:w="11240"/>
          </w:cols>
          <w:pgMar w:left="320" w:top="346" w:right="339" w:bottom="1440" w:gutter="0" w:footer="0" w:header="0"/>
          <w:type w:val="continuous"/>
        </w:sectPr>
      </w:pPr>
    </w:p>
    <w:bookmarkStart w:id="151" w:name="page152"/>
    <w:bookmarkEnd w:id="151"/>
    <w:p>
      <w:pPr>
        <w:jc w:val="center"/>
        <w:spacing w:after="0"/>
        <w:rPr>
          <w:sz w:val="20"/>
          <w:szCs w:val="20"/>
          <w:color w:val="auto"/>
        </w:rPr>
      </w:pPr>
      <w:r>
        <w:rPr>
          <w:rFonts w:ascii="Times New Roman" w:cs="Times New Roman" w:eastAsia="Times New Roman" w:hAnsi="Times New Roman"/>
          <w:sz w:val="25"/>
          <w:szCs w:val="25"/>
          <w:b w:val="1"/>
          <w:bCs w:val="1"/>
          <w:color w:val="800000"/>
        </w:rPr>
        <w:t>REGENERON PHARMACEUTICALS, INC.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AGREEMENT</w:t>
      </w:r>
    </w:p>
    <w:p>
      <w:pPr>
        <w:jc w:val="center"/>
        <w:spacing w:after="0" w:line="210" w:lineRule="auto"/>
        <w:rPr>
          <w:sz w:val="20"/>
          <w:szCs w:val="20"/>
          <w:color w:val="auto"/>
        </w:rPr>
      </w:pPr>
      <w:r>
        <w:rPr>
          <w:rFonts w:ascii="Times New Roman" w:cs="Times New Roman" w:eastAsia="Times New Roman" w:hAnsi="Times New Roman"/>
          <w:sz w:val="21"/>
          <w:szCs w:val="21"/>
          <w:b w:val="1"/>
          <w:bCs w:val="1"/>
          <w:color w:val="auto"/>
        </w:rPr>
        <w:t>PURSUANT TO</w:t>
      </w:r>
    </w:p>
    <w:p>
      <w:pPr>
        <w:jc w:val="center"/>
        <w:spacing w:after="0" w:line="211" w:lineRule="auto"/>
        <w:rPr>
          <w:sz w:val="20"/>
          <w:szCs w:val="20"/>
          <w:color w:val="auto"/>
        </w:rPr>
      </w:pPr>
      <w:r>
        <w:rPr>
          <w:rFonts w:ascii="Times New Roman" w:cs="Times New Roman" w:eastAsia="Times New Roman" w:hAnsi="Times New Roman"/>
          <w:sz w:val="21"/>
          <w:szCs w:val="21"/>
          <w:b w:val="1"/>
          <w:bCs w:val="1"/>
          <w:color w:val="auto"/>
        </w:rPr>
        <w:t>THE SECOND AMENDED AND RESTATED REGENERON PHARMACEUTICALS, INC.</w:t>
      </w:r>
    </w:p>
    <w:p>
      <w:pPr>
        <w:jc w:val="center"/>
        <w:spacing w:after="0"/>
        <w:rPr>
          <w:sz w:val="20"/>
          <w:szCs w:val="20"/>
          <w:color w:val="auto"/>
        </w:rPr>
      </w:pPr>
      <w:r>
        <w:rPr>
          <w:rFonts w:ascii="Times New Roman" w:cs="Times New Roman" w:eastAsia="Times New Roman" w:hAnsi="Times New Roman"/>
          <w:sz w:val="21"/>
          <w:szCs w:val="21"/>
          <w:b w:val="1"/>
          <w:bCs w:val="1"/>
          <w:color w:val="auto"/>
        </w:rPr>
        <w:t>2014 LONG-TERM INCENTIVE PLAN</w:t>
      </w:r>
    </w:p>
    <w:p>
      <w:pPr>
        <w:spacing w:after="0" w:line="272" w:lineRule="exact"/>
        <w:rPr>
          <w:sz w:val="20"/>
          <w:szCs w:val="20"/>
          <w:color w:val="auto"/>
        </w:rPr>
      </w:pPr>
    </w:p>
    <w:p>
      <w:pPr>
        <w:jc w:val="both"/>
        <w:ind w:firstLine="1272"/>
        <w:spacing w:after="0" w:line="238"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made as of the date on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by and between Regeneron Pharmaceuticals, Inc., a New York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employee named on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Any capitalized term used but not defined in this Agreement shall have the meaning given to such term in the Plan (as defined below).</w:t>
      </w:r>
    </w:p>
    <w:p>
      <w:pPr>
        <w:spacing w:after="0" w:line="4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WHEREAS, the Recipient is an employee of the Company (or a Subsidiary of the Company) and the Company desires to afford the</w:t>
      </w:r>
    </w:p>
    <w:p>
      <w:pPr>
        <w:jc w:val="both"/>
        <w:spacing w:after="0" w:line="222" w:lineRule="auto"/>
        <w:rPr>
          <w:sz w:val="20"/>
          <w:szCs w:val="20"/>
          <w:color w:val="auto"/>
        </w:rPr>
      </w:pPr>
      <w:r>
        <w:rPr>
          <w:rFonts w:ascii="Times New Roman" w:cs="Times New Roman" w:eastAsia="Times New Roman" w:hAnsi="Times New Roman"/>
          <w:sz w:val="18"/>
          <w:szCs w:val="18"/>
          <w:color w:val="auto"/>
        </w:rPr>
        <w:t>Recipient the opportunity to acquire or enlarge the Recipient’s stock ownership in the Company so that the Recipient may have a direct proprietary interest in the Company’s success; and</w:t>
      </w:r>
    </w:p>
    <w:p>
      <w:pPr>
        <w:spacing w:after="0" w:line="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WHEREAS, the Committee administering the Second Amended and Restated Regeneron Pharmaceuticals, Inc. 2014 Long-Term Incentive</w:t>
      </w:r>
    </w:p>
    <w:p>
      <w:pPr>
        <w:spacing w:after="0" w:line="1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Plan (as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has granted (as of the effective date of grant specified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to the Recipient the shares of Restricted Stock as set forth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w:t>
      </w:r>
    </w:p>
    <w:p>
      <w:pPr>
        <w:spacing w:after="0" w:line="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NOW, THEREFORE, in consideration of the covenants and agreements herein contained, the parties agree as follows:</w:t>
      </w:r>
    </w:p>
    <w:p>
      <w:pPr>
        <w:spacing w:after="0" w:line="83" w:lineRule="exact"/>
        <w:rPr>
          <w:sz w:val="20"/>
          <w:szCs w:val="20"/>
          <w:color w:val="auto"/>
        </w:rPr>
      </w:pPr>
    </w:p>
    <w:p>
      <w:pPr>
        <w:jc w:val="both"/>
        <w:ind w:firstLine="1278"/>
        <w:spacing w:after="0" w:line="221" w:lineRule="auto"/>
        <w:tabs>
          <w:tab w:leader="none" w:pos="19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Award</w:t>
      </w:r>
      <w:r>
        <w:rPr>
          <w:rFonts w:ascii="Times New Roman" w:cs="Times New Roman" w:eastAsia="Times New Roman" w:hAnsi="Times New Roman"/>
          <w:sz w:val="18"/>
          <w:szCs w:val="18"/>
          <w:color w:val="auto"/>
        </w:rPr>
        <w:t>. Pursuant to Section 8 of the Plan, the Company grants to the Recipient, subject to the terms and conditions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Plan and subject further to the terms and conditions set forth herein, the number of shares of Restricted Stock as shown on the </w:t>
      </w:r>
      <w:r>
        <w:rPr>
          <w:rFonts w:ascii="Times New Roman" w:cs="Times New Roman" w:eastAsia="Times New Roman" w:hAnsi="Times New Roman"/>
          <w:sz w:val="18"/>
          <w:szCs w:val="18"/>
          <w:i w:val="1"/>
          <w:iCs w:val="1"/>
          <w:color w:val="auto"/>
        </w:rPr>
        <w:t>Notice of Grant of 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The Recipient’s grant and record of Restricted Stock share ownership shall be kept on the books of the Company until the restrictions on transfer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lapsed. At the Recipient’s request, vested shares may be evidenced by stock certificates or book-entry registration.</w:t>
      </w:r>
    </w:p>
    <w:p>
      <w:pPr>
        <w:spacing w:after="0" w:line="45" w:lineRule="exact"/>
        <w:rPr>
          <w:rFonts w:ascii="Times New Roman" w:cs="Times New Roman" w:eastAsia="Times New Roman" w:hAnsi="Times New Roman"/>
          <w:sz w:val="18"/>
          <w:szCs w:val="18"/>
          <w:color w:val="auto"/>
        </w:rPr>
      </w:pPr>
    </w:p>
    <w:p>
      <w:pPr>
        <w:jc w:val="both"/>
        <w:ind w:firstLine="1278"/>
        <w:spacing w:after="0" w:line="213" w:lineRule="auto"/>
        <w:tabs>
          <w:tab w:leader="none" w:pos="190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Vesting</w:t>
      </w:r>
      <w:r>
        <w:rPr>
          <w:rFonts w:ascii="Times New Roman" w:cs="Times New Roman" w:eastAsia="Times New Roman" w:hAnsi="Times New Roman"/>
          <w:sz w:val="17"/>
          <w:szCs w:val="17"/>
          <w:color w:val="auto"/>
        </w:rPr>
        <w:t>. (a) The shares of Restricted Stock granted to the Recipient shall vest in installments as provided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Notice of Grant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Restricted Stock</w:t>
      </w:r>
      <w:r>
        <w:rPr>
          <w:rFonts w:ascii="Times New Roman" w:cs="Times New Roman" w:eastAsia="Times New Roman" w:hAnsi="Times New Roman"/>
          <w:sz w:val="17"/>
          <w:szCs w:val="17"/>
          <w:color w:val="auto"/>
        </w:rPr>
        <w:t>. The vesting schedule in the</w:t>
      </w:r>
      <w:r>
        <w:rPr>
          <w:rFonts w:ascii="Times New Roman" w:cs="Times New Roman" w:eastAsia="Times New Roman" w:hAnsi="Times New Roman"/>
          <w:sz w:val="17"/>
          <w:szCs w:val="17"/>
          <w:i w:val="1"/>
          <w:iCs w:val="1"/>
          <w:color w:val="auto"/>
        </w:rPr>
        <w:t xml:space="preserve"> Notice of Grant of Restricted Stock </w:t>
      </w:r>
      <w:r>
        <w:rPr>
          <w:rFonts w:ascii="Times New Roman" w:cs="Times New Roman" w:eastAsia="Times New Roman" w:hAnsi="Times New Roman"/>
          <w:sz w:val="17"/>
          <w:szCs w:val="17"/>
          <w:color w:val="auto"/>
        </w:rPr>
        <w:t>indicates each date upon which the restrictions on transfer on the specified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number of shares of Restricted Stock shall lapse, entitling the Recipient to freely transfer such shares, provided that the Recipient has not [(except with respect to retirement on the terms set forth below)]</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 xml:space="preserve"> incurred a termination of employment with the Company and all Subsidiaries (the Company and its Subsidiaries shall be referred to herein, collectively, as the “</w:t>
      </w:r>
      <w:r>
        <w:rPr>
          <w:rFonts w:ascii="Times New Roman" w:cs="Times New Roman" w:eastAsia="Times New Roman" w:hAnsi="Times New Roman"/>
          <w:sz w:val="17"/>
          <w:szCs w:val="17"/>
          <w:u w:val="single" w:color="auto"/>
          <w:color w:val="auto"/>
        </w:rPr>
        <w:t>Employer</w:t>
      </w:r>
      <w:r>
        <w:rPr>
          <w:rFonts w:ascii="Times New Roman" w:cs="Times New Roman" w:eastAsia="Times New Roman" w:hAnsi="Times New Roman"/>
          <w:sz w:val="17"/>
          <w:szCs w:val="17"/>
          <w:color w:val="auto"/>
        </w:rPr>
        <w:t xml:space="preserve">”). There shall be no proportionate or partial vesting in the periods between the Full Vest Dates specified in the </w:t>
      </w:r>
      <w:r>
        <w:rPr>
          <w:rFonts w:ascii="Times New Roman" w:cs="Times New Roman" w:eastAsia="Times New Roman" w:hAnsi="Times New Roman"/>
          <w:sz w:val="17"/>
          <w:szCs w:val="17"/>
          <w:i w:val="1"/>
          <w:iCs w:val="1"/>
          <w:color w:val="auto"/>
        </w:rPr>
        <w:t>Notice of Grant of Restricted Stock</w:t>
      </w:r>
      <w:r>
        <w:rPr>
          <w:rFonts w:ascii="Times New Roman" w:cs="Times New Roman" w:eastAsia="Times New Roman" w:hAnsi="Times New Roman"/>
          <w:sz w:val="17"/>
          <w:szCs w:val="17"/>
          <w:color w:val="auto"/>
        </w:rPr>
        <w:t xml:space="preserve"> and all vesting shall occur only on such Full Vest Dates. No vesting shall occur after the termination of the Recipient’s employment with the Employer for any reason [(except with respect to retirement on the terms set forth below)]</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7"/>
          <w:szCs w:val="17"/>
          <w:color w:val="auto"/>
        </w:rPr>
        <w:t xml:space="preserve">. The provisions of this Section 2(a) are subject to (i) the provisions set forth in the </w:t>
      </w:r>
      <w:r>
        <w:rPr>
          <w:rFonts w:ascii="Times New Roman" w:cs="Times New Roman" w:eastAsia="Times New Roman" w:hAnsi="Times New Roman"/>
          <w:sz w:val="17"/>
          <w:szCs w:val="17"/>
          <w:i w:val="1"/>
          <w:iCs w:val="1"/>
          <w:color w:val="auto"/>
        </w:rPr>
        <w:t>Notice of Grant of Restricted Stock</w:t>
      </w:r>
      <w:r>
        <w:rPr>
          <w:rFonts w:ascii="Times New Roman" w:cs="Times New Roman" w:eastAsia="Times New Roman" w:hAnsi="Times New Roman"/>
          <w:sz w:val="17"/>
          <w:szCs w:val="17"/>
          <w:color w:val="auto"/>
        </w:rPr>
        <w:t xml:space="preserve"> or any employment agreement, consulting agreement, change in control agreement or plan, or similar agreement or plan in effect between the Employer and the Recipient (or otherwise applicable to the Recipient) on the date of grant specified in the </w:t>
      </w:r>
      <w:r>
        <w:rPr>
          <w:rFonts w:ascii="Times New Roman" w:cs="Times New Roman" w:eastAsia="Times New Roman" w:hAnsi="Times New Roman"/>
          <w:sz w:val="17"/>
          <w:szCs w:val="17"/>
          <w:i w:val="1"/>
          <w:iCs w:val="1"/>
          <w:color w:val="auto"/>
        </w:rPr>
        <w:t>Notice of Grant of Restricted Stock</w:t>
      </w:r>
      <w:r>
        <w:rPr>
          <w:rFonts w:ascii="Times New Roman" w:cs="Times New Roman" w:eastAsia="Times New Roman" w:hAnsi="Times New Roman"/>
          <w:sz w:val="17"/>
          <w:szCs w:val="17"/>
          <w:color w:val="auto"/>
        </w:rPr>
        <w:t xml:space="preserve"> and (ii) the Committee’s determination in accordance with Section 8(h) of the Plan.</w:t>
      </w:r>
    </w:p>
    <w:p>
      <w:pPr>
        <w:spacing w:after="0" w:line="52" w:lineRule="exact"/>
        <w:rPr>
          <w:sz w:val="20"/>
          <w:szCs w:val="20"/>
          <w:color w:val="auto"/>
        </w:rPr>
      </w:pPr>
    </w:p>
    <w:p>
      <w:pPr>
        <w:jc w:val="both"/>
        <w:ind w:firstLine="1278"/>
        <w:spacing w:after="0" w:line="209" w:lineRule="auto"/>
        <w:tabs>
          <w:tab w:leader="none" w:pos="190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(except the following sentence) or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to the contrary, but subject to the provisions of any employment agreement, consulting agreement, change in control agreement or plan, or similar agreement or plan in effect between the Employer and the Recipient (or otherwise applicable to the Recipient) on the date of grant specified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the Restricted Stock granted to Recipient shall be fully vested on the date the Recipient’s employment with the Employer is terminated if the Recipient’s employment with the Employer is terminated on or within two years after the occurrence of a Change in Control by the Employer (other than for Cause) or by the Recipient for Good Reason. Except as otherwise provided in any employment agreement, consulting agreement, change in control agreement or plan, or similar agreement or plan in effect between the Employer and the Recipient (or otherwise applicable to the Recipient) on the date of grant specified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if the application of the provision in the foregoing sentence, similar provisions in other stock option 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and other payments and benefits payable to the Recipient upon termination of employment with the Employer (collectively, the “</w:t>
      </w:r>
      <w:r>
        <w:rPr>
          <w:rFonts w:ascii="Times New Roman" w:cs="Times New Roman" w:eastAsia="Times New Roman" w:hAnsi="Times New Roman"/>
          <w:sz w:val="18"/>
          <w:szCs w:val="18"/>
          <w:u w:val="single" w:color="auto"/>
          <w:color w:val="auto"/>
        </w:rPr>
        <w:t>Company Payments</w:t>
      </w:r>
      <w:r>
        <w:rPr>
          <w:rFonts w:ascii="Times New Roman" w:cs="Times New Roman" w:eastAsia="Times New Roman" w:hAnsi="Times New Roman"/>
          <w:sz w:val="18"/>
          <w:szCs w:val="18"/>
          <w:color w:val="auto"/>
        </w:rPr>
        <w:t>”) would result in the Recipient being subject to excise tax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payable under Section 4999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the amount of any Company Payments shall be automatically reduced to an amount one dollar less than an amount that would subject the Recipient to the Excise Tax;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reduction shall occur only if the reduced Company Payments received by the Recipient (after taking into account further reductions for applicable federal, state and local income, social security and other taxes) would be greater than the unreduced Company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16827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9">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142" w:lineRule="exact"/>
        <w:rPr>
          <w:sz w:val="20"/>
          <w:szCs w:val="20"/>
          <w:color w:val="auto"/>
        </w:rPr>
      </w:pPr>
    </w:p>
    <w:p>
      <w:pPr>
        <w:ind w:left="100" w:hanging="94"/>
        <w:spacing w:after="0"/>
        <w:tabs>
          <w:tab w:leader="none" w:pos="100"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Only applicable to Restricted Stock Agreements for George D. Yancopoulos, M.D., Ph.D.</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Only applicable to Restricted Stock Agreements for George D. Yancopoulos, M.D., Ph.D.</w:t>
      </w:r>
    </w:p>
    <w:p>
      <w:pPr>
        <w:sectPr>
          <w:pgSz w:w="11900" w:h="16838" w:orient="portrait"/>
          <w:cols w:equalWidth="0" w:num="1">
            <w:col w:w="11240"/>
          </w:cols>
          <w:pgMar w:left="320" w:top="1358" w:right="339" w:bottom="1440" w:gutter="0" w:footer="0" w:header="0"/>
        </w:sectPr>
      </w:pPr>
    </w:p>
    <w:bookmarkStart w:id="152" w:name="page153"/>
    <w:bookmarkEnd w:id="152"/>
    <w:p>
      <w:pPr>
        <w:spacing w:after="0" w:line="4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to be received by the Recipient minus (i) the Excise Tax payable with respect to such Company Payments and (ii) all applicable federal, state and local income, social security and other taxes on such Company Payments. If the Company Payments are to be reduced in accordance with the foregoing, the</w:t>
      </w:r>
    </w:p>
    <w:p>
      <w:pPr>
        <w:jc w:val="both"/>
        <w:spacing w:after="0" w:line="216" w:lineRule="auto"/>
        <w:rPr>
          <w:sz w:val="20"/>
          <w:szCs w:val="20"/>
          <w:color w:val="auto"/>
        </w:rPr>
      </w:pPr>
      <w:r>
        <w:rPr>
          <w:rFonts w:ascii="Times New Roman" w:cs="Times New Roman" w:eastAsia="Times New Roman" w:hAnsi="Times New Roman"/>
          <w:sz w:val="17"/>
          <w:szCs w:val="17"/>
          <w:color w:val="auto"/>
        </w:rPr>
        <w:t>Company Payments shall be reduced as mutually agreed between the Employer and the Recipient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Recipient; (4)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valued as parachute payments; and (5) acceleration of vesting of any equity not covered by (1) above.</w:t>
      </w:r>
    </w:p>
    <w:p>
      <w:pPr>
        <w:spacing w:after="0" w:line="51" w:lineRule="exact"/>
        <w:rPr>
          <w:sz w:val="20"/>
          <w:szCs w:val="20"/>
          <w:color w:val="auto"/>
        </w:rPr>
      </w:pPr>
    </w:p>
    <w:p>
      <w:pPr>
        <w:jc w:val="both"/>
        <w:ind w:firstLine="6"/>
        <w:spacing w:after="0" w:line="225" w:lineRule="auto"/>
        <w:tabs>
          <w:tab w:leader="none" w:pos="633"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Times New Roman" w:cs="Times New Roman" w:eastAsia="Times New Roman" w:hAnsi="Times New Roman"/>
          <w:sz w:val="17"/>
          <w:szCs w:val="17"/>
          <w:i w:val="1"/>
          <w:iCs w:val="1"/>
          <w:color w:val="auto"/>
        </w:rPr>
        <w:t>Notice of Grant of Restricted Stock</w:t>
      </w:r>
      <w:r>
        <w:rPr>
          <w:rFonts w:ascii="Times New Roman" w:cs="Times New Roman" w:eastAsia="Times New Roman" w:hAnsi="Times New Roman"/>
          <w:sz w:val="17"/>
          <w:szCs w:val="17"/>
          <w:color w:val="auto"/>
        </w:rPr>
        <w:t xml:space="preserve"> (or where there is such an agreement or plan but it does not define “cause” (or words of like import))</w:t>
      </w:r>
    </w:p>
    <w:p>
      <w:pPr>
        <w:jc w:val="both"/>
        <w:spacing w:after="0" w:line="20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the willful and continued failure by the Recipient substantially to perform his or her duties and obligations to the Employer (other than any such failure resulting from his or her incapacity due to physical or mental illness), including without limitation, repeated refusal to follow the reasonable directions of the Employer, violation of the Employer’s Code of Business Conduct and Ethics, knowing violation of law in the course of performance of the duties of the Recipient’s employment with the Employer, repeated absences from work without a reasonable excuse, or intoxication with alcohol or illegal drugs while on the Employer’s premises during regular business hours;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Recipient (or otherwise applicable to the Recipient) on the date of grant specified on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that defines “cause” (or words of like import), as defined under such agreement or plan. For purposes of this Section 2(c), no act, or failure to act, on the Recipient’s part shall be considered “willful” unless done, or omitted to be done, by the Recipient in bad faith and without reasonable belief that his or her action or omission was in the best interest of the Employer. Any determination of Cause made prior to a Change in Control shall be made by the Committee in its sole discretion.</w:t>
      </w:r>
    </w:p>
    <w:p>
      <w:pPr>
        <w:spacing w:after="0" w:line="60" w:lineRule="exact"/>
        <w:rPr>
          <w:rFonts w:ascii="Times New Roman" w:cs="Times New Roman" w:eastAsia="Times New Roman" w:hAnsi="Times New Roman"/>
          <w:sz w:val="17"/>
          <w:szCs w:val="17"/>
          <w:color w:val="auto"/>
        </w:rPr>
      </w:pPr>
    </w:p>
    <w:p>
      <w:pPr>
        <w:jc w:val="both"/>
        <w:ind w:firstLine="6"/>
        <w:spacing w:after="0" w:line="219" w:lineRule="auto"/>
        <w:tabs>
          <w:tab w:leader="none" w:pos="63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xml:space="preserve">” shall mean (i) in the case where there is no employment agreement, consulting agreement, change in control agreement or plan, or similar agreement or plan in effect between the Employer and the Recipient (or otherwise applicable to the Recipient) on the date of grant specified in the </w:t>
      </w:r>
      <w:r>
        <w:rPr>
          <w:rFonts w:ascii="Times New Roman" w:cs="Times New Roman" w:eastAsia="Times New Roman" w:hAnsi="Times New Roman"/>
          <w:sz w:val="17"/>
          <w:szCs w:val="17"/>
          <w:i w:val="1"/>
          <w:iCs w:val="1"/>
          <w:color w:val="auto"/>
        </w:rPr>
        <w:t>Notice of Grant of Restricted Stock</w:t>
      </w:r>
      <w:r>
        <w:rPr>
          <w:rFonts w:ascii="Times New Roman" w:cs="Times New Roman" w:eastAsia="Times New Roman" w:hAnsi="Times New Roman"/>
          <w:sz w:val="17"/>
          <w:szCs w:val="17"/>
          <w:color w:val="auto"/>
        </w:rPr>
        <w:t xml:space="preserve"> (or where there is such an agreement or plan but it does not define “good reason” (or words of like import)) a termination of employment by the Recipient within one hundred twenty (120) days after the occurrence of one of the following events after the occurrence of a Change in Control unless such events are fully corrected in all material respects by the Employer within thirty (30) days following written notification by the Recipient to the Employer that Recipient intends to terminate his employment hereunder for one of the reasons set forth below: (A) (1) any material diminution in the Recipient’s duties and responsibilities from those which existed immediately prior to a Change in Control (except in each case in connection with the termination of the Recipient’s employment for Cause or as a result of the Recipient’s death, or temporarily as a result of the Recipient’s illness or other absence), or (2) the assignment to the Recipient of duties and responsibilities materially inconsistent with the position held by the Recipient;</w:t>
      </w:r>
    </w:p>
    <w:p>
      <w:pPr>
        <w:spacing w:after="0" w:line="4" w:lineRule="exact"/>
        <w:rPr>
          <w:rFonts w:ascii="Times New Roman" w:cs="Times New Roman" w:eastAsia="Times New Roman" w:hAnsi="Times New Roman"/>
          <w:sz w:val="17"/>
          <w:szCs w:val="17"/>
          <w:color w:val="auto"/>
        </w:rPr>
      </w:pPr>
    </w:p>
    <w:p>
      <w:pPr>
        <w:jc w:val="both"/>
        <w:spacing w:after="0" w:line="21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any material breach by the Employer of any material provision of any written agreement with the Recipient or failure to timely pay any compensation obligation to the Recipient; (C) a reduction in the Recipient’s annual base salary or target bonus opportunity (if any) from that which existed immediately prior to a Change in Control; or (D) if the Recipient is based at the Employer’s principal executive office, any relocation therefrom or, in any event, a relocation of the Recipient’s primary office of more than fifty (50) miles from the location immediately prior to a Change in Control; or (ii) in the case where there is an employment agreement, consulting agreement, change in control agreement or plan, or similar agreement or plan in effect between the Employer and the Recipient (or otherwise applicable to the Recipient) on the date on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that defines “good reason” (or words of like import), as defined under such agreement or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definition shall be deemed, solely for purposes of this Agreement, to include as one of the reasons that the employment of Leonard S. Schleifer, M.D. Ph.D. with the Company under the Amended and Restated Employment Agreement, dated as of November 14, 2008, by and between Dr. Schleifer and the Company, as in effect from time to time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has ended due to Dr. Schleifer’s Involuntary Termination (as defined in the Employment Agreement)]</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7"/>
          <w:szCs w:val="17"/>
          <w:color w:val="auto"/>
        </w:rPr>
      </w:pPr>
    </w:p>
    <w:p>
      <w:pPr>
        <w:jc w:val="both"/>
        <w:ind w:firstLine="1278"/>
        <w:spacing w:after="0" w:line="202" w:lineRule="auto"/>
        <w:tabs>
          <w:tab w:leader="none" w:pos="190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Service</w:t>
      </w:r>
      <w:r>
        <w:rPr>
          <w:rFonts w:ascii="Times New Roman" w:cs="Times New Roman" w:eastAsia="Times New Roman" w:hAnsi="Times New Roman"/>
          <w:sz w:val="18"/>
          <w:szCs w:val="18"/>
          <w:color w:val="auto"/>
        </w:rPr>
        <w:t>. Subject to the terms of the Plan and Section 2(b) hereof, if the Recipient’s employment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terminated for any reason (other than as set forth in Section 2(b) hereof and as a result of Recipient’s [retirement on the terms set forth below or]</w:t>
      </w: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8"/>
          <w:szCs w:val="18"/>
          <w:color w:val="auto"/>
        </w:rPr>
        <w:t xml:space="preserve"> death), the Recipient shall forfeit any or all of the shares of Restricted Stock that have not vested in accordance with Section 2 hereof (the “</w:t>
      </w:r>
      <w:r>
        <w:rPr>
          <w:rFonts w:ascii="Times New Roman" w:cs="Times New Roman" w:eastAsia="Times New Roman" w:hAnsi="Times New Roman"/>
          <w:sz w:val="18"/>
          <w:szCs w:val="18"/>
          <w:u w:val="single" w:color="auto"/>
          <w:color w:val="auto"/>
        </w:rPr>
        <w:t>Unvested Shares</w:t>
      </w:r>
      <w:r>
        <w:rPr>
          <w:rFonts w:ascii="Times New Roman" w:cs="Times New Roman" w:eastAsia="Times New Roman" w:hAnsi="Times New Roman"/>
          <w:sz w:val="18"/>
          <w:szCs w:val="18"/>
          <w:color w:val="auto"/>
        </w:rPr>
        <w:t xml:space="preserve">”). [Notwithstanding the preceding sentence, upon the Recipient’s retirement (as defined in the applicable Company policy as in effect on the date hereof), shares of Restricted Stock granted to the Recipient shall continue to vest in installments as provided in the </w:t>
      </w:r>
      <w:r>
        <w:rPr>
          <w:rFonts w:ascii="Times New Roman" w:cs="Times New Roman" w:eastAsia="Times New Roman" w:hAnsi="Times New Roman"/>
          <w:sz w:val="18"/>
          <w:szCs w:val="18"/>
          <w:i w:val="1"/>
          <w:iCs w:val="1"/>
          <w:color w:val="auto"/>
        </w:rPr>
        <w:t>Notice of Grant of Restricted Stock</w:t>
      </w:r>
      <w:r>
        <w:rPr>
          <w:rFonts w:ascii="Times New Roman" w:cs="Times New Roman" w:eastAsia="Times New Roman" w:hAnsi="Times New Roman"/>
          <w:sz w:val="18"/>
          <w:szCs w:val="18"/>
          <w:color w:val="auto"/>
        </w:rPr>
        <w:t xml:space="preserve"> as if the Recipient had continued to be employed by or provide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16827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0">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142" w:lineRule="exact"/>
        <w:rPr>
          <w:sz w:val="20"/>
          <w:szCs w:val="20"/>
          <w:color w:val="auto"/>
        </w:rPr>
      </w:pPr>
    </w:p>
    <w:p>
      <w:pPr>
        <w:ind w:left="100" w:hanging="94"/>
        <w:spacing w:after="0"/>
        <w:tabs>
          <w:tab w:leader="none" w:pos="100" w:val="left"/>
        </w:tabs>
        <w:numPr>
          <w:ilvl w:val="0"/>
          <w:numId w:val="8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Only applicable to Restricted Stock Agreements for George D. Yancopoulos, M.D., Ph.D.</w:t>
      </w: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2"/>
          <w:szCs w:val="22"/>
          <w:color w:val="auto"/>
          <w:vertAlign w:val="superscript"/>
        </w:rPr>
        <w:t>4</w:t>
      </w:r>
      <w:r>
        <w:rPr>
          <w:rFonts w:ascii="Times New Roman" w:cs="Times New Roman" w:eastAsia="Times New Roman" w:hAnsi="Times New Roman"/>
          <w:sz w:val="18"/>
          <w:szCs w:val="18"/>
          <w:color w:val="auto"/>
        </w:rPr>
        <w:t xml:space="preserve"> Only applicable to Restricted Stock Agreements for George D. Yancopoulos, M.D., Ph.D.</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43"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8"/>
          <w:szCs w:val="18"/>
          <w:color w:val="auto"/>
        </w:rPr>
        <w:t>to the Employer.]</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 xml:space="preserve"> Shares of Restricted Stock granted to the Recipient in the Notice of Grant of Restricted Stock shall become fully vested as of the date of death of the Recipient, provided that the Recipient is employed by the Employer on the date of his/her death.</w:t>
      </w:r>
    </w:p>
    <w:p>
      <w:pPr>
        <w:spacing w:after="0" w:line="59" w:lineRule="exact"/>
        <w:rPr>
          <w:sz w:val="20"/>
          <w:szCs w:val="20"/>
          <w:color w:val="auto"/>
        </w:rPr>
      </w:pPr>
    </w:p>
    <w:p>
      <w:pPr>
        <w:ind w:firstLine="1278"/>
        <w:spacing w:after="0" w:line="235" w:lineRule="auto"/>
        <w:tabs>
          <w:tab w:leader="none" w:pos="19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Unvested Shares may not be transferred or otherwise disposed of by the Recipient including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assignment, transfer, pledge, hypothecation or otherwise, except as permitted by the Committee in its sole discretion.</w:t>
      </w:r>
    </w:p>
    <w:p>
      <w:pPr>
        <w:spacing w:after="0" w:line="45" w:lineRule="exact"/>
        <w:rPr>
          <w:rFonts w:ascii="Times New Roman" w:cs="Times New Roman" w:eastAsia="Times New Roman" w:hAnsi="Times New Roman"/>
          <w:sz w:val="18"/>
          <w:szCs w:val="18"/>
          <w:color w:val="auto"/>
        </w:rPr>
      </w:pPr>
    </w:p>
    <w:p>
      <w:pPr>
        <w:jc w:val="both"/>
        <w:ind w:firstLine="1278"/>
        <w:spacing w:after="0" w:line="228" w:lineRule="auto"/>
        <w:tabs>
          <w:tab w:leader="none" w:pos="19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Securities Laws Requirements</w:t>
      </w:r>
      <w:r>
        <w:rPr>
          <w:rFonts w:ascii="Times New Roman" w:cs="Times New Roman" w:eastAsia="Times New Roman" w:hAnsi="Times New Roman"/>
          <w:sz w:val="18"/>
          <w:szCs w:val="18"/>
          <w:color w:val="auto"/>
        </w:rPr>
        <w:t>. The Company shall not be obligated to transfer any Unvested Shares or other shares of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to the Recipient, if such transfer, in the opinion of counsel for the Company, would violate the Securities Act (or any other federal or state statutes having similar requirements as may be in effect at that time).</w:t>
      </w:r>
    </w:p>
    <w:p>
      <w:pPr>
        <w:spacing w:after="0" w:line="46" w:lineRule="exact"/>
        <w:rPr>
          <w:rFonts w:ascii="Times New Roman" w:cs="Times New Roman" w:eastAsia="Times New Roman" w:hAnsi="Times New Roman"/>
          <w:sz w:val="18"/>
          <w:szCs w:val="18"/>
          <w:color w:val="auto"/>
        </w:rPr>
      </w:pPr>
    </w:p>
    <w:p>
      <w:pPr>
        <w:jc w:val="both"/>
        <w:ind w:firstLine="1278"/>
        <w:spacing w:after="0" w:line="216" w:lineRule="auto"/>
        <w:tabs>
          <w:tab w:leader="none" w:pos="19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Invalid Transfers</w:t>
      </w:r>
      <w:r>
        <w:rPr>
          <w:rFonts w:ascii="Times New Roman" w:cs="Times New Roman" w:eastAsia="Times New Roman" w:hAnsi="Times New Roman"/>
          <w:sz w:val="18"/>
          <w:szCs w:val="18"/>
          <w:color w:val="auto"/>
        </w:rPr>
        <w:t>. No purported sale, assignment, mortgage, hypothecation, transfer, pledge, encumbrance, gift, transfer in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or other) or other disposition of, or creation of a security interest in or lien on, any of the shares of Restricted Stock by any holder thereof in violation of the provisions of this Agreement or the Certificate of Incorporation or the By-Laws of the Company, shall be valid, and the Company will not transfer any of said shares of Restricted Stock on its books nor will any of said shares of Restricted Stock be entitled to vote, nor will any dividends be paid thereon, unless and until there has been full compliance with said provisions to the satisfaction of the Company. The foregoing restrictions are in addition to and not in lieu of any other remedies, legal or equitable, available to enforce said provisions.</w:t>
      </w:r>
    </w:p>
    <w:p>
      <w:pPr>
        <w:spacing w:after="0" w:line="48" w:lineRule="exact"/>
        <w:rPr>
          <w:rFonts w:ascii="Times New Roman" w:cs="Times New Roman" w:eastAsia="Times New Roman" w:hAnsi="Times New Roman"/>
          <w:sz w:val="18"/>
          <w:szCs w:val="18"/>
          <w:color w:val="auto"/>
        </w:rPr>
      </w:pPr>
    </w:p>
    <w:p>
      <w:pPr>
        <w:jc w:val="both"/>
        <w:ind w:firstLine="1278"/>
        <w:spacing w:after="0" w:line="211" w:lineRule="auto"/>
        <w:tabs>
          <w:tab w:leader="none" w:pos="19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Recipient shall promptly notify the Company of any election made pursuant to Section 83(b) of the Code.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 shall pay to the Company, at the time the Recipient recognizes taxable income in respect to the shares of Restricted Stock as a result of having made an election under Section 83(b) of the Code in connection with such grant, an amount equal to the federal, state and/or local taxes the Company determines it is required to withhold under applicable tax laws with respect to the shares of Restricted Stock. The Recipient may satisfy the foregoing requirement by making a payment to the Company in cash or, with the consent of the Company, by authorizing the Company to withhold cash otherwise due to the Recipient. In all other cases (except as may be otherwise determined by the Board of Directors or the Committee from time to time (including following the date hereof)), any such withholding obligation shall be satisfied by surrendering to the Company a portion of the shares of Restricted Stock the vesting of which gives rise to the withholding obligation (but only to the extent of the minimum withholding required by law). Shares so surrendered by the Recipient shall be credited against any such withholding obligation at the Fair Market Value of such shares on the date of such vesting (and the amount equal to the Fair Market Value of such shares shall be remitted by the Company to the appropriate tax authorities). The Recipient understands that he or she (and not the Company) shall be responsible for any tax liability that may arise as a result of the transactions contemplated by this Agreement.</w:t>
      </w:r>
    </w:p>
    <w:p>
      <w:pPr>
        <w:spacing w:after="0" w:line="54" w:lineRule="exact"/>
        <w:rPr>
          <w:sz w:val="20"/>
          <w:szCs w:val="20"/>
          <w:color w:val="auto"/>
        </w:rPr>
      </w:pPr>
    </w:p>
    <w:p>
      <w:pPr>
        <w:ind w:left="1280"/>
        <w:spacing w:after="0" w:line="231" w:lineRule="auto"/>
        <w:rPr>
          <w:sz w:val="20"/>
          <w:szCs w:val="20"/>
          <w:color w:val="auto"/>
        </w:rPr>
      </w:pPr>
      <w:r>
        <w:rPr>
          <w:rFonts w:ascii="Times New Roman" w:cs="Times New Roman" w:eastAsia="Times New Roman" w:hAnsi="Times New Roman"/>
          <w:sz w:val="17"/>
          <w:szCs w:val="17"/>
          <w:color w:val="auto"/>
        </w:rPr>
        <w:t>THE RECIPIENT ACKNOWLEDGES THAT IT IS THE RECIPIENT'S SOLE RESPONSIBILITY, AND NOT THE COMPANY’S, TO FILE TIMELY THE ELECTION UNDER SECTION 83(b) OF THE CODE, IN THE EVENT THAT THE RECIPIENT DESIRES TO</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MAKE THE ELECTION.</w:t>
      </w:r>
    </w:p>
    <w:p>
      <w:pPr>
        <w:spacing w:after="0" w:line="49" w:lineRule="exact"/>
        <w:rPr>
          <w:sz w:val="20"/>
          <w:szCs w:val="20"/>
          <w:color w:val="auto"/>
        </w:rPr>
      </w:pPr>
    </w:p>
    <w:p>
      <w:pPr>
        <w:jc w:val="both"/>
        <w:ind w:firstLine="1278"/>
        <w:spacing w:after="0" w:line="216" w:lineRule="auto"/>
        <w:tabs>
          <w:tab w:leader="none" w:pos="19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Shareholder</w:t>
      </w:r>
      <w:r>
        <w:rPr>
          <w:rFonts w:ascii="Times New Roman" w:cs="Times New Roman" w:eastAsia="Times New Roman" w:hAnsi="Times New Roman"/>
          <w:sz w:val="18"/>
          <w:szCs w:val="18"/>
          <w:color w:val="auto"/>
        </w:rPr>
        <w:t>. Pursuant to Section 8(e) of the Plan, the Company shall hold in escrow all dividends, if any, that are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the Unvested Shares until all restrictions on such shares have lapsed. Pursuant to Section 8(f) of the Plan, the Recipient agrees (i) that the right to vote any Unvested Shares will be held by the Company and (ii) to execute an irrevocable proxy in favor of the Company in such form supplied by the Company. The Company may, in its sole discretion, determine to deliver any documents related to participation in the Plan or deliverable to the Recipient in the Recipient’s capacity as a shareholder of the Company by electronic means. The Recipient hereby consents to receive any and all such documents by electronic delivery to the extent the Company utilizes such delivery method from time to time.</w:t>
      </w:r>
    </w:p>
    <w:p>
      <w:pPr>
        <w:spacing w:after="0" w:line="48" w:lineRule="exact"/>
        <w:rPr>
          <w:rFonts w:ascii="Times New Roman" w:cs="Times New Roman" w:eastAsia="Times New Roman" w:hAnsi="Times New Roman"/>
          <w:sz w:val="18"/>
          <w:szCs w:val="18"/>
          <w:color w:val="auto"/>
        </w:rPr>
      </w:pPr>
    </w:p>
    <w:p>
      <w:pPr>
        <w:jc w:val="both"/>
        <w:ind w:firstLine="1278"/>
        <w:spacing w:after="0" w:line="226" w:lineRule="auto"/>
        <w:tabs>
          <w:tab w:leader="none" w:pos="190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Compliance with Law and Regulations</w:t>
      </w:r>
      <w:r>
        <w:rPr>
          <w:rFonts w:ascii="Times New Roman" w:cs="Times New Roman" w:eastAsia="Times New Roman" w:hAnsi="Times New Roman"/>
          <w:sz w:val="17"/>
          <w:szCs w:val="17"/>
          <w:color w:val="auto"/>
        </w:rPr>
        <w:t>. This Agreement, the award hereunder and any obligation of the Company hereunder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subject to all applicable federal, state and local laws, rules and regulations and to such approvals by any government or regulatory agency as may be required. The Company may require, as a condition of the issuance and delivery of certificates or the registration of book entries evidencing Restricted Stock pursuant to the terms hereof, that the certificates or book entries bear or be subject to such legends as set forth in the Plan, in addition to any other legends required under federal and state securities laws or as otherwise determined by the Committee. Except to the extent preempted by any federal law, this Agreement shall be construed and administered in accordance with the laws of the State of New York without reference to its principles of conflicts of law.</w:t>
      </w:r>
    </w:p>
    <w:p>
      <w:pPr>
        <w:spacing w:after="0" w:line="61" w:lineRule="exact"/>
        <w:rPr>
          <w:rFonts w:ascii="Times New Roman" w:cs="Times New Roman" w:eastAsia="Times New Roman" w:hAnsi="Times New Roman"/>
          <w:sz w:val="17"/>
          <w:szCs w:val="17"/>
          <w:color w:val="auto"/>
        </w:rPr>
      </w:pPr>
    </w:p>
    <w:p>
      <w:pPr>
        <w:jc w:val="both"/>
        <w:ind w:firstLine="1278"/>
        <w:spacing w:after="0" w:line="223" w:lineRule="auto"/>
        <w:tabs>
          <w:tab w:leader="none" w:pos="190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Recipient Bound by Plan</w:t>
      </w:r>
      <w:r>
        <w:rPr>
          <w:rFonts w:ascii="Times New Roman" w:cs="Times New Roman" w:eastAsia="Times New Roman" w:hAnsi="Times New Roman"/>
          <w:sz w:val="18"/>
          <w:szCs w:val="18"/>
          <w:color w:val="auto"/>
        </w:rPr>
        <w:t>. The Recipient acknowledges receipt of a copy of this Agreement and the Plan and agrees to be bound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all the terms and provisions 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16827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1">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180" w:lineRule="exact"/>
        <w:rPr>
          <w:sz w:val="20"/>
          <w:szCs w:val="20"/>
          <w:color w:val="auto"/>
        </w:rPr>
      </w:pPr>
    </w:p>
    <w:p>
      <w:pPr>
        <w:ind w:left="100" w:hanging="94"/>
        <w:spacing w:after="0"/>
        <w:tabs>
          <w:tab w:leader="none" w:pos="100"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Only applicable to Restricted Stock Agreements for George D. Yancopoulos, M.D., Ph.D.</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45" w:lineRule="exact"/>
        <w:rPr>
          <w:sz w:val="20"/>
          <w:szCs w:val="20"/>
          <w:color w:val="auto"/>
        </w:rPr>
      </w:pPr>
    </w:p>
    <w:p>
      <w:pPr>
        <w:jc w:val="both"/>
        <w:ind w:left="-1120" w:firstLine="1278"/>
        <w:spacing w:after="0" w:line="216" w:lineRule="auto"/>
        <w:tabs>
          <w:tab w:leader="none" w:pos="77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or communication given hereunder shall be in writing and shall be deemed given when delivered in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United States mail, at the following addresses: (i) if to the Company, to: Regeneron Pharmaceuticals, Inc., 777 Old Saw Mill River Road, Tarrytown, NY 10591, Attention: Secretary, and (ii) if to the Recipient, to: the Recipient at Regeneron Pharmaceuticals, Inc., 777 Old Saw Mill River Road, Tarrytown, NY 10591, or, if the Recipient has terminated service with the Company, to the last address for the Recipient indicated in the records of the Company, or such other address as the relevant party shall specify at any time hereafter in accordance with this Section 11.</w:t>
      </w:r>
    </w:p>
    <w:p>
      <w:pPr>
        <w:spacing w:after="0" w:line="62" w:lineRule="exact"/>
        <w:rPr>
          <w:rFonts w:ascii="Times New Roman" w:cs="Times New Roman" w:eastAsia="Times New Roman" w:hAnsi="Times New Roman"/>
          <w:sz w:val="18"/>
          <w:szCs w:val="18"/>
          <w:color w:val="auto"/>
        </w:rPr>
      </w:pPr>
    </w:p>
    <w:p>
      <w:pPr>
        <w:ind w:left="-1120" w:firstLine="1278"/>
        <w:spacing w:after="0" w:line="235" w:lineRule="auto"/>
        <w:tabs>
          <w:tab w:leader="none" w:pos="78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Obligation to Continue Employment</w:t>
      </w:r>
      <w:r>
        <w:rPr>
          <w:rFonts w:ascii="Times New Roman" w:cs="Times New Roman" w:eastAsia="Times New Roman" w:hAnsi="Times New Roman"/>
          <w:sz w:val="18"/>
          <w:szCs w:val="18"/>
          <w:color w:val="auto"/>
        </w:rPr>
        <w:t>. This Agreement does not guarantee that the Employer will employ the Recipient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specified time period, nor does it modify in any respect the Recipient’s employment or compensation.</w:t>
      </w:r>
    </w:p>
    <w:p>
      <w:pPr>
        <w:spacing w:after="0" w:line="151" w:lineRule="exact"/>
        <w:rPr>
          <w:rFonts w:ascii="Times New Roman" w:cs="Times New Roman" w:eastAsia="Times New Roman" w:hAnsi="Times New Roman"/>
          <w:sz w:val="18"/>
          <w:szCs w:val="18"/>
          <w:color w:val="auto"/>
        </w:rPr>
      </w:pPr>
    </w:p>
    <w:p>
      <w:pPr>
        <w:jc w:val="both"/>
        <w:ind w:left="-1120" w:firstLine="1278"/>
        <w:spacing w:after="0" w:line="221" w:lineRule="auto"/>
        <w:tabs>
          <w:tab w:leader="none" w:pos="78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Recoupment</w:t>
      </w:r>
      <w:r>
        <w:rPr>
          <w:rFonts w:ascii="Times New Roman" w:cs="Times New Roman" w:eastAsia="Times New Roman" w:hAnsi="Times New Roman"/>
          <w:sz w:val="18"/>
          <w:szCs w:val="18"/>
          <w:color w:val="auto"/>
        </w:rPr>
        <w:t>. By entering into this Agreement and accepting the award hereunder, the Recipient agrees to be bound by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Policy Regarding Recoupment or Reduction of Incentive Compensation for Compliance Violations, as in effect from time to time (or any successor policy thereto) (the “</w:t>
      </w:r>
      <w:r>
        <w:rPr>
          <w:rFonts w:ascii="Times New Roman" w:cs="Times New Roman" w:eastAsia="Times New Roman" w:hAnsi="Times New Roman"/>
          <w:sz w:val="18"/>
          <w:szCs w:val="18"/>
          <w:u w:val="single" w:color="auto"/>
          <w:color w:val="auto"/>
        </w:rPr>
        <w:t>Recoupment Policy</w:t>
      </w:r>
      <w:r>
        <w:rPr>
          <w:rFonts w:ascii="Times New Roman" w:cs="Times New Roman" w:eastAsia="Times New Roman" w:hAnsi="Times New Roman"/>
          <w:sz w:val="18"/>
          <w:szCs w:val="18"/>
          <w:color w:val="auto"/>
        </w:rPr>
        <w:t>”), and further acknowledges and agrees that the Recoupment Policy shall apply to the shares of Restricted Stock granted hereunder (including after all restrictions on such shares have lapsed).</w:t>
      </w:r>
    </w:p>
    <w:p>
      <w:pPr>
        <w:sectPr>
          <w:pgSz w:w="11900" w:h="16838" w:orient="portrait"/>
          <w:cols w:equalWidth="0" w:num="1">
            <w:col w:w="10120"/>
          </w:cols>
          <w:pgMar w:left="1440" w:top="1440"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3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SUBSIDIARIES OF REGENERON PHARMACEUTICALS, INC.</w:t>
      </w:r>
    </w:p>
    <w:p>
      <w:pPr>
        <w:spacing w:after="0" w:line="36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0" w:type="dxa"/>
            <w:vAlign w:val="bottom"/>
          </w:tcPr>
          <w:p>
            <w:pPr>
              <w:spacing w:after="0"/>
              <w:rPr>
                <w:sz w:val="1"/>
                <w:szCs w:val="1"/>
                <w:color w:val="auto"/>
              </w:rPr>
            </w:pPr>
          </w:p>
        </w:tc>
      </w:tr>
      <w:tr>
        <w:trPr>
          <w:trHeight w:val="152"/>
        </w:trPr>
        <w:tc>
          <w:tcPr>
            <w:tcW w:w="5000" w:type="dxa"/>
            <w:vAlign w:val="bottom"/>
            <w:gridSpan w:val="2"/>
            <w:vMerge w:val="continue"/>
          </w:tcPr>
          <w:p>
            <w:pPr>
              <w:spacing w:after="0"/>
              <w:rPr>
                <w:sz w:val="13"/>
                <w:szCs w:val="13"/>
                <w:color w:val="auto"/>
              </w:rPr>
            </w:pPr>
          </w:p>
        </w:tc>
        <w:tc>
          <w:tcPr>
            <w:tcW w:w="2220" w:type="dxa"/>
            <w:vAlign w:val="bottom"/>
            <w:tcBorders>
              <w:top w:val="single" w:sz="8" w:color="auto"/>
            </w:tcBorders>
          </w:tcPr>
          <w:p>
            <w:pPr>
              <w:spacing w:after="0" w:line="139" w:lineRule="exact"/>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58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Checkmate Pharmaceuticals, Inc.</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Decibel Securities Corporation</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Decibel Therapeutics Australia Pty Ltd</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Decibel Therapeutics, Inc.</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Eastside Campus Holdings LLC</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Road Holdings LLC</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Old Saw Mill Holdings LLC</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OSMR Holdings</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Assurance, Inc.</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Atlantic Holdings</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Belgium SRL</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Canada Company</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France SAS</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Genetics Center LLC</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GmbH</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Healthcare Solutions, Inc.</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India Private Limited</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International Holdings LLC</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Ireland Designated Activity Company</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Italy S.r.l.</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Japan KK</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NL B.V.</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Spain, S.L.U.</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Spain</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Switzerland GmbH</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Regeneron UK Limited</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 County Holdings LLC</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31"/>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Rockwood Road Holdings LLC</w:t>
            </w: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bl>
    <w:p>
      <w:pPr>
        <w:ind w:left="240"/>
        <w:spacing w:after="0"/>
        <w:rPr>
          <w:sz w:val="20"/>
          <w:szCs w:val="20"/>
          <w:color w:val="auto"/>
        </w:rPr>
      </w:pPr>
      <w:r>
        <w:rPr>
          <w:rFonts w:ascii="Times New Roman" w:cs="Times New Roman" w:eastAsia="Times New Roman" w:hAnsi="Times New Roman"/>
          <w:sz w:val="18"/>
          <w:szCs w:val="18"/>
          <w:color w:val="auto"/>
        </w:rPr>
        <w:t>_____________</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 Directly or indirectly wholly owned by Regeneron Pharmaceuticals, Inc.</w:t>
      </w:r>
    </w:p>
    <w:p>
      <w:pPr>
        <w:sectPr>
          <w:pgSz w:w="11900" w:h="16838" w:orient="portrait"/>
          <w:cols w:equalWidth="0" w:num="1">
            <w:col w:w="10120"/>
          </w:cols>
          <w:pgMar w:left="1440" w:top="969"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7" w:lineRule="exact"/>
        <w:rPr>
          <w:sz w:val="20"/>
          <w:szCs w:val="20"/>
          <w:color w:val="auto"/>
        </w:rPr>
      </w:pPr>
    </w:p>
    <w:p>
      <w:pPr>
        <w:jc w:val="both"/>
        <w:spacing w:after="0" w:line="233"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333-260763) and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333-61132, 333-97375, 333-119257, 333-151941, 333-169569, 333-174863, 333-196799, 333-198794, 333-218669, and 333-239209) of Regeneron Pharmaceuticals, Inc. of our report dated February 5, 2024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Florham Park, New Jersey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2024</w:t>
      </w:r>
    </w:p>
    <w:p>
      <w:pPr>
        <w:sectPr>
          <w:pgSz w:w="11900" w:h="16838" w:orient="portrait"/>
          <w:cols w:equalWidth="0" w:num="1">
            <w:col w:w="11240"/>
          </w:cols>
          <w:pgMar w:left="320" w:top="87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98" w:lineRule="exact"/>
        <w:rPr>
          <w:sz w:val="20"/>
          <w:szCs w:val="20"/>
          <w:color w:val="auto"/>
        </w:rPr>
      </w:pPr>
    </w:p>
    <w:p>
      <w:pPr>
        <w:ind w:left="320" w:hanging="314"/>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Regeneron Pharmaceuticals, Inc.;</w:t>
      </w:r>
    </w:p>
    <w:p>
      <w:pPr>
        <w:spacing w:after="0" w:line="84" w:lineRule="exact"/>
        <w:rPr>
          <w:rFonts w:ascii="Times New Roman" w:cs="Times New Roman" w:eastAsia="Times New Roman" w:hAnsi="Times New Roman"/>
          <w:sz w:val="18"/>
          <w:szCs w:val="18"/>
          <w:color w:val="auto"/>
        </w:rPr>
      </w:pPr>
    </w:p>
    <w:p>
      <w:pPr>
        <w:ind w:left="320" w:right="160" w:hanging="314"/>
        <w:spacing w:after="0" w:line="304" w:lineRule="auto"/>
        <w:tabs>
          <w:tab w:leader="none" w:pos="3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8"/>
          <w:szCs w:val="18"/>
          <w:color w:val="auto"/>
        </w:rPr>
      </w:pPr>
    </w:p>
    <w:p>
      <w:pPr>
        <w:ind w:left="320" w:right="100" w:hanging="314"/>
        <w:spacing w:after="0" w:line="259" w:lineRule="auto"/>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Times New Roman" w:cs="Times New Roman" w:eastAsia="Times New Roman" w:hAnsi="Times New Roman"/>
          <w:sz w:val="18"/>
          <w:szCs w:val="18"/>
          <w:color w:val="auto"/>
        </w:rPr>
      </w:pPr>
    </w:p>
    <w:p>
      <w:pPr>
        <w:ind w:left="960" w:right="260" w:hanging="318"/>
        <w:spacing w:after="0" w:line="259" w:lineRule="auto"/>
        <w:tabs>
          <w:tab w:leader="none" w:pos="95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4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1"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4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left="320" w:right="560" w:hanging="314"/>
        <w:spacing w:after="0" w:line="274" w:lineRule="auto"/>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4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February 5, 2024</w:t>
            </w: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Leonard S. Schleifer</w:t>
            </w: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4220" w:type="dxa"/>
            <w:vAlign w:val="bottom"/>
            <w:vMerge w:val="continue"/>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19"/>
        </w:trPr>
        <w:tc>
          <w:tcPr>
            <w:tcW w:w="4220" w:type="dxa"/>
            <w:vAlign w:val="bottom"/>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1"/>
        </w:trPr>
        <w:tc>
          <w:tcPr>
            <w:tcW w:w="42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83"/>
        </w:trPr>
        <w:tc>
          <w:tcPr>
            <w:tcW w:w="4220" w:type="dxa"/>
            <w:vAlign w:val="bottom"/>
            <w:tcBorders>
              <w:bottom w:val="single" w:sz="8" w:color="666666"/>
            </w:tcBorders>
          </w:tcPr>
          <w:p>
            <w:pPr>
              <w:spacing w:after="0"/>
              <w:rPr>
                <w:sz w:val="24"/>
                <w:szCs w:val="24"/>
                <w:color w:val="auto"/>
              </w:rPr>
            </w:pPr>
          </w:p>
        </w:tc>
        <w:tc>
          <w:tcPr>
            <w:tcW w:w="1680" w:type="dxa"/>
            <w:vAlign w:val="bottom"/>
            <w:tcBorders>
              <w:bottom w:val="single" w:sz="8" w:color="666666"/>
            </w:tcBorders>
          </w:tcPr>
          <w:p>
            <w:pPr>
              <w:spacing w:after="0"/>
              <w:rPr>
                <w:sz w:val="24"/>
                <w:szCs w:val="24"/>
                <w:color w:val="auto"/>
              </w:rPr>
            </w:pPr>
          </w:p>
        </w:tc>
        <w:tc>
          <w:tcPr>
            <w:tcW w:w="530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9"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Landry, certify that:</w:t>
      </w:r>
    </w:p>
    <w:p>
      <w:pPr>
        <w:spacing w:after="0" w:line="98" w:lineRule="exact"/>
        <w:rPr>
          <w:sz w:val="20"/>
          <w:szCs w:val="20"/>
          <w:color w:val="auto"/>
        </w:rPr>
      </w:pPr>
    </w:p>
    <w:p>
      <w:pPr>
        <w:ind w:left="320" w:hanging="314"/>
        <w:spacing w:after="0"/>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Regeneron Pharmaceuticals, Inc.;</w:t>
      </w:r>
    </w:p>
    <w:p>
      <w:pPr>
        <w:spacing w:after="0" w:line="84" w:lineRule="exact"/>
        <w:rPr>
          <w:rFonts w:ascii="Times New Roman" w:cs="Times New Roman" w:eastAsia="Times New Roman" w:hAnsi="Times New Roman"/>
          <w:sz w:val="18"/>
          <w:szCs w:val="18"/>
          <w:color w:val="auto"/>
        </w:rPr>
      </w:pPr>
    </w:p>
    <w:p>
      <w:pPr>
        <w:ind w:left="320" w:right="160" w:hanging="314"/>
        <w:spacing w:after="0" w:line="304" w:lineRule="auto"/>
        <w:tabs>
          <w:tab w:leader="none" w:pos="3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8"/>
          <w:szCs w:val="18"/>
          <w:color w:val="auto"/>
        </w:rPr>
      </w:pPr>
    </w:p>
    <w:p>
      <w:pPr>
        <w:ind w:left="320" w:right="100" w:hanging="314"/>
        <w:spacing w:after="0" w:line="259" w:lineRule="auto"/>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Times New Roman" w:cs="Times New Roman" w:eastAsia="Times New Roman" w:hAnsi="Times New Roman"/>
          <w:sz w:val="18"/>
          <w:szCs w:val="18"/>
          <w:color w:val="auto"/>
        </w:rPr>
      </w:pPr>
    </w:p>
    <w:p>
      <w:pPr>
        <w:ind w:left="960" w:right="260" w:hanging="318"/>
        <w:spacing w:after="0" w:line="259" w:lineRule="auto"/>
        <w:tabs>
          <w:tab w:leader="none" w:pos="95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ind w:left="960" w:right="580" w:hanging="318"/>
        <w:spacing w:after="0" w:line="259" w:lineRule="auto"/>
        <w:tabs>
          <w:tab w:leader="none" w:pos="94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jc w:val="both"/>
        <w:ind w:left="960" w:right="740" w:hanging="318"/>
        <w:spacing w:after="0" w:line="304" w:lineRule="auto"/>
        <w:tabs>
          <w:tab w:leader="none" w:pos="951"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Times New Roman" w:cs="Times New Roman" w:eastAsia="Times New Roman" w:hAnsi="Times New Roman"/>
          <w:sz w:val="17"/>
          <w:szCs w:val="17"/>
          <w:color w:val="auto"/>
        </w:rPr>
      </w:pPr>
    </w:p>
    <w:p>
      <w:pPr>
        <w:ind w:left="960" w:right="300" w:hanging="318"/>
        <w:spacing w:after="0" w:line="259" w:lineRule="auto"/>
        <w:tabs>
          <w:tab w:leader="none" w:pos="94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left="320" w:right="560" w:hanging="314"/>
        <w:spacing w:after="0" w:line="274" w:lineRule="auto"/>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left="960" w:right="180" w:hanging="318"/>
        <w:spacing w:after="0" w:line="274" w:lineRule="auto"/>
        <w:tabs>
          <w:tab w:leader="none" w:pos="95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960" w:right="160" w:hanging="318"/>
        <w:spacing w:after="0" w:line="274" w:lineRule="auto"/>
        <w:tabs>
          <w:tab w:leader="none" w:pos="94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2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February 5, 2024</w:t>
            </w: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E. Landry</w:t>
            </w:r>
          </w:p>
        </w:tc>
        <w:tc>
          <w:tcPr>
            <w:tcW w:w="0" w:type="dxa"/>
            <w:vAlign w:val="bottom"/>
          </w:tcPr>
          <w:p>
            <w:pPr>
              <w:spacing w:after="0"/>
              <w:rPr>
                <w:sz w:val="1"/>
                <w:szCs w:val="1"/>
                <w:color w:val="auto"/>
              </w:rPr>
            </w:pPr>
          </w:p>
        </w:tc>
      </w:tr>
      <w:tr>
        <w:trPr>
          <w:trHeight w:val="87"/>
        </w:trPr>
        <w:tc>
          <w:tcPr>
            <w:tcW w:w="4220" w:type="dxa"/>
            <w:vAlign w:val="bottom"/>
            <w:vMerge w:val="continue"/>
          </w:tcPr>
          <w:p>
            <w:pPr>
              <w:spacing w:after="0"/>
              <w:rPr>
                <w:sz w:val="7"/>
                <w:szCs w:val="7"/>
                <w:color w:val="auto"/>
              </w:rPr>
            </w:pPr>
          </w:p>
        </w:tc>
        <w:tc>
          <w:tcPr>
            <w:tcW w:w="14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Robert E. Landry</w:t>
            </w:r>
          </w:p>
        </w:tc>
        <w:tc>
          <w:tcPr>
            <w:tcW w:w="55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22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5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69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Executive Vice President, Finance and Chief</w:t>
            </w:r>
          </w:p>
        </w:tc>
        <w:tc>
          <w:tcPr>
            <w:tcW w:w="0" w:type="dxa"/>
            <w:vAlign w:val="bottom"/>
          </w:tcPr>
          <w:p>
            <w:pPr>
              <w:spacing w:after="0"/>
              <w:rPr>
                <w:sz w:val="1"/>
                <w:szCs w:val="1"/>
                <w:color w:val="auto"/>
              </w:rPr>
            </w:pPr>
          </w:p>
        </w:tc>
      </w:tr>
      <w:tr>
        <w:trPr>
          <w:trHeight w:val="231"/>
        </w:trPr>
        <w:tc>
          <w:tcPr>
            <w:tcW w:w="42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3"/>
        </w:trPr>
        <w:tc>
          <w:tcPr>
            <w:tcW w:w="42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82"/>
        </w:trPr>
        <w:tc>
          <w:tcPr>
            <w:tcW w:w="4220" w:type="dxa"/>
            <w:vAlign w:val="bottom"/>
            <w:tcBorders>
              <w:bottom w:val="single" w:sz="8" w:color="666666"/>
            </w:tcBorders>
          </w:tcPr>
          <w:p>
            <w:pPr>
              <w:spacing w:after="0"/>
              <w:rPr>
                <w:sz w:val="24"/>
                <w:szCs w:val="24"/>
                <w:color w:val="auto"/>
              </w:rPr>
            </w:pPr>
          </w:p>
        </w:tc>
        <w:tc>
          <w:tcPr>
            <w:tcW w:w="1440" w:type="dxa"/>
            <w:vAlign w:val="bottom"/>
            <w:tcBorders>
              <w:bottom w:val="single" w:sz="8" w:color="666666"/>
            </w:tcBorders>
          </w:tcPr>
          <w:p>
            <w:pPr>
              <w:spacing w:after="0"/>
              <w:rPr>
                <w:sz w:val="24"/>
                <w:szCs w:val="24"/>
                <w:color w:val="auto"/>
              </w:rPr>
            </w:pPr>
          </w:p>
        </w:tc>
        <w:tc>
          <w:tcPr>
            <w:tcW w:w="554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9"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2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Annual Report of Regeneron Pharmaceuticals, Inc. (the "Company") on Form 10-K for the year ended December 31, 2023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61" w:lineRule="exact"/>
        <w:rPr>
          <w:sz w:val="20"/>
          <w:szCs w:val="20"/>
          <w:color w:val="auto"/>
        </w:rPr>
      </w:pPr>
    </w:p>
    <w:p>
      <w:pPr>
        <w:ind w:left="640" w:hanging="316"/>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5, 2024</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Robert E. Landry</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Robert E. Landry</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5, 2024</w:t>
      </w:r>
    </w:p>
    <w:p>
      <w:pPr>
        <w:sectPr>
          <w:pgSz w:w="11900" w:h="16838" w:orient="portrait"/>
          <w:cols w:equalWidth="0" w:num="1">
            <w:col w:w="11240"/>
          </w:cols>
          <w:pgMar w:left="320" w:top="969"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1"/>
          <w:szCs w:val="2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REGENERON PHARMACEUTICALS, INC.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CLAWBACK POLICY</w:t>
      </w:r>
    </w:p>
    <w:p>
      <w:pPr>
        <w:spacing w:after="0" w:line="187" w:lineRule="exact"/>
        <w:rPr>
          <w:sz w:val="20"/>
          <w:szCs w:val="20"/>
          <w:color w:val="auto"/>
        </w:rPr>
      </w:pPr>
    </w:p>
    <w:p>
      <w:pPr>
        <w:ind w:right="160" w:firstLine="318"/>
        <w:spacing w:after="0" w:line="232" w:lineRule="auto"/>
        <w:rPr>
          <w:sz w:val="20"/>
          <w:szCs w:val="20"/>
          <w:color w:val="auto"/>
        </w:rPr>
      </w:pPr>
      <w:r>
        <w:rPr>
          <w:rFonts w:ascii="Times New Roman" w:cs="Times New Roman" w:eastAsia="Times New Roman" w:hAnsi="Times New Roman"/>
          <w:sz w:val="21"/>
          <w:szCs w:val="21"/>
          <w:color w:val="auto"/>
        </w:rPr>
        <w:t>The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of Regeneron Pharmaceuticals,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believes it is appropriate for the Company to adopt this Clawback Policy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to be applied to the Executive Officers (as defined below) of the Company and adopts this Policy to be effective as of the Effective Date (as defined below).</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1.  Definitions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For purposes of this Policy, the following definitions shall apply:</w:t>
      </w:r>
    </w:p>
    <w:p>
      <w:pPr>
        <w:spacing w:after="0" w:line="183" w:lineRule="exact"/>
        <w:rPr>
          <w:sz w:val="20"/>
          <w:szCs w:val="20"/>
          <w:color w:val="auto"/>
        </w:rPr>
      </w:pPr>
    </w:p>
    <w:p>
      <w:pPr>
        <w:ind w:left="960" w:hanging="318"/>
        <w:spacing w:after="0"/>
        <w:tabs>
          <w:tab w:leader="none" w:pos="9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means the Compensation Committee of the Board.</w:t>
      </w:r>
    </w:p>
    <w:p>
      <w:pPr>
        <w:spacing w:after="0" w:line="182"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means the Company and each of its Subsidiaries, as applicable.</w:t>
      </w:r>
    </w:p>
    <w:p>
      <w:pPr>
        <w:spacing w:after="0" w:line="182" w:lineRule="exact"/>
        <w:rPr>
          <w:rFonts w:ascii="Times New Roman" w:cs="Times New Roman" w:eastAsia="Times New Roman" w:hAnsi="Times New Roman"/>
          <w:sz w:val="21"/>
          <w:szCs w:val="21"/>
          <w:color w:val="auto"/>
        </w:rPr>
      </w:pPr>
    </w:p>
    <w:p>
      <w:pPr>
        <w:ind w:left="960" w:right="20" w:hanging="318"/>
        <w:spacing w:after="0" w:line="223" w:lineRule="auto"/>
        <w:tabs>
          <w:tab w:leader="none" w:pos="957"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Compensation</w:t>
      </w:r>
      <w:r>
        <w:rPr>
          <w:rFonts w:ascii="Times New Roman" w:cs="Times New Roman" w:eastAsia="Times New Roman" w:hAnsi="Times New Roman"/>
          <w:sz w:val="21"/>
          <w:szCs w:val="21"/>
          <w:color w:val="auto"/>
        </w:rPr>
        <w:t>” means any Incentive-Based Compensation granted, vested or paid to a person who served as an Executive Officer at any time during the performance period for the Incentive-Based Compensation and that was received (i) on or after the effective date of the Nasdaq listing standard, (ii) after the person became an Executive Officer and (iii) at a time that the Company had a class of securities listed on a national securities exchange or a national securities association.</w:t>
      </w:r>
    </w:p>
    <w:p>
      <w:pPr>
        <w:spacing w:after="0" w:line="150"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December 1, 2023.</w:t>
      </w:r>
    </w:p>
    <w:p>
      <w:pPr>
        <w:spacing w:after="0" w:line="182" w:lineRule="exact"/>
        <w:rPr>
          <w:rFonts w:ascii="Times New Roman" w:cs="Times New Roman" w:eastAsia="Times New Roman" w:hAnsi="Times New Roman"/>
          <w:sz w:val="21"/>
          <w:szCs w:val="21"/>
          <w:color w:val="auto"/>
        </w:rPr>
      </w:pPr>
    </w:p>
    <w:p>
      <w:pPr>
        <w:ind w:left="960" w:right="20" w:hanging="318"/>
        <w:spacing w:after="0" w:line="217" w:lineRule="auto"/>
        <w:tabs>
          <w:tab w:leader="none" w:pos="957"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Nasdaq.</w:t>
      </w:r>
    </w:p>
    <w:p>
      <w:pPr>
        <w:spacing w:after="0" w:line="148" w:lineRule="exact"/>
        <w:rPr>
          <w:rFonts w:ascii="Times New Roman" w:cs="Times New Roman" w:eastAsia="Times New Roman" w:hAnsi="Times New Roman"/>
          <w:sz w:val="21"/>
          <w:szCs w:val="21"/>
          <w:color w:val="auto"/>
        </w:rPr>
      </w:pPr>
    </w:p>
    <w:p>
      <w:pPr>
        <w:ind w:left="960" w:hanging="318"/>
        <w:spacing w:after="0"/>
        <w:tabs>
          <w:tab w:leader="none" w:pos="9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182" w:lineRule="exact"/>
        <w:rPr>
          <w:rFonts w:ascii="Times New Roman" w:cs="Times New Roman" w:eastAsia="Times New Roman" w:hAnsi="Times New Roman"/>
          <w:sz w:val="21"/>
          <w:szCs w:val="21"/>
          <w:color w:val="auto"/>
        </w:rPr>
      </w:pPr>
    </w:p>
    <w:p>
      <w:pPr>
        <w:ind w:left="960" w:right="460" w:hanging="318"/>
        <w:spacing w:after="0" w:line="226" w:lineRule="auto"/>
        <w:tabs>
          <w:tab w:leader="none" w:pos="95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means each “officer” of the Company as defined under Rule 16a-1(f) under Section 16 of the Exchange Act, which shall be deemed to include any individuals identified by the Company as executive officers pursuant to Item 401(b) of Regulation S-K under the Exchange Act. Both current and former Executive Officers are subject to this Policy in accordance with its terms.</w:t>
      </w:r>
    </w:p>
    <w:p>
      <w:pPr>
        <w:spacing w:after="0" w:line="150" w:lineRule="exact"/>
        <w:rPr>
          <w:rFonts w:ascii="Times New Roman" w:cs="Times New Roman" w:eastAsia="Times New Roman" w:hAnsi="Times New Roman"/>
          <w:sz w:val="21"/>
          <w:szCs w:val="21"/>
          <w:color w:val="auto"/>
        </w:rPr>
      </w:pPr>
    </w:p>
    <w:p>
      <w:pPr>
        <w:ind w:left="960" w:right="80" w:hanging="318"/>
        <w:spacing w:after="0" w:line="226" w:lineRule="auto"/>
        <w:tabs>
          <w:tab w:leader="none" w:pos="955"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Reporting Measure</w:t>
      </w:r>
      <w:r>
        <w:rPr>
          <w:rFonts w:ascii="Times New Roman" w:cs="Times New Roman" w:eastAsia="Times New Roman" w:hAnsi="Times New Roman"/>
          <w:sz w:val="21"/>
          <w:szCs w:val="21"/>
          <w:color w:val="auto"/>
        </w:rPr>
        <w:t>” means (i) any measure that is determined and presented in accordance with the accounting principles used in preparing the Company’s financial statements, and any measures derived wholly or in part from such measures, and may consist of GAAP or non-GAAP financial measures (as defined under Regulation G of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00" w:right="339" w:bottom="1440" w:gutter="0" w:footer="0" w:header="0"/>
        </w:sectPr>
      </w:pPr>
    </w:p>
    <w:bookmarkStart w:id="161" w:name="page162"/>
    <w:bookmarkEnd w:id="161"/>
    <w:p>
      <w:pPr>
        <w:spacing w:after="0" w:line="143" w:lineRule="exact"/>
        <w:rPr>
          <w:sz w:val="20"/>
          <w:szCs w:val="20"/>
          <w:color w:val="auto"/>
        </w:rPr>
      </w:pPr>
    </w:p>
    <w:p>
      <w:pPr>
        <w:ind w:left="318"/>
        <w:spacing w:after="0" w:line="226" w:lineRule="auto"/>
        <w:rPr>
          <w:sz w:val="20"/>
          <w:szCs w:val="20"/>
          <w:color w:val="auto"/>
        </w:rPr>
      </w:pPr>
      <w:r>
        <w:rPr>
          <w:rFonts w:ascii="Times New Roman" w:cs="Times New Roman" w:eastAsia="Times New Roman" w:hAnsi="Times New Roman"/>
          <w:sz w:val="21"/>
          <w:szCs w:val="21"/>
          <w:color w:val="auto"/>
        </w:rPr>
        <w:t>Act and Item 10 of Regulation S-K under the Exchange Act), (ii) stock price or (iii) total shareholder return. Financial Reporting Measures may or may not be filed with the SEC and may be presented outside the Company’s financial statements, such as in Managements’ Discussion and Analysis of Financial Conditions and Result of Operations or in the performance graph required under Item 201(e) of Regulation S-K under the Exchange Act.</w:t>
      </w:r>
    </w:p>
    <w:p>
      <w:pPr>
        <w:spacing w:after="0" w:line="150" w:lineRule="exact"/>
        <w:rPr>
          <w:sz w:val="20"/>
          <w:szCs w:val="20"/>
          <w:color w:val="auto"/>
        </w:rPr>
      </w:pPr>
    </w:p>
    <w:p>
      <w:pPr>
        <w:ind w:left="298" w:hanging="298"/>
        <w:spacing w:after="0"/>
        <w:tabs>
          <w:tab w:leader="none" w:pos="29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Home Country</w:t>
      </w:r>
      <w:r>
        <w:rPr>
          <w:rFonts w:ascii="Times New Roman" w:cs="Times New Roman" w:eastAsia="Times New Roman" w:hAnsi="Times New Roman"/>
          <w:sz w:val="21"/>
          <w:szCs w:val="21"/>
          <w:color w:val="auto"/>
        </w:rPr>
        <w:t>” means the Company’s jurisdiction of incorporation.</w:t>
      </w:r>
    </w:p>
    <w:p>
      <w:pPr>
        <w:spacing w:after="0" w:line="182" w:lineRule="exact"/>
        <w:rPr>
          <w:rFonts w:ascii="Times New Roman" w:cs="Times New Roman" w:eastAsia="Times New Roman" w:hAnsi="Times New Roman"/>
          <w:sz w:val="21"/>
          <w:szCs w:val="21"/>
          <w:color w:val="auto"/>
        </w:rPr>
      </w:pPr>
    </w:p>
    <w:p>
      <w:pPr>
        <w:ind w:left="318" w:hanging="318"/>
        <w:spacing w:after="0" w:line="223" w:lineRule="auto"/>
        <w:tabs>
          <w:tab w:leader="none" w:pos="306"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means any compensation that is granted, earned or vested based wholly or in part upon the attainment of a Financial Reporting Measure.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150" w:lineRule="exact"/>
        <w:rPr>
          <w:rFonts w:ascii="Times New Roman" w:cs="Times New Roman" w:eastAsia="Times New Roman" w:hAnsi="Times New Roman"/>
          <w:sz w:val="21"/>
          <w:szCs w:val="21"/>
          <w:color w:val="auto"/>
        </w:rPr>
      </w:pPr>
    </w:p>
    <w:p>
      <w:pPr>
        <w:ind w:left="318" w:right="100" w:hanging="318"/>
        <w:spacing w:after="0" w:line="218" w:lineRule="auto"/>
        <w:tabs>
          <w:tab w:leader="none" w:pos="31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Lookback Period</w:t>
      </w:r>
      <w:r>
        <w:rPr>
          <w:rFonts w:ascii="Times New Roman" w:cs="Times New Roman" w:eastAsia="Times New Roman" w:hAnsi="Times New Roman"/>
          <w:sz w:val="21"/>
          <w:szCs w:val="21"/>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an Restatement, or (ii) the date a court, regulator or other legally authorized body directs the Company to prepare a Restatement. Recovery of any Erroneously Awarded Compensation under this Policy is not dependent on if or when the Restatement is actually filed with the SEC.</w:t>
      </w:r>
    </w:p>
    <w:p>
      <w:pPr>
        <w:spacing w:after="0" w:line="153" w:lineRule="exact"/>
        <w:rPr>
          <w:rFonts w:ascii="Times New Roman" w:cs="Times New Roman" w:eastAsia="Times New Roman" w:hAnsi="Times New Roman"/>
          <w:sz w:val="21"/>
          <w:szCs w:val="21"/>
          <w:color w:val="auto"/>
        </w:rPr>
      </w:pPr>
    </w:p>
    <w:p>
      <w:pPr>
        <w:ind w:left="298" w:hanging="298"/>
        <w:spacing w:after="0"/>
        <w:tabs>
          <w:tab w:leader="none" w:pos="29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means the Nasdaq Stock Market.</w:t>
      </w:r>
    </w:p>
    <w:p>
      <w:pPr>
        <w:spacing w:after="0" w:line="183" w:lineRule="exact"/>
        <w:rPr>
          <w:sz w:val="20"/>
          <w:szCs w:val="20"/>
          <w:color w:val="auto"/>
        </w:rPr>
      </w:pPr>
    </w:p>
    <w:p>
      <w:pPr>
        <w:ind w:left="318" w:right="140" w:hanging="317"/>
        <w:spacing w:after="0" w:line="217" w:lineRule="auto"/>
        <w:rPr>
          <w:sz w:val="20"/>
          <w:szCs w:val="20"/>
          <w:color w:val="auto"/>
        </w:rPr>
      </w:pPr>
      <w:r>
        <w:rPr>
          <w:rFonts w:ascii="Times New Roman" w:cs="Times New Roman" w:eastAsia="Times New Roman" w:hAnsi="Times New Roman"/>
          <w:sz w:val="21"/>
          <w:szCs w:val="21"/>
          <w:color w:val="auto"/>
        </w:rPr>
        <w:t>(m)“</w:t>
      </w:r>
      <w:r>
        <w:rPr>
          <w:rFonts w:ascii="Times New Roman" w:cs="Times New Roman" w:eastAsia="Times New Roman" w:hAnsi="Times New Roman"/>
          <w:sz w:val="21"/>
          <w:szCs w:val="21"/>
          <w:u w:val="single" w:color="auto"/>
          <w:color w:val="auto"/>
        </w:rPr>
        <w:t>Restatement</w:t>
      </w:r>
      <w:r>
        <w:rPr>
          <w:rFonts w:ascii="Times New Roman" w:cs="Times New Roman" w:eastAsia="Times New Roman" w:hAnsi="Times New Roman"/>
          <w:sz w:val="21"/>
          <w:szCs w:val="21"/>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(sometimes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(sometimes referred to as a “little r” restatement). Changes to the Company’s financial statements that do not represent error corrections under the then-current relevant accounting standards will not constitute Restatements. Recovery of any Erroneously Awarded Compensation under this Policy is not dependent on fraud or misconduct by any person in connection with the Restatement.</w:t>
      </w:r>
    </w:p>
    <w:p>
      <w:pPr>
        <w:spacing w:after="0" w:line="149" w:lineRule="exact"/>
        <w:rPr>
          <w:sz w:val="20"/>
          <w:szCs w:val="20"/>
          <w:color w:val="auto"/>
        </w:rPr>
      </w:pPr>
    </w:p>
    <w:p>
      <w:pPr>
        <w:ind w:left="318" w:hanging="318"/>
        <w:spacing w:after="0"/>
        <w:tabs>
          <w:tab w:leader="none" w:pos="318"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United States Securities and Exchange Commission.</w:t>
      </w:r>
    </w:p>
    <w:p>
      <w:pPr>
        <w:spacing w:after="0" w:line="182" w:lineRule="exact"/>
        <w:rPr>
          <w:rFonts w:ascii="Times New Roman" w:cs="Times New Roman" w:eastAsia="Times New Roman" w:hAnsi="Times New Roman"/>
          <w:sz w:val="21"/>
          <w:szCs w:val="21"/>
          <w:color w:val="auto"/>
        </w:rPr>
      </w:pPr>
    </w:p>
    <w:p>
      <w:pPr>
        <w:ind w:left="318" w:right="20" w:hanging="318"/>
        <w:spacing w:after="0" w:line="223" w:lineRule="auto"/>
        <w:tabs>
          <w:tab w:leader="none" w:pos="31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any domestic or foreign corporation, partnership, association, joint stock company, joint venture, trust or unincorporated organization “affiliated” with the Company, that is, directly or indirectly, through one or more intermediaries, “controlling”, “controlled by” or “under common control with”, the Company. “Control” for this purpose means the possession, direct or indirect, of the power to direct or cause the direction of the management and policies of such person, whether through the ownership of voting securities,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38"/>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578"/>
          </w:cols>
          <w:pgMar w:left="962" w:top="1440" w:right="359" w:bottom="1440" w:gutter="0" w:footer="0" w:header="0"/>
        </w:sectPr>
      </w:pPr>
    </w:p>
    <w:bookmarkStart w:id="162" w:name="page163"/>
    <w:bookmarkEnd w:id="162"/>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2.  Recoupment of Erroneously Awarded Compensation</w:t>
      </w:r>
    </w:p>
    <w:p>
      <w:pPr>
        <w:spacing w:after="0" w:line="187" w:lineRule="exact"/>
        <w:rPr>
          <w:sz w:val="20"/>
          <w:szCs w:val="20"/>
          <w:color w:val="auto"/>
        </w:rPr>
      </w:pPr>
    </w:p>
    <w:p>
      <w:pPr>
        <w:ind w:right="140" w:firstLine="318"/>
        <w:spacing w:after="0" w:line="223" w:lineRule="auto"/>
        <w:rPr>
          <w:sz w:val="20"/>
          <w:szCs w:val="20"/>
          <w:color w:val="auto"/>
        </w:rPr>
      </w:pPr>
      <w:r>
        <w:rPr>
          <w:rFonts w:ascii="Times New Roman" w:cs="Times New Roman" w:eastAsia="Times New Roman" w:hAnsi="Times New Roman"/>
          <w:sz w:val="21"/>
          <w:szCs w:val="21"/>
          <w:color w:val="auto"/>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50" w:lineRule="exact"/>
        <w:rPr>
          <w:sz w:val="20"/>
          <w:szCs w:val="20"/>
          <w:color w:val="auto"/>
        </w:rPr>
      </w:pPr>
    </w:p>
    <w:p>
      <w:pPr>
        <w:ind w:right="60" w:firstLine="318"/>
        <w:spacing w:after="0" w:line="216" w:lineRule="auto"/>
        <w:rPr>
          <w:sz w:val="20"/>
          <w:szCs w:val="20"/>
          <w:color w:val="auto"/>
        </w:rPr>
      </w:pPr>
      <w:r>
        <w:rPr>
          <w:rFonts w:ascii="Times New Roman" w:cs="Times New Roman" w:eastAsia="Times New Roman" w:hAnsi="Times New Roman"/>
          <w:sz w:val="21"/>
          <w:szCs w:val="21"/>
          <w:color w:val="auto"/>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this Policy would exceed the amount to be recovered (following reasonable attempts by the Company Group to recover such Erroneously Awarded Compensation, the documentation of such attempts, and the provision of such documentation to the Nasdaq), (ii) pursuing such recovery would violate the Company’s Home Country laws adopted prior to November 28, 2022 (provided that the Company obtains an opinion of Home Country counsel acceptable to the Nasdaq that recovery would result in such a violation and provides such opinion to the Nasdaq), or (iii) recovery would likely cause any otherwise tax-qualified retirement plan, under which benefits are broadly available to employees of Company Group, to fail to meet the requirements of 26 U.S.C. 401(a)(13) or 26 U.S.C. 411(a) and regulations thereunder.</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3.  Means of Repayment</w:t>
      </w:r>
    </w:p>
    <w:p>
      <w:pPr>
        <w:spacing w:after="0" w:line="187" w:lineRule="exact"/>
        <w:rPr>
          <w:sz w:val="20"/>
          <w:szCs w:val="20"/>
          <w:color w:val="auto"/>
        </w:rPr>
      </w:pPr>
    </w:p>
    <w:p>
      <w:pPr>
        <w:ind w:right="20" w:firstLine="318"/>
        <w:spacing w:after="0" w:line="217" w:lineRule="auto"/>
        <w:rPr>
          <w:sz w:val="20"/>
          <w:szCs w:val="20"/>
          <w:color w:val="auto"/>
        </w:rPr>
      </w:pPr>
      <w:r>
        <w:rPr>
          <w:rFonts w:ascii="Times New Roman" w:cs="Times New Roman" w:eastAsia="Times New Roman" w:hAnsi="Times New Roman"/>
          <w:sz w:val="21"/>
          <w:szCs w:val="21"/>
          <w:color w:val="auto"/>
        </w:rPr>
        <w:t>In the event that the Committee determines that any person shall repay any Erroneously Awarded Compensation, the Committee shall provide written notice to such person by email or certified mail to the applicable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recoup the repayment amount from the person, in each case, to the fullest extent permitted under applicable law, including without limitation, Section 409A of the Internal Revenue Code and the regulations and guidance thereunder. If the Committee does not specify a repayment timing in the written notice described above, the applicable person shall be required to repay the Erroneously Awarded Compensation to the Company Group by wire, cash or cashier’s check no later than sixty (60) days after receipt of such notice.</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4.  No Indemnification</w:t>
      </w:r>
    </w:p>
    <w:p>
      <w:pPr>
        <w:spacing w:after="0" w:line="187" w:lineRule="exact"/>
        <w:rPr>
          <w:sz w:val="20"/>
          <w:szCs w:val="20"/>
          <w:color w:val="auto"/>
        </w:rPr>
      </w:pPr>
    </w:p>
    <w:p>
      <w:pPr>
        <w:ind w:firstLine="318"/>
        <w:spacing w:after="0" w:line="219" w:lineRule="auto"/>
        <w:rPr>
          <w:sz w:val="20"/>
          <w:szCs w:val="20"/>
          <w:color w:val="auto"/>
        </w:rPr>
      </w:pPr>
      <w:r>
        <w:rPr>
          <w:rFonts w:ascii="Times New Roman" w:cs="Times New Roman" w:eastAsia="Times New Roman" w:hAnsi="Times New Roman"/>
          <w:sz w:val="21"/>
          <w:szCs w:val="21"/>
          <w:color w:val="auto"/>
        </w:rPr>
        <w:t xml:space="preserve">No person shall be indemnified, insured or reimbursed by the Company Group in respect of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21"/>
          <w:szCs w:val="21"/>
          <w:i w:val="1"/>
          <w:iCs w:val="1"/>
          <w:color w:val="auto"/>
        </w:rPr>
        <w:t>de facto</w:t>
      </w:r>
      <w:r>
        <w:rPr>
          <w:rFonts w:ascii="Times New Roman" w:cs="Times New Roman" w:eastAsia="Times New Roman" w:hAnsi="Times New Roman"/>
          <w:sz w:val="21"/>
          <w:szCs w:val="21"/>
          <w:color w:val="auto"/>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20" w:top="1440" w:right="359" w:bottom="1440" w:gutter="0" w:footer="0" w:header="0"/>
        </w:sectPr>
      </w:pPr>
    </w:p>
    <w:bookmarkStart w:id="163" w:name="page164"/>
    <w:bookmarkEnd w:id="163"/>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5.  Miscellaneous</w:t>
      </w:r>
    </w:p>
    <w:p>
      <w:pPr>
        <w:spacing w:after="0" w:line="187" w:lineRule="exact"/>
        <w:rPr>
          <w:sz w:val="20"/>
          <w:szCs w:val="20"/>
          <w:color w:val="auto"/>
        </w:rPr>
      </w:pPr>
    </w:p>
    <w:p>
      <w:pPr>
        <w:ind w:right="60" w:firstLine="318"/>
        <w:spacing w:after="0" w:line="226" w:lineRule="auto"/>
        <w:rPr>
          <w:sz w:val="20"/>
          <w:szCs w:val="20"/>
          <w:color w:val="auto"/>
        </w:rPr>
      </w:pPr>
      <w:r>
        <w:rPr>
          <w:rFonts w:ascii="Times New Roman" w:cs="Times New Roman" w:eastAsia="Times New Roman" w:hAnsi="Times New Roman"/>
          <w:sz w:val="21"/>
          <w:szCs w:val="21"/>
          <w:color w:val="auto"/>
        </w:rPr>
        <w:t>This Policy generally will be administered and interpreted by the Committee. Any determination by the Committee with respect to this Policy shall be final, conclusive and binding on all interested parties. The determinations of the Committee under this Policy need not be uniform with respect to all persons, and may be made selectively amongst persons, whether or not such persons are similarly situated.</w:t>
      </w:r>
    </w:p>
    <w:p>
      <w:pPr>
        <w:spacing w:after="0" w:line="150" w:lineRule="exact"/>
        <w:rPr>
          <w:sz w:val="20"/>
          <w:szCs w:val="20"/>
          <w:color w:val="auto"/>
        </w:rPr>
      </w:pPr>
    </w:p>
    <w:p>
      <w:pPr>
        <w:ind w:firstLine="318"/>
        <w:spacing w:after="0" w:line="226" w:lineRule="auto"/>
        <w:rPr>
          <w:sz w:val="20"/>
          <w:szCs w:val="20"/>
          <w:color w:val="auto"/>
        </w:rPr>
      </w:pPr>
      <w:r>
        <w:rPr>
          <w:rFonts w:ascii="Times New Roman" w:cs="Times New Roman" w:eastAsia="Times New Roman" w:hAnsi="Times New Roman"/>
          <w:sz w:val="21"/>
          <w:szCs w:val="21"/>
          <w:color w:val="auto"/>
        </w:rPr>
        <w:t>This Policy is intended to satisfy the requirements of Section 954 of the Dodd-Frank Wall Street Reform and Consumer Protection Act, as it may be amended from time to time, and any related rules or regulations promulgated by the SEC or the Nasdaq,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150" w:lineRule="exact"/>
        <w:rPr>
          <w:sz w:val="20"/>
          <w:szCs w:val="20"/>
          <w:color w:val="auto"/>
        </w:rPr>
      </w:pPr>
    </w:p>
    <w:p>
      <w:pPr>
        <w:ind w:right="100" w:firstLine="318"/>
        <w:spacing w:after="0" w:line="219" w:lineRule="auto"/>
        <w:rPr>
          <w:sz w:val="20"/>
          <w:szCs w:val="20"/>
          <w:color w:val="auto"/>
        </w:rPr>
      </w:pPr>
      <w:r>
        <w:rPr>
          <w:rFonts w:ascii="Times New Roman" w:cs="Times New Roman" w:eastAsia="Times New Roman" w:hAnsi="Times New Roman"/>
          <w:sz w:val="21"/>
          <w:szCs w:val="21"/>
          <w:color w:val="auto"/>
        </w:rPr>
        <w:t>The provisions in this Policy are intended to be applied to the fullest extent of the law. To the extent that any provision of this Policy is found to be unenforceable or invalid under any applicable law, such provision shall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Recoupment of Erroneously Awarded Compensation under this Policy is not dependent upon the Company Group satisfying any conditions in this Policy, including any requirements to provide applicable documentation to the Nasdaq.</w:t>
      </w:r>
    </w:p>
    <w:p>
      <w:pPr>
        <w:spacing w:after="0" w:line="154" w:lineRule="exact"/>
        <w:rPr>
          <w:sz w:val="20"/>
          <w:szCs w:val="20"/>
          <w:color w:val="auto"/>
        </w:rPr>
      </w:pPr>
    </w:p>
    <w:p>
      <w:pPr>
        <w:ind w:right="60" w:firstLine="318"/>
        <w:spacing w:after="0" w:line="217" w:lineRule="auto"/>
        <w:rPr>
          <w:sz w:val="20"/>
          <w:szCs w:val="20"/>
          <w:color w:val="auto"/>
        </w:rPr>
      </w:pPr>
      <w:r>
        <w:rPr>
          <w:rFonts w:ascii="Times New Roman" w:cs="Times New Roman" w:eastAsia="Times New Roman" w:hAnsi="Times New Roman"/>
          <w:sz w:val="21"/>
          <w:szCs w:val="21"/>
          <w:color w:val="auto"/>
        </w:rPr>
        <w:t>The rights of the Company Group under this Policy to seek forfeiture or reimbursement is in addition to, and not in lieu of, any rights of recoupment, or remedies or rights other than recoupment,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 including, without limitation the Company’s Policy Regarding Recoupment or Reduction of Incentive Compensation for Compliance Violations, as amended from time to time. This Policy shall be deemed to be a supplement to such existing Policy Regarding Recoupment or Reduction of Incentive Compensation for Compliance Violations, including, without limitation, for purposes of the agreement to be bound by such policy set forth in Section 32 of the Second Amended and Restated Regeneron Pharmaceuticals, Inc. 2014 Long-Term Incentive Plan, as in effect from time to time (or any successor plan or agreement).</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6.  Amendment and Termination</w:t>
      </w:r>
    </w:p>
    <w:p>
      <w:pPr>
        <w:spacing w:after="0" w:line="187" w:lineRule="exact"/>
        <w:rPr>
          <w:sz w:val="20"/>
          <w:szCs w:val="20"/>
          <w:color w:val="auto"/>
        </w:rPr>
      </w:pPr>
    </w:p>
    <w:p>
      <w:pPr>
        <w:ind w:right="400" w:firstLine="318"/>
        <w:spacing w:after="0" w:line="245" w:lineRule="auto"/>
        <w:rPr>
          <w:sz w:val="20"/>
          <w:szCs w:val="20"/>
          <w:color w:val="auto"/>
        </w:rPr>
      </w:pPr>
      <w:r>
        <w:rPr>
          <w:rFonts w:ascii="Times New Roman" w:cs="Times New Roman" w:eastAsia="Times New Roman" w:hAnsi="Times New Roman"/>
          <w:sz w:val="21"/>
          <w:szCs w:val="21"/>
          <w:color w:val="auto"/>
        </w:rPr>
        <w:t>To the extent permitted by, and in a manner consistent with applicable law, including SEC and Nasdaq rules, the Committee may terminate, suspend or amend this Policy at any time in its discretion.</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color w:val="auto"/>
        </w:rPr>
        <w:t>7.  Successors</w:t>
      </w:r>
    </w:p>
    <w:p>
      <w:pPr>
        <w:spacing w:after="0" w:line="187" w:lineRule="exact"/>
        <w:rPr>
          <w:sz w:val="20"/>
          <w:szCs w:val="20"/>
          <w:color w:val="auto"/>
        </w:rPr>
      </w:pPr>
    </w:p>
    <w:p>
      <w:pPr>
        <w:ind w:right="220" w:firstLine="318"/>
        <w:spacing w:after="0" w:line="232" w:lineRule="auto"/>
        <w:rPr>
          <w:sz w:val="20"/>
          <w:szCs w:val="20"/>
          <w:color w:val="auto"/>
        </w:rPr>
      </w:pPr>
      <w:r>
        <w:rPr>
          <w:rFonts w:ascii="Times New Roman" w:cs="Times New Roman" w:eastAsia="Times New Roman" w:hAnsi="Times New Roman"/>
          <w:sz w:val="21"/>
          <w:szCs w:val="21"/>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REGENERON PHARMACEUTICALS, INC.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CLAWBACK POLICY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ACKNOWLEDGMENT, CONSENT AND AGREEMENT</w:t>
      </w:r>
    </w:p>
    <w:p>
      <w:pPr>
        <w:spacing w:after="0" w:line="187" w:lineRule="exact"/>
        <w:rPr>
          <w:sz w:val="20"/>
          <w:szCs w:val="20"/>
          <w:color w:val="auto"/>
        </w:rPr>
      </w:pPr>
    </w:p>
    <w:p>
      <w:pPr>
        <w:ind w:firstLine="318"/>
        <w:spacing w:after="0" w:line="219" w:lineRule="auto"/>
        <w:rPr>
          <w:sz w:val="20"/>
          <w:szCs w:val="20"/>
          <w:color w:val="auto"/>
        </w:rPr>
      </w:pPr>
      <w:r>
        <w:rPr>
          <w:rFonts w:ascii="Times New Roman" w:cs="Times New Roman" w:eastAsia="Times New Roman" w:hAnsi="Times New Roman"/>
          <w:sz w:val="21"/>
          <w:szCs w:val="21"/>
          <w:color w:val="auto"/>
        </w:rPr>
        <w:t>I acknowledge that I have received and reviewed a copy of the Regeneron Pharmaceuticals, Inc. Clawback Policy (as may be amended from time to time, the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and I consent to and agree to be bound by and subject to its terms and conditions. I further acknowledge, understand and agree that the Policy may affect the compensation that I receive, have received or may become entitled to receive from the Company or its Subsidiaries or affiliates under various agreements, plans and arrangements with the Company or its Subsidiaries or affiliates and I waive any rights I may have to indemnification, insurance payments or other reimbursement by or from the Company Group for any such compensation that is subject to recoupment and/or forfeiture under the Policy. Capitalized terms not defined herein have the respective meanings set form in the Policy.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b w:val="1"/>
          <w:bCs w:val="1"/>
          <w:color w:val="auto"/>
        </w:rPr>
        <w:t>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_________________________________________</w:t>
      </w:r>
    </w:p>
    <w:p>
      <w:pPr>
        <w:spacing w:after="0" w:line="200" w:lineRule="exact"/>
        <w:rPr>
          <w:sz w:val="20"/>
          <w:szCs w:val="20"/>
          <w:color w:val="auto"/>
        </w:rPr>
      </w:pPr>
    </w:p>
    <w:p>
      <w:pPr>
        <w:sectPr>
          <w:pgSz w:w="11900" w:h="16838" w:orient="portrait"/>
          <w:cols w:equalWidth="0" w:num="2">
            <w:col w:w="1020" w:space="680"/>
            <w:col w:w="9540"/>
          </w:cols>
          <w:pgMar w:left="320" w:top="1440" w:right="339" w:bottom="1440" w:gutter="0" w:footer="0" w:header="0"/>
          <w:type w:val="continuous"/>
        </w:sectPr>
      </w:pPr>
    </w:p>
    <w:p>
      <w:pPr>
        <w:spacing w:after="0" w:line="128" w:lineRule="exact"/>
        <w:rPr>
          <w:sz w:val="20"/>
          <w:szCs w:val="20"/>
          <w:color w:val="auto"/>
        </w:rPr>
      </w:pPr>
    </w:p>
    <w:p>
      <w:pPr>
        <w:ind w:left="340"/>
        <w:spacing w:after="0"/>
        <w:tabs>
          <w:tab w:leader="none" w:pos="1680" w:val="left"/>
        </w:tabs>
        <w:rPr>
          <w:sz w:val="20"/>
          <w:szCs w:val="20"/>
          <w:color w:val="auto"/>
        </w:rPr>
      </w:pPr>
      <w:r>
        <w:rPr>
          <w:rFonts w:ascii="Times New Roman" w:cs="Times New Roman" w:eastAsia="Times New Roman" w:hAnsi="Times New Roman"/>
          <w:sz w:val="21"/>
          <w:szCs w:val="21"/>
          <w:b w:val="1"/>
          <w:bCs w:val="1"/>
          <w:color w:val="auto"/>
        </w:rPr>
        <w:t>Print Name:</w:t>
        <w:tab/>
        <w:t>_________________________________________</w:t>
      </w:r>
    </w:p>
    <w:p>
      <w:pPr>
        <w:sectPr>
          <w:pgSz w:w="11900" w:h="16838" w:orient="portrait"/>
          <w:cols w:equalWidth="0" w:num="1">
            <w:col w:w="11240"/>
          </w:cols>
          <w:pgMar w:left="320" w:top="1440" w:right="339" w:bottom="1440" w:gutter="0" w:footer="0" w:header="0"/>
          <w:type w:val="continuous"/>
        </w:sectPr>
      </w:pP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b w:val="1"/>
          <w:bCs w:val="1"/>
          <w:color w:val="auto"/>
        </w:rPr>
        <w:t>Date:</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_________________________________________</w:t>
      </w:r>
    </w:p>
    <w:sectPr>
      <w:pgSz w:w="11900" w:h="16838" w:orient="portrait"/>
      <w:cols w:equalWidth="0" w:num="2">
        <w:col w:w="980" w:space="720"/>
        <w:col w:w="95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1)"/>
      <w:numFmt w:val="lowerLetter"/>
      <w:start w:val="1"/>
    </w:lvl>
  </w:abstractNum>
  <w:abstractNum w:abstractNumId="4">
    <w:nsid w:val="684A481A"/>
    <w:multiLevelType w:val="hybridMultilevel"/>
    <w:lvl w:ilvl="0">
      <w:lvlJc w:val="left"/>
      <w:lvlText w:val="(%1)"/>
      <w:numFmt w:val="lowerLetter"/>
      <w:start w:val="1"/>
    </w:lvl>
  </w:abstractNum>
  <w:abstractNum w:abstractNumId="5">
    <w:nsid w:val="579478FE"/>
    <w:multiLevelType w:val="hybridMultilevel"/>
    <w:lvl w:ilvl="0">
      <w:lvlJc w:val="left"/>
      <w:lvlText w:val="(%1)"/>
      <w:numFmt w:val="lowerLetter"/>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1)"/>
      <w:numFmt w:val="lowerLetter"/>
      <w:start w:val="1"/>
    </w:lvl>
  </w:abstractNum>
  <w:abstractNum w:abstractNumId="10">
    <w:nsid w:val="75C6C33A"/>
    <w:multiLevelType w:val="hybridMultilevel"/>
    <w:lvl w:ilvl="0">
      <w:lvlJc w:val="left"/>
      <w:lvlText w:val="(%1)"/>
      <w:numFmt w:val="lowerLetter"/>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1)"/>
      <w:numFmt w:val="decimal"/>
      <w:start w:val="3"/>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1)"/>
      <w:numFmt w:val="lowerLetter"/>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1)"/>
      <w:numFmt w:val="lowerLetter"/>
      <w:start w:val="1"/>
    </w:lvl>
  </w:abstractNum>
  <w:abstractNum w:abstractNumId="36">
    <w:nsid w:val="2F305DEF"/>
    <w:multiLevelType w:val="hybridMultilevel"/>
    <w:lvl w:ilvl="0">
      <w:lvlJc w:val="left"/>
      <w:lvlText w:val="(%1)"/>
      <w:numFmt w:val="lowerLetter"/>
      <w:start w:val="1"/>
    </w:lvl>
  </w:abstractNum>
  <w:abstractNum w:abstractNumId="37">
    <w:nsid w:val="25A70BF7"/>
    <w:multiLevelType w:val="hybridMultilevel"/>
    <w:lvl w:ilvl="0">
      <w:lvlJc w:val="left"/>
      <w:lvlText w:val="(%1)"/>
      <w:numFmt w:val="lowerLetter"/>
      <w:start w:val="1"/>
    </w:lvl>
  </w:abstractNum>
  <w:abstractNum w:abstractNumId="38">
    <w:nsid w:val="1DBABF00"/>
    <w:multiLevelType w:val="hybridMultilevel"/>
    <w:lvl w:ilvl="0">
      <w:lvlJc w:val="left"/>
      <w:lvlText w:val="(%1)"/>
      <w:numFmt w:val="lowerLetter"/>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1)"/>
      <w:numFmt w:val="lowerLetter"/>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1)"/>
      <w:numFmt w:val="lowerLetter"/>
      <w:start w:val="1"/>
    </w:lvl>
  </w:abstractNum>
  <w:abstractNum w:abstractNumId="45">
    <w:nsid w:val="15014ACB"/>
    <w:multiLevelType w:val="hybridMultilevel"/>
    <w:lvl w:ilvl="0">
      <w:lvlJc w:val="left"/>
      <w:lvlText w:val="%1"/>
      <w:numFmt w:val="decimal"/>
      <w:start w:val="32"/>
    </w:lvl>
  </w:abstractNum>
  <w:abstractNum w:abstractNumId="46">
    <w:nsid w:val="5F5E7FD0"/>
    <w:multiLevelType w:val="hybridMultilevel"/>
    <w:lvl w:ilvl="0">
      <w:lvlJc w:val="left"/>
      <w:lvlText w:val="%1"/>
      <w:numFmt w:val="decimal"/>
      <w:start w:val="101"/>
    </w:lvl>
  </w:abstractNum>
  <w:abstractNum w:abstractNumId="47">
    <w:nsid w:val="98A3148"/>
    <w:multiLevelType w:val="hybridMultilevel"/>
    <w:lvl w:ilvl="0">
      <w:lvlJc w:val="left"/>
      <w:lvlText w:val="%1"/>
      <w:numFmt w:val="decimal"/>
      <w:start w:val="104"/>
    </w:lvl>
  </w:abstractNum>
  <w:abstractNum w:abstractNumId="48">
    <w:nsid w:val="799D0247"/>
    <w:multiLevelType w:val="hybridMultilevel"/>
    <w:lvl w:ilvl="0">
      <w:lvlJc w:val="left"/>
      <w:lvlText w:val="**"/>
      <w:numFmt w:val="bullet"/>
      <w:start w:val="1"/>
    </w:lvl>
    <w:lvl w:ilvl="1">
      <w:lvlJc w:val="left"/>
      <w:lvlText w:val="*"/>
      <w:numFmt w:val="bullet"/>
      <w:start w:val="1"/>
    </w:lvl>
  </w:abstractNum>
  <w:abstractNum w:abstractNumId="49">
    <w:nsid w:val="6B94764"/>
    <w:multiLevelType w:val="hybridMultilevel"/>
    <w:lvl w:ilvl="0">
      <w:lvlJc w:val="left"/>
      <w:lvlText w:val="***"/>
      <w:numFmt w:val="bullet"/>
      <w:start w:val="1"/>
    </w:lvl>
    <w:lvl w:ilvl="1">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lowerRoman"/>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1)"/>
      <w:numFmt w:val="lowerLetter"/>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1)"/>
      <w:numFmt w:val="lowerLetter"/>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Letter"/>
      <w:start w:val="1"/>
    </w:lvl>
  </w:abstractNum>
  <w:abstractNum w:abstractNumId="61">
    <w:nsid w:val="42963E5A"/>
    <w:multiLevelType w:val="hybridMultilevel"/>
    <w:lvl w:ilvl="0">
      <w:lvlJc w:val="left"/>
      <w:lvlText w:val="%1."/>
      <w:numFmt w:val="lowerLetter"/>
      <w:start w:val="2"/>
    </w:lvl>
  </w:abstractNum>
  <w:abstractNum w:abstractNumId="62">
    <w:nsid w:val="A0382C5"/>
    <w:multiLevelType w:val="hybridMultilevel"/>
    <w:lvl w:ilvl="0">
      <w:lvlJc w:val="left"/>
      <w:lvlText w:val="%1."/>
      <w:numFmt w:val="lowerLetter"/>
      <w:start w:val="3"/>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1."/>
      <w:numFmt w:val="decimal"/>
      <w:start w:val="1"/>
    </w:lvl>
  </w:abstractNum>
  <w:abstractNum w:abstractNumId="66">
    <w:nsid w:val="68EB2F63"/>
    <w:multiLevelType w:val="hybridMultilevel"/>
    <w:lvl w:ilvl="0">
      <w:lvlJc w:val="left"/>
      <w:lvlText w:val="(%1)"/>
      <w:numFmt w:val="lowerLetter"/>
      <w:start w:val="2"/>
    </w:lvl>
    <w:lvl w:ilvl="1">
      <w:lvlJc w:val="left"/>
      <w:lvlText w:val="(%2)"/>
      <w:numFmt w:val="lowerLetter"/>
      <w:start w:val="3"/>
    </w:lvl>
  </w:abstractNum>
  <w:abstractNum w:abstractNumId="67">
    <w:nsid w:val="4962813B"/>
    <w:multiLevelType w:val="hybridMultilevel"/>
    <w:lvl w:ilvl="0">
      <w:lvlJc w:val="left"/>
      <w:lvlText w:val="1"/>
      <w:numFmt w:val="bullet"/>
      <w:start w:val="1"/>
    </w:lvl>
  </w:abstractNum>
  <w:abstractNum w:abstractNumId="68">
    <w:nsid w:val="60B6DF70"/>
    <w:multiLevelType w:val="hybridMultilevel"/>
    <w:lvl w:ilvl="0">
      <w:lvlJc w:val="left"/>
      <w:lvlText w:val="%1."/>
      <w:numFmt w:val="decimal"/>
      <w:start w:val="3"/>
    </w:lvl>
  </w:abstractNum>
  <w:abstractNum w:abstractNumId="69">
    <w:nsid w:val="6A5EE64"/>
    <w:multiLevelType w:val="hybridMultilevel"/>
    <w:lvl w:ilvl="0">
      <w:lvlJc w:val="left"/>
      <w:lvlText w:val="%1"/>
      <w:numFmt w:val="upperLetter"/>
      <w:start w:val="1"/>
    </w:lvl>
    <w:lvl w:ilvl="1">
      <w:lvlJc w:val="left"/>
      <w:lvlText w:val="(%2)"/>
      <w:numFmt w:val="lowerLetter"/>
      <w:start w:val="2"/>
    </w:lvl>
  </w:abstractNum>
  <w:abstractNum w:abstractNumId="70">
    <w:nsid w:val="14330624"/>
    <w:multiLevelType w:val="hybridMultilevel"/>
    <w:lvl w:ilvl="0">
      <w:lvlJc w:val="left"/>
      <w:lvlText w:val="(%1)"/>
      <w:numFmt w:val="upperLetter"/>
      <w:start w:val="1"/>
    </w:lvl>
    <w:lvl w:ilvl="1">
      <w:lvlJc w:val="left"/>
      <w:lvlText w:val="%2"/>
      <w:numFmt w:val="lowerLetter"/>
      <w:start w:val="1"/>
    </w:lvl>
  </w:abstractNum>
  <w:abstractNum w:abstractNumId="71">
    <w:nsid w:val="7FFFCA11"/>
    <w:multiLevelType w:val="hybridMultilevel"/>
    <w:lvl w:ilvl="0">
      <w:lvlJc w:val="left"/>
      <w:lvlText w:val="(%1)"/>
      <w:numFmt w:val="lowerLetter"/>
      <w:start w:val="3"/>
    </w:lvl>
  </w:abstractNum>
  <w:abstractNum w:abstractNumId="72">
    <w:nsid w:val="1A27709E"/>
    <w:multiLevelType w:val="hybridMultilevel"/>
    <w:lvl w:ilvl="0">
      <w:lvlJc w:val="left"/>
      <w:lvlText w:val="3"/>
      <w:numFmt w:val="bullet"/>
      <w:start w:val="1"/>
    </w:lvl>
  </w:abstractNum>
  <w:abstractNum w:abstractNumId="73">
    <w:nsid w:val="71EA1109"/>
    <w:multiLevelType w:val="hybridMultilevel"/>
    <w:lvl w:ilvl="0">
      <w:lvlJc w:val="left"/>
      <w:lvlText w:val="%1."/>
      <w:numFmt w:val="decimal"/>
      <w:start w:val="4"/>
    </w:lvl>
  </w:abstractNum>
  <w:abstractNum w:abstractNumId="74">
    <w:nsid w:val="100F59DC"/>
    <w:multiLevelType w:val="hybridMultilevel"/>
    <w:lvl w:ilvl="0">
      <w:lvlJc w:val="left"/>
      <w:lvlText w:val="8"/>
      <w:numFmt w:val="bullet"/>
      <w:start w:val="1"/>
    </w:lvl>
  </w:abstractNum>
  <w:abstractNum w:abstractNumId="75">
    <w:nsid w:val="7FB7E0AA"/>
    <w:multiLevelType w:val="hybridMultilevel"/>
    <w:lvl w:ilvl="0">
      <w:lvlJc w:val="left"/>
      <w:lvlText w:val="%1."/>
      <w:numFmt w:val="decimal"/>
      <w:start w:val="9"/>
    </w:lvl>
  </w:abstractNum>
  <w:abstractNum w:abstractNumId="76">
    <w:nsid w:val="6EB5BD4"/>
    <w:multiLevelType w:val="hybridMultilevel"/>
    <w:lvl w:ilvl="0">
      <w:lvlJc w:val="left"/>
      <w:lvlText w:val="%1."/>
      <w:numFmt w:val="decimal"/>
      <w:start w:val="10"/>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lowerLetter"/>
      <w:start w:val="2"/>
    </w:lvl>
  </w:abstractNum>
  <w:abstractNum w:abstractNumId="80">
    <w:nsid w:val="76272110"/>
    <w:multiLevelType w:val="hybridMultilevel"/>
    <w:lvl w:ilvl="0">
      <w:lvlJc w:val="left"/>
      <w:lvlText w:val="1"/>
      <w:numFmt w:val="bullet"/>
      <w:start w:val="1"/>
    </w:lvl>
  </w:abstractNum>
  <w:abstractNum w:abstractNumId="81">
    <w:nsid w:val="4C04A8AF"/>
    <w:multiLevelType w:val="hybridMultilevel"/>
    <w:lvl w:ilvl="0">
      <w:lvlJc w:val="left"/>
      <w:lvlText w:val="(%1)"/>
      <w:numFmt w:val="lowerLetter"/>
      <w:start w:val="3"/>
    </w:lvl>
    <w:lvl w:ilvl="1">
      <w:lvlJc w:val="left"/>
      <w:lvlText w:val="%2."/>
      <w:numFmt w:val="decimal"/>
      <w:start w:val="3"/>
    </w:lvl>
  </w:abstractNum>
  <w:abstractNum w:abstractNumId="82">
    <w:nsid w:val="1716703B"/>
    <w:multiLevelType w:val="hybridMultilevel"/>
    <w:lvl w:ilvl="0">
      <w:lvlJc w:val="left"/>
      <w:lvlText w:val="3"/>
      <w:numFmt w:val="bullet"/>
      <w:start w:val="1"/>
    </w:lvl>
  </w:abstractNum>
  <w:abstractNum w:abstractNumId="83">
    <w:nsid w:val="14E17E33"/>
    <w:multiLevelType w:val="hybridMultilevel"/>
    <w:lvl w:ilvl="0">
      <w:lvlJc w:val="left"/>
      <w:lvlText w:val="%1."/>
      <w:numFmt w:val="decimal"/>
      <w:start w:val="4"/>
    </w:lvl>
  </w:abstractNum>
  <w:abstractNum w:abstractNumId="84">
    <w:nsid w:val="3222E7CD"/>
    <w:multiLevelType w:val="hybridMultilevel"/>
    <w:lvl w:ilvl="0">
      <w:lvlJc w:val="left"/>
      <w:lvlText w:val="%1."/>
      <w:numFmt w:val="decimal"/>
      <w:start w:val="8"/>
    </w:lvl>
  </w:abstractNum>
  <w:abstractNum w:abstractNumId="85">
    <w:nsid w:val="74DE0EE3"/>
    <w:multiLevelType w:val="hybridMultilevel"/>
    <w:lvl w:ilvl="0">
      <w:lvlJc w:val="left"/>
      <w:lvlText w:val="5"/>
      <w:numFmt w:val="bullet"/>
      <w:start w:val="1"/>
    </w:lvl>
  </w:abstractNum>
  <w:abstractNum w:abstractNumId="86">
    <w:nsid w:val="68EBC550"/>
    <w:multiLevelType w:val="hybridMultilevel"/>
    <w:lvl w:ilvl="0">
      <w:lvlJc w:val="left"/>
      <w:lvlText w:val="%1."/>
      <w:numFmt w:val="decimal"/>
      <w:start w:val="11"/>
    </w:lvl>
  </w:abstractNum>
  <w:abstractNum w:abstractNumId="87">
    <w:nsid w:val="2DF6D648"/>
    <w:multiLevelType w:val="hybridMultilevel"/>
    <w:lvl w:ilvl="0">
      <w:lvlJc w:val="left"/>
      <w:lvlText w:val="%1."/>
      <w:numFmt w:val="decimal"/>
      <w:start w:val="1"/>
    </w:lvl>
    <w:lvl w:ilvl="1">
      <w:lvlJc w:val="left"/>
      <w:lvlText w:val="%2)"/>
      <w:numFmt w:val="lowerLetter"/>
      <w:start w:val="1"/>
    </w:lvl>
  </w:abstractNum>
  <w:abstractNum w:abstractNumId="88">
    <w:nsid w:val="46B7D447"/>
    <w:multiLevelType w:val="hybridMultilevel"/>
    <w:lvl w:ilvl="0">
      <w:lvlJc w:val="left"/>
      <w:lvlText w:val="%1."/>
      <w:numFmt w:val="decimal"/>
      <w:start w:val="1"/>
    </w:lvl>
    <w:lvl w:ilvl="1">
      <w:lvlJc w:val="left"/>
      <w:lvlText w:val="%2)"/>
      <w:numFmt w:val="lowerLetter"/>
      <w:start w:val="1"/>
    </w:lvl>
  </w:abstractNum>
  <w:abstractNum w:abstractNumId="89">
    <w:nsid w:val="4A2AC315"/>
    <w:multiLevelType w:val="hybridMultilevel"/>
    <w:lvl w:ilvl="0">
      <w:lvlJc w:val="left"/>
      <w:lvlText w:val="(%1)"/>
      <w:numFmt w:val="decimal"/>
      <w:start w:val="1"/>
    </w:lvl>
  </w:abstractNum>
  <w:abstractNum w:abstractNumId="90">
    <w:nsid w:val="39EE015C"/>
    <w:multiLevelType w:val="hybridMultilevel"/>
    <w:lvl w:ilvl="0">
      <w:lvlJc w:val="left"/>
      <w:lvlText w:val="(%1)"/>
      <w:numFmt w:val="lowerLetter"/>
      <w:start w:val="1"/>
    </w:lvl>
  </w:abstractNum>
  <w:abstractNum w:abstractNumId="91">
    <w:nsid w:val="57FC4FBB"/>
    <w:multiLevelType w:val="hybridMultilevel"/>
    <w:lvl w:ilvl="0">
      <w:lvlJc w:val="left"/>
      <w:lvlText w:val="(%1)"/>
      <w:numFmt w:val="lowerLetter"/>
      <w:start w:val="9"/>
    </w:lvl>
  </w:abstractNum>
  <w:abstractNum w:abstractNumId="92">
    <w:nsid w:val="CC1016F"/>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69" Type="http://schemas.openxmlformats.org/officeDocument/2006/relationships/image" Target="media/image114.png"/><Relationship Id="rId185" Type="http://schemas.openxmlformats.org/officeDocument/2006/relationships/image" Target="media/image115.png"/><Relationship Id="rId186" Type="http://schemas.openxmlformats.org/officeDocument/2006/relationships/image" Target="media/image116.png"/><Relationship Id="rId187" Type="http://schemas.openxmlformats.org/officeDocument/2006/relationships/image" Target="media/image117.png"/><Relationship Id="rId188" Type="http://schemas.openxmlformats.org/officeDocument/2006/relationships/image" Target="media/image118.png"/><Relationship Id="rId189" Type="http://schemas.openxmlformats.org/officeDocument/2006/relationships/image" Target="media/image119.png"/><Relationship Id="rId190" Type="http://schemas.openxmlformats.org/officeDocument/2006/relationships/image" Target="media/image120.png"/><Relationship Id="rId191" Type="http://schemas.openxmlformats.org/officeDocument/2006/relationships/image" Target="media/image121.png"/><Relationship Id="rId192" Type="http://schemas.openxmlformats.org/officeDocument/2006/relationships/image" Target="media/image122.png"/><Relationship Id="rId193" Type="http://schemas.openxmlformats.org/officeDocument/2006/relationships/image" Target="media/image123.png"/><Relationship Id="rId194" Type="http://schemas.openxmlformats.org/officeDocument/2006/relationships/image" Target="media/image124.png"/><Relationship Id="rId195" Type="http://schemas.openxmlformats.org/officeDocument/2006/relationships/image" Target="media/image125.png"/><Relationship Id="rId196" Type="http://schemas.openxmlformats.org/officeDocument/2006/relationships/image" Target="media/image126.png"/><Relationship Id="rId197" Type="http://schemas.openxmlformats.org/officeDocument/2006/relationships/image" Target="media/image127.png"/><Relationship Id="rId198" Type="http://schemas.openxmlformats.org/officeDocument/2006/relationships/image" Target="media/image128.png"/><Relationship Id="rId199" Type="http://schemas.openxmlformats.org/officeDocument/2006/relationships/image" Target="media/image129.png"/><Relationship Id="rId200" Type="http://schemas.openxmlformats.org/officeDocument/2006/relationships/image" Target="media/image130.png"/><Relationship Id="rId201" Type="http://schemas.openxmlformats.org/officeDocument/2006/relationships/image" Target="media/image131.png"/><Relationship Id="rId202" Type="http://schemas.openxmlformats.org/officeDocument/2006/relationships/image" Target="media/image132.png"/><Relationship Id="rId203" Type="http://schemas.openxmlformats.org/officeDocument/2006/relationships/image" Target="media/image133.png"/><Relationship Id="rId204" Type="http://schemas.openxmlformats.org/officeDocument/2006/relationships/image" Target="media/image134.png"/><Relationship Id="rId205" Type="http://schemas.openxmlformats.org/officeDocument/2006/relationships/image" Target="media/image135.png"/><Relationship Id="rId206" Type="http://schemas.openxmlformats.org/officeDocument/2006/relationships/image" Target="media/image136.png"/><Relationship Id="rId207" Type="http://schemas.openxmlformats.org/officeDocument/2006/relationships/image" Target="media/image137.png"/><Relationship Id="rId208" Type="http://schemas.openxmlformats.org/officeDocument/2006/relationships/image" Target="media/image138.png"/><Relationship Id="rId209" Type="http://schemas.openxmlformats.org/officeDocument/2006/relationships/image" Target="media/image139.png"/><Relationship Id="rId210" Type="http://schemas.openxmlformats.org/officeDocument/2006/relationships/image" Target="media/image140.png"/><Relationship Id="rId211" Type="http://schemas.openxmlformats.org/officeDocument/2006/relationships/image" Target="media/image141.png"/><Relationship Id="rId212" Type="http://schemas.openxmlformats.org/officeDocument/2006/relationships/image" Target="media/image142.png"/><Relationship Id="rId213" Type="http://schemas.openxmlformats.org/officeDocument/2006/relationships/image" Target="media/image143.png"/><Relationship Id="rId214" Type="http://schemas.openxmlformats.org/officeDocument/2006/relationships/image" Target="media/image144.png"/><Relationship Id="rId215" Type="http://schemas.openxmlformats.org/officeDocument/2006/relationships/image" Target="media/image145.png"/><Relationship Id="rId216" Type="http://schemas.openxmlformats.org/officeDocument/2006/relationships/image" Target="media/image146.png"/><Relationship Id="rId217" Type="http://schemas.openxmlformats.org/officeDocument/2006/relationships/image" Target="media/image147.png"/><Relationship Id="rId218" Type="http://schemas.openxmlformats.org/officeDocument/2006/relationships/image" Target="media/image148.png"/><Relationship Id="rId219" Type="http://schemas.openxmlformats.org/officeDocument/2006/relationships/image" Target="media/image149.png"/><Relationship Id="rId220" Type="http://schemas.openxmlformats.org/officeDocument/2006/relationships/image" Target="media/image150.png"/><Relationship Id="rId221" Type="http://schemas.openxmlformats.org/officeDocument/2006/relationships/image" Target="media/image151.png"/><Relationship Id="rId222" Type="http://schemas.openxmlformats.org/officeDocument/2006/relationships/image" Target="media/image152.png"/><Relationship Id="rId223" Type="http://schemas.openxmlformats.org/officeDocument/2006/relationships/image" Target="media/image153.png"/><Relationship Id="rId224" Type="http://schemas.openxmlformats.org/officeDocument/2006/relationships/image" Target="media/image154.png"/><Relationship Id="rId225" Type="http://schemas.openxmlformats.org/officeDocument/2006/relationships/image" Target="media/image155.png"/><Relationship Id="rId226" Type="http://schemas.openxmlformats.org/officeDocument/2006/relationships/image" Target="media/image156.png"/><Relationship Id="rId227" Type="http://schemas.openxmlformats.org/officeDocument/2006/relationships/image" Target="media/image157.png"/><Relationship Id="rId228" Type="http://schemas.openxmlformats.org/officeDocument/2006/relationships/image" Target="media/image158.png"/><Relationship Id="rId229" Type="http://schemas.openxmlformats.org/officeDocument/2006/relationships/image" Target="media/image159.png"/><Relationship Id="rId230" Type="http://schemas.openxmlformats.org/officeDocument/2006/relationships/image" Target="media/image160.png"/><Relationship Id="rId231" Type="http://schemas.openxmlformats.org/officeDocument/2006/relationships/image" Target="media/image161.png"/><Relationship Id="rId232" Type="http://schemas.openxmlformats.org/officeDocument/2006/relationships/image" Target="media/image162.png"/><Relationship Id="rId233" Type="http://schemas.openxmlformats.org/officeDocument/2006/relationships/image" Target="media/image163.png"/><Relationship Id="rId234" Type="http://schemas.openxmlformats.org/officeDocument/2006/relationships/image" Target="media/image164.png"/><Relationship Id="rId235" Type="http://schemas.openxmlformats.org/officeDocument/2006/relationships/image" Target="media/image165.png"/><Relationship Id="rId236" Type="http://schemas.openxmlformats.org/officeDocument/2006/relationships/image" Target="media/image166.png"/><Relationship Id="rId237" Type="http://schemas.openxmlformats.org/officeDocument/2006/relationships/image" Target="media/image167.png"/><Relationship Id="rId238" Type="http://schemas.openxmlformats.org/officeDocument/2006/relationships/image" Target="media/image168.png"/><Relationship Id="rId239" Type="http://schemas.openxmlformats.org/officeDocument/2006/relationships/image" Target="media/image169.png"/><Relationship Id="rId240" Type="http://schemas.openxmlformats.org/officeDocument/2006/relationships/image" Target="media/image170.png"/><Relationship Id="rId241" Type="http://schemas.openxmlformats.org/officeDocument/2006/relationships/image" Target="media/image171.png"/><Relationship Id="rId242" Type="http://schemas.openxmlformats.org/officeDocument/2006/relationships/image" Target="media/image172.png"/><Relationship Id="rId243" Type="http://schemas.openxmlformats.org/officeDocument/2006/relationships/image" Target="media/image173.png"/><Relationship Id="rId244" Type="http://schemas.openxmlformats.org/officeDocument/2006/relationships/image" Target="media/image174.png"/><Relationship Id="rId245" Type="http://schemas.openxmlformats.org/officeDocument/2006/relationships/image" Target="media/image175.png"/><Relationship Id="rId246" Type="http://schemas.openxmlformats.org/officeDocument/2006/relationships/image" Target="media/image176.png"/><Relationship Id="rId247" Type="http://schemas.openxmlformats.org/officeDocument/2006/relationships/image" Target="media/image177.png"/><Relationship Id="rId248" Type="http://schemas.openxmlformats.org/officeDocument/2006/relationships/image" Target="media/image178.png"/><Relationship Id="rId249" Type="http://schemas.openxmlformats.org/officeDocument/2006/relationships/image" Target="media/image179.png"/><Relationship Id="rId250" Type="http://schemas.openxmlformats.org/officeDocument/2006/relationships/image" Target="media/image180.png"/><Relationship Id="rId251" Type="http://schemas.openxmlformats.org/officeDocument/2006/relationships/image" Target="media/image181.png"/><Relationship Id="rId252" Type="http://schemas.openxmlformats.org/officeDocument/2006/relationships/image" Target="media/image182.png"/><Relationship Id="rId253" Type="http://schemas.openxmlformats.org/officeDocument/2006/relationships/image" Target="media/image183.png"/><Relationship Id="rId254" Type="http://schemas.openxmlformats.org/officeDocument/2006/relationships/image" Target="media/image184.png"/><Relationship Id="rId255" Type="http://schemas.openxmlformats.org/officeDocument/2006/relationships/image" Target="media/image185.png"/><Relationship Id="rId256" Type="http://schemas.openxmlformats.org/officeDocument/2006/relationships/image" Target="media/image186.png"/><Relationship Id="rId257" Type="http://schemas.openxmlformats.org/officeDocument/2006/relationships/image" Target="media/image187.png"/><Relationship Id="rId258" Type="http://schemas.openxmlformats.org/officeDocument/2006/relationships/image" Target="media/image188.png"/><Relationship Id="rId259" Type="http://schemas.openxmlformats.org/officeDocument/2006/relationships/image" Target="media/image189.png"/><Relationship Id="rId260" Type="http://schemas.openxmlformats.org/officeDocument/2006/relationships/image" Target="media/image190.png"/><Relationship Id="rId261" Type="http://schemas.openxmlformats.org/officeDocument/2006/relationships/image" Target="media/image191.png"/><Relationship Id="rId117" Type="http://schemas.openxmlformats.org/officeDocument/2006/relationships/hyperlink" Target="http://www.sec.gov/Archives/edgar/data/872589/000153217615000029/regn-ex_31x06302015x10q.htm" TargetMode="External"/><Relationship Id="rId118" Type="http://schemas.openxmlformats.org/officeDocument/2006/relationships/hyperlink" Target="http://www.sec.gov/Archives/edgar/data/872589/000110465916163216/a16-23471_1ex3d2.htm" TargetMode="External"/><Relationship Id="rId119" Type="http://schemas.openxmlformats.org/officeDocument/2006/relationships/hyperlink" Target="http://www.sec.gov/Archives/edgar/data/872589/000110465923071187/tm2318622d1_ex3-2.htm" TargetMode="External"/><Relationship Id="rId120" Type="http://schemas.openxmlformats.org/officeDocument/2006/relationships/hyperlink" Target="http://www.sec.gov/Archives/edgar/data/872589/000153217620000008/regn-ex41xdescriptiono.htm" TargetMode="External"/><Relationship Id="rId121" Type="http://schemas.openxmlformats.org/officeDocument/2006/relationships/hyperlink" Target="http://www.sec.gov/Archives/edgar/data/872589/000110465920093924/tm2027319d1_ex4-1.htm" TargetMode="External"/><Relationship Id="rId122" Type="http://schemas.openxmlformats.org/officeDocument/2006/relationships/hyperlink" Target="http://www.sec.gov/Archives/edgar/data/872589/000110465920093924/tm2027319d1_ex4-2.htm" TargetMode="External"/><Relationship Id="rId123" Type="http://schemas.openxmlformats.org/officeDocument/2006/relationships/hyperlink" Target="http://www.sec.gov/Archives/edgar/data/872589/000120677411001374/exhibit99-1.htm" TargetMode="External"/><Relationship Id="rId124" Type="http://schemas.openxmlformats.org/officeDocument/2006/relationships/hyperlink" Target="http://www.sec.gov/Archives/edgar/data/872589/000120677409000907/exhibit10-1.htm" TargetMode="External"/><Relationship Id="rId125" Type="http://schemas.openxmlformats.org/officeDocument/2006/relationships/hyperlink" Target="http://www.sec.gov/Archives/edgar/data/872589/000120677412000709/exhibit10-1_9.htm" TargetMode="External"/><Relationship Id="rId126" Type="http://schemas.openxmlformats.org/officeDocument/2006/relationships/hyperlink" Target="http://www.sec.gov/Archives/edgar/data/872589/000153217614000008/exhibit10110.htm" TargetMode="External"/><Relationship Id="rId127" Type="http://schemas.openxmlformats.org/officeDocument/2006/relationships/hyperlink" Target="http://www.sec.gov/Archives/edgar/data/872589/000110465917038718/a17-14867_1ex99d1.htm" TargetMode="External"/><Relationship Id="rId128" Type="http://schemas.openxmlformats.org/officeDocument/2006/relationships/hyperlink" Target="http://www.sec.gov/Archives/edgar/data/872589/000119312514240075/d741250dex101.htm" TargetMode="External"/><Relationship Id="rId129" Type="http://schemas.openxmlformats.org/officeDocument/2006/relationships/hyperlink" Target="http://www.sec.gov/Archives/edgar/data/872589/000119312514240075/d741250dex103.htm" TargetMode="External"/><Relationship Id="rId130" Type="http://schemas.openxmlformats.org/officeDocument/2006/relationships/hyperlink" Target="http://www.sec.gov/Archives/edgar/data/872589/000119312514240075/d741250dex104.htm" TargetMode="External"/><Relationship Id="rId131" Type="http://schemas.openxmlformats.org/officeDocument/2006/relationships/hyperlink" Target="http://www.sec.gov/Archives/edgar/data/872589/000110465915080234/a15-23696_1ex10d1.htm" TargetMode="External"/><Relationship Id="rId134" Type="http://schemas.openxmlformats.org/officeDocument/2006/relationships/hyperlink" Target="http://www.sec.gov/Archives/edgar/data/872589/000110465915080234/a15-23696_1ex10d3.htm" TargetMode="External"/><Relationship Id="rId135" Type="http://schemas.openxmlformats.org/officeDocument/2006/relationships/hyperlink" Target="http://www.sec.gov/Archives/edgar/data/872589/000153217616000045/regn-ex_10210x12312015x10k.htm" TargetMode="External"/><Relationship Id="rId136" Type="http://schemas.openxmlformats.org/officeDocument/2006/relationships/hyperlink" Target="http://www.sec.gov/Archives/edgar/data/872589/000153217618000013/regn-ex_10211xar2014ltipnq.htm" TargetMode="External"/><Relationship Id="rId137" Type="http://schemas.openxmlformats.org/officeDocument/2006/relationships/hyperlink" Target="http://www.sec.gov/Archives/edgar/data/872589/000153217618000013/regn-ex_10215xar2014ltiprs.htm" TargetMode="External"/><Relationship Id="rId138" Type="http://schemas.openxmlformats.org/officeDocument/2006/relationships/hyperlink" Target="http://www.sec.gov/Archives/edgar/data/872589/000153217618000013/regn-ex_10216xar2014ltipnq.htm" TargetMode="External"/><Relationship Id="rId139" Type="http://schemas.openxmlformats.org/officeDocument/2006/relationships/hyperlink" Target="http://www.sec.gov/Archives/edgar/data/872589/000153217619000009/regn-ex_10217xstockoptiona.htm" TargetMode="External"/><Relationship Id="rId140" Type="http://schemas.openxmlformats.org/officeDocument/2006/relationships/hyperlink" Target="http://www.sec.gov/Archives/edgar/data/872589/000153217619000009/regn-ex_10219xar2014ltiprs.htm" TargetMode="External"/><Relationship Id="rId141" Type="http://schemas.openxmlformats.org/officeDocument/2006/relationships/hyperlink" Target="http://www.sec.gov/Archives/edgar/data/872589/000153217619000009/regn-ex_10220xar2014ltipnq.htm" TargetMode="External"/><Relationship Id="rId142" Type="http://schemas.openxmlformats.org/officeDocument/2006/relationships/hyperlink" Target="http://www.sec.gov/Archives/edgar/data/872589/000153217619000009/regn-ex_10221xar2014ltiprs.htm" TargetMode="External"/><Relationship Id="rId143" Type="http://schemas.openxmlformats.org/officeDocument/2006/relationships/hyperlink" Target="http://www.sec.gov/Archives/edgar/data/872589/000153217620000008/regn-ex10217ar2014ltip.htm" TargetMode="External"/><Relationship Id="rId144" Type="http://schemas.openxmlformats.org/officeDocument/2006/relationships/hyperlink" Target="http://www.sec.gov/Archives/edgar/data/872589/000153217620000008/regn-ex10219ar2014ltip.htm" TargetMode="External"/><Relationship Id="rId145" Type="http://schemas.openxmlformats.org/officeDocument/2006/relationships/hyperlink" Target="http://www.sec.gov/Archives/edgar/data/872589/000153217620000008/regn-ex10220ar2014ltip.htm" TargetMode="External"/><Relationship Id="rId146" Type="http://schemas.openxmlformats.org/officeDocument/2006/relationships/hyperlink" Target="http://www.sec.gov/Archives/edgar/data/872589/000153217620000008/regn-ex10221ar2014ltip.htm" TargetMode="External"/><Relationship Id="rId147" Type="http://schemas.openxmlformats.org/officeDocument/2006/relationships/hyperlink" Target="http://www.sec.gov/Archives/edgar/data/872589/000110465920073764/tm2022552d1_ex99-1.htm" TargetMode="External"/><Relationship Id="rId148" Type="http://schemas.openxmlformats.org/officeDocument/2006/relationships/hyperlink" Target="http://www.sec.gov/Archives/edgar/data/872589/000180422021000008/regn-ex_1031x12312020x10k.htm" TargetMode="External"/><Relationship Id="rId149" Type="http://schemas.openxmlformats.org/officeDocument/2006/relationships/hyperlink" Target="http://www.sec.gov/Archives/edgar/data/872589/000180422021000008/regn-ex_1033x12312020x10k.htm" TargetMode="External"/><Relationship Id="rId152" Type="http://schemas.openxmlformats.org/officeDocument/2006/relationships/hyperlink" Target="http://www.sec.gov/Archives/edgar/data/872589/000180422021000008/regn-ex_1035x12312020x10k.htm" TargetMode="External"/><Relationship Id="rId153" Type="http://schemas.openxmlformats.org/officeDocument/2006/relationships/hyperlink" Target="http://www.sec.gov/Archives/edgar/data/872589/000180422021000008/regn-ex_1036x12312020x10k.htm" TargetMode="External"/><Relationship Id="rId154" Type="http://schemas.openxmlformats.org/officeDocument/2006/relationships/hyperlink" Target="http://www.sec.gov/Archives/edgar/data/872589/000180422021000008/regn-ex_1037x12312020x10k.htm" TargetMode="External"/><Relationship Id="rId155" Type="http://schemas.openxmlformats.org/officeDocument/2006/relationships/hyperlink" Target="http://www.sec.gov/Archives/edgar/data/872589/000120677409000338/exhibit10-3.htm" TargetMode="External"/><Relationship Id="rId156" Type="http://schemas.openxmlformats.org/officeDocument/2006/relationships/hyperlink" Target="http://www.sec.gov/Archives/edgar/data/872589/000180422023000023/regn-ex_103x6302023x10q.htm" TargetMode="External"/><Relationship Id="rId157" Type="http://schemas.openxmlformats.org/officeDocument/2006/relationships/hyperlink" Target="http://www.sec.gov/Archives/edgar/data/872589/000119312513365438/d596986dex101.htm" TargetMode="External"/><Relationship Id="rId158" Type="http://schemas.openxmlformats.org/officeDocument/2006/relationships/hyperlink" Target="http://www.sec.gov/Archives/edgar/data/872589/000120677409000338/exhibit10-5.htm" TargetMode="External"/><Relationship Id="rId159" Type="http://schemas.openxmlformats.org/officeDocument/2006/relationships/hyperlink" Target="http://www.sec.gov/Archives/edgar/data/872589/000110465915045962/a15-14252_1ex10d1.htm" TargetMode="External"/><Relationship Id="rId160" Type="http://schemas.openxmlformats.org/officeDocument/2006/relationships/hyperlink" Target="http://www.sec.gov/Archives/edgar/data/872589/000180422023000016/regn-ex_101x3312023x10q.htm" TargetMode="External"/><Relationship Id="rId161" Type="http://schemas.openxmlformats.org/officeDocument/2006/relationships/hyperlink" Target="http://www.sec.gov/Archives/edgar/data/872589/000120677409001498/exhibit10-1.htm" TargetMode="External"/><Relationship Id="rId162" Type="http://schemas.openxmlformats.org/officeDocument/2006/relationships/hyperlink" Target="http://www.sec.gov/Archives/edgar/data/872589/000095012306013527/y26593exv10w1.htm" TargetMode="External"/><Relationship Id="rId163" Type="http://schemas.openxmlformats.org/officeDocument/2006/relationships/hyperlink" Target="http://www.sec.gov/Archives/edgar/data/872589/000153217615000008/regn-ex_10101x12312014x10k.htm" TargetMode="External"/><Relationship Id="rId164" Type="http://schemas.openxmlformats.org/officeDocument/2006/relationships/hyperlink" Target="http://www.sec.gov/Archives/edgar/data/872589/000153217620000008/regn-ex10102secondamen.htm" TargetMode="External"/><Relationship Id="rId165" Type="http://schemas.openxmlformats.org/officeDocument/2006/relationships/hyperlink" Target="http://www.sec.gov/Archives/edgar/data/872589/000120677410001385/exhibit10-15.htm" TargetMode="External"/><Relationship Id="rId166" Type="http://schemas.openxmlformats.org/officeDocument/2006/relationships/hyperlink" Target="http://www.sec.gov/Archives/edgar/data/872589/000180422023000023/regn-ex_101x6302023x10q.htm" TargetMode="External"/><Relationship Id="rId167" Type="http://schemas.openxmlformats.org/officeDocument/2006/relationships/hyperlink" Target="http://www.sec.gov/Archives/edgar/data/872589/000153217615000037/regn-ex_104x09302015x10q.htm" TargetMode="External"/><Relationship Id="rId168" Type="http://schemas.openxmlformats.org/officeDocument/2006/relationships/hyperlink" Target="http://www.sec.gov/Archives/edgar/data/872589/000180422020000022/regn-ex103x06302020x10q.htm" TargetMode="External"/><Relationship Id="rId170" Type="http://schemas.openxmlformats.org/officeDocument/2006/relationships/hyperlink" Target="http://www.sec.gov/Archives/edgar/data/872589/000180422022000007/regen-ex_10144x12312021x10k.htm" TargetMode="External"/><Relationship Id="rId171" Type="http://schemas.openxmlformats.org/officeDocument/2006/relationships/hyperlink" Target="http://www.sec.gov/Archives/edgar/data/872589/000180422022000023/regn-ex_103x6302022x10q.htm" TargetMode="External"/><Relationship Id="rId172" Type="http://schemas.openxmlformats.org/officeDocument/2006/relationships/hyperlink" Target="http://www.sec.gov/Archives/edgar/data/872589/000180422020000022/regn-ex104x06302020x10q.htm" TargetMode="External"/><Relationship Id="rId173" Type="http://schemas.openxmlformats.org/officeDocument/2006/relationships/hyperlink" Target="http://www.sec.gov/Archives/edgar/data/872589/000119312514008775/d659864dex101.htm" TargetMode="External"/><Relationship Id="rId174" Type="http://schemas.openxmlformats.org/officeDocument/2006/relationships/hyperlink" Target="http://www.sec.gov/Archives/edgar/data/872589/000110465920067752/tm2021201d1_ex10-2.htm" TargetMode="External"/><Relationship Id="rId175" Type="http://schemas.openxmlformats.org/officeDocument/2006/relationships/hyperlink" Target="http://www.sec.gov/Archives/edgar/data/872589/000110465922128613/tm2233051d1_ex10-1.htm" TargetMode="External"/><Relationship Id="rId176" Type="http://schemas.openxmlformats.org/officeDocument/2006/relationships/hyperlink" Target="http://www.sec.gov/Archives/edgar/data/872589/000180422022000023/regn-ex_102x06302022x10q.htm" TargetMode="External"/><Relationship Id="rId177" Type="http://schemas.openxmlformats.org/officeDocument/2006/relationships/hyperlink" Target="http://www.sec.gov/Archives/edgar/data/872589/000153217617000008/regn-ex_1035xlandmarkpsaex.htm" TargetMode="External"/><Relationship Id="rId178" Type="http://schemas.openxmlformats.org/officeDocument/2006/relationships/hyperlink" Target="http://www.sec.gov/Archives/edgar/data/872589/000110465923038299/tm2310647d1_ex10-1.htm" TargetMode="External"/><Relationship Id="rId179" Type="http://schemas.openxmlformats.org/officeDocument/2006/relationships/hyperlink" Target="http://www.sec.gov/Archives/edgar/data/872589/000110465923038299/tm2310647d1_ex10-2.htm" TargetMode="External"/><Relationship Id="rId180" Type="http://schemas.openxmlformats.org/officeDocument/2006/relationships/hyperlink" Target="http://www.sec.gov/Archives/edgar/data/872589/000110465923038299/tm2310647d1_ex10-3.htm" TargetMode="External"/><Relationship Id="rId181" Type="http://schemas.openxmlformats.org/officeDocument/2006/relationships/hyperlink" Target="http://www.sec.gov/Archives/edgar/data/872589/000153217619000026/regn-ex104.htm" TargetMode="External"/><Relationship Id="rId182" Type="http://schemas.openxmlformats.org/officeDocument/2006/relationships/hyperlink" Target="http://www.sec.gov/Archives/edgar/data/872589/000153217619000026/regn-ex1041.htm" TargetMode="External"/><Relationship Id="rId183" Type="http://schemas.openxmlformats.org/officeDocument/2006/relationships/hyperlink" Target="http://www.sec.gov/Archives/edgar/data/872589/000153217619000026/regn-ex1042.htm" TargetMode="External"/><Relationship Id="rId184" Type="http://schemas.openxmlformats.org/officeDocument/2006/relationships/hyperlink" Target="http://www.sec.gov/Archives/edgar/data/872589/000180422023000023/regn-ex_102x6302023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2024-02-05T08:29:29Z</dcterms:created>
  <dcterms:modified xsi:type="dcterms:W3CDTF">2024-02-05T08:29:29Z</dcterms:modified>
</cp:coreProperties>
</file>