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2" w:lineRule="exact"/>
        <w:rPr>
          <w:sz w:val="24"/>
          <w:szCs w:val="24"/>
          <w:color w:val="auto"/>
        </w:rPr>
      </w:pPr>
    </w:p>
    <w:p>
      <w:pPr>
        <w:ind w:left="280" w:right="2560" w:hanging="274"/>
        <w:spacing w:after="0" w:line="314" w:lineRule="auto"/>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6"/>
          <w:szCs w:val="16"/>
          <w:color w:val="auto"/>
        </w:rPr>
      </w:pPr>
    </w:p>
    <w:p>
      <w:pPr>
        <w:ind w:left="1120"/>
        <w:spacing w:after="0"/>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OR</w:t>
      </w:r>
    </w:p>
    <w:p>
      <w:pPr>
        <w:spacing w:after="0" w:line="61" w:lineRule="exact"/>
        <w:rPr>
          <w:sz w:val="24"/>
          <w:szCs w:val="24"/>
          <w:color w:val="auto"/>
        </w:rPr>
      </w:pPr>
    </w:p>
    <w:p>
      <w:pPr>
        <w:ind w:left="280" w:right="2220" w:hanging="274"/>
        <w:spacing w:after="0" w:line="352" w:lineRule="auto"/>
        <w:tabs>
          <w:tab w:leader="none" w:pos="2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000-19034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80" w:type="dxa"/>
            <w:vAlign w:val="bottom"/>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20" w:type="dxa"/>
            <w:vAlign w:val="bottom"/>
            <w:gridSpan w:val="2"/>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60" w:type="dxa"/>
            <w:vAlign w:val="bottom"/>
          </w:tcPr>
          <w:p>
            <w:pPr>
              <w:spacing w:after="0"/>
              <w:rPr>
                <w:sz w:val="18"/>
                <w:szCs w:val="18"/>
                <w:color w:val="auto"/>
              </w:rPr>
            </w:pPr>
          </w:p>
        </w:tc>
        <w:tc>
          <w:tcPr>
            <w:tcW w:w="4380" w:type="dxa"/>
            <w:vAlign w:val="bottom"/>
            <w:gridSpan w:val="4"/>
          </w:tcPr>
          <w:p>
            <w:pPr>
              <w:jc w:val="center"/>
              <w:ind w:left="32"/>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tc>
        <w:tc>
          <w:tcPr>
            <w:tcW w:w="3380" w:type="dxa"/>
            <w:vAlign w:val="bottom"/>
            <w:gridSpan w:val="3"/>
          </w:tcPr>
          <w:p>
            <w:pPr>
              <w:jc w:val="center"/>
              <w:ind w:right="690"/>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2060" w:type="dxa"/>
            <w:vAlign w:val="bottom"/>
          </w:tcPr>
          <w:p>
            <w:pPr>
              <w:spacing w:after="0"/>
              <w:rPr>
                <w:sz w:val="24"/>
                <w:szCs w:val="24"/>
                <w:color w:val="auto"/>
              </w:rPr>
            </w:pPr>
          </w:p>
        </w:tc>
        <w:tc>
          <w:tcPr>
            <w:tcW w:w="7760" w:type="dxa"/>
            <w:vAlign w:val="bottom"/>
            <w:gridSpan w:val="7"/>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60" w:type="dxa"/>
            <w:vAlign w:val="bottom"/>
            <w:gridSpan w:val="6"/>
          </w:tcPr>
          <w:p>
            <w:pPr>
              <w:jc w:val="center"/>
              <w:ind w:right="189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(914) 847-7000</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60" w:type="dxa"/>
            <w:vAlign w:val="bottom"/>
            <w:gridSpan w:val="6"/>
          </w:tcPr>
          <w:p>
            <w:pPr>
              <w:jc w:val="center"/>
              <w:ind w:right="1890"/>
              <w:spacing w:after="0" w:line="183" w:lineRule="exact"/>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60" w:type="dxa"/>
            <w:vAlign w:val="bottom"/>
            <w:gridSpan w:val="6"/>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1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
          </w:tcPr>
          <w:p>
            <w:pPr>
              <w:jc w:val="center"/>
              <w:ind w:left="306"/>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4"/>
                <w:szCs w:val="24"/>
                <w:color w:val="auto"/>
              </w:rPr>
            </w:pPr>
          </w:p>
        </w:tc>
        <w:tc>
          <w:tcPr>
            <w:tcW w:w="7760" w:type="dxa"/>
            <w:vAlign w:val="bottom"/>
            <w:gridSpan w:val="7"/>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660" w:type="dxa"/>
            <w:vAlign w:val="bottom"/>
            <w:gridSpan w:val="2"/>
            <w:vMerge w:val="restart"/>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540" w:type="dxa"/>
            <w:vAlign w:val="bottom"/>
            <w:vMerge w:val="restart"/>
          </w:tcPr>
          <w:p>
            <w:pPr>
              <w:ind w:left="200"/>
              <w:spacing w:after="0" w:line="161" w:lineRule="exact"/>
              <w:rPr>
                <w:sz w:val="20"/>
                <w:szCs w:val="20"/>
                <w:color w:val="auto"/>
              </w:rPr>
            </w:pPr>
            <w:r>
              <w:rPr>
                <w:rFonts w:ascii="Times New Roman" w:cs="Times New Roman" w:eastAsia="Times New Roman" w:hAnsi="Times New Roman"/>
                <w:sz w:val="14"/>
                <w:szCs w:val="14"/>
                <w:color w:val="auto"/>
                <w:w w:val="92"/>
              </w:rPr>
              <w:t xml:space="preserve">No </w:t>
            </w:r>
            <w:r>
              <w:rPr>
                <w:rFonts w:ascii="MS PGothic" w:cs="MS PGothic" w:eastAsia="MS PGothic" w:hAnsi="MS PGothic"/>
                <w:sz w:val="14"/>
                <w:szCs w:val="14"/>
                <w:color w:val="auto"/>
                <w:w w:val="92"/>
              </w:rPr>
              <w:t>☐</w:t>
            </w:r>
          </w:p>
        </w:tc>
        <w:tc>
          <w:tcPr>
            <w:tcW w:w="0" w:type="dxa"/>
            <w:vAlign w:val="bottom"/>
          </w:tcPr>
          <w:p>
            <w:pPr>
              <w:spacing w:after="0"/>
              <w:rPr>
                <w:sz w:val="1"/>
                <w:szCs w:val="1"/>
                <w:color w:val="auto"/>
              </w:rPr>
            </w:pPr>
          </w:p>
        </w:tc>
      </w:tr>
      <w:tr>
        <w:trPr>
          <w:trHeight w:val="241"/>
        </w:trPr>
        <w:tc>
          <w:tcPr>
            <w:tcW w:w="69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660" w:type="dxa"/>
            <w:vAlign w:val="bottom"/>
            <w:gridSpan w:val="2"/>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9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60" w:type="dxa"/>
            <w:vAlign w:val="bottom"/>
            <w:gridSpan w:val="2"/>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540" w:type="dxa"/>
            <w:vAlign w:val="bottom"/>
          </w:tcPr>
          <w:p>
            <w:pPr>
              <w:ind w:left="200"/>
              <w:spacing w:after="0" w:line="161" w:lineRule="exact"/>
              <w:rPr>
                <w:sz w:val="20"/>
                <w:szCs w:val="20"/>
                <w:color w:val="auto"/>
              </w:rPr>
            </w:pPr>
            <w:r>
              <w:rPr>
                <w:rFonts w:ascii="Times New Roman" w:cs="Times New Roman" w:eastAsia="Times New Roman" w:hAnsi="Times New Roman"/>
                <w:sz w:val="14"/>
                <w:szCs w:val="14"/>
                <w:color w:val="auto"/>
                <w:w w:val="92"/>
              </w:rPr>
              <w:t xml:space="preserve">No </w:t>
            </w:r>
            <w:r>
              <w:rPr>
                <w:rFonts w:ascii="MS PGothic" w:cs="MS PGothic" w:eastAsia="MS PGothic" w:hAnsi="MS PGothic"/>
                <w:sz w:val="14"/>
                <w:szCs w:val="14"/>
                <w:color w:val="auto"/>
                <w:w w:val="92"/>
              </w:rPr>
              <w:t>☒</w:t>
            </w:r>
          </w:p>
        </w:tc>
        <w:tc>
          <w:tcPr>
            <w:tcW w:w="0" w:type="dxa"/>
            <w:vAlign w:val="bottom"/>
          </w:tcPr>
          <w:p>
            <w:pPr>
              <w:spacing w:after="0"/>
              <w:rPr>
                <w:sz w:val="1"/>
                <w:szCs w:val="1"/>
                <w:color w:val="auto"/>
              </w:rPr>
            </w:pPr>
          </w:p>
        </w:tc>
      </w:tr>
      <w:tr>
        <w:trPr>
          <w:trHeight w:val="222"/>
        </w:trPr>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9820" w:type="dxa"/>
            <w:vAlign w:val="bottom"/>
            <w:gridSpan w:val="8"/>
          </w:tcPr>
          <w:p>
            <w:pPr>
              <w:spacing w:after="0" w:line="145" w:lineRule="exact"/>
              <w:rPr>
                <w:sz w:val="20"/>
                <w:szCs w:val="20"/>
                <w:color w:val="auto"/>
              </w:rPr>
            </w:pPr>
            <w:r>
              <w:rPr>
                <w:rFonts w:ascii="Times New Roman" w:cs="Times New Roman" w:eastAsia="Times New Roman" w:hAnsi="Times New Roman"/>
                <w:sz w:val="14"/>
                <w:szCs w:val="14"/>
                <w:color w:val="auto"/>
              </w:rPr>
              <w:t>preceding 12 months (or for such shorter period that the registrant was required to file such reports), and (2) has been subject to such filing requirements for the past 90</w:t>
            </w:r>
          </w:p>
        </w:tc>
        <w:tc>
          <w:tcPr>
            <w:tcW w:w="660" w:type="dxa"/>
            <w:vAlign w:val="bottom"/>
            <w:gridSpan w:val="2"/>
            <w:vMerge w:val="restart"/>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540" w:type="dxa"/>
            <w:vAlign w:val="bottom"/>
            <w:vMerge w:val="restart"/>
          </w:tcPr>
          <w:p>
            <w:pPr>
              <w:ind w:left="200"/>
              <w:spacing w:after="0" w:line="161" w:lineRule="exact"/>
              <w:rPr>
                <w:sz w:val="20"/>
                <w:szCs w:val="20"/>
                <w:color w:val="auto"/>
              </w:rPr>
            </w:pPr>
            <w:r>
              <w:rPr>
                <w:rFonts w:ascii="Times New Roman" w:cs="Times New Roman" w:eastAsia="Times New Roman" w:hAnsi="Times New Roman"/>
                <w:sz w:val="14"/>
                <w:szCs w:val="14"/>
                <w:color w:val="auto"/>
                <w:w w:val="92"/>
              </w:rPr>
              <w:t xml:space="preserve">No </w:t>
            </w:r>
            <w:r>
              <w:rPr>
                <w:rFonts w:ascii="MS PGothic" w:cs="MS PGothic" w:eastAsia="MS PGothic" w:hAnsi="MS PGothic"/>
                <w:sz w:val="14"/>
                <w:szCs w:val="14"/>
                <w:color w:val="auto"/>
                <w:w w:val="92"/>
              </w:rPr>
              <w:t>☐</w:t>
            </w:r>
          </w:p>
        </w:tc>
        <w:tc>
          <w:tcPr>
            <w:tcW w:w="0" w:type="dxa"/>
            <w:vAlign w:val="bottom"/>
          </w:tcPr>
          <w:p>
            <w:pPr>
              <w:spacing w:after="0"/>
              <w:rPr>
                <w:sz w:val="1"/>
                <w:szCs w:val="1"/>
                <w:color w:val="auto"/>
              </w:rPr>
            </w:pPr>
          </w:p>
        </w:tc>
      </w:tr>
      <w:tr>
        <w:trPr>
          <w:trHeight w:val="215"/>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days.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w:t>
            </w:r>
          </w:p>
        </w:tc>
        <w:tc>
          <w:tcPr>
            <w:tcW w:w="660" w:type="dxa"/>
            <w:vAlign w:val="bottom"/>
            <w:gridSpan w:val="2"/>
            <w:vMerge w:val="restart"/>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540" w:type="dxa"/>
            <w:vAlign w:val="bottom"/>
            <w:vMerge w:val="restart"/>
          </w:tcPr>
          <w:p>
            <w:pPr>
              <w:ind w:left="200"/>
              <w:spacing w:after="0" w:line="161" w:lineRule="exact"/>
              <w:rPr>
                <w:sz w:val="20"/>
                <w:szCs w:val="20"/>
                <w:color w:val="auto"/>
              </w:rPr>
            </w:pPr>
            <w:r>
              <w:rPr>
                <w:rFonts w:ascii="Times New Roman" w:cs="Times New Roman" w:eastAsia="Times New Roman" w:hAnsi="Times New Roman"/>
                <w:sz w:val="14"/>
                <w:szCs w:val="14"/>
                <w:color w:val="auto"/>
                <w:w w:val="92"/>
              </w:rPr>
              <w:t xml:space="preserve">No </w:t>
            </w:r>
            <w:r>
              <w:rPr>
                <w:rFonts w:ascii="MS PGothic" w:cs="MS PGothic" w:eastAsia="MS PGothic" w:hAnsi="MS PGothic"/>
                <w:sz w:val="14"/>
                <w:szCs w:val="14"/>
                <w:color w:val="auto"/>
                <w:w w:val="92"/>
              </w:rPr>
              <w:t>☐</w:t>
            </w:r>
          </w:p>
        </w:tc>
        <w:tc>
          <w:tcPr>
            <w:tcW w:w="0" w:type="dxa"/>
            <w:vAlign w:val="bottom"/>
          </w:tcPr>
          <w:p>
            <w:pPr>
              <w:spacing w:after="0"/>
              <w:rPr>
                <w:sz w:val="1"/>
                <w:szCs w:val="1"/>
                <w:color w:val="auto"/>
              </w:rPr>
            </w:pPr>
          </w:p>
        </w:tc>
      </w:tr>
      <w:tr>
        <w:trPr>
          <w:trHeight w:val="210"/>
        </w:trPr>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(§232.405 of this chapter) during the preceding 12 months (or for such shorter period that the registrant was required to submit such files).</w:t>
            </w:r>
          </w:p>
        </w:tc>
        <w:tc>
          <w:tcPr>
            <w:tcW w:w="6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p>
      <w:pPr>
        <w:ind w:left="280"/>
        <w:spacing w:after="0" w:line="161" w:lineRule="exact"/>
        <w:tabs>
          <w:tab w:leader="none" w:pos="2260" w:val="left"/>
          <w:tab w:leader="none" w:pos="4020" w:val="left"/>
          <w:tab w:leader="none" w:pos="6040" w:val="left"/>
          <w:tab w:leader="none" w:pos="84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0800" w:type="dxa"/>
            <w:vAlign w:val="bottom"/>
          </w:tcPr>
          <w:p>
            <w:pPr>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w:t>
            </w:r>
          </w:p>
        </w:tc>
        <w:tc>
          <w:tcPr>
            <w:tcW w:w="26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10"/>
        </w:trPr>
        <w:tc>
          <w:tcPr>
            <w:tcW w:w="10800" w:type="dxa"/>
            <w:vAlign w:val="bottom"/>
          </w:tcPr>
          <w:p>
            <w:pPr>
              <w:spacing w:after="0"/>
              <w:rPr>
                <w:sz w:val="20"/>
                <w:szCs w:val="20"/>
                <w:color w:val="auto"/>
              </w:rPr>
            </w:pPr>
            <w:r>
              <w:rPr>
                <w:rFonts w:ascii="Times New Roman" w:cs="Times New Roman" w:eastAsia="Times New Roman" w:hAnsi="Times New Roman"/>
                <w:sz w:val="14"/>
                <w:szCs w:val="14"/>
                <w:color w:val="auto"/>
              </w:rPr>
              <w:t>standards provided pursuant to Section 13(a) of the Exchange Act.</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w:t>
      </w:r>
    </w:p>
    <w:tbl>
      <w:tblPr>
        <w:tblLayout w:type="fixed"/>
        <w:tblInd w:w="0" w:type="dxa"/>
        <w:tblCellMar>
          <w:top w:w="0" w:type="dxa"/>
          <w:left w:w="0" w:type="dxa"/>
          <w:bottom w:w="0" w:type="dxa"/>
          <w:right w:w="0" w:type="dxa"/>
        </w:tblCellMar>
      </w:tblPr>
      <w:tr>
        <w:trPr>
          <w:trHeight w:val="242"/>
        </w:trPr>
        <w:tc>
          <w:tcPr>
            <w:tcW w:w="9100" w:type="dxa"/>
            <w:vAlign w:val="bottom"/>
          </w:tcPr>
          <w:p>
            <w:pPr>
              <w:spacing w:after="0"/>
              <w:rPr>
                <w:sz w:val="20"/>
                <w:szCs w:val="20"/>
                <w:color w:val="auto"/>
              </w:rPr>
            </w:pPr>
            <w:r>
              <w:rPr>
                <w:rFonts w:ascii="Times New Roman" w:cs="Times New Roman" w:eastAsia="Times New Roman" w:hAnsi="Times New Roman"/>
                <w:sz w:val="14"/>
                <w:szCs w:val="14"/>
                <w:color w:val="auto"/>
              </w:rPr>
              <w:t>Section 404(b) of the Sarbanes-Oxley Act (15 U.S.C. 7262(b)) by the registered public accounting firm that prepared or issued its audit report.</w:t>
            </w:r>
          </w:p>
        </w:tc>
        <w:tc>
          <w:tcPr>
            <w:tcW w:w="1580" w:type="dxa"/>
            <w:vAlign w:val="bottom"/>
          </w:tcPr>
          <w:p>
            <w:pPr>
              <w:spacing w:after="0"/>
              <w:rPr>
                <w:sz w:val="21"/>
                <w:szCs w:val="21"/>
                <w:color w:val="auto"/>
              </w:rPr>
            </w:pPr>
          </w:p>
        </w:tc>
        <w:tc>
          <w:tcPr>
            <w:tcW w:w="380" w:type="dxa"/>
            <w:vAlign w:val="bottom"/>
          </w:tcPr>
          <w:p>
            <w:pPr>
              <w:jc w:val="right"/>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0"/>
        </w:trPr>
        <w:tc>
          <w:tcPr>
            <w:tcW w:w="10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w:t>
            </w:r>
          </w:p>
        </w:tc>
        <w:tc>
          <w:tcPr>
            <w:tcW w:w="380" w:type="dxa"/>
            <w:vAlign w:val="bottom"/>
            <w:vMerge w:val="restart"/>
          </w:tcPr>
          <w:p>
            <w:pPr>
              <w:jc w:val="right"/>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0"/>
        </w:trPr>
        <w:tc>
          <w:tcPr>
            <w:tcW w:w="9100" w:type="dxa"/>
            <w:vAlign w:val="bottom"/>
          </w:tcPr>
          <w:p>
            <w:pPr>
              <w:spacing w:after="0"/>
              <w:rPr>
                <w:sz w:val="20"/>
                <w:szCs w:val="20"/>
                <w:color w:val="auto"/>
              </w:rPr>
            </w:pPr>
            <w:r>
              <w:rPr>
                <w:rFonts w:ascii="Times New Roman" w:cs="Times New Roman" w:eastAsia="Times New Roman" w:hAnsi="Times New Roman"/>
                <w:sz w:val="14"/>
                <w:szCs w:val="14"/>
                <w:color w:val="auto"/>
              </w:rPr>
              <w:t>error to previously issued financial statements.</w:t>
            </w:r>
          </w:p>
        </w:tc>
        <w:tc>
          <w:tcPr>
            <w:tcW w:w="15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w:t>
            </w:r>
          </w:p>
        </w:tc>
        <w:tc>
          <w:tcPr>
            <w:tcW w:w="380" w:type="dxa"/>
            <w:vAlign w:val="bottom"/>
            <w:vMerge w:val="restart"/>
          </w:tcPr>
          <w:p>
            <w:pPr>
              <w:jc w:val="right"/>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0"/>
        </w:trPr>
        <w:tc>
          <w:tcPr>
            <w:tcW w:w="9100" w:type="dxa"/>
            <w:vAlign w:val="bottom"/>
          </w:tcPr>
          <w:p>
            <w:pPr>
              <w:spacing w:after="0"/>
              <w:rPr>
                <w:sz w:val="20"/>
                <w:szCs w:val="20"/>
                <w:color w:val="auto"/>
              </w:rPr>
            </w:pPr>
            <w:r>
              <w:rPr>
                <w:rFonts w:ascii="Times New Roman" w:cs="Times New Roman" w:eastAsia="Times New Roman" w:hAnsi="Times New Roman"/>
                <w:sz w:val="14"/>
                <w:szCs w:val="14"/>
                <w:color w:val="auto"/>
              </w:rPr>
              <w:t>executive officers during the relevant recovery period pursuant to §240.10D-1(b).</w:t>
            </w:r>
          </w:p>
        </w:tc>
        <w:tc>
          <w:tcPr>
            <w:tcW w:w="15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100" w:type="dxa"/>
            <w:vAlign w:val="bottom"/>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tc>
        <w:tc>
          <w:tcPr>
            <w:tcW w:w="1580" w:type="dxa"/>
            <w:vAlign w:val="bottom"/>
          </w:tcPr>
          <w:p>
            <w:pPr>
              <w:ind w:left="90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80" w:type="dxa"/>
            <w:vAlign w:val="bottom"/>
          </w:tcPr>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87"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was $113.8 billion, computed by reference to the closing sales price of the stock on NASDAQ on June 28, 2024, the last trading day of the registrant's most recently completed second fiscal quarter. For purposes of this calculation only, the registrant has assumed that all of its directors and executive officers, and no other persons, are its affiliates. This determination of affiliate status is not necessarily a determination for other purposes.</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6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number of shares outstanding of each of the registrant's classes of common stock as of January 23, 2025:</w:t>
            </w:r>
          </w:p>
        </w:tc>
        <w:tc>
          <w:tcPr>
            <w:tcW w:w="1680" w:type="dxa"/>
            <w:vAlign w:val="bottom"/>
          </w:tcPr>
          <w:p>
            <w:pPr>
              <w:spacing w:after="0"/>
              <w:rPr>
                <w:sz w:val="16"/>
                <w:szCs w:val="16"/>
                <w:color w:val="auto"/>
              </w:rPr>
            </w:pPr>
          </w:p>
        </w:tc>
      </w:tr>
      <w:tr>
        <w:trPr>
          <w:trHeight w:val="310"/>
        </w:trPr>
        <w:tc>
          <w:tcPr>
            <w:tcW w:w="3140" w:type="dxa"/>
            <w:vAlign w:val="bottom"/>
          </w:tcPr>
          <w:p>
            <w:pPr>
              <w:spacing w:after="0"/>
              <w:rPr>
                <w:sz w:val="24"/>
                <w:szCs w:val="24"/>
                <w:color w:val="auto"/>
              </w:rPr>
            </w:pPr>
          </w:p>
        </w:tc>
        <w:tc>
          <w:tcPr>
            <w:tcW w:w="32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color w:val="auto"/>
              </w:rPr>
              <w:t>Class of Common Stock</w:t>
            </w:r>
          </w:p>
        </w:tc>
        <w:tc>
          <w:tcPr>
            <w:tcW w:w="1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Number of Shares</w:t>
            </w:r>
          </w:p>
        </w:tc>
      </w:tr>
      <w:tr>
        <w:trPr>
          <w:trHeight w:val="24"/>
        </w:trPr>
        <w:tc>
          <w:tcPr>
            <w:tcW w:w="31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r>
      <w:tr>
        <w:trPr>
          <w:trHeight w:val="182"/>
        </w:trPr>
        <w:tc>
          <w:tcPr>
            <w:tcW w:w="3140" w:type="dxa"/>
            <w:vAlign w:val="bottom"/>
          </w:tcPr>
          <w:p>
            <w:pPr>
              <w:spacing w:after="0"/>
              <w:rPr>
                <w:sz w:val="15"/>
                <w:szCs w:val="15"/>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Stock, $.001 par value</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1,817,146</w:t>
            </w:r>
          </w:p>
        </w:tc>
      </w:tr>
      <w:tr>
        <w:trPr>
          <w:trHeight w:val="193"/>
        </w:trPr>
        <w:tc>
          <w:tcPr>
            <w:tcW w:w="3140" w:type="dxa"/>
            <w:vAlign w:val="bottom"/>
          </w:tcPr>
          <w:p>
            <w:pPr>
              <w:spacing w:after="0"/>
              <w:rPr>
                <w:sz w:val="16"/>
                <w:szCs w:val="16"/>
                <w:color w:val="auto"/>
              </w:rPr>
            </w:pPr>
          </w:p>
        </w:tc>
        <w:tc>
          <w:tcPr>
            <w:tcW w:w="32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6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107,507,536</w:t>
            </w:r>
          </w:p>
        </w:tc>
      </w:tr>
    </w:tbl>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8"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Specified portions of the Registrant's definitive proxy statement to be filed in connection with solicitation of proxies for its 2025 Annual Meeting of Shareholders are incorporated by reference into Part III of this Form 10-K. Exhibit index is located on pages 87 to 91 of this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327660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92"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6"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6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680" w:type="dxa"/>
            <w:vAlign w:val="bottom"/>
            <w:tcBorders>
              <w:bottom w:val="single" w:sz="8" w:color="CCEEFF"/>
            </w:tcBorders>
            <w:gridSpan w:val="5"/>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1240" w:type="dxa"/>
            <w:vAlign w:val="bottom"/>
            <w:gridSpan w:val="3"/>
          </w:tcPr>
          <w:p>
            <w:pPr>
              <w:jc w:val="center"/>
              <w:ind w:left="95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34</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1B.</w:t>
            </w:r>
          </w:p>
        </w:tc>
        <w:tc>
          <w:tcPr>
            <w:tcW w:w="640" w:type="dxa"/>
            <w:vAlign w:val="bottom"/>
            <w:gridSpan w:val="4"/>
          </w:tcPr>
          <w:p>
            <w:pPr>
              <w:spacing w:after="0"/>
              <w:rPr>
                <w:sz w:val="16"/>
                <w:szCs w:val="16"/>
                <w:color w:val="auto"/>
              </w:rPr>
            </w:pP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67</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6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1C.</w:t>
            </w:r>
          </w:p>
        </w:tc>
        <w:tc>
          <w:tcPr>
            <w:tcW w:w="640" w:type="dxa"/>
            <w:vAlign w:val="bottom"/>
            <w:gridSpan w:val="4"/>
            <w:shd w:val="clear" w:color="auto" w:fill="CCEEFF"/>
          </w:tcPr>
          <w:p>
            <w:pPr>
              <w:spacing w:after="0"/>
              <w:rPr>
                <w:sz w:val="16"/>
                <w:szCs w:val="16"/>
                <w:color w:val="auto"/>
              </w:rPr>
            </w:pP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67</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640" w:type="dxa"/>
            <w:vAlign w:val="bottom"/>
            <w:gridSpan w:val="4"/>
          </w:tcPr>
          <w:p>
            <w:pPr>
              <w:spacing w:after="0"/>
              <w:rPr>
                <w:sz w:val="16"/>
                <w:szCs w:val="16"/>
                <w:color w:val="auto"/>
              </w:rPr>
            </w:pPr>
          </w:p>
        </w:tc>
        <w:tc>
          <w:tcPr>
            <w:tcW w:w="10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5440" w:type="dxa"/>
            <w:vAlign w:val="bottom"/>
            <w:gridSpan w:val="20"/>
          </w:tcPr>
          <w:p>
            <w:pPr>
              <w:spacing w:after="0"/>
              <w:rPr>
                <w:sz w:val="16"/>
                <w:szCs w:val="16"/>
                <w:color w:val="auto"/>
              </w:rPr>
            </w:pP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68</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760" w:type="dxa"/>
            <w:vAlign w:val="bottom"/>
            <w:gridSpan w:val="6"/>
            <w:shd w:val="clear" w:color="auto" w:fill="CCEEFF"/>
          </w:tcPr>
          <w:p>
            <w:pPr>
              <w:spacing w:after="0"/>
              <w:rPr>
                <w:sz w:val="16"/>
                <w:szCs w:val="16"/>
                <w:color w:val="auto"/>
              </w:rPr>
            </w:pPr>
          </w:p>
        </w:tc>
        <w:tc>
          <w:tcPr>
            <w:tcW w:w="13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5100" w:type="dxa"/>
            <w:vAlign w:val="bottom"/>
            <w:gridSpan w:val="18"/>
            <w:shd w:val="clear" w:color="auto" w:fill="CCEEFF"/>
          </w:tcPr>
          <w:p>
            <w:pPr>
              <w:spacing w:after="0"/>
              <w:rPr>
                <w:sz w:val="16"/>
                <w:szCs w:val="16"/>
                <w:color w:val="auto"/>
              </w:rPr>
            </w:pP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68</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760" w:type="dxa"/>
            <w:vAlign w:val="bottom"/>
            <w:gridSpan w:val="6"/>
          </w:tcPr>
          <w:p>
            <w:pPr>
              <w:spacing w:after="0"/>
              <w:rPr>
                <w:sz w:val="16"/>
                <w:szCs w:val="16"/>
                <w:color w:val="auto"/>
              </w:rPr>
            </w:pP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68</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24"/>
        </w:trPr>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69</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90"/>
        </w:trPr>
        <w:tc>
          <w:tcPr>
            <w:tcW w:w="52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2200" w:type="dxa"/>
            <w:vAlign w:val="bottom"/>
            <w:tcBorders>
              <w:top w:val="single" w:sz="8" w:color="0000FF"/>
              <w:bottom w:val="single" w:sz="8" w:color="0000FF"/>
            </w:tcBorders>
            <w:gridSpan w:val="1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Purchases of Equity Securities</w:t>
            </w:r>
          </w:p>
        </w:tc>
        <w:tc>
          <w:tcPr>
            <w:tcW w:w="366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7.</w:t>
            </w: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56"/>
        </w:trPr>
        <w:tc>
          <w:tcPr>
            <w:tcW w:w="5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600" w:type="dxa"/>
            <w:vAlign w:val="bottom"/>
            <w:tcBorders>
              <w:top w:val="single" w:sz="8" w:color="0000FF"/>
            </w:tcBorders>
            <w:gridSpan w:val="2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Operations</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gridSpan w:val="2"/>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140" w:type="dxa"/>
            <w:vAlign w:val="bottom"/>
            <w:tcBorders>
              <w:top w:val="single" w:sz="8" w:color="0000FF"/>
              <w:right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r>
      <w:tr>
        <w:trPr>
          <w:trHeight w:val="34"/>
        </w:trPr>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7A.</w:t>
            </w: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8.</w:t>
            </w:r>
          </w:p>
        </w:tc>
        <w:tc>
          <w:tcPr>
            <w:tcW w:w="760" w:type="dxa"/>
            <w:vAlign w:val="bottom"/>
            <w:gridSpan w:val="6"/>
            <w:shd w:val="clear" w:color="auto" w:fill="CCEEFF"/>
          </w:tcPr>
          <w:p>
            <w:pPr>
              <w:spacing w:after="0"/>
              <w:rPr>
                <w:sz w:val="16"/>
                <w:szCs w:val="16"/>
                <w:color w:val="auto"/>
              </w:rPr>
            </w:pP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85</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9.</w:t>
            </w:r>
          </w:p>
        </w:tc>
        <w:tc>
          <w:tcPr>
            <w:tcW w:w="760" w:type="dxa"/>
            <w:vAlign w:val="bottom"/>
            <w:gridSpan w:val="6"/>
          </w:tcPr>
          <w:p>
            <w:pPr>
              <w:spacing w:after="0"/>
              <w:rPr>
                <w:sz w:val="16"/>
                <w:szCs w:val="16"/>
                <w:color w:val="auto"/>
              </w:rPr>
            </w:pP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85</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56"/>
        </w:trPr>
        <w:tc>
          <w:tcPr>
            <w:tcW w:w="5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60" w:type="dxa"/>
            <w:vAlign w:val="bottom"/>
            <w:tcBorders>
              <w:top w:val="single" w:sz="8" w:color="0000FF"/>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Disclosure</w:t>
            </w:r>
          </w:p>
        </w:tc>
        <w:tc>
          <w:tcPr>
            <w:tcW w:w="12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4"/>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9A.</w:t>
            </w: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85</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9B.</w:t>
            </w:r>
          </w:p>
        </w:tc>
        <w:tc>
          <w:tcPr>
            <w:tcW w:w="640" w:type="dxa"/>
            <w:vAlign w:val="bottom"/>
            <w:gridSpan w:val="4"/>
          </w:tcPr>
          <w:p>
            <w:pPr>
              <w:spacing w:after="0"/>
              <w:rPr>
                <w:sz w:val="16"/>
                <w:szCs w:val="16"/>
                <w:color w:val="auto"/>
              </w:rPr>
            </w:pPr>
          </w:p>
        </w:tc>
        <w:tc>
          <w:tcPr>
            <w:tcW w:w="17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4680" w:type="dxa"/>
            <w:vAlign w:val="bottom"/>
            <w:gridSpan w:val="15"/>
          </w:tcPr>
          <w:p>
            <w:pPr>
              <w:spacing w:after="0"/>
              <w:rPr>
                <w:sz w:val="16"/>
                <w:szCs w:val="16"/>
                <w:color w:val="auto"/>
              </w:rPr>
            </w:pP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86</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9C.</w:t>
            </w: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324"/>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209"/>
        </w:trPr>
        <w:tc>
          <w:tcPr>
            <w:tcW w:w="74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PART III</w:t>
            </w:r>
          </w:p>
        </w:tc>
        <w:tc>
          <w:tcPr>
            <w:tcW w:w="5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10.</w:t>
            </w: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86</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11.</w:t>
            </w: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86</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12.</w:t>
            </w: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86</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56"/>
        </w:trPr>
        <w:tc>
          <w:tcPr>
            <w:tcW w:w="5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780" w:type="dxa"/>
            <w:vAlign w:val="bottom"/>
            <w:tcBorders>
              <w:top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Stockholder Matters</w:t>
            </w:r>
          </w:p>
        </w:tc>
        <w:tc>
          <w:tcPr>
            <w:tcW w:w="66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4"/>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13.</w:t>
            </w: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86</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14.</w:t>
            </w: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86</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24"/>
        </w:trPr>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15.</w:t>
            </w: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87</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16.</w:t>
            </w: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91</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24"/>
        </w:trPr>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89"/>
        </w:trPr>
        <w:tc>
          <w:tcPr>
            <w:tcW w:w="16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7"/>
              </w:rPr>
              <w:t>SIGNATURE PAGE</w:t>
            </w:r>
          </w:p>
        </w:tc>
        <w:tc>
          <w:tcPr>
            <w:tcW w:w="6120" w:type="dxa"/>
            <w:vAlign w:val="bottom"/>
            <w:gridSpan w:val="26"/>
          </w:tcPr>
          <w:p>
            <w:pPr>
              <w:spacing w:after="0"/>
              <w:rPr>
                <w:sz w:val="16"/>
                <w:szCs w:val="16"/>
                <w:color w:val="auto"/>
              </w:rPr>
            </w:pP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92</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70" w:lineRule="exact"/>
        <w:rPr>
          <w:sz w:val="20"/>
          <w:szCs w:val="20"/>
          <w:color w:val="auto"/>
        </w:rPr>
      </w:pPr>
    </w:p>
    <w:p>
      <w:pPr>
        <w:jc w:val="both"/>
        <w:spacing w:after="0" w:line="186" w:lineRule="auto"/>
        <w:rPr>
          <w:sz w:val="20"/>
          <w:szCs w:val="20"/>
          <w:color w:val="auto"/>
        </w:rPr>
      </w:pPr>
      <w:r>
        <w:rPr>
          <w:rFonts w:ascii="Times New Roman" w:cs="Times New Roman" w:eastAsia="Times New Roman" w:hAnsi="Times New Roman"/>
          <w:sz w:val="17"/>
          <w:szCs w:val="17"/>
          <w:color w:val="auto"/>
        </w:rPr>
        <w:t>"Altibodies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"ARCALYST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"Evkeeza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"EYLEA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"EYLEA HD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"Inmazeb</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"Libtayo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"Ordspono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"Praluent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(in the United States), "REGEN-COV</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"Regeneron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"Regeneron Genetics Center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"RGC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"Veloci-Bi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"VelociGene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"VelociHum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"VelociMab</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"VelocImmune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"VelociMouse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"VelociSuite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"VelociT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"Veopoz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and "ZALTRAP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are trademarks of Regeneron Pharmaceuticals, Inc.</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Trademarks and trade names of other companies appearing in this report are, to the knowledge of Regeneron Pharmaceuticals, Inc., the property of their respective owners. This report refers to 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725170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spacing w:after="0" w:line="106" w:lineRule="exact"/>
        <w:rPr>
          <w:sz w:val="20"/>
          <w:szCs w:val="20"/>
          <w:color w:val="auto"/>
        </w:rPr>
      </w:pPr>
    </w:p>
    <w:p>
      <w:pPr>
        <w:jc w:val="both"/>
        <w:ind w:left="660" w:hanging="328"/>
        <w:spacing w:after="0" w:line="24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those discussed or referenced in this report, Regeneron's and its collaborators' earlier-stage programs, and the use of human genetics in Regeneron's research programs;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and timing of achieving any of our anticipated development milestones referenced in this report;</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safety issues resulting from the administration of Regeneron's Products and Regeneron's Product Candidates in patients, including serious complications or side effects in connection with the use of Regeneron's Products and Regeneron's Product Candidates in clinical trials;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2"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timing, and scope of possible regulatory approval and commercial launch of Regeneron's Product Candidates and new indications for Regeneron's Products, including without limitation those discussed or referenced in this report;</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extent to which the results from the research and development programs conducted by us and/or our collaborators may be replicated in other studies and/or lead to advancement of product candidates to clinical trials, therapeutic applications, or regulatory approval;</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ongoing regulatory obligations and oversight impacting Regeneron's Products, research and clinical programs, and business, including those relating to patient privacy;</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42"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determinations by regulatory and administrative governmental authorities which may delay or restrict our ability to continue to develop or commercialize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41"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competing drugs and product candidates that may be superior to, or more cost effective than, Regeneron's Products and Regeneron's Product Candidates (including biosimilar versions of Regeneron's Products);</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w:t>
      </w: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manufacture and manage supply chains for multiple products and product candidates;</w:t>
      </w:r>
    </w:p>
    <w:p>
      <w:pPr>
        <w:ind w:left="660" w:hanging="328"/>
        <w:spacing w:after="0" w:line="234"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of our collaborators, suppliers, or other third parties (as applicable) to perform manufacturing, filling, finishing, packaging, labeling, distribution, and other steps related to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availability and extent of reimbursement of Regeneron's Products from third-party payors, including private payor healthcare and insurance programs, health maintenance organizations, pharmacy benefit management companies, and government programs such as Medicare and Medicaid;</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coverage and reimbursement determinations by such payors and new policies and procedures adopted by such payors;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laws, regulations, and policies affecting the healthcare industry;</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costs of developing, producing, and selling products or unanticipated expenses;</w:t>
      </w:r>
    </w:p>
    <w:p>
      <w:pPr>
        <w:ind w:left="660" w:hanging="328"/>
        <w:spacing w:after="0" w:line="242"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any of our financial projections or guidance, including without limitation capital expenditures, and changes to the assumptions underlying those projections or guidance;</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for any license or collaboration agreement, including our agreements with Sanofi and Bayer (or their respective affiliated companies, as applicable), to be cancelled or terminated;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public health outbreaks, epidemics, or pandemics on our business; and</w:t>
      </w:r>
    </w:p>
    <w:p>
      <w:pPr>
        <w:jc w:val="both"/>
        <w:ind w:left="660" w:hanging="328"/>
        <w:spacing w:after="0" w:line="242"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litigation and other proceedings and government investigations relating to the Company and/or its operations (including without limitation those described in Note 16 to our Consolidated Financial Statements included in this report), risks associated with intellectual property of other parties and pending or future litigation relating thereto (including without limitation the patent litigation and other related proceedings described further in Note 16 to our Consolidated Financial Statements included in this report), the ultimate outcome of any such proceedings and investigations, and the impact any of the foregoing may have on our business, prospects, operating results, and financial condition.</w:t>
      </w:r>
    </w:p>
    <w:p>
      <w:pPr>
        <w:spacing w:after="0" w:line="11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i w:val="1"/>
          <w:iCs w:val="1"/>
          <w:color w:val="auto"/>
        </w:rPr>
        <w:t>These statements are made based on management's current beliefs and judgment, and the reader is cautioned not to rely on any such statements. In evaluating such statements, shareholders and potential investors should specifically consider the various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factors identified under Part 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neurological diseases, hematologic conditions, infectious diseases, and rare diseases.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scientific research and drug development using our proprietary technologies, and to build on that foundation with our clinical development, manufacturing, and commercial capabilities. Our objective is to continue to advance as an integrated, multi-product biotechnology company that provides patients and medical professionals with important medicines for preventing and treating human diseases.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p>
      <w:pPr>
        <w:spacing w:after="0" w:line="289" w:lineRule="exact"/>
        <w:rPr>
          <w:sz w:val="20"/>
          <w:szCs w:val="20"/>
          <w:color w:val="auto"/>
        </w:rPr>
      </w:pPr>
    </w:p>
    <w:tbl>
      <w:tblPr>
        <w:tblLayout w:type="fixed"/>
        <w:tblInd w:w="216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12,172.9</w:t>
            </w:r>
          </w:p>
        </w:tc>
      </w:tr>
      <w:tr>
        <w:trPr>
          <w:trHeight w:val="2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4,338.4</w:t>
            </w:r>
          </w:p>
        </w:tc>
      </w:tr>
      <w:tr>
        <w:trPr>
          <w:trHeight w:val="23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report, references to our products encompass products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that have received marketing approval are summarized in the table below. Certain products have also received marketing approval in countries outside the United States, European Union ("EU"), or Japan.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36"/>
        </w:trPr>
        <w:tc>
          <w:tcPr>
            <w:tcW w:w="260" w:type="dxa"/>
            <w:vAlign w:val="bottom"/>
          </w:tcPr>
          <w:p>
            <w:pPr>
              <w:spacing w:after="0"/>
              <w:rPr>
                <w:sz w:val="20"/>
                <w:szCs w:val="20"/>
                <w:color w:val="auto"/>
              </w:rPr>
            </w:pPr>
          </w:p>
        </w:tc>
        <w:tc>
          <w:tcPr>
            <w:tcW w:w="380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00" w:type="dxa"/>
            <w:vAlign w:val="bottom"/>
            <w:tcBorders>
              <w:bottom w:val="single" w:sz="8" w:color="CCEEFF"/>
            </w:tcBorders>
          </w:tcPr>
          <w:p>
            <w:pPr>
              <w:spacing w:after="0"/>
              <w:rPr>
                <w:sz w:val="20"/>
                <w:szCs w:val="20"/>
                <w:color w:val="auto"/>
              </w:rPr>
            </w:pPr>
          </w:p>
        </w:tc>
        <w:tc>
          <w:tcPr>
            <w:tcW w:w="36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c>
          <w:tcPr>
            <w:tcW w:w="240" w:type="dxa"/>
            <w:vAlign w:val="bottom"/>
          </w:tcPr>
          <w:p>
            <w:pPr>
              <w:spacing w:after="0"/>
              <w:rPr>
                <w:sz w:val="20"/>
                <w:szCs w:val="20"/>
                <w:color w:val="auto"/>
              </w:rPr>
            </w:pPr>
          </w:p>
        </w:tc>
      </w:tr>
      <w:tr>
        <w:trPr>
          <w:trHeight w:val="223"/>
        </w:trPr>
        <w:tc>
          <w:tcPr>
            <w:tcW w:w="260" w:type="dxa"/>
            <w:vAlign w:val="bottom"/>
          </w:tcPr>
          <w:p>
            <w:pPr>
              <w:spacing w:after="0"/>
              <w:rPr>
                <w:sz w:val="19"/>
                <w:szCs w:val="19"/>
                <w:color w:val="auto"/>
              </w:rPr>
            </w:pPr>
          </w:p>
        </w:tc>
        <w:tc>
          <w:tcPr>
            <w:tcW w:w="380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 8 mg</w:t>
            </w:r>
            <w:r>
              <w:rPr>
                <w:rFonts w:ascii="Times New Roman" w:cs="Times New Roman" w:eastAsia="Times New Roman" w:hAnsi="Times New Roman"/>
                <w:sz w:val="23"/>
                <w:szCs w:val="23"/>
                <w:color w:val="auto"/>
                <w:vertAlign w:val="superscript"/>
              </w:rPr>
              <w:t>(a)</w:t>
            </w:r>
          </w:p>
        </w:tc>
        <w:tc>
          <w:tcPr>
            <w:tcW w:w="10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Wet age-related macular degeneration ("wAMD")</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3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retinopathy ("DR")</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380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wAMD</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DME</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69"/>
        </w:trPr>
        <w:tc>
          <w:tcPr>
            <w:tcW w:w="2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Macular edema following retinal vein occlusion</w:t>
            </w:r>
          </w:p>
        </w:tc>
        <w:tc>
          <w:tcPr>
            <w:tcW w:w="100" w:type="dxa"/>
            <w:vAlign w:val="bottom"/>
          </w:tcPr>
          <w:p>
            <w:pPr>
              <w:spacing w:after="0"/>
              <w:rPr>
                <w:sz w:val="14"/>
                <w:szCs w:val="14"/>
                <w:color w:val="auto"/>
              </w:rPr>
            </w:pPr>
          </w:p>
        </w:tc>
        <w:tc>
          <w:tcPr>
            <w:tcW w:w="1080" w:type="dxa"/>
            <w:vAlign w:val="bottom"/>
            <w:gridSpan w:val="2"/>
          </w:tcPr>
          <w:p>
            <w:pPr>
              <w:jc w:val="center"/>
              <w:ind w:right="10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060" w:type="dxa"/>
            <w:vAlign w:val="bottom"/>
            <w:gridSpan w:val="2"/>
          </w:tcPr>
          <w:p>
            <w:pPr>
              <w:jc w:val="center"/>
              <w:ind w:right="12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200" w:type="dxa"/>
            <w:vAlign w:val="bottom"/>
            <w:gridSpan w:val="2"/>
          </w:tcPr>
          <w:p>
            <w:pPr>
              <w:jc w:val="center"/>
              <w:ind w:right="260"/>
              <w:spacing w:after="0" w:line="169" w:lineRule="exact"/>
              <w:rPr>
                <w:sz w:val="20"/>
                <w:szCs w:val="20"/>
                <w:color w:val="auto"/>
              </w:rPr>
            </w:pPr>
            <w:r>
              <w:rPr>
                <w:rFonts w:ascii="Webdings" w:cs="Webdings" w:eastAsia="Webdings" w:hAnsi="Webdings"/>
                <w:sz w:val="18"/>
                <w:szCs w:val="18"/>
                <w:b w:val="1"/>
                <w:bCs w:val="1"/>
                <w:color w:val="auto"/>
                <w:w w:val="99"/>
              </w:rPr>
              <w:t>a</w:t>
            </w:r>
          </w:p>
        </w:tc>
      </w:tr>
      <w:tr>
        <w:trPr>
          <w:trHeight w:val="175"/>
        </w:trPr>
        <w:tc>
          <w:tcPr>
            <w:tcW w:w="2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("RVO"), which includes macular edema</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4"/>
        </w:trPr>
        <w:tc>
          <w:tcPr>
            <w:tcW w:w="2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following central retinal vein occlusion</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0"/>
        </w:trPr>
        <w:tc>
          <w:tcPr>
            <w:tcW w:w="2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("CRVO") and macular edema following branch</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9"/>
        </w:trPr>
        <w:tc>
          <w:tcPr>
            <w:tcW w:w="2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retinal vein occlusion ("BRVO")</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7"/>
        </w:trPr>
        <w:tc>
          <w:tcPr>
            <w:tcW w:w="2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Myopic choroidal neovascularization ("mCNV")</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228"/>
        </w:trPr>
        <w:tc>
          <w:tcPr>
            <w:tcW w:w="2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Neovascular glaucoma ("NVG")</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Webdings" w:cs="Webdings" w:eastAsia="Webdings" w:hAnsi="Webdings"/>
                <w:sz w:val="18"/>
                <w:szCs w:val="18"/>
                <w:b w:val="1"/>
                <w:bCs w:val="1"/>
                <w:color w:val="auto"/>
                <w:w w:val="99"/>
              </w:rPr>
              <w:t>a</w:t>
            </w:r>
          </w:p>
        </w:tc>
      </w:tr>
      <w:tr>
        <w:trPr>
          <w:trHeight w:val="36"/>
        </w:trPr>
        <w:tc>
          <w:tcPr>
            <w:tcW w:w="2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257"/>
        </w:trPr>
        <w:tc>
          <w:tcPr>
            <w:tcW w:w="260" w:type="dxa"/>
            <w:vAlign w:val="bottom"/>
          </w:tcPr>
          <w:p>
            <w:pPr>
              <w:spacing w:after="0"/>
              <w:rPr>
                <w:sz w:val="22"/>
                <w:szCs w:val="22"/>
                <w:color w:val="auto"/>
              </w:rPr>
            </w:pPr>
          </w:p>
        </w:tc>
        <w:tc>
          <w:tcPr>
            <w:tcW w:w="3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Retinopathy of prematurity ("ROP")</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22"/>
                <w:szCs w:val="22"/>
                <w:color w:val="auto"/>
              </w:rPr>
            </w:pPr>
          </w:p>
        </w:tc>
      </w:tr>
      <w:tr>
        <w:trPr>
          <w:trHeight w:val="175"/>
        </w:trPr>
        <w:tc>
          <w:tcPr>
            <w:tcW w:w="260" w:type="dxa"/>
            <w:vAlign w:val="bottom"/>
          </w:tcPr>
          <w:p>
            <w:pPr>
              <w:spacing w:after="0"/>
              <w:rPr>
                <w:sz w:val="15"/>
                <w:szCs w:val="15"/>
                <w:color w:val="auto"/>
              </w:rPr>
            </w:pPr>
          </w:p>
        </w:tc>
        <w:tc>
          <w:tcPr>
            <w:tcW w:w="3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Dupixent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(dupilumab) Injection</w:t>
            </w:r>
            <w:r>
              <w:rPr>
                <w:rFonts w:ascii="Times New Roman" w:cs="Times New Roman" w:eastAsia="Times New Roman" w:hAnsi="Times New Roman"/>
                <w:sz w:val="20"/>
                <w:szCs w:val="20"/>
                <w:color w:val="auto"/>
                <w:vertAlign w:val="superscript"/>
              </w:rPr>
              <w:t>(b)</w:t>
            </w:r>
          </w:p>
        </w:tc>
        <w:tc>
          <w:tcPr>
            <w:tcW w:w="100" w:type="dxa"/>
            <w:vAlign w:val="bottom"/>
            <w:shd w:val="clear" w:color="auto" w:fill="CCEEFF"/>
          </w:tcPr>
          <w:p>
            <w:pPr>
              <w:spacing w:after="0"/>
              <w:rPr>
                <w:sz w:val="15"/>
                <w:szCs w:val="15"/>
                <w:color w:val="auto"/>
              </w:rPr>
            </w:pPr>
          </w:p>
        </w:tc>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Atopic dermatitis (in adults, adolescents, and</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10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1060" w:type="dxa"/>
            <w:vAlign w:val="bottom"/>
            <w:gridSpan w:val="2"/>
            <w:shd w:val="clear" w:color="auto" w:fill="CCEEFF"/>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jc w:val="center"/>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5"/>
                <w:szCs w:val="15"/>
                <w:color w:val="auto"/>
              </w:rPr>
            </w:pPr>
          </w:p>
        </w:tc>
      </w:tr>
      <w:tr>
        <w:trPr>
          <w:trHeight w:val="239"/>
        </w:trPr>
        <w:tc>
          <w:tcPr>
            <w:tcW w:w="260" w:type="dxa"/>
            <w:vAlign w:val="bottom"/>
          </w:tcPr>
          <w:p>
            <w:pPr>
              <w:spacing w:after="0"/>
              <w:rPr>
                <w:sz w:val="20"/>
                <w:szCs w:val="20"/>
                <w:color w:val="auto"/>
              </w:rPr>
            </w:pPr>
          </w:p>
        </w:tc>
        <w:tc>
          <w:tcPr>
            <w:tcW w:w="3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pediatrics aged 6 months and older)</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r>
      <w:tr>
        <w:trPr>
          <w:trHeight w:val="227"/>
        </w:trPr>
        <w:tc>
          <w:tcPr>
            <w:tcW w:w="260" w:type="dxa"/>
            <w:vAlign w:val="bottom"/>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Asthma (in adults and adolescents)</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776"/>
        </w:trPr>
        <w:tc>
          <w:tcPr>
            <w:tcW w:w="2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740" w:type="dxa"/>
            <w:vAlign w:val="bottom"/>
            <w:gridSpan w:val="2"/>
          </w:tcPr>
          <w:p>
            <w:pPr>
              <w:jc w:val="right"/>
              <w:ind w:right="205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58"/>
        </w:trPr>
        <w:tc>
          <w:tcPr>
            <w:tcW w:w="26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60" w:type="dxa"/>
            <w:vAlign w:val="bottom"/>
            <w:tcBorders>
              <w:bottom w:val="single" w:sz="8" w:color="auto"/>
            </w:tcBorders>
          </w:tcPr>
          <w:p>
            <w:pPr>
              <w:spacing w:after="0"/>
              <w:rPr>
                <w:sz w:val="20"/>
                <w:szCs w:val="20"/>
                <w:color w:val="auto"/>
              </w:rPr>
            </w:pPr>
          </w:p>
        </w:tc>
      </w:tr>
      <w:tr>
        <w:trPr>
          <w:trHeight w:val="237"/>
        </w:trPr>
        <w:tc>
          <w:tcPr>
            <w:tcW w:w="38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00" w:type="dxa"/>
            <w:vAlign w:val="bottom"/>
            <w:tcBorders>
              <w:bottom w:val="single" w:sz="8" w:color="CCEEFF"/>
            </w:tcBorders>
          </w:tcPr>
          <w:p>
            <w:pPr>
              <w:spacing w:after="0"/>
              <w:rPr>
                <w:sz w:val="20"/>
                <w:szCs w:val="20"/>
                <w:color w:val="auto"/>
              </w:rPr>
            </w:pPr>
          </w:p>
        </w:tc>
        <w:tc>
          <w:tcPr>
            <w:tcW w:w="36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223"/>
        </w:trPr>
        <w:tc>
          <w:tcPr>
            <w:tcW w:w="380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Dupixent (dupilumab) Injection</w:t>
            </w: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(continued)</w:t>
            </w:r>
          </w:p>
        </w:tc>
        <w:tc>
          <w:tcPr>
            <w:tcW w:w="10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Asthma (in pediatrics 6–11 years of age)</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r>
      <w:tr>
        <w:trPr>
          <w:trHeight w:val="178"/>
        </w:trPr>
        <w:tc>
          <w:tcPr>
            <w:tcW w:w="3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Chronic rhinosinusitis with nasal polyposis</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r>
      <w:tr>
        <w:trPr>
          <w:trHeight w:val="234"/>
        </w:trPr>
        <w:tc>
          <w:tcPr>
            <w:tcW w:w="3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("CRSwNP") (in adults)</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r>
        <w:trPr>
          <w:trHeight w:val="223"/>
        </w:trPr>
        <w:tc>
          <w:tcPr>
            <w:tcW w:w="3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CRSwNP (in adolescents)</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r>
      <w:tr>
        <w:trPr>
          <w:trHeight w:val="178"/>
        </w:trPr>
        <w:tc>
          <w:tcPr>
            <w:tcW w:w="3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Chronic obstructive pulmonary disease</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spacing w:after="0"/>
              <w:rPr>
                <w:sz w:val="15"/>
                <w:szCs w:val="15"/>
                <w:color w:val="auto"/>
              </w:rPr>
            </w:pPr>
          </w:p>
        </w:tc>
      </w:tr>
      <w:tr>
        <w:trPr>
          <w:trHeight w:val="234"/>
        </w:trPr>
        <w:tc>
          <w:tcPr>
            <w:tcW w:w="3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("COPD")</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r>
        <w:trPr>
          <w:trHeight w:val="178"/>
        </w:trPr>
        <w:tc>
          <w:tcPr>
            <w:tcW w:w="3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Eosinophilic esophagitis ("EoE") (in adults,</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spacing w:after="0"/>
              <w:rPr>
                <w:sz w:val="15"/>
                <w:szCs w:val="15"/>
                <w:color w:val="auto"/>
              </w:rPr>
            </w:pPr>
          </w:p>
        </w:tc>
      </w:tr>
      <w:tr>
        <w:trPr>
          <w:trHeight w:val="234"/>
        </w:trPr>
        <w:tc>
          <w:tcPr>
            <w:tcW w:w="3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adolescents, and pediatrics aged 1 year and older)</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r>
        <w:trPr>
          <w:trHeight w:val="223"/>
        </w:trPr>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Prurigo nodularis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09"/>
        </w:trPr>
        <w:tc>
          <w:tcPr>
            <w:tcW w:w="3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Chronic spontaneous urticaria ("CSU") (in adults</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29"/>
        </w:trPr>
        <w:tc>
          <w:tcPr>
            <w:tcW w:w="3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adolescents)</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r>
      <w:tr>
        <w:trPr>
          <w:trHeight w:val="210"/>
        </w:trPr>
        <w:tc>
          <w:tcPr>
            <w:tcW w:w="380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(cemiplimab) Injection</w:t>
            </w:r>
          </w:p>
        </w:tc>
        <w:tc>
          <w:tcPr>
            <w:tcW w:w="10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Metastatic or locally advanced first-line non-</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60" w:type="dxa"/>
            <w:vAlign w:val="bottom"/>
          </w:tcPr>
          <w:p>
            <w:pPr>
              <w:spacing w:after="0"/>
              <w:rPr>
                <w:sz w:val="18"/>
                <w:szCs w:val="18"/>
                <w:color w:val="auto"/>
              </w:rPr>
            </w:pPr>
          </w:p>
        </w:tc>
      </w:tr>
      <w:tr>
        <w:trPr>
          <w:trHeight w:val="229"/>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small cell lung cancer ("NSCLC")</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10"/>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Metastatic or locally advanced first-line NSCLC</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60" w:type="dxa"/>
            <w:vAlign w:val="bottom"/>
          </w:tcPr>
          <w:p>
            <w:pPr>
              <w:spacing w:after="0"/>
              <w:rPr>
                <w:sz w:val="18"/>
                <w:szCs w:val="18"/>
                <w:color w:val="auto"/>
              </w:rPr>
            </w:pPr>
          </w:p>
        </w:tc>
      </w:tr>
      <w:tr>
        <w:trPr>
          <w:trHeight w:val="229"/>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combination with chemotherapy)</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09"/>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Metastatic or locally advanced basal cell</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60" w:type="dxa"/>
            <w:vAlign w:val="bottom"/>
          </w:tcPr>
          <w:p>
            <w:pPr>
              <w:spacing w:after="0"/>
              <w:rPr>
                <w:sz w:val="18"/>
                <w:szCs w:val="18"/>
                <w:color w:val="auto"/>
              </w:rPr>
            </w:pPr>
          </w:p>
        </w:tc>
      </w:tr>
      <w:tr>
        <w:trPr>
          <w:trHeight w:val="230"/>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carcinoma ("BCC")</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78"/>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Metastatic or locally advanced cutaneous</w:t>
            </w:r>
          </w:p>
        </w:tc>
        <w:tc>
          <w:tcPr>
            <w:tcW w:w="100" w:type="dxa"/>
            <w:vAlign w:val="bottom"/>
          </w:tcPr>
          <w:p>
            <w:pPr>
              <w:spacing w:after="0"/>
              <w:rPr>
                <w:sz w:val="15"/>
                <w:szCs w:val="15"/>
                <w:color w:val="auto"/>
              </w:rPr>
            </w:pPr>
          </w:p>
        </w:tc>
        <w:tc>
          <w:tcPr>
            <w:tcW w:w="960" w:type="dxa"/>
            <w:vAlign w:val="bottom"/>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5"/>
                <w:szCs w:val="15"/>
                <w:color w:val="auto"/>
              </w:rPr>
            </w:pPr>
          </w:p>
        </w:tc>
        <w:tc>
          <w:tcPr>
            <w:tcW w:w="1060" w:type="dxa"/>
            <w:vAlign w:val="bottom"/>
            <w:gridSpan w:val="2"/>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tcPr>
          <w:p>
            <w:pPr>
              <w:spacing w:after="0"/>
              <w:rPr>
                <w:sz w:val="15"/>
                <w:szCs w:val="15"/>
                <w:color w:val="auto"/>
              </w:rPr>
            </w:pPr>
          </w:p>
        </w:tc>
      </w:tr>
      <w:tr>
        <w:trPr>
          <w:trHeight w:val="234"/>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squamous cell carcinoma ("CSCC")</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09"/>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Metastatic or recurrent second-line cervical</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6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0"/>
        </w:trPr>
        <w:tc>
          <w:tcPr>
            <w:tcW w:w="3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cancer</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78"/>
        </w:trPr>
        <w:tc>
          <w:tcPr>
            <w:tcW w:w="38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Praluent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(alirocumab) Injection</w:t>
            </w:r>
            <w:r>
              <w:rPr>
                <w:rFonts w:ascii="Times New Roman" w:cs="Times New Roman" w:eastAsia="Times New Roman" w:hAnsi="Times New Roman"/>
                <w:sz w:val="20"/>
                <w:szCs w:val="20"/>
                <w:color w:val="auto"/>
                <w:vertAlign w:val="superscript"/>
              </w:rPr>
              <w:t>(c)</w:t>
            </w:r>
          </w:p>
        </w:tc>
        <w:tc>
          <w:tcPr>
            <w:tcW w:w="100" w:type="dxa"/>
            <w:vAlign w:val="bottom"/>
            <w:shd w:val="clear" w:color="auto" w:fill="CCEEFF"/>
          </w:tcPr>
          <w:p>
            <w:pPr>
              <w:spacing w:after="0"/>
              <w:rPr>
                <w:sz w:val="15"/>
                <w:szCs w:val="15"/>
                <w:color w:val="auto"/>
              </w:rPr>
            </w:pPr>
          </w:p>
        </w:tc>
        <w:tc>
          <w:tcPr>
            <w:tcW w:w="36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LDL-lowering in heterozygous familial</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120"/>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spacing w:after="0"/>
              <w:rPr>
                <w:sz w:val="15"/>
                <w:szCs w:val="15"/>
                <w:color w:val="auto"/>
              </w:rPr>
            </w:pPr>
          </w:p>
        </w:tc>
      </w:tr>
      <w:tr>
        <w:trPr>
          <w:trHeight w:val="180"/>
        </w:trPr>
        <w:tc>
          <w:tcPr>
            <w:tcW w:w="3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hypercholesterolemia ("HeFH") or clinical</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5"/>
        </w:trPr>
        <w:tc>
          <w:tcPr>
            <w:tcW w:w="3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atherosclerotic cardiovascular disease</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0"/>
        </w:trPr>
        <w:tc>
          <w:tcPr>
            <w:tcW w:w="3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("ASCVD")</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r>
      <w:tr>
        <w:trPr>
          <w:trHeight w:val="209"/>
        </w:trPr>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HeFH in pediatrics and adolescents (8–17 years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spacing w:after="0"/>
              <w:rPr>
                <w:sz w:val="18"/>
                <w:szCs w:val="18"/>
                <w:color w:val="auto"/>
              </w:rPr>
            </w:pPr>
          </w:p>
        </w:tc>
      </w:tr>
      <w:tr>
        <w:trPr>
          <w:trHeight w:val="230"/>
        </w:trPr>
        <w:tc>
          <w:tcPr>
            <w:tcW w:w="3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age)</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r>
      <w:tr>
        <w:trPr>
          <w:trHeight w:val="178"/>
        </w:trPr>
        <w:tc>
          <w:tcPr>
            <w:tcW w:w="3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Cardiovascular risk reduction in patients with</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120"/>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spacing w:after="0"/>
              <w:rPr>
                <w:sz w:val="15"/>
                <w:szCs w:val="15"/>
                <w:color w:val="auto"/>
              </w:rPr>
            </w:pPr>
          </w:p>
        </w:tc>
      </w:tr>
      <w:tr>
        <w:trPr>
          <w:trHeight w:val="234"/>
        </w:trPr>
        <w:tc>
          <w:tcPr>
            <w:tcW w:w="3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established cardiovascular disease</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r>
        <w:trPr>
          <w:trHeight w:val="178"/>
        </w:trPr>
        <w:tc>
          <w:tcPr>
            <w:tcW w:w="3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Homozygous familial hypercholesterolemia</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4"/>
        </w:trPr>
        <w:tc>
          <w:tcPr>
            <w:tcW w:w="38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("HoFH")</w:t>
            </w: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r>
        <w:trPr>
          <w:trHeight w:val="223"/>
        </w:trPr>
        <w:tc>
          <w:tcPr>
            <w:tcW w:w="380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Injection</w:t>
            </w:r>
            <w:r>
              <w:rPr>
                <w:rFonts w:ascii="Times New Roman" w:cs="Times New Roman" w:eastAsia="Times New Roman" w:hAnsi="Times New Roman"/>
                <w:sz w:val="23"/>
                <w:szCs w:val="23"/>
                <w:color w:val="auto"/>
                <w:vertAlign w:val="superscript"/>
              </w:rPr>
              <w:t>(b)</w:t>
            </w:r>
          </w:p>
        </w:tc>
        <w:tc>
          <w:tcPr>
            <w:tcW w:w="10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Rheumatoid arthritis ("RA")</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63"/>
        </w:trPr>
        <w:tc>
          <w:tcPr>
            <w:tcW w:w="3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Polymyalgia rheumatica ("PMR")</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23"/>
        </w:trPr>
        <w:tc>
          <w:tcPr>
            <w:tcW w:w="3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Polyarticular juvenile idiopathic arthritis ("pJIA")</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3800" w:type="dxa"/>
            <w:vAlign w:val="bottom"/>
            <w:tcBorders>
              <w:bottom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®(d)</w:t>
            </w:r>
          </w:p>
        </w:tc>
        <w:tc>
          <w:tcPr>
            <w:tcW w:w="100" w:type="dxa"/>
            <w:vAlign w:val="bottom"/>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23"/>
        </w:trPr>
        <w:tc>
          <w:tcPr>
            <w:tcW w:w="380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(evinacumab) Injection</w:t>
            </w:r>
            <w:r>
              <w:rPr>
                <w:rFonts w:ascii="Times New Roman" w:cs="Times New Roman" w:eastAsia="Times New Roman" w:hAnsi="Times New Roman"/>
                <w:sz w:val="23"/>
                <w:szCs w:val="23"/>
                <w:color w:val="auto"/>
                <w:vertAlign w:val="superscript"/>
              </w:rPr>
              <w:t>(e)</w:t>
            </w:r>
          </w:p>
        </w:tc>
        <w:tc>
          <w:tcPr>
            <w:tcW w:w="100" w:type="dxa"/>
            <w:vAlign w:val="bottom"/>
            <w:tcBorders>
              <w:bottom w:val="single" w:sz="8" w:color="CCEEFF"/>
            </w:tcBorders>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HoFH (in adults, adolescents, and pediatrics)</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6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Ordspono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(odronextamab)</w:t>
            </w:r>
          </w:p>
        </w:tc>
        <w:tc>
          <w:tcPr>
            <w:tcW w:w="10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Follicular lymphoma ("FL")</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r>
      <w:tr>
        <w:trPr>
          <w:trHeight w:val="263"/>
        </w:trPr>
        <w:tc>
          <w:tcPr>
            <w:tcW w:w="3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Diffuse large B-cell lymphoma ("DLBCL")</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spacing w:after="0"/>
              <w:rPr>
                <w:sz w:val="22"/>
                <w:szCs w:val="22"/>
                <w:color w:val="auto"/>
              </w:rPr>
            </w:pPr>
          </w:p>
        </w:tc>
      </w:tr>
      <w:tr>
        <w:trPr>
          <w:trHeight w:val="178"/>
        </w:trPr>
        <w:tc>
          <w:tcPr>
            <w:tcW w:w="380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Inmazeb</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(atoltivimab, maftivimab, and</w:t>
            </w:r>
          </w:p>
        </w:tc>
        <w:tc>
          <w:tcPr>
            <w:tcW w:w="100" w:type="dxa"/>
            <w:vAlign w:val="bottom"/>
          </w:tcPr>
          <w:p>
            <w:pPr>
              <w:spacing w:after="0"/>
              <w:rPr>
                <w:sz w:val="15"/>
                <w:szCs w:val="15"/>
                <w:color w:val="auto"/>
              </w:rPr>
            </w:pPr>
          </w:p>
        </w:tc>
        <w:tc>
          <w:tcPr>
            <w:tcW w:w="364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 xml:space="preserve">Infection caused by </w:t>
            </w:r>
            <w:r>
              <w:rPr>
                <w:rFonts w:ascii="Times New Roman" w:cs="Times New Roman" w:eastAsia="Times New Roman" w:hAnsi="Times New Roman"/>
                <w:sz w:val="18"/>
                <w:szCs w:val="18"/>
                <w:i w:val="1"/>
                <w:iCs w:val="1"/>
                <w:color w:val="auto"/>
              </w:rPr>
              <w:t>Zaire ebolavirus</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234"/>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odesivimab) Injection</w:t>
            </w:r>
          </w:p>
        </w:tc>
        <w:tc>
          <w:tcPr>
            <w:tcW w:w="100" w:type="dxa"/>
            <w:vAlign w:val="bottom"/>
            <w:tcBorders>
              <w:bottom w:val="single" w:sz="8" w:color="CCEEFF"/>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178"/>
        </w:trPr>
        <w:tc>
          <w:tcPr>
            <w:tcW w:w="38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Veopoz</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(pozelimab) Injection</w:t>
            </w:r>
          </w:p>
        </w:tc>
        <w:tc>
          <w:tcPr>
            <w:tcW w:w="100" w:type="dxa"/>
            <w:vAlign w:val="bottom"/>
            <w:shd w:val="clear" w:color="auto" w:fill="CCEEFF"/>
          </w:tcPr>
          <w:p>
            <w:pPr>
              <w:spacing w:after="0"/>
              <w:rPr>
                <w:sz w:val="15"/>
                <w:szCs w:val="15"/>
                <w:color w:val="auto"/>
              </w:rPr>
            </w:pPr>
          </w:p>
        </w:tc>
        <w:tc>
          <w:tcPr>
            <w:tcW w:w="36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CD55-deficient protein-losing enteropathy</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3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("CHAPLE") (in adults, adolescents, and</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0"/>
        </w:trPr>
        <w:tc>
          <w:tcPr>
            <w:tcW w:w="3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pediatrics aged 1 year and older)</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69" w:right="5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60" w:type="dxa"/>
            <w:vAlign w:val="bottom"/>
            <w:tcBorders>
              <w:bottom w:val="single" w:sz="8" w:color="auto"/>
            </w:tcBorders>
          </w:tcPr>
          <w:p>
            <w:pPr>
              <w:spacing w:after="0"/>
              <w:rPr>
                <w:sz w:val="20"/>
                <w:szCs w:val="20"/>
                <w:color w:val="auto"/>
              </w:rPr>
            </w:pPr>
          </w:p>
        </w:tc>
      </w:tr>
      <w:tr>
        <w:trPr>
          <w:trHeight w:val="237"/>
        </w:trPr>
        <w:tc>
          <w:tcPr>
            <w:tcW w:w="38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00" w:type="dxa"/>
            <w:vAlign w:val="bottom"/>
          </w:tcPr>
          <w:p>
            <w:pPr>
              <w:spacing w:after="0"/>
              <w:rPr>
                <w:sz w:val="20"/>
                <w:szCs w:val="20"/>
                <w:color w:val="auto"/>
              </w:rPr>
            </w:pPr>
          </w:p>
        </w:tc>
        <w:tc>
          <w:tcPr>
            <w:tcW w:w="36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178"/>
        </w:trPr>
        <w:tc>
          <w:tcPr>
            <w:tcW w:w="380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ARCALYST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(rilonacept) Injection</w:t>
            </w:r>
            <w:r>
              <w:rPr>
                <w:rFonts w:ascii="Times New Roman" w:cs="Times New Roman" w:eastAsia="Times New Roman" w:hAnsi="Times New Roman"/>
                <w:sz w:val="20"/>
                <w:szCs w:val="20"/>
                <w:color w:val="auto"/>
                <w:vertAlign w:val="superscript"/>
              </w:rPr>
              <w:t>(f)</w:t>
            </w:r>
          </w:p>
        </w:tc>
        <w:tc>
          <w:tcPr>
            <w:tcW w:w="100" w:type="dxa"/>
            <w:vAlign w:val="bottom"/>
          </w:tcPr>
          <w:p>
            <w:pPr>
              <w:spacing w:after="0"/>
              <w:rPr>
                <w:sz w:val="15"/>
                <w:szCs w:val="15"/>
                <w:color w:val="auto"/>
              </w:rPr>
            </w:pPr>
          </w:p>
        </w:tc>
        <w:tc>
          <w:tcPr>
            <w:tcW w:w="36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Cryopyrin-associated periodic syndromes</w:t>
            </w:r>
          </w:p>
        </w:tc>
        <w:tc>
          <w:tcPr>
            <w:tcW w:w="100" w:type="dxa"/>
            <w:vAlign w:val="bottom"/>
          </w:tcPr>
          <w:p>
            <w:pPr>
              <w:spacing w:after="0"/>
              <w:rPr>
                <w:sz w:val="15"/>
                <w:szCs w:val="15"/>
                <w:color w:val="auto"/>
              </w:rPr>
            </w:pPr>
          </w:p>
        </w:tc>
        <w:tc>
          <w:tcPr>
            <w:tcW w:w="1080" w:type="dxa"/>
            <w:vAlign w:val="bottom"/>
            <w:gridSpan w:val="2"/>
          </w:tcPr>
          <w:p>
            <w:pPr>
              <w:jc w:val="center"/>
              <w:ind w:right="10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("CAPS"), including familial cold auto-</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inflammatory syndrome ("FCAS") and Muckle-</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Wells syndrome ("MWS") (in adults and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4"/>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adolescents)</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178"/>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Deficiency of interleukin-1 receptor antagonist</w:t>
            </w:r>
          </w:p>
        </w:tc>
        <w:tc>
          <w:tcPr>
            <w:tcW w:w="100" w:type="dxa"/>
            <w:vAlign w:val="bottom"/>
          </w:tcPr>
          <w:p>
            <w:pPr>
              <w:spacing w:after="0"/>
              <w:rPr>
                <w:sz w:val="15"/>
                <w:szCs w:val="15"/>
                <w:color w:val="auto"/>
              </w:rPr>
            </w:pPr>
          </w:p>
        </w:tc>
        <w:tc>
          <w:tcPr>
            <w:tcW w:w="1080" w:type="dxa"/>
            <w:vAlign w:val="bottom"/>
            <w:gridSpan w:val="2"/>
          </w:tcPr>
          <w:p>
            <w:pPr>
              <w:jc w:val="center"/>
              <w:ind w:right="10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4"/>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("DIRA") (in adults, adolescents, and pediatrics)</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3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Recurrent pericarditis (in adults and adolescents)</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74"/>
        </w:trPr>
        <w:tc>
          <w:tcPr>
            <w:tcW w:w="38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ZALTRAP</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(ziv-aflibercept) Injection for</w:t>
            </w:r>
          </w:p>
        </w:tc>
        <w:tc>
          <w:tcPr>
            <w:tcW w:w="100" w:type="dxa"/>
            <w:vAlign w:val="bottom"/>
            <w:shd w:val="clear" w:color="auto" w:fill="CCEEFF"/>
          </w:tcPr>
          <w:p>
            <w:pPr>
              <w:spacing w:after="0"/>
              <w:rPr>
                <w:sz w:val="15"/>
                <w:szCs w:val="15"/>
                <w:color w:val="auto"/>
              </w:rPr>
            </w:pPr>
          </w:p>
        </w:tc>
        <w:tc>
          <w:tcPr>
            <w:tcW w:w="36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Metastatic colorectal cancer ("mCRC")</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10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1060" w:type="dxa"/>
            <w:vAlign w:val="bottom"/>
            <w:gridSpan w:val="2"/>
            <w:shd w:val="clear" w:color="auto" w:fill="CCEEFF"/>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jc w:val="center"/>
              <w:spacing w:after="0" w:line="175" w:lineRule="exact"/>
              <w:rPr>
                <w:sz w:val="20"/>
                <w:szCs w:val="20"/>
                <w:color w:val="auto"/>
              </w:rPr>
            </w:pPr>
            <w:r>
              <w:rPr>
                <w:rFonts w:ascii="Webdings" w:cs="Webdings" w:eastAsia="Webdings" w:hAnsi="Webdings"/>
                <w:sz w:val="18"/>
                <w:szCs w:val="18"/>
                <w:b w:val="1"/>
                <w:bCs w:val="1"/>
                <w:color w:val="auto"/>
                <w:w w:val="99"/>
              </w:rPr>
              <w:t>a</w:t>
            </w:r>
          </w:p>
        </w:tc>
      </w:tr>
      <w:tr>
        <w:trPr>
          <w:trHeight w:val="238"/>
        </w:trPr>
        <w:tc>
          <w:tcPr>
            <w:tcW w:w="3800" w:type="dxa"/>
            <w:vAlign w:val="bottom"/>
            <w:tcBorders>
              <w:bottom w:val="single" w:sz="8" w:color="auto"/>
            </w:tcBorders>
            <w:shd w:val="clear" w:color="auto" w:fill="CCEEFF"/>
          </w:tcPr>
          <w:p>
            <w:pPr>
              <w:spacing w:after="0" w:line="237" w:lineRule="exact"/>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3"/>
                <w:szCs w:val="23"/>
                <w:color w:val="auto"/>
                <w:vertAlign w:val="superscript"/>
              </w:rPr>
              <w:t>(g)</w:t>
            </w:r>
          </w:p>
        </w:tc>
        <w:tc>
          <w:tcPr>
            <w:tcW w:w="100" w:type="dxa"/>
            <w:vAlign w:val="bottom"/>
            <w:shd w:val="clear" w:color="auto" w:fill="CCEEFF"/>
          </w:tcPr>
          <w:p>
            <w:pPr>
              <w:spacing w:after="0"/>
              <w:rPr>
                <w:sz w:val="20"/>
                <w:szCs w:val="20"/>
                <w:color w:val="auto"/>
              </w:rPr>
            </w:pPr>
          </w:p>
        </w:tc>
        <w:tc>
          <w:tcPr>
            <w:tcW w:w="36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bl>
    <w:p>
      <w:pPr>
        <w:spacing w:after="0" w:line="81" w:lineRule="exact"/>
        <w:rPr>
          <w:sz w:val="20"/>
          <w:szCs w:val="20"/>
          <w:color w:val="auto"/>
        </w:rPr>
      </w:pPr>
    </w:p>
    <w:p>
      <w:pPr>
        <w:ind w:left="440" w:right="40"/>
        <w:spacing w:after="0" w:line="242" w:lineRule="auto"/>
        <w:rPr>
          <w:sz w:val="20"/>
          <w:szCs w:val="20"/>
          <w:color w:val="auto"/>
        </w:rPr>
      </w:pPr>
      <w:r>
        <w:rPr>
          <w:rFonts w:ascii="Times New Roman" w:cs="Times New Roman" w:eastAsia="Times New Roman" w:hAnsi="Times New Roman"/>
          <w:sz w:val="16"/>
          <w:szCs w:val="16"/>
          <w:color w:val="auto"/>
        </w:rPr>
        <w:t>Note: Refer to table below (net product sales of Regeneron-discovered products) for information regarding whether net product sales for a particular product are recorded by us or others. In addition, unless otherwise noted, products in the table above are generally approved for use in adults in the above-referenced diseases.</w:t>
      </w:r>
    </w:p>
    <w:p>
      <w:pPr>
        <w:ind w:left="600" w:hanging="169"/>
        <w:spacing w:after="0" w:line="206" w:lineRule="auto"/>
        <w:tabs>
          <w:tab w:leader="none" w:pos="60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 Aflibercept 8 mg is known as EYLEA HD in the United States and EYLEA 8 mg in other countries.</w:t>
      </w:r>
    </w:p>
    <w:p>
      <w:pPr>
        <w:spacing w:after="0" w:line="23" w:lineRule="exact"/>
        <w:rPr>
          <w:rFonts w:ascii="Times New Roman" w:cs="Times New Roman" w:eastAsia="Times New Roman" w:hAnsi="Times New Roman"/>
          <w:sz w:val="22"/>
          <w:szCs w:val="22"/>
          <w:color w:val="auto"/>
          <w:vertAlign w:val="superscript"/>
        </w:rPr>
      </w:pPr>
    </w:p>
    <w:p>
      <w:pPr>
        <w:ind w:left="600" w:hanging="169"/>
        <w:spacing w:after="0" w:line="191" w:lineRule="auto"/>
        <w:tabs>
          <w:tab w:leader="none" w:pos="60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Sanofi</w:t>
      </w:r>
    </w:p>
    <w:p>
      <w:pPr>
        <w:spacing w:after="0" w:line="23" w:lineRule="exact"/>
        <w:rPr>
          <w:rFonts w:ascii="Times New Roman" w:cs="Times New Roman" w:eastAsia="Times New Roman" w:hAnsi="Times New Roman"/>
          <w:sz w:val="21"/>
          <w:szCs w:val="21"/>
          <w:color w:val="auto"/>
          <w:vertAlign w:val="superscript"/>
        </w:rPr>
      </w:pPr>
    </w:p>
    <w:p>
      <w:pPr>
        <w:ind w:left="440" w:right="180" w:hanging="9"/>
        <w:spacing w:after="0" w:line="189" w:lineRule="auto"/>
        <w:tabs>
          <w:tab w:leader="none" w:pos="61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solely responsible for the development and commercialization of Praluent in the United States and Sanofi is responsible for the development and commercialization of Praluent outside the United States.</w:t>
      </w:r>
    </w:p>
    <w:p>
      <w:pPr>
        <w:spacing w:after="0" w:line="1" w:lineRule="exact"/>
        <w:rPr>
          <w:rFonts w:ascii="Times New Roman" w:cs="Times New Roman" w:eastAsia="Times New Roman" w:hAnsi="Times New Roman"/>
          <w:sz w:val="23"/>
          <w:szCs w:val="23"/>
          <w:color w:val="auto"/>
          <w:vertAlign w:val="superscript"/>
        </w:rPr>
      </w:pPr>
    </w:p>
    <w:p>
      <w:pPr>
        <w:ind w:left="600" w:hanging="169"/>
        <w:spacing w:after="0" w:line="238" w:lineRule="auto"/>
        <w:tabs>
          <w:tab w:leader="none" w:pos="60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Roche. Product is known as REGEN-COV in the United States and Ronapreve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other countries.</w:t>
      </w:r>
    </w:p>
    <w:p>
      <w:pPr>
        <w:ind w:left="440" w:right="740" w:hanging="9"/>
        <w:spacing w:after="0" w:line="189" w:lineRule="auto"/>
        <w:tabs>
          <w:tab w:leader="none" w:pos="61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solely responsible for the development and commercialization of Evkeeza in the United States and Ultragenyx is responsible for the development and commercialization of Evkeeza outside the United States.</w:t>
      </w:r>
    </w:p>
    <w:p>
      <w:pPr>
        <w:spacing w:after="0" w:line="1" w:lineRule="exact"/>
        <w:rPr>
          <w:rFonts w:ascii="Times New Roman" w:cs="Times New Roman" w:eastAsia="Times New Roman" w:hAnsi="Times New Roman"/>
          <w:sz w:val="23"/>
          <w:szCs w:val="23"/>
          <w:color w:val="auto"/>
          <w:vertAlign w:val="superscript"/>
        </w:rPr>
      </w:pPr>
    </w:p>
    <w:p>
      <w:pPr>
        <w:ind w:left="600" w:hanging="169"/>
        <w:spacing w:after="0" w:line="208" w:lineRule="auto"/>
        <w:tabs>
          <w:tab w:leader="none" w:pos="60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Kiniksa is solely responsible for the development and commercialization of ARCALYST.</w:t>
      </w:r>
    </w:p>
    <w:p>
      <w:pPr>
        <w:spacing w:after="0" w:line="23" w:lineRule="exact"/>
        <w:rPr>
          <w:rFonts w:ascii="Times New Roman" w:cs="Times New Roman" w:eastAsia="Times New Roman" w:hAnsi="Times New Roman"/>
          <w:sz w:val="23"/>
          <w:szCs w:val="23"/>
          <w:color w:val="auto"/>
          <w:vertAlign w:val="superscript"/>
        </w:rPr>
      </w:pPr>
    </w:p>
    <w:p>
      <w:pPr>
        <w:ind w:left="600" w:hanging="169"/>
        <w:spacing w:after="0" w:line="191" w:lineRule="auto"/>
        <w:tabs>
          <w:tab w:leader="none" w:pos="60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Sanofi is solely responsible for the development and commercialization of ZALTRAP.</w:t>
      </w:r>
    </w:p>
    <w:p>
      <w:pPr>
        <w:spacing w:after="0" w:line="200" w:lineRule="exact"/>
        <w:rPr>
          <w:sz w:val="20"/>
          <w:szCs w:val="20"/>
          <w:color w:val="auto"/>
        </w:rPr>
      </w:pPr>
    </w:p>
    <w:p>
      <w:pPr>
        <w:spacing w:after="0" w:line="28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69" w:right="5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below includes net product sales of Regeneron-discovered products. Such net product sales are recorded by us or others, as further described in the footnotes to the table. We believe the information in the table is useful to investors as it demonstrates our pipeline productivity and our ability to innovate, discover, and develop new products, and bring those products to market either alone or based on contractual arrangements with other parties, which has a direct impact on our results of operations and financial condition. The table also shows the degree to which we, a collaborator, and/or a licensee is currently commercializing the products discovered by Regeneron. In addition, this information allows management and investors to assess the commercial trends and developments impacting Regeneron-discovered products. In arrangements where our collaborator or licensee is currently commercializing such products and is recording net product sales as a result, the net product sales shown in the table also are an important metric for management's review and assessment of (i) the revenues we record for our share of profits and/or royalties from such sales and (ii) the impact of our obligation to supply commercial product to certain of these collaborators or licensees.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23"/>
        </w:trPr>
        <w:tc>
          <w:tcPr>
            <w:tcW w:w="2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2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9"/>
                <w:szCs w:val="19"/>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9"/>
                <w:szCs w:val="19"/>
                <w:color w:val="auto"/>
              </w:rPr>
            </w:pPr>
          </w:p>
        </w:tc>
        <w:tc>
          <w:tcPr>
            <w:tcW w:w="88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ROW</w:t>
            </w:r>
            <w:r>
              <w:rPr>
                <w:rFonts w:ascii="Times New Roman" w:cs="Times New Roman" w:eastAsia="Times New Roman" w:hAnsi="Times New Roman"/>
                <w:sz w:val="23"/>
                <w:szCs w:val="23"/>
                <w:b w:val="1"/>
                <w:bCs w:val="1"/>
                <w:color w:val="auto"/>
                <w:vertAlign w:val="superscript"/>
              </w:rPr>
              <w:t>(g)</w:t>
            </w:r>
          </w:p>
        </w:tc>
        <w:tc>
          <w:tcPr>
            <w:tcW w:w="160" w:type="dxa"/>
            <w:vAlign w:val="bottom"/>
          </w:tcPr>
          <w:p>
            <w:pPr>
              <w:spacing w:after="0"/>
              <w:rPr>
                <w:sz w:val="19"/>
                <w:szCs w:val="19"/>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ROW</w:t>
            </w:r>
          </w:p>
        </w:tc>
        <w:tc>
          <w:tcPr>
            <w:tcW w:w="16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U.S.</w:t>
            </w:r>
          </w:p>
        </w:tc>
        <w:tc>
          <w:tcPr>
            <w:tcW w:w="18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ROW</w:t>
            </w:r>
          </w:p>
        </w:tc>
        <w:tc>
          <w:tcPr>
            <w:tcW w:w="1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3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 and EYLEA</w:t>
            </w:r>
            <w:r>
              <w:rPr>
                <w:rFonts w:ascii="Times New Roman" w:cs="Times New Roman" w:eastAsia="Times New Roman" w:hAnsi="Times New Roman"/>
                <w:sz w:val="23"/>
                <w:szCs w:val="23"/>
                <w:color w:val="auto"/>
                <w:vertAlign w:val="superscript"/>
              </w:rPr>
              <w:t>(a)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9,647.4</w:t>
            </w:r>
          </w:p>
        </w:tc>
      </w:tr>
      <w:tr>
        <w:trPr>
          <w:trHeight w:val="229"/>
        </w:trPr>
        <w:tc>
          <w:tcPr>
            <w:tcW w:w="2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10,398.7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14,148.0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11,588.1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8,681.2</w:t>
            </w:r>
          </w:p>
        </w:tc>
      </w:tr>
      <w:tr>
        <w:trPr>
          <w:trHeight w:val="230"/>
        </w:trPr>
        <w:tc>
          <w:tcPr>
            <w:tcW w:w="2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r>
      <w:tr>
        <w:trPr>
          <w:trHeight w:val="229"/>
        </w:trPr>
        <w:tc>
          <w:tcPr>
            <w:tcW w:w="2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r>
      <w:tr>
        <w:trPr>
          <w:trHeight w:val="230"/>
        </w:trPr>
        <w:tc>
          <w:tcPr>
            <w:tcW w:w="2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r>
      <w:tr>
        <w:trPr>
          <w:trHeight w:val="229"/>
        </w:trPr>
        <w:tc>
          <w:tcPr>
            <w:tcW w:w="2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1,769.6</w:t>
            </w:r>
          </w:p>
        </w:tc>
      </w:tr>
      <w:tr>
        <w:trPr>
          <w:trHeight w:val="229"/>
        </w:trPr>
        <w:tc>
          <w:tcPr>
            <w:tcW w:w="2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r>
    </w:tbl>
    <w:p>
      <w:pPr>
        <w:spacing w:after="0" w:line="94" w:lineRule="exact"/>
        <w:rPr>
          <w:sz w:val="20"/>
          <w:szCs w:val="20"/>
          <w:color w:val="auto"/>
        </w:rPr>
      </w:pPr>
    </w:p>
    <w:p>
      <w:pPr>
        <w:ind w:left="240" w:right="240" w:firstLine="2"/>
        <w:spacing w:after="0" w:line="206" w:lineRule="auto"/>
        <w:tabs>
          <w:tab w:leader="none" w:pos="41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We record net product sales of EYLEA HD and EYLEA in the United States, and Bayer records net product sales outside the United States. We record our share of profits in connection with sales outside the United States within Collaboration revenue; refer to Part II, Item 7. "Management's Discussion and Analysis of Financial Condition and Results of Operations - Results of Operations - Revenues - Bayer Collaboration Revenue" for such amounts.</w:t>
      </w:r>
    </w:p>
    <w:p>
      <w:pPr>
        <w:spacing w:after="0" w:line="7" w:lineRule="exact"/>
        <w:rPr>
          <w:rFonts w:ascii="Times New Roman" w:cs="Times New Roman" w:eastAsia="Times New Roman" w:hAnsi="Times New Roman"/>
          <w:sz w:val="22"/>
          <w:szCs w:val="22"/>
          <w:color w:val="auto"/>
          <w:vertAlign w:val="superscript"/>
        </w:rPr>
      </w:pPr>
    </w:p>
    <w:p>
      <w:pPr>
        <w:ind w:left="240" w:right="420" w:firstLine="2"/>
        <w:spacing w:after="0" w:line="206" w:lineRule="auto"/>
        <w:tabs>
          <w:tab w:leader="none" w:pos="416"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records global net product sales of Dupixent and Kevzara, and we record our share of profits in connection with global sales of such products within Collaboration revenue. Refer to Part II, Item 7. "Management's Discussion and Analysis of Financial Condition and Results of Operations - Results of Operations - Revenues - Sanofi Collaboration Revenue" for such amounts.</w:t>
      </w:r>
    </w:p>
    <w:p>
      <w:pPr>
        <w:spacing w:after="0" w:line="7" w:lineRule="exact"/>
        <w:rPr>
          <w:rFonts w:ascii="Times New Roman" w:cs="Times New Roman" w:eastAsia="Times New Roman" w:hAnsi="Times New Roman"/>
          <w:sz w:val="22"/>
          <w:szCs w:val="22"/>
          <w:color w:val="auto"/>
          <w:vertAlign w:val="superscript"/>
        </w:rPr>
      </w:pPr>
    </w:p>
    <w:p>
      <w:pPr>
        <w:ind w:left="240" w:right="100" w:firstLine="2"/>
        <w:spacing w:after="0" w:line="206" w:lineRule="auto"/>
        <w:tabs>
          <w:tab w:leader="none" w:pos="41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We record global net product sales of Libtayo and pay Sanofi a royalty on such sales. Prior to July 1, 2022, Sanofi recorded net product sales of Libtayo outside the United States. Included in this line item for the years ended December 31, 2023 and 2022 is approximately $6 million and $34 million, respectively, of net product sales recorded by Sanofi in connection with sales in certain markets outside the United States (Sanofi recorded net product sales in such markets during a transition period).</w:t>
      </w:r>
    </w:p>
    <w:p>
      <w:pPr>
        <w:spacing w:after="0" w:line="7" w:lineRule="exact"/>
        <w:rPr>
          <w:rFonts w:ascii="Times New Roman" w:cs="Times New Roman" w:eastAsia="Times New Roman" w:hAnsi="Times New Roman"/>
          <w:sz w:val="22"/>
          <w:szCs w:val="22"/>
          <w:color w:val="auto"/>
          <w:vertAlign w:val="superscript"/>
        </w:rPr>
      </w:pPr>
    </w:p>
    <w:p>
      <w:pPr>
        <w:ind w:left="240" w:right="40" w:firstLine="2"/>
        <w:spacing w:after="0" w:line="204" w:lineRule="auto"/>
        <w:tabs>
          <w:tab w:leader="none" w:pos="416"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We record net product sales of Praluent in the United States. Sanofi records net product sales of Praluent outside the United States and pays us a royalty on such sales, which is recorded within Other revenue.</w:t>
      </w:r>
    </w:p>
    <w:p>
      <w:pPr>
        <w:spacing w:after="0" w:line="6" w:lineRule="exact"/>
        <w:rPr>
          <w:rFonts w:ascii="Times New Roman" w:cs="Times New Roman" w:eastAsia="Times New Roman" w:hAnsi="Times New Roman"/>
          <w:sz w:val="22"/>
          <w:szCs w:val="22"/>
          <w:color w:val="auto"/>
          <w:vertAlign w:val="superscript"/>
        </w:rPr>
      </w:pPr>
    </w:p>
    <w:p>
      <w:pPr>
        <w:ind w:left="240" w:right="160" w:firstLine="2"/>
        <w:spacing w:after="0" w:line="206" w:lineRule="auto"/>
        <w:tabs>
          <w:tab w:leader="none" w:pos="41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Roche records net product sales outside the United States and we record our share of gross profits from sales, which is recorded within Collaboration revenue. Refer to Part II, Item 7. "Management's Discussion and Analysis of Financial Condition and Results of Operations -Results of Operations - Revenues - Roche Collaboration Revenue" for such amounts.</w:t>
      </w:r>
    </w:p>
    <w:p>
      <w:pPr>
        <w:spacing w:after="0" w:line="7" w:lineRule="exact"/>
        <w:rPr>
          <w:rFonts w:ascii="Times New Roman" w:cs="Times New Roman" w:eastAsia="Times New Roman" w:hAnsi="Times New Roman"/>
          <w:sz w:val="22"/>
          <w:szCs w:val="22"/>
          <w:color w:val="auto"/>
          <w:vertAlign w:val="superscript"/>
        </w:rPr>
      </w:pPr>
    </w:p>
    <w:p>
      <w:pPr>
        <w:ind w:left="240" w:right="160" w:firstLine="2"/>
        <w:spacing w:after="0" w:line="202" w:lineRule="auto"/>
        <w:tabs>
          <w:tab w:leader="none" w:pos="397"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Included in this line item are products which are sold by us and others. Refer to Part II, Item 7. "Management's Discussion and Analysis of Financial Condition and Results of Operations - Results of Operations - Revenues" for a complete listing of net product sales recorded by us. Not included in this line item are net product sales of ARCALYST, which are recorded by Kiniksa.</w:t>
      </w:r>
    </w:p>
    <w:p>
      <w:pPr>
        <w:spacing w:after="0" w:line="2" w:lineRule="exact"/>
        <w:rPr>
          <w:rFonts w:ascii="Times New Roman" w:cs="Times New Roman" w:eastAsia="Times New Roman" w:hAnsi="Times New Roman"/>
          <w:sz w:val="23"/>
          <w:szCs w:val="23"/>
          <w:color w:val="auto"/>
          <w:vertAlign w:val="superscript"/>
        </w:rPr>
      </w:pPr>
    </w:p>
    <w:p>
      <w:pPr>
        <w:ind w:left="420" w:hanging="178"/>
        <w:spacing w:after="0" w:line="204" w:lineRule="auto"/>
        <w:tabs>
          <w:tab w:leader="none" w:pos="42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Rest of world ("ROW")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Programs in Clinical Development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candidates in Phase 2 and Phase 3 clinical development, which are being developed by us and/or our collaborators, are summarized in the table below.</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Part I, Item 1A. "Risk Factors" for a description of risks and uncertainties that may affect our clinical programs. Any of such risks and uncertainties may, among other matters, negatively impact the development timelines set forth in the table below.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180"/>
          </w:cols>
          <w:pgMar w:left="320" w:top="36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9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80" w:type="dxa"/>
            <w:vAlign w:val="bottom"/>
            <w:vMerge w:val="restart"/>
          </w:tcPr>
          <w:p>
            <w:pPr>
              <w:spacing w:after="0"/>
              <w:rPr>
                <w:sz w:val="17"/>
                <w:szCs w:val="17"/>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6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2024 and 2025</w:t>
            </w:r>
          </w:p>
        </w:tc>
        <w:tc>
          <w:tcPr>
            <w:tcW w:w="0" w:type="dxa"/>
            <w:vAlign w:val="bottom"/>
          </w:tcPr>
          <w:p>
            <w:pPr>
              <w:spacing w:after="0"/>
              <w:rPr>
                <w:sz w:val="1"/>
                <w:szCs w:val="1"/>
                <w:color w:val="auto"/>
              </w:rPr>
            </w:pPr>
          </w:p>
        </w:tc>
      </w:tr>
      <w:tr>
        <w:trPr>
          <w:trHeight w:val="240"/>
        </w:trPr>
        <w:tc>
          <w:tcPr>
            <w:tcW w:w="190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600" w:type="dxa"/>
            <w:vAlign w:val="bottom"/>
            <w:tcBorders>
              <w:bottom w:val="single" w:sz="8" w:color="auto"/>
            </w:tcBorders>
          </w:tcPr>
          <w:p>
            <w:pPr>
              <w:ind w:left="440"/>
              <w:spacing w:after="0" w:line="240"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80" w:type="dxa"/>
            <w:vAlign w:val="bottom"/>
          </w:tcPr>
          <w:p>
            <w:pPr>
              <w:spacing w:after="0"/>
              <w:rPr>
                <w:sz w:val="20"/>
                <w:szCs w:val="20"/>
                <w:color w:val="auto"/>
              </w:rPr>
            </w:pPr>
          </w:p>
        </w:tc>
        <w:tc>
          <w:tcPr>
            <w:tcW w:w="1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0" w:type="dxa"/>
            <w:vAlign w:val="bottom"/>
          </w:tcPr>
          <w:p>
            <w:pPr>
              <w:spacing w:after="0"/>
              <w:rPr>
                <w:sz w:val="1"/>
                <w:szCs w:val="1"/>
                <w:color w:val="auto"/>
              </w:rPr>
            </w:pPr>
          </w:p>
        </w:tc>
      </w:tr>
      <w:tr>
        <w:trPr>
          <w:trHeight w:val="304"/>
        </w:trPr>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gridSpan w:val="4"/>
          </w:tcPr>
          <w:p>
            <w:pPr>
              <w:ind w:left="1340"/>
              <w:spacing w:after="0"/>
              <w:rPr>
                <w:sz w:val="20"/>
                <w:szCs w:val="20"/>
                <w:color w:val="auto"/>
              </w:rPr>
            </w:pPr>
            <w:r>
              <w:rPr>
                <w:rFonts w:ascii="Times New Roman" w:cs="Times New Roman" w:eastAsia="Times New Roman" w:hAnsi="Times New Roman"/>
                <w:sz w:val="18"/>
                <w:szCs w:val="18"/>
                <w:b w:val="1"/>
                <w:bCs w:val="1"/>
                <w:color w:val="auto"/>
              </w:rPr>
              <w:t>Ophthalmology</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EYLEA HD</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–RVO</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–Two-year data for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European</w:t>
            </w:r>
          </w:p>
        </w:tc>
        <w:tc>
          <w:tcPr>
            <w:tcW w:w="0" w:type="dxa"/>
            <w:vAlign w:val="bottom"/>
          </w:tcPr>
          <w:p>
            <w:pPr>
              <w:spacing w:after="0"/>
              <w:rPr>
                <w:sz w:val="1"/>
                <w:szCs w:val="1"/>
                <w:color w:val="auto"/>
              </w:rPr>
            </w:pPr>
          </w:p>
        </w:tc>
      </w:tr>
      <w:tr>
        <w:trPr>
          <w:trHeight w:val="172"/>
        </w:trPr>
        <w:tc>
          <w:tcPr>
            <w:tcW w:w="19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5"/>
                <w:szCs w:val="15"/>
                <w:b w:val="1"/>
                <w:bCs w:val="1"/>
                <w:color w:val="auto"/>
              </w:rPr>
              <w:t>(aflibercept) 8 mg</w:t>
            </w:r>
            <w:r>
              <w:rPr>
                <w:rFonts w:ascii="Times New Roman" w:cs="Times New Roman" w:eastAsia="Times New Roman" w:hAnsi="Times New Roman"/>
                <w:sz w:val="19"/>
                <w:szCs w:val="19"/>
                <w:b w:val="1"/>
                <w:bCs w:val="1"/>
                <w:color w:val="auto"/>
                <w:vertAlign w:val="superscript"/>
              </w:rPr>
              <w:t>(a)</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wAMD and DME</w:t>
            </w:r>
          </w:p>
        </w:tc>
        <w:tc>
          <w:tcPr>
            <w:tcW w:w="19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Commission ("EC") and</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(U.S.)</w:t>
            </w:r>
          </w:p>
        </w:tc>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Japan's Ministry of</w:t>
            </w: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Health, Labour and</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–Pre-filled syringe</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Welfare ("MHLW") for</w:t>
            </w: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wAMD and DME</w:t>
            </w: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–Pre-filled syringe</w:t>
            </w: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approved by European</w:t>
            </w: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Medicines Agency</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("EMA")</w:t>
            </w:r>
          </w:p>
        </w:tc>
        <w:tc>
          <w:tcPr>
            <w:tcW w:w="0" w:type="dxa"/>
            <w:vAlign w:val="bottom"/>
          </w:tcPr>
          <w:p>
            <w:pPr>
              <w:spacing w:after="0"/>
              <w:rPr>
                <w:sz w:val="1"/>
                <w:szCs w:val="1"/>
                <w:color w:val="auto"/>
              </w:rPr>
            </w:pPr>
          </w:p>
        </w:tc>
      </w:tr>
      <w:tr>
        <w:trPr>
          <w:trHeight w:val="373"/>
        </w:trPr>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–Presented positive three-</w:t>
            </w: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year data from extension</w:t>
            </w: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study of Phase 3 DME</w:t>
            </w: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trial at American</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Academy of</w:t>
            </w: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Ophthalmology ("AAO")</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Meeting</w:t>
            </w:r>
          </w:p>
        </w:tc>
        <w:tc>
          <w:tcPr>
            <w:tcW w:w="0" w:type="dxa"/>
            <w:vAlign w:val="bottom"/>
          </w:tcPr>
          <w:p>
            <w:pPr>
              <w:spacing w:after="0"/>
              <w:rPr>
                <w:sz w:val="1"/>
                <w:szCs w:val="1"/>
                <w:color w:val="auto"/>
              </w:rPr>
            </w:pPr>
          </w:p>
        </w:tc>
      </w:tr>
      <w:tr>
        <w:trPr>
          <w:trHeight w:val="364"/>
        </w:trPr>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that Phase 3</w:t>
            </w: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QUASAR trial in RVO</w:t>
            </w:r>
          </w:p>
        </w:tc>
        <w:tc>
          <w:tcPr>
            <w:tcW w:w="0" w:type="dxa"/>
            <w:vAlign w:val="bottom"/>
          </w:tcPr>
          <w:p>
            <w:pPr>
              <w:spacing w:after="0"/>
              <w:rPr>
                <w:sz w:val="1"/>
                <w:szCs w:val="1"/>
                <w:color w:val="auto"/>
              </w:rPr>
            </w:pPr>
          </w:p>
        </w:tc>
      </w:tr>
      <w:tr>
        <w:trPr>
          <w:trHeight w:val="234"/>
        </w:trPr>
        <w:tc>
          <w:tcPr>
            <w:tcW w:w="1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 its primary endpoint</w:t>
            </w:r>
          </w:p>
        </w:tc>
        <w:tc>
          <w:tcPr>
            <w:tcW w:w="0" w:type="dxa"/>
            <w:vAlign w:val="bottom"/>
          </w:tcPr>
          <w:p>
            <w:pPr>
              <w:spacing w:after="0"/>
              <w:rPr>
                <w:sz w:val="1"/>
                <w:szCs w:val="1"/>
                <w:color w:val="auto"/>
              </w:rPr>
            </w:pPr>
          </w:p>
        </w:tc>
      </w:tr>
      <w:tr>
        <w:trPr>
          <w:trHeight w:val="216"/>
        </w:trPr>
        <w:tc>
          <w:tcPr>
            <w:tcW w:w="198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–Geographic atrophy,</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(REGN3918)</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cemdisiran</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C5</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(l)</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Immunology &amp; Inflammation</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98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Dupixent (dupilumab)</w:t>
            </w:r>
            <w:r>
              <w:rPr>
                <w:rFonts w:ascii="Times New Roman" w:cs="Times New Roman" w:eastAsia="Times New Roman" w:hAnsi="Times New Roman"/>
                <w:sz w:val="23"/>
                <w:szCs w:val="23"/>
                <w:b w:val="1"/>
                <w:bCs w:val="1"/>
                <w:color w:val="auto"/>
                <w:vertAlign w:val="superscript"/>
              </w:rPr>
              <w:t>(b)</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–Ulcerative colitis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–Asthma in pediatrics</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–COPD with type 2</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–Approved by FDA for</w:t>
            </w:r>
          </w:p>
        </w:tc>
        <w:tc>
          <w:tcPr>
            <w:tcW w:w="0" w:type="dxa"/>
            <w:vAlign w:val="bottom"/>
          </w:tcPr>
          <w:p>
            <w:pPr>
              <w:spacing w:after="0"/>
              <w:rPr>
                <w:sz w:val="1"/>
                <w:szCs w:val="1"/>
                <w:color w:val="auto"/>
              </w:rPr>
            </w:pPr>
          </w:p>
        </w:tc>
      </w:tr>
      <w:tr>
        <w:trPr>
          <w:trHeight w:val="182"/>
        </w:trPr>
        <w:tc>
          <w:tcPr>
            <w:tcW w:w="19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IL-4R alpha</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(2–5 years of age)</w:t>
            </w:r>
          </w:p>
        </w:tc>
        <w:tc>
          <w:tcPr>
            <w:tcW w:w="16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inflammatory</w:t>
            </w:r>
          </w:p>
        </w:tc>
        <w:tc>
          <w:tcPr>
            <w:tcW w:w="1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CRSwNP in adolescents</w:t>
            </w:r>
          </w:p>
        </w:tc>
        <w:tc>
          <w:tcPr>
            <w:tcW w:w="0" w:type="dxa"/>
            <w:vAlign w:val="bottom"/>
          </w:tcPr>
          <w:p>
            <w:pPr>
              <w:spacing w:after="0"/>
              <w:rPr>
                <w:sz w:val="1"/>
                <w:szCs w:val="1"/>
                <w:color w:val="auto"/>
              </w:rPr>
            </w:pPr>
          </w:p>
        </w:tc>
      </w:tr>
      <w:tr>
        <w:trPr>
          <w:trHeight w:val="236"/>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subunit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phenotype (Japan)</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–Bullous</w:t>
            </w:r>
          </w:p>
        </w:tc>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–CSU in adults and</w:t>
            </w:r>
          </w:p>
        </w:tc>
        <w:tc>
          <w:tcPr>
            <w:tcW w:w="1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–Approved by FDA and</w:t>
            </w: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pemphigoid</w:t>
            </w:r>
            <w:r>
              <w:rPr>
                <w:rFonts w:ascii="Times New Roman" w:cs="Times New Roman" w:eastAsia="Times New Roman" w:hAnsi="Times New Roman"/>
                <w:sz w:val="21"/>
                <w:szCs w:val="21"/>
                <w:color w:val="auto"/>
                <w:vertAlign w:val="superscript"/>
              </w:rPr>
              <w:t>(c)</w:t>
            </w:r>
          </w:p>
        </w:tc>
        <w:tc>
          <w:tcPr>
            <w:tcW w:w="1680" w:type="dxa"/>
            <w:vAlign w:val="bottom"/>
            <w:gridSpan w:val="2"/>
            <w:vMerge w:val="continue"/>
          </w:tcPr>
          <w:p>
            <w:pPr>
              <w:spacing w:after="0"/>
              <w:rPr>
                <w:sz w:val="16"/>
                <w:szCs w:val="16"/>
                <w:color w:val="auto"/>
              </w:rPr>
            </w:pPr>
          </w:p>
        </w:tc>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EC for EoE in pediatrics</w:t>
            </w: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adolescents (U.S.</w:t>
            </w:r>
          </w:p>
        </w:tc>
        <w:tc>
          <w:tcPr>
            <w:tcW w:w="1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(1–11 years of age)</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–CSU</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EU)</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1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vMerge w:val="restart"/>
          </w:tcPr>
          <w:p>
            <w:pPr>
              <w:ind w:left="20"/>
              <w:spacing w:after="0" w:line="184" w:lineRule="exact"/>
              <w:rPr>
                <w:sz w:val="20"/>
                <w:szCs w:val="20"/>
                <w:color w:val="auto"/>
              </w:rPr>
            </w:pPr>
            <w:r>
              <w:rPr>
                <w:rFonts w:ascii="Times New Roman" w:cs="Times New Roman" w:eastAsia="Times New Roman" w:hAnsi="Times New Roman"/>
                <w:sz w:val="18"/>
                <w:szCs w:val="18"/>
                <w:color w:val="auto"/>
              </w:rPr>
              <w:t>–EMA's Committee for</w:t>
            </w:r>
          </w:p>
        </w:tc>
        <w:tc>
          <w:tcPr>
            <w:tcW w:w="0" w:type="dxa"/>
            <w:vAlign w:val="bottom"/>
          </w:tcPr>
          <w:p>
            <w:pPr>
              <w:spacing w:after="0"/>
              <w:rPr>
                <w:sz w:val="1"/>
                <w:szCs w:val="1"/>
                <w:color w:val="auto"/>
              </w:rPr>
            </w:pPr>
          </w:p>
        </w:tc>
      </w:tr>
      <w:tr>
        <w:trPr>
          <w:trHeight w:val="121"/>
        </w:trPr>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–Bullous pemphigoid</w:t>
            </w:r>
          </w:p>
        </w:tc>
        <w:tc>
          <w:tcPr>
            <w:tcW w:w="1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–Chronic pruritus of</w:t>
            </w:r>
          </w:p>
        </w:tc>
        <w:tc>
          <w:tcPr>
            <w:tcW w:w="1680" w:type="dxa"/>
            <w:vAlign w:val="bottom"/>
            <w:gridSpan w:val="2"/>
            <w:vMerge w:val="continue"/>
          </w:tcPr>
          <w:p>
            <w:pPr>
              <w:spacing w:after="0"/>
              <w:rPr>
                <w:sz w:val="16"/>
                <w:szCs w:val="16"/>
                <w:color w:val="auto"/>
              </w:rPr>
            </w:pPr>
          </w:p>
        </w:tc>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Medicinal Products for</w:t>
            </w:r>
          </w:p>
        </w:tc>
        <w:tc>
          <w:tcPr>
            <w:tcW w:w="0" w:type="dxa"/>
            <w:vAlign w:val="bottom"/>
          </w:tcPr>
          <w:p>
            <w:pPr>
              <w:spacing w:after="0"/>
              <w:rPr>
                <w:sz w:val="1"/>
                <w:szCs w:val="1"/>
                <w:color w:val="auto"/>
              </w:rPr>
            </w:pPr>
          </w:p>
        </w:tc>
      </w:tr>
      <w:tr>
        <w:trPr>
          <w:trHeight w:val="59"/>
        </w:trPr>
        <w:tc>
          <w:tcPr>
            <w:tcW w:w="1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Human Use ("CHMP")</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unknown origin</w:t>
            </w:r>
          </w:p>
        </w:tc>
        <w:tc>
          <w:tcPr>
            <w:tcW w:w="1680" w:type="dxa"/>
            <w:vAlign w:val="bottom"/>
            <w:gridSpan w:val="2"/>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("CPUO")</w:t>
            </w: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adopted positive opinion</w:t>
            </w: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vMerge w:val="restart"/>
          </w:tcPr>
          <w:p>
            <w:pPr>
              <w:ind w:left="20"/>
              <w:spacing w:after="0" w:line="204" w:lineRule="exact"/>
              <w:rPr>
                <w:sz w:val="20"/>
                <w:szCs w:val="20"/>
                <w:color w:val="auto"/>
              </w:rPr>
            </w:pPr>
            <w:r>
              <w:rPr>
                <w:rFonts w:ascii="Times New Roman" w:cs="Times New Roman" w:eastAsia="Times New Roman" w:hAnsi="Times New Roman"/>
                <w:sz w:val="18"/>
                <w:szCs w:val="18"/>
                <w:color w:val="auto"/>
              </w:rPr>
              <w:t>for EoE in pediatrics (1–</w:t>
            </w:r>
          </w:p>
        </w:tc>
        <w:tc>
          <w:tcPr>
            <w:tcW w:w="0" w:type="dxa"/>
            <w:vAlign w:val="bottom"/>
          </w:tcPr>
          <w:p>
            <w:pPr>
              <w:spacing w:after="0"/>
              <w:rPr>
                <w:sz w:val="1"/>
                <w:szCs w:val="1"/>
                <w:color w:val="auto"/>
              </w:rPr>
            </w:pPr>
          </w:p>
        </w:tc>
      </w:tr>
      <w:tr>
        <w:trPr>
          <w:trHeight w:val="83"/>
        </w:trPr>
        <w:tc>
          <w:tcPr>
            <w:tcW w:w="1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-5075555</wp:posOffset>
            </wp:positionV>
            <wp:extent cx="7098030" cy="2991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299148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-1646555</wp:posOffset>
            </wp:positionV>
            <wp:extent cx="7098030" cy="2623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2623185"/>
                    </a:xfrm>
                    <a:prstGeom prst="rect">
                      <a:avLst/>
                    </a:prstGeom>
                    <a:noFill/>
                  </pic:spPr>
                </pic:pic>
              </a:graphicData>
            </a:graphic>
          </wp:anchor>
        </w:drawing>
      </w:r>
    </w:p>
    <w:p>
      <w:pPr>
        <w:ind w:left="7120"/>
        <w:spacing w:after="0" w:line="195" w:lineRule="auto"/>
        <w:rPr>
          <w:sz w:val="20"/>
          <w:szCs w:val="20"/>
          <w:color w:val="auto"/>
        </w:rPr>
      </w:pPr>
      <w:r>
        <w:rPr>
          <w:rFonts w:ascii="Times New Roman" w:cs="Times New Roman" w:eastAsia="Times New Roman" w:hAnsi="Times New Roman"/>
          <w:sz w:val="13"/>
          <w:szCs w:val="13"/>
          <w:color w:val="auto"/>
        </w:rPr>
        <w:t>11 years of age)</w:t>
      </w:r>
    </w:p>
    <w:p>
      <w:pPr>
        <w:ind w:left="3700"/>
        <w:spacing w:after="0" w:line="203" w:lineRule="auto"/>
        <w:rPr>
          <w:sz w:val="20"/>
          <w:szCs w:val="20"/>
          <w:color w:val="auto"/>
        </w:rPr>
      </w:pPr>
      <w:r>
        <w:rPr>
          <w:rFonts w:ascii="Times New Roman" w:cs="Times New Roman" w:eastAsia="Times New Roman" w:hAnsi="Times New Roman"/>
          <w:sz w:val="18"/>
          <w:szCs w:val="18"/>
          <w:color w:val="auto"/>
        </w:rPr>
        <w:t>–Lichen simplex</w:t>
      </w:r>
    </w:p>
    <w:p>
      <w:pPr>
        <w:ind w:left="3700"/>
        <w:spacing w:after="0" w:line="195" w:lineRule="auto"/>
        <w:rPr>
          <w:sz w:val="20"/>
          <w:szCs w:val="20"/>
          <w:color w:val="auto"/>
        </w:rPr>
      </w:pPr>
      <w:r>
        <w:rPr>
          <w:rFonts w:ascii="Times New Roman" w:cs="Times New Roman" w:eastAsia="Times New Roman" w:hAnsi="Times New Roman"/>
          <w:sz w:val="13"/>
          <w:szCs w:val="13"/>
          <w:color w:val="auto"/>
        </w:rPr>
        <w:t>chronicus</w:t>
      </w:r>
    </w:p>
    <w:p>
      <w:pPr>
        <w:ind w:left="7160"/>
        <w:spacing w:after="0" w:line="204" w:lineRule="auto"/>
        <w:rPr>
          <w:sz w:val="20"/>
          <w:szCs w:val="20"/>
          <w:color w:val="auto"/>
        </w:rPr>
      </w:pPr>
      <w:r>
        <w:rPr>
          <w:rFonts w:ascii="Times New Roman" w:cs="Times New Roman" w:eastAsia="Times New Roman" w:hAnsi="Times New Roman"/>
          <w:sz w:val="18"/>
          <w:szCs w:val="18"/>
          <w:color w:val="auto"/>
        </w:rPr>
        <w:t>–Results from Phase 3</w:t>
      </w:r>
    </w:p>
    <w:p>
      <w:pPr>
        <w:ind w:left="7120"/>
        <w:spacing w:after="0" w:line="219" w:lineRule="auto"/>
        <w:rPr>
          <w:sz w:val="20"/>
          <w:szCs w:val="20"/>
          <w:color w:val="auto"/>
        </w:rPr>
      </w:pPr>
      <w:r>
        <w:rPr>
          <w:rFonts w:ascii="Times New Roman" w:cs="Times New Roman" w:eastAsia="Times New Roman" w:hAnsi="Times New Roman"/>
          <w:sz w:val="18"/>
          <w:szCs w:val="18"/>
          <w:color w:val="auto"/>
        </w:rPr>
        <w:t>trial in pediatrics (1–11</w:t>
      </w:r>
    </w:p>
    <w:p>
      <w:pPr>
        <w:ind w:left="7120"/>
        <w:spacing w:after="0" w:line="203" w:lineRule="auto"/>
        <w:rPr>
          <w:sz w:val="20"/>
          <w:szCs w:val="20"/>
          <w:color w:val="auto"/>
        </w:rPr>
      </w:pPr>
      <w:r>
        <w:rPr>
          <w:rFonts w:ascii="Times New Roman" w:cs="Times New Roman" w:eastAsia="Times New Roman" w:hAnsi="Times New Roman"/>
          <w:sz w:val="18"/>
          <w:szCs w:val="18"/>
          <w:color w:val="auto"/>
        </w:rPr>
        <w:t>years of age) with EoE</w:t>
      </w:r>
    </w:p>
    <w:p>
      <w:pPr>
        <w:ind w:left="7120"/>
        <w:spacing w:after="0" w:line="204" w:lineRule="auto"/>
        <w:rPr>
          <w:sz w:val="20"/>
          <w:szCs w:val="20"/>
          <w:color w:val="auto"/>
        </w:rPr>
      </w:pPr>
      <w:r>
        <w:rPr>
          <w:rFonts w:ascii="Times New Roman" w:cs="Times New Roman" w:eastAsia="Times New Roman" w:hAnsi="Times New Roman"/>
          <w:sz w:val="18"/>
          <w:szCs w:val="18"/>
          <w:color w:val="auto"/>
        </w:rPr>
        <w:t xml:space="preserve">published in </w:t>
      </w:r>
      <w:r>
        <w:rPr>
          <w:rFonts w:ascii="Times New Roman" w:cs="Times New Roman" w:eastAsia="Times New Roman" w:hAnsi="Times New Roman"/>
          <w:sz w:val="18"/>
          <w:szCs w:val="18"/>
          <w:i w:val="1"/>
          <w:iCs w:val="1"/>
          <w:color w:val="auto"/>
        </w:rPr>
        <w:t>New</w:t>
      </w:r>
    </w:p>
    <w:p>
      <w:pPr>
        <w:ind w:left="7120"/>
        <w:spacing w:after="0" w:line="219" w:lineRule="auto"/>
        <w:rPr>
          <w:sz w:val="20"/>
          <w:szCs w:val="20"/>
          <w:color w:val="auto"/>
        </w:rPr>
      </w:pPr>
      <w:r>
        <w:rPr>
          <w:rFonts w:ascii="Times New Roman" w:cs="Times New Roman" w:eastAsia="Times New Roman" w:hAnsi="Times New Roman"/>
          <w:sz w:val="18"/>
          <w:szCs w:val="18"/>
          <w:i w:val="1"/>
          <w:iCs w:val="1"/>
          <w:color w:val="auto"/>
        </w:rPr>
        <w:t>England Journal of</w:t>
      </w:r>
    </w:p>
    <w:p>
      <w:pPr>
        <w:ind w:left="7120"/>
        <w:spacing w:after="0"/>
        <w:rPr>
          <w:sz w:val="20"/>
          <w:szCs w:val="20"/>
          <w:color w:val="auto"/>
        </w:rPr>
      </w:pPr>
      <w:r>
        <w:rPr>
          <w:rFonts w:ascii="Times New Roman" w:cs="Times New Roman" w:eastAsia="Times New Roman" w:hAnsi="Times New Roman"/>
          <w:sz w:val="18"/>
          <w:szCs w:val="18"/>
          <w:i w:val="1"/>
          <w:iCs w:val="1"/>
          <w:color w:val="auto"/>
        </w:rPr>
        <w:t xml:space="preserve">Medicine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NEJM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 Upcoming</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wp:posOffset>
            </wp:positionV>
            <wp:extent cx="1346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Food and Drug</w:t>
      </w:r>
    </w:p>
    <w:p>
      <w:pPr>
        <w:spacing w:after="0" w:line="2" w:lineRule="exact"/>
        <w:rPr>
          <w:sz w:val="20"/>
          <w:szCs w:val="20"/>
          <w:color w:val="auto"/>
        </w:rPr>
      </w:pPr>
    </w:p>
    <w:p>
      <w:pPr>
        <w:jc w:val="both"/>
        <w:ind w:right="240"/>
        <w:spacing w:after="0" w:line="220" w:lineRule="auto"/>
        <w:rPr>
          <w:sz w:val="20"/>
          <w:szCs w:val="20"/>
          <w:color w:val="auto"/>
        </w:rPr>
      </w:pPr>
      <w:r>
        <w:rPr>
          <w:rFonts w:ascii="Times New Roman" w:cs="Times New Roman" w:eastAsia="Times New Roman" w:hAnsi="Times New Roman"/>
          <w:sz w:val="17"/>
          <w:szCs w:val="17"/>
          <w:color w:val="auto"/>
        </w:rPr>
        <w:t>Administration ("FDA") decision on supplemental Biologics License</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Application ("sBLA") with two-year data for wAMD and DME (target action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April 20, 2025)</w:t>
      </w:r>
    </w:p>
    <w:p>
      <w:pPr>
        <w:spacing w:after="0" w:line="1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–FDA decision for pre-filled syringe (mid-2025)</w:t>
      </w:r>
    </w:p>
    <w:p>
      <w:pPr>
        <w:spacing w:after="0" w:line="199"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7"/>
          <w:szCs w:val="17"/>
          <w:color w:val="auto"/>
        </w:rPr>
        <w:t>–Submit sBLA for RVO (first quarter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 sBLA for every 4-</w:t>
      </w:r>
    </w:p>
    <w:p>
      <w:pPr>
        <w:spacing w:after="0" w:line="2" w:lineRule="exact"/>
        <w:rPr>
          <w:sz w:val="20"/>
          <w:szCs w:val="20"/>
          <w:color w:val="auto"/>
        </w:rPr>
      </w:pPr>
    </w:p>
    <w:p>
      <w:pPr>
        <w:jc w:val="both"/>
        <w:ind w:right="140"/>
        <w:spacing w:after="0" w:line="226" w:lineRule="auto"/>
        <w:rPr>
          <w:sz w:val="20"/>
          <w:szCs w:val="20"/>
          <w:color w:val="auto"/>
        </w:rPr>
      </w:pPr>
      <w:r>
        <w:rPr>
          <w:rFonts w:ascii="Times New Roman" w:cs="Times New Roman" w:eastAsia="Times New Roman" w:hAnsi="Times New Roman"/>
          <w:sz w:val="18"/>
          <w:szCs w:val="18"/>
          <w:color w:val="auto"/>
        </w:rPr>
        <w:t>week dosing regimen (first quarter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–MHLW decision on</w:t>
      </w:r>
    </w:p>
    <w:p>
      <w:pPr>
        <w:spacing w:after="0" w:line="2"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7"/>
          <w:szCs w:val="17"/>
          <w:color w:val="auto"/>
        </w:rPr>
        <w:t>regulatory submission for COPD (first half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–FDA decision on sBLA</w:t>
      </w:r>
    </w:p>
    <w:p>
      <w:pPr>
        <w:spacing w:after="0" w:line="2" w:lineRule="exact"/>
        <w:rPr>
          <w:sz w:val="20"/>
          <w:szCs w:val="20"/>
          <w:color w:val="auto"/>
        </w:rPr>
      </w:pPr>
    </w:p>
    <w:p>
      <w:pPr>
        <w:jc w:val="both"/>
        <w:ind w:right="160"/>
        <w:spacing w:after="0" w:line="220" w:lineRule="auto"/>
        <w:rPr>
          <w:sz w:val="20"/>
          <w:szCs w:val="20"/>
          <w:color w:val="auto"/>
        </w:rPr>
      </w:pPr>
      <w:r>
        <w:rPr>
          <w:rFonts w:ascii="Times New Roman" w:cs="Times New Roman" w:eastAsia="Times New Roman" w:hAnsi="Times New Roman"/>
          <w:sz w:val="17"/>
          <w:szCs w:val="17"/>
          <w:color w:val="auto"/>
        </w:rPr>
        <w:t>(target action date of April 18, 2025) and EC decision on regulatory submission</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(first half 2025) for CSU in adults and adolescents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–FDA decision on sBLA for</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bullous pemphigoid (second half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 regulatory</w:t>
      </w:r>
    </w:p>
    <w:p>
      <w:pPr>
        <w:spacing w:after="0" w:line="2" w:lineRule="exact"/>
        <w:rPr>
          <w:sz w:val="20"/>
          <w:szCs w:val="20"/>
          <w:color w:val="auto"/>
        </w:rPr>
      </w:pPr>
    </w:p>
    <w:p>
      <w:pPr>
        <w:jc w:val="both"/>
        <w:ind w:right="240"/>
        <w:spacing w:after="0" w:line="218" w:lineRule="auto"/>
        <w:rPr>
          <w:sz w:val="20"/>
          <w:szCs w:val="20"/>
          <w:color w:val="auto"/>
        </w:rPr>
      </w:pPr>
      <w:r>
        <w:rPr>
          <w:rFonts w:ascii="Times New Roman" w:cs="Times New Roman" w:eastAsia="Times New Roman" w:hAnsi="Times New Roman"/>
          <w:sz w:val="18"/>
          <w:szCs w:val="18"/>
          <w:color w:val="auto"/>
        </w:rPr>
        <w:t>application in the EU for bullous pemphigoid (first half 2025)</w:t>
      </w:r>
    </w:p>
    <w:p>
      <w:pPr>
        <w:spacing w:after="0" w:line="382" w:lineRule="exact"/>
        <w:rPr>
          <w:sz w:val="20"/>
          <w:szCs w:val="20"/>
          <w:color w:val="auto"/>
        </w:rPr>
      </w:pPr>
    </w:p>
    <w:p>
      <w:pPr>
        <w:sectPr>
          <w:pgSz w:w="11900" w:h="16838" w:orient="portrait"/>
          <w:cols w:equalWidth="0" w:num="2">
            <w:col w:w="9020" w:space="100"/>
            <w:col w:w="2060"/>
          </w:cols>
          <w:pgMar w:left="320" w:top="369" w:right="399" w:bottom="1440" w:gutter="0" w:footer="0" w:header="0"/>
          <w:type w:val="continuous"/>
        </w:sect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9" w:right="3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0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20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2024 and 2025</w:t>
            </w:r>
          </w:p>
        </w:tc>
        <w:tc>
          <w:tcPr>
            <w:tcW w:w="2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0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660" w:type="dxa"/>
            <w:vAlign w:val="bottom"/>
            <w:gridSpan w:val="2"/>
            <w:vMerge w:val="continue"/>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680" w:type="dxa"/>
            <w:vAlign w:val="bottom"/>
            <w:gridSpan w:val="2"/>
          </w:tcPr>
          <w:p>
            <w:pPr>
              <w:jc w:val="center"/>
              <w:ind w:right="10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20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2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9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Dupixent (dupilumab)</w:t>
            </w:r>
            <w:r>
              <w:rPr>
                <w:rFonts w:ascii="Times New Roman" w:cs="Times New Roman" w:eastAsia="Times New Roman" w:hAnsi="Times New Roman"/>
                <w:sz w:val="20"/>
                <w:szCs w:val="20"/>
                <w:b w:val="1"/>
                <w:bCs w:val="1"/>
                <w:color w:val="auto"/>
                <w:vertAlign w:val="superscript"/>
              </w:rPr>
              <w:t>(b)</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–Approved by MHLW</w:t>
            </w:r>
          </w:p>
        </w:tc>
        <w:tc>
          <w:tcPr>
            <w:tcW w:w="80" w:type="dxa"/>
            <w:vAlign w:val="bottom"/>
            <w:tcBorders>
              <w:top w:val="single" w:sz="8" w:color="CCEEFF"/>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0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(continued)</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for CSU in adults and</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adolescents</w:t>
            </w:r>
          </w:p>
        </w:tc>
        <w:tc>
          <w:tcPr>
            <w:tcW w:w="2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40" w:type="dxa"/>
            <w:vAlign w:val="bottom"/>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that second</w:t>
            </w:r>
          </w:p>
        </w:tc>
        <w:tc>
          <w:tcPr>
            <w:tcW w:w="2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Phase 3 trial in CSU in</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biologic-naïve patients</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met its primary and key</w:t>
            </w:r>
          </w:p>
        </w:tc>
        <w:tc>
          <w:tcPr>
            <w:tcW w:w="2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secondary endpoints</w:t>
            </w:r>
          </w:p>
        </w:tc>
        <w:tc>
          <w:tcPr>
            <w:tcW w:w="2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by FDA, EC,</w:t>
            </w:r>
          </w:p>
        </w:tc>
        <w:tc>
          <w:tcPr>
            <w:tcW w:w="2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and National Medical</w:t>
            </w:r>
          </w:p>
        </w:tc>
        <w:tc>
          <w:tcPr>
            <w:tcW w:w="2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Products Administration</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("NMPA") in China for</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uncontrolled COPD and</w:t>
            </w:r>
          </w:p>
        </w:tc>
        <w:tc>
          <w:tcPr>
            <w:tcW w:w="2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an eosinophilic</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phenotype</w:t>
            </w:r>
          </w:p>
        </w:tc>
        <w:tc>
          <w:tcPr>
            <w:tcW w:w="2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40" w:type="dxa"/>
            <w:vAlign w:val="bottom"/>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that Phase 3</w:t>
            </w:r>
          </w:p>
        </w:tc>
        <w:tc>
          <w:tcPr>
            <w:tcW w:w="2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NOTUS trial in COPD</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with evidence of type 2</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inflammation met its</w:t>
            </w:r>
          </w:p>
        </w:tc>
        <w:tc>
          <w:tcPr>
            <w:tcW w:w="2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primary and key</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secondary endpoints;</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results presented at 2024</w:t>
            </w:r>
          </w:p>
        </w:tc>
        <w:tc>
          <w:tcPr>
            <w:tcW w:w="2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American Thoracic</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Society International</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Conference and published</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NEJM</w:t>
            </w:r>
          </w:p>
        </w:tc>
        <w:tc>
          <w:tcPr>
            <w:tcW w:w="2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that Phase 3</w:t>
            </w:r>
          </w:p>
        </w:tc>
        <w:tc>
          <w:tcPr>
            <w:tcW w:w="2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trial in bullous</w:t>
            </w:r>
          </w:p>
        </w:tc>
        <w:tc>
          <w:tcPr>
            <w:tcW w:w="2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pemphigoid met its</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primary and all key</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secondary endpoints</w:t>
            </w:r>
          </w:p>
        </w:tc>
        <w:tc>
          <w:tcPr>
            <w:tcW w:w="2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0" w:type="dxa"/>
            <w:vAlign w:val="bottom"/>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that first Phase</w:t>
            </w:r>
          </w:p>
        </w:tc>
        <w:tc>
          <w:tcPr>
            <w:tcW w:w="2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 trial in CPUO did not</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achieve statistical</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significance in its</w:t>
            </w:r>
          </w:p>
        </w:tc>
        <w:tc>
          <w:tcPr>
            <w:tcW w:w="2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primary itch responder</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endpoint</w:t>
            </w:r>
          </w:p>
        </w:tc>
        <w:tc>
          <w:tcPr>
            <w:tcW w:w="2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0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Kevzara (sarilumab)</w:t>
            </w:r>
            <w:r>
              <w:rPr>
                <w:rFonts w:ascii="Times New Roman" w:cs="Times New Roman" w:eastAsia="Times New Roman" w:hAnsi="Times New Roman"/>
                <w:sz w:val="21"/>
                <w:szCs w:val="21"/>
                <w:b w:val="1"/>
                <w:bCs w:val="1"/>
                <w:color w:val="auto"/>
                <w:vertAlign w:val="superscript"/>
              </w:rPr>
              <w:t>(b)</w:t>
            </w:r>
          </w:p>
        </w:tc>
        <w:tc>
          <w:tcPr>
            <w:tcW w:w="1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–Systemic juvenile</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–Approved by FDA and</w:t>
            </w: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IL-6R</w:t>
            </w:r>
          </w:p>
        </w:tc>
        <w:tc>
          <w:tcPr>
            <w:tcW w:w="1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idiopathic arthritis</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EC for pJIA</w:t>
            </w: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("sJIA") (pivotal</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study)</w:t>
            </w: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 by EC for</w:t>
            </w:r>
          </w:p>
        </w:tc>
        <w:tc>
          <w:tcPr>
            <w:tcW w:w="2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PMR</w:t>
            </w: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1"/>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9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20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2024 and 2025</w:t>
            </w: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19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68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6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20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2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74"/>
        </w:trPr>
        <w:tc>
          <w:tcPr>
            <w:tcW w:w="19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Itepekimab</w:t>
            </w:r>
            <w:r>
              <w:rPr>
                <w:rFonts w:ascii="Times New Roman" w:cs="Times New Roman" w:eastAsia="Times New Roman" w:hAnsi="Times New Roman"/>
                <w:sz w:val="20"/>
                <w:szCs w:val="20"/>
                <w:b w:val="1"/>
                <w:bCs w:val="1"/>
                <w:color w:val="auto"/>
                <w:vertAlign w:val="superscript"/>
              </w:rPr>
              <w:t>(b)</w:t>
            </w:r>
          </w:p>
        </w:tc>
        <w:tc>
          <w:tcPr>
            <w:tcW w:w="8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–Non-cystic fibrosis</w:t>
            </w:r>
          </w:p>
        </w:tc>
        <w:tc>
          <w:tcPr>
            <w:tcW w:w="8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–COPD</w:t>
            </w:r>
            <w:r>
              <w:rPr>
                <w:rFonts w:ascii="Times New Roman" w:cs="Times New Roman" w:eastAsia="Times New Roman" w:hAnsi="Times New Roman"/>
                <w:sz w:val="20"/>
                <w:szCs w:val="20"/>
                <w:color w:val="auto"/>
                <w:vertAlign w:val="superscript"/>
              </w:rPr>
              <w:t>(e)</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84"/>
        </w:trPr>
        <w:tc>
          <w:tcPr>
            <w:tcW w:w="19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(REGN3500)</w:t>
            </w:r>
          </w:p>
        </w:tc>
        <w:tc>
          <w:tcPr>
            <w:tcW w:w="16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bronchiectasis</w:t>
            </w: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 study in COPD (second</w:t>
            </w:r>
          </w:p>
        </w:tc>
        <w:tc>
          <w:tcPr>
            <w:tcW w:w="0" w:type="dxa"/>
            <w:vAlign w:val="bottom"/>
          </w:tcPr>
          <w:p>
            <w:pPr>
              <w:spacing w:after="0"/>
              <w:rPr>
                <w:sz w:val="1"/>
                <w:szCs w:val="1"/>
                <w:color w:val="auto"/>
              </w:rPr>
            </w:pPr>
          </w:p>
        </w:tc>
      </w:tr>
      <w:tr>
        <w:trPr>
          <w:trHeight w:val="236"/>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IL-33</w:t>
            </w: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("NCFB")</w:t>
            </w: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half 2025)</w:t>
            </w:r>
          </w:p>
        </w:tc>
        <w:tc>
          <w:tcPr>
            <w:tcW w:w="0" w:type="dxa"/>
            <w:vAlign w:val="bottom"/>
          </w:tcPr>
          <w:p>
            <w:pPr>
              <w:spacing w:after="0"/>
              <w:rPr>
                <w:sz w:val="1"/>
                <w:szCs w:val="1"/>
                <w:color w:val="auto"/>
              </w:rPr>
            </w:pPr>
          </w:p>
        </w:tc>
      </w:tr>
      <w:tr>
        <w:trPr>
          <w:trHeight w:val="366"/>
        </w:trPr>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–Chronic</w:t>
            </w:r>
          </w:p>
        </w:tc>
        <w:tc>
          <w:tcPr>
            <w:tcW w:w="1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 additional Phase 3</w:t>
            </w:r>
          </w:p>
        </w:tc>
        <w:tc>
          <w:tcPr>
            <w:tcW w:w="0" w:type="dxa"/>
            <w:vAlign w:val="bottom"/>
          </w:tcPr>
          <w:p>
            <w:pPr>
              <w:spacing w:after="0"/>
              <w:rPr>
                <w:sz w:val="1"/>
                <w:szCs w:val="1"/>
                <w:color w:val="auto"/>
              </w:rPr>
            </w:pPr>
          </w:p>
        </w:tc>
      </w:tr>
      <w:tr>
        <w:trPr>
          <w:trHeight w:val="180"/>
        </w:trPr>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rhinosinusitis</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studies (first half 2025)</w:t>
            </w:r>
          </w:p>
        </w:tc>
        <w:tc>
          <w:tcPr>
            <w:tcW w:w="0" w:type="dxa"/>
            <w:vAlign w:val="bottom"/>
          </w:tcPr>
          <w:p>
            <w:pPr>
              <w:spacing w:after="0"/>
              <w:rPr>
                <w:sz w:val="1"/>
                <w:szCs w:val="1"/>
                <w:color w:val="auto"/>
              </w:rPr>
            </w:pPr>
          </w:p>
        </w:tc>
      </w:tr>
      <w:tr>
        <w:trPr>
          <w:trHeight w:val="175"/>
        </w:trPr>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without nasal</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polyposis</w:t>
            </w: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("CRSsNP")</w:t>
            </w: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9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REGN5713-5715</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–Birch allergy</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Multi-antibody therapy to</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Bet v 1</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98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REGN1908-1909</w:t>
            </w:r>
            <w:r>
              <w:rPr>
                <w:rFonts w:ascii="Times New Roman" w:cs="Times New Roman" w:eastAsia="Times New Roman" w:hAnsi="Times New Roman"/>
                <w:sz w:val="21"/>
                <w:szCs w:val="21"/>
                <w:b w:val="1"/>
                <w:bCs w:val="1"/>
                <w:color w:val="auto"/>
                <w:vertAlign w:val="superscript"/>
              </w:rPr>
              <w:t>(f)</w:t>
            </w: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–Cat allergy</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Multi-antibody therapy to</w:t>
            </w: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Fel d 1</w:t>
            </w: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Solid Organ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-125095</wp:posOffset>
            </wp:positionV>
            <wp:extent cx="709803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264"/>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Libtayo (cemiplimab)</w:t>
            </w:r>
            <w:r>
              <w:rPr>
                <w:rFonts w:ascii="Times New Roman" w:cs="Times New Roman" w:eastAsia="Times New Roman" w:hAnsi="Times New Roman"/>
                <w:sz w:val="23"/>
                <w:szCs w:val="23"/>
                <w:b w:val="1"/>
                <w:bCs w:val="1"/>
                <w:color w:val="auto"/>
                <w:vertAlign w:val="superscript"/>
              </w:rPr>
              <w:t>(g)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–Neoadjuvant CSCC</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–Adjuvant CSCC</w:t>
            </w:r>
          </w:p>
        </w:tc>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–First-line NSCLC,</w:t>
            </w:r>
          </w:p>
        </w:tc>
      </w:tr>
      <w:tr>
        <w:trPr>
          <w:trHeight w:val="184"/>
        </w:trPr>
        <w:tc>
          <w:tcPr>
            <w:tcW w:w="3580" w:type="dxa"/>
            <w:vAlign w:val="bottom"/>
          </w:tcPr>
          <w:p>
            <w:pPr>
              <w:spacing w:after="0" w:line="184" w:lineRule="exact"/>
              <w:rPr>
                <w:sz w:val="20"/>
                <w:szCs w:val="20"/>
                <w:color w:val="auto"/>
              </w:rPr>
            </w:pPr>
            <w:r>
              <w:rPr>
                <w:rFonts w:ascii="Times New Roman" w:cs="Times New Roman" w:eastAsia="Times New Roman" w:hAnsi="Times New Roman"/>
                <w:sz w:val="18"/>
                <w:szCs w:val="18"/>
                <w:i w:val="1"/>
                <w:iCs w:val="1"/>
                <w:color w:val="auto"/>
              </w:rPr>
              <w:t>Antibody to PD-1</w:t>
            </w:r>
          </w:p>
        </w:tc>
        <w:tc>
          <w:tcPr>
            <w:tcW w:w="1640" w:type="dxa"/>
            <w:vAlign w:val="bottom"/>
          </w:tcPr>
          <w:p>
            <w:pPr>
              <w:spacing w:after="0"/>
              <w:rPr>
                <w:sz w:val="16"/>
                <w:szCs w:val="16"/>
                <w:color w:val="auto"/>
              </w:rPr>
            </w:pPr>
          </w:p>
        </w:tc>
        <w:tc>
          <w:tcPr>
            <w:tcW w:w="164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monotherapy and</w:t>
            </w:r>
          </w:p>
        </w:tc>
      </w:tr>
      <w:tr>
        <w:trPr>
          <w:trHeight w:val="207"/>
        </w:trPr>
        <w:tc>
          <w:tcPr>
            <w:tcW w:w="35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–First-line NSCLC,</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–Early-stage CSCC</w:t>
            </w:r>
          </w:p>
        </w:tc>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chemotherapy</w:t>
            </w:r>
          </w:p>
        </w:tc>
      </w:tr>
      <w:tr>
        <w:trPr>
          <w:trHeight w:val="175"/>
        </w:trPr>
        <w:tc>
          <w:tcPr>
            <w:tcW w:w="3580" w:type="dxa"/>
            <w:vAlign w:val="bottom"/>
          </w:tcPr>
          <w:p>
            <w:pPr>
              <w:ind w:left="1980"/>
              <w:spacing w:after="0" w:line="176" w:lineRule="exact"/>
              <w:rPr>
                <w:sz w:val="20"/>
                <w:szCs w:val="20"/>
                <w:color w:val="auto"/>
              </w:rPr>
            </w:pPr>
            <w:r>
              <w:rPr>
                <w:rFonts w:ascii="Times New Roman" w:cs="Times New Roman" w:eastAsia="Times New Roman" w:hAnsi="Times New Roman"/>
                <w:sz w:val="16"/>
                <w:szCs w:val="16"/>
                <w:color w:val="auto"/>
              </w:rPr>
              <w:t>BNT116</w:t>
            </w:r>
            <w:r>
              <w:rPr>
                <w:rFonts w:ascii="Times New Roman" w:cs="Times New Roman" w:eastAsia="Times New Roman" w:hAnsi="Times New Roman"/>
                <w:sz w:val="20"/>
                <w:szCs w:val="20"/>
                <w:color w:val="auto"/>
                <w:vertAlign w:val="superscript"/>
              </w:rPr>
              <w:t>(i)</w:t>
            </w:r>
          </w:p>
        </w:tc>
        <w:tc>
          <w:tcPr>
            <w:tcW w:w="16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(intralesional)</w:t>
            </w:r>
          </w:p>
        </w:tc>
        <w:tc>
          <w:tcPr>
            <w:tcW w:w="16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w w:val="97"/>
              </w:rPr>
              <w:t>combination (Japan)</w:t>
            </w:r>
          </w:p>
        </w:tc>
      </w:tr>
      <w:tr>
        <w:trPr>
          <w:trHeight w:val="234"/>
        </w:trPr>
        <w:tc>
          <w:tcPr>
            <w:tcW w:w="35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combination</w:t>
            </w:r>
          </w:p>
        </w:tc>
        <w:tc>
          <w:tcPr>
            <w:tcW w:w="16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73"/>
        </w:trPr>
        <w:tc>
          <w:tcPr>
            <w:tcW w:w="35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–Neoadjuvant</w:t>
            </w: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4"/>
        </w:trPr>
        <w:tc>
          <w:tcPr>
            <w:tcW w:w="35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NSCLC</w:t>
            </w:r>
          </w:p>
        </w:tc>
        <w:tc>
          <w:tcPr>
            <w:tcW w:w="16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68"/>
        </w:trPr>
        <w:tc>
          <w:tcPr>
            <w:tcW w:w="35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–Neoadjuvant</w:t>
            </w: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0"/>
        </w:trPr>
        <w:tc>
          <w:tcPr>
            <w:tcW w:w="3580" w:type="dxa"/>
            <w:vAlign w:val="bottom"/>
          </w:tcPr>
          <w:p>
            <w:pPr>
              <w:ind w:left="1980"/>
              <w:spacing w:after="0" w:line="181" w:lineRule="exact"/>
              <w:rPr>
                <w:sz w:val="20"/>
                <w:szCs w:val="20"/>
                <w:color w:val="auto"/>
              </w:rPr>
            </w:pPr>
            <w:r>
              <w:rPr>
                <w:rFonts w:ascii="Times New Roman" w:cs="Times New Roman" w:eastAsia="Times New Roman" w:hAnsi="Times New Roman"/>
                <w:sz w:val="18"/>
                <w:szCs w:val="18"/>
                <w:color w:val="auto"/>
              </w:rPr>
              <w:t>hepatocellular</w:t>
            </w:r>
          </w:p>
        </w:tc>
        <w:tc>
          <w:tcPr>
            <w:tcW w:w="16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27"/>
        </w:trPr>
        <w:tc>
          <w:tcPr>
            <w:tcW w:w="35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carcinoma ("HCC")</w:t>
            </w:r>
          </w:p>
        </w:tc>
        <w:tc>
          <w:tcPr>
            <w:tcW w:w="164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80"/>
        <w:spacing w:after="0" w:line="222" w:lineRule="auto"/>
        <w:rPr>
          <w:sz w:val="20"/>
          <w:szCs w:val="20"/>
          <w:color w:val="auto"/>
        </w:rPr>
      </w:pPr>
      <w:r>
        <w:rPr>
          <w:rFonts w:ascii="Times New Roman" w:cs="Times New Roman" w:eastAsia="Times New Roman" w:hAnsi="Times New Roman"/>
          <w:sz w:val="18"/>
          <w:szCs w:val="18"/>
          <w:color w:val="auto"/>
        </w:rPr>
        <w:t>–Presented positive five- –MHLW decision on year survival data from regulatory submission for</w:t>
      </w:r>
    </w:p>
    <w:p>
      <w:pPr>
        <w:spacing w:after="0" w:line="217" w:lineRule="auto"/>
        <w:tabs>
          <w:tab w:leader="none" w:pos="1980" w:val="left"/>
        </w:tabs>
        <w:rPr>
          <w:sz w:val="20"/>
          <w:szCs w:val="20"/>
          <w:color w:val="auto"/>
        </w:rPr>
      </w:pPr>
      <w:r>
        <w:rPr>
          <w:rFonts w:ascii="Times New Roman" w:cs="Times New Roman" w:eastAsia="Times New Roman" w:hAnsi="Times New Roman"/>
          <w:sz w:val="18"/>
          <w:szCs w:val="18"/>
          <w:color w:val="auto"/>
        </w:rPr>
        <w:t>Phase 3 NSCLC</w:t>
      </w:r>
      <w:r>
        <w:rPr>
          <w:sz w:val="20"/>
          <w:szCs w:val="20"/>
          <w:color w:val="auto"/>
        </w:rPr>
        <w:tab/>
      </w:r>
      <w:r>
        <w:rPr>
          <w:rFonts w:ascii="Times New Roman" w:cs="Times New Roman" w:eastAsia="Times New Roman" w:hAnsi="Times New Roman"/>
          <w:sz w:val="17"/>
          <w:szCs w:val="17"/>
          <w:color w:val="auto"/>
        </w:rPr>
        <w:t>NSCLC, monotherapy and</w:t>
      </w:r>
    </w:p>
    <w:p>
      <w:pPr>
        <w:spacing w:after="0" w:line="232" w:lineRule="auto"/>
        <w:tabs>
          <w:tab w:leader="none" w:pos="1980" w:val="left"/>
        </w:tabs>
        <w:rPr>
          <w:sz w:val="20"/>
          <w:szCs w:val="20"/>
          <w:color w:val="auto"/>
        </w:rPr>
      </w:pPr>
      <w:r>
        <w:rPr>
          <w:rFonts w:ascii="Times New Roman" w:cs="Times New Roman" w:eastAsia="Times New Roman" w:hAnsi="Times New Roman"/>
          <w:sz w:val="18"/>
          <w:szCs w:val="18"/>
          <w:color w:val="auto"/>
        </w:rPr>
        <w:t>monotherapy trial at</w:t>
      </w:r>
      <w:r>
        <w:rPr>
          <w:sz w:val="20"/>
          <w:szCs w:val="20"/>
          <w:color w:val="auto"/>
        </w:rPr>
        <w:tab/>
      </w:r>
      <w:r>
        <w:rPr>
          <w:rFonts w:ascii="Times New Roman" w:cs="Times New Roman" w:eastAsia="Times New Roman" w:hAnsi="Times New Roman"/>
          <w:sz w:val="17"/>
          <w:szCs w:val="17"/>
          <w:color w:val="auto"/>
        </w:rPr>
        <w:t>chemotherapy combination</w:t>
      </w:r>
    </w:p>
    <w:p>
      <w:pPr>
        <w:spacing w:after="0" w:line="215" w:lineRule="auto"/>
        <w:tabs>
          <w:tab w:leader="none" w:pos="1980" w:val="left"/>
        </w:tabs>
        <w:rPr>
          <w:sz w:val="20"/>
          <w:szCs w:val="20"/>
          <w:color w:val="auto"/>
        </w:rPr>
      </w:pPr>
      <w:r>
        <w:rPr>
          <w:rFonts w:ascii="Times New Roman" w:cs="Times New Roman" w:eastAsia="Times New Roman" w:hAnsi="Times New Roman"/>
          <w:sz w:val="18"/>
          <w:szCs w:val="18"/>
          <w:color w:val="auto"/>
        </w:rPr>
        <w:t>IASLC 2024 World</w:t>
      </w:r>
      <w:r>
        <w:rPr>
          <w:sz w:val="20"/>
          <w:szCs w:val="20"/>
          <w:color w:val="auto"/>
        </w:rPr>
        <w:tab/>
      </w:r>
      <w:r>
        <w:rPr>
          <w:rFonts w:ascii="Times New Roman" w:cs="Times New Roman" w:eastAsia="Times New Roman" w:hAnsi="Times New Roman"/>
          <w:sz w:val="17"/>
          <w:szCs w:val="17"/>
          <w:color w:val="auto"/>
        </w:rPr>
        <w:t>(second half 2025)</w:t>
      </w:r>
    </w:p>
    <w:p>
      <w:pPr>
        <w:spacing w:after="0" w:line="204" w:lineRule="auto"/>
        <w:rPr>
          <w:sz w:val="20"/>
          <w:szCs w:val="20"/>
          <w:color w:val="auto"/>
        </w:rPr>
      </w:pPr>
      <w:r>
        <w:rPr>
          <w:rFonts w:ascii="Times New Roman" w:cs="Times New Roman" w:eastAsia="Times New Roman" w:hAnsi="Times New Roman"/>
          <w:sz w:val="18"/>
          <w:szCs w:val="18"/>
          <w:color w:val="auto"/>
        </w:rPr>
        <w:t>Conference on Lung</w:t>
      </w:r>
    </w:p>
    <w:p>
      <w:pPr>
        <w:spacing w:after="0" w:line="185" w:lineRule="auto"/>
        <w:tabs>
          <w:tab w:leader="none" w:pos="1980" w:val="left"/>
        </w:tabs>
        <w:rPr>
          <w:sz w:val="20"/>
          <w:szCs w:val="20"/>
          <w:color w:val="auto"/>
        </w:rPr>
      </w:pPr>
      <w:r>
        <w:rPr>
          <w:rFonts w:ascii="Times New Roman" w:cs="Times New Roman" w:eastAsia="Times New Roman" w:hAnsi="Times New Roman"/>
          <w:sz w:val="22"/>
          <w:szCs w:val="22"/>
          <w:color w:val="auto"/>
          <w:vertAlign w:val="superscript"/>
        </w:rPr>
        <w:t>Cancer</w:t>
      </w:r>
      <w:r>
        <w:rPr>
          <w:sz w:val="20"/>
          <w:szCs w:val="20"/>
          <w:color w:val="auto"/>
        </w:rPr>
        <w:tab/>
      </w:r>
      <w:r>
        <w:rPr>
          <w:rFonts w:ascii="Times New Roman" w:cs="Times New Roman" w:eastAsia="Times New Roman" w:hAnsi="Times New Roman"/>
          <w:sz w:val="13"/>
          <w:szCs w:val="13"/>
          <w:color w:val="auto"/>
        </w:rPr>
        <w:t>–Submit sBLA for adjuvant</w:t>
      </w:r>
    </w:p>
    <w:p>
      <w:pPr>
        <w:spacing w:after="0" w:line="3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CSCC (first half 2025)</w:t>
      </w:r>
    </w:p>
    <w:p>
      <w:pPr>
        <w:spacing w:after="0" w:line="203" w:lineRule="auto"/>
        <w:rPr>
          <w:sz w:val="20"/>
          <w:szCs w:val="20"/>
          <w:color w:val="auto"/>
        </w:rPr>
      </w:pPr>
      <w:r>
        <w:rPr>
          <w:rFonts w:ascii="Times New Roman" w:cs="Times New Roman" w:eastAsia="Times New Roman" w:hAnsi="Times New Roman"/>
          <w:sz w:val="18"/>
          <w:szCs w:val="18"/>
          <w:color w:val="auto"/>
        </w:rPr>
        <w:t>–Reported positive</w:t>
      </w:r>
    </w:p>
    <w:p>
      <w:pPr>
        <w:spacing w:after="0" w:line="203" w:lineRule="auto"/>
        <w:rPr>
          <w:sz w:val="20"/>
          <w:szCs w:val="20"/>
          <w:color w:val="auto"/>
        </w:rPr>
      </w:pPr>
      <w:r>
        <w:rPr>
          <w:rFonts w:ascii="Times New Roman" w:cs="Times New Roman" w:eastAsia="Times New Roman" w:hAnsi="Times New Roman"/>
          <w:sz w:val="18"/>
          <w:szCs w:val="18"/>
          <w:color w:val="auto"/>
        </w:rPr>
        <w:t>interim data from Phase 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study in adjuvant CSCC</w:t>
      </w:r>
    </w:p>
    <w:p>
      <w:pPr>
        <w:spacing w:after="0" w:line="316" w:lineRule="exact"/>
        <w:rPr>
          <w:sz w:val="20"/>
          <w:szCs w:val="20"/>
          <w:color w:val="auto"/>
        </w:rPr>
      </w:pPr>
    </w:p>
    <w:p>
      <w:pPr>
        <w:sectPr>
          <w:pgSz w:w="11900" w:h="16838" w:orient="portrait"/>
          <w:cols w:equalWidth="0" w:num="2">
            <w:col w:w="6920" w:space="200"/>
            <w:col w:w="412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40" w:type="dxa"/>
            <w:vAlign w:val="bottom"/>
          </w:tcPr>
          <w:p>
            <w:pPr>
              <w:spacing w:after="0"/>
              <w:rPr>
                <w:sz w:val="18"/>
                <w:szCs w:val="18"/>
                <w:color w:val="auto"/>
              </w:rPr>
            </w:pPr>
          </w:p>
        </w:tc>
        <w:tc>
          <w:tcPr>
            <w:tcW w:w="180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Fianlimab</w:t>
            </w:r>
            <w:r>
              <w:rPr>
                <w:rFonts w:ascii="Times New Roman" w:cs="Times New Roman" w:eastAsia="Times New Roman" w:hAnsi="Times New Roman"/>
                <w:sz w:val="23"/>
                <w:szCs w:val="23"/>
                <w:b w:val="1"/>
                <w:bCs w:val="1"/>
                <w:color w:val="auto"/>
                <w:vertAlign w:val="superscript"/>
              </w:rPr>
              <w:t>(f)</w:t>
            </w:r>
          </w:p>
        </w:tc>
        <w:tc>
          <w:tcPr>
            <w:tcW w:w="1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–First-line advanced</w:t>
            </w:r>
          </w:p>
        </w:tc>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–First-line metastatic</w:t>
            </w:r>
          </w:p>
        </w:tc>
        <w:tc>
          <w:tcPr>
            <w:tcW w:w="362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–Presented positive two-</w:t>
            </w: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–Initiate Phase 2 study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(REGN3767)</w:t>
            </w:r>
          </w:p>
        </w:tc>
        <w:tc>
          <w:tcPr>
            <w:tcW w:w="17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NSCLC (Phase 2/3)</w:t>
            </w:r>
          </w:p>
        </w:tc>
        <w:tc>
          <w:tcPr>
            <w:tcW w:w="18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6"/>
                <w:szCs w:val="16"/>
                <w:color w:val="auto"/>
              </w:rPr>
              <w:t>melanoma</w:t>
            </w:r>
            <w:r>
              <w:rPr>
                <w:rFonts w:ascii="Times New Roman" w:cs="Times New Roman" w:eastAsia="Times New Roman" w:hAnsi="Times New Roman"/>
                <w:sz w:val="20"/>
                <w:szCs w:val="20"/>
                <w:color w:val="auto"/>
                <w:vertAlign w:val="superscript"/>
              </w:rPr>
              <w:t>(e)</w:t>
            </w:r>
          </w:p>
        </w:tc>
        <w:tc>
          <w:tcPr>
            <w:tcW w:w="3620" w:type="dxa"/>
            <w:vAlign w:val="bottom"/>
            <w:shd w:val="clear" w:color="auto" w:fill="CCEEFF"/>
          </w:tcPr>
          <w:p>
            <w:pPr>
              <w:ind w:left="1700"/>
              <w:spacing w:after="0" w:line="176" w:lineRule="exact"/>
              <w:rPr>
                <w:sz w:val="20"/>
                <w:szCs w:val="20"/>
                <w:color w:val="auto"/>
              </w:rPr>
            </w:pPr>
            <w:r>
              <w:rPr>
                <w:rFonts w:ascii="Times New Roman" w:cs="Times New Roman" w:eastAsia="Times New Roman" w:hAnsi="Times New Roman"/>
                <w:sz w:val="18"/>
                <w:szCs w:val="18"/>
                <w:color w:val="auto"/>
              </w:rPr>
              <w:t>year data from Phase 1</w:t>
            </w:r>
          </w:p>
        </w:tc>
        <w:tc>
          <w:tcPr>
            <w:tcW w:w="21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combination with Libtayo)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8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Antibody to LAG-3</w:t>
            </w:r>
          </w:p>
        </w:tc>
        <w:tc>
          <w:tcPr>
            <w:tcW w:w="17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3620" w:type="dxa"/>
            <w:vAlign w:val="bottom"/>
            <w:shd w:val="clear" w:color="auto" w:fill="CCEEFF"/>
          </w:tcPr>
          <w:p>
            <w:pPr>
              <w:ind w:left="1700"/>
              <w:spacing w:after="0" w:line="189" w:lineRule="exact"/>
              <w:rPr>
                <w:sz w:val="20"/>
                <w:szCs w:val="20"/>
                <w:color w:val="auto"/>
              </w:rPr>
            </w:pPr>
            <w:r>
              <w:rPr>
                <w:rFonts w:ascii="Times New Roman" w:cs="Times New Roman" w:eastAsia="Times New Roman" w:hAnsi="Times New Roman"/>
                <w:sz w:val="18"/>
                <w:szCs w:val="18"/>
                <w:color w:val="auto"/>
              </w:rPr>
              <w:t>trial (in combination with</w:t>
            </w:r>
          </w:p>
        </w:tc>
        <w:tc>
          <w:tcPr>
            <w:tcW w:w="218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in first-line metastatic head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78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–Perioperative</w:t>
            </w:r>
          </w:p>
        </w:tc>
        <w:tc>
          <w:tcPr>
            <w:tcW w:w="180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–Adjuvant melanoma</w:t>
            </w:r>
          </w:p>
        </w:tc>
        <w:tc>
          <w:tcPr>
            <w:tcW w:w="3620" w:type="dxa"/>
            <w:vAlign w:val="bottom"/>
            <w:shd w:val="clear" w:color="auto" w:fill="CCEEFF"/>
          </w:tcPr>
          <w:p>
            <w:pPr>
              <w:ind w:left="1700"/>
              <w:spacing w:after="0" w:line="202" w:lineRule="exact"/>
              <w:rPr>
                <w:sz w:val="20"/>
                <w:szCs w:val="20"/>
                <w:color w:val="auto"/>
              </w:rPr>
            </w:pPr>
            <w:r>
              <w:rPr>
                <w:rFonts w:ascii="Times New Roman" w:cs="Times New Roman" w:eastAsia="Times New Roman" w:hAnsi="Times New Roman"/>
                <w:sz w:val="18"/>
                <w:szCs w:val="18"/>
                <w:color w:val="auto"/>
              </w:rPr>
              <w:t>Libtayo) in advanced</w:t>
            </w:r>
          </w:p>
        </w:tc>
        <w:tc>
          <w:tcPr>
            <w:tcW w:w="218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and neck squamous cell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7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NSCLC</w:t>
            </w:r>
          </w:p>
        </w:tc>
        <w:tc>
          <w:tcPr>
            <w:tcW w:w="1800" w:type="dxa"/>
            <w:vAlign w:val="bottom"/>
            <w:shd w:val="clear" w:color="auto" w:fill="CCEEFF"/>
          </w:tcPr>
          <w:p>
            <w:pPr>
              <w:spacing w:after="0"/>
              <w:rPr>
                <w:sz w:val="15"/>
                <w:szCs w:val="15"/>
                <w:color w:val="auto"/>
              </w:rPr>
            </w:pPr>
          </w:p>
        </w:tc>
        <w:tc>
          <w:tcPr>
            <w:tcW w:w="3620" w:type="dxa"/>
            <w:vAlign w:val="bottom"/>
            <w:shd w:val="clear" w:color="auto" w:fill="CCEEFF"/>
          </w:tcPr>
          <w:p>
            <w:pPr>
              <w:ind w:left="1700"/>
              <w:spacing w:after="0" w:line="176" w:lineRule="exact"/>
              <w:rPr>
                <w:sz w:val="20"/>
                <w:szCs w:val="20"/>
                <w:color w:val="auto"/>
              </w:rPr>
            </w:pPr>
            <w:r>
              <w:rPr>
                <w:rFonts w:ascii="Times New Roman" w:cs="Times New Roman" w:eastAsia="Times New Roman" w:hAnsi="Times New Roman"/>
                <w:sz w:val="18"/>
                <w:szCs w:val="18"/>
                <w:color w:val="auto"/>
              </w:rPr>
              <w:t>melanoma at European</w:t>
            </w:r>
          </w:p>
        </w:tc>
        <w:tc>
          <w:tcPr>
            <w:tcW w:w="21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carcinoma (2025)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3620" w:type="dxa"/>
            <w:vAlign w:val="bottom"/>
            <w:shd w:val="clear" w:color="auto" w:fill="CCEEFF"/>
          </w:tcPr>
          <w:p>
            <w:pPr>
              <w:ind w:left="1700"/>
              <w:spacing w:after="0" w:line="162" w:lineRule="exact"/>
              <w:rPr>
                <w:sz w:val="20"/>
                <w:szCs w:val="20"/>
                <w:color w:val="auto"/>
              </w:rPr>
            </w:pPr>
            <w:r>
              <w:rPr>
                <w:rFonts w:ascii="Times New Roman" w:cs="Times New Roman" w:eastAsia="Times New Roman" w:hAnsi="Times New Roman"/>
                <w:sz w:val="18"/>
                <w:szCs w:val="18"/>
                <w:color w:val="auto"/>
              </w:rPr>
              <w:t>Society for Medical</w:t>
            </w:r>
          </w:p>
        </w:tc>
        <w:tc>
          <w:tcPr>
            <w:tcW w:w="21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7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–Perioperative</w:t>
            </w:r>
          </w:p>
        </w:tc>
        <w:tc>
          <w:tcPr>
            <w:tcW w:w="1800" w:type="dxa"/>
            <w:vAlign w:val="bottom"/>
            <w:shd w:val="clear" w:color="auto" w:fill="CCEEFF"/>
          </w:tcPr>
          <w:p>
            <w:pPr>
              <w:spacing w:after="0"/>
              <w:rPr>
                <w:sz w:val="17"/>
                <w:szCs w:val="17"/>
                <w:color w:val="auto"/>
              </w:rPr>
            </w:pPr>
          </w:p>
        </w:tc>
        <w:tc>
          <w:tcPr>
            <w:tcW w:w="3620" w:type="dxa"/>
            <w:vAlign w:val="bottom"/>
            <w:shd w:val="clear" w:color="auto" w:fill="CCEEFF"/>
          </w:tcPr>
          <w:p>
            <w:pPr>
              <w:ind w:left="1700"/>
              <w:spacing w:after="0" w:line="202" w:lineRule="exact"/>
              <w:rPr>
                <w:sz w:val="20"/>
                <w:szCs w:val="20"/>
                <w:color w:val="auto"/>
              </w:rPr>
            </w:pPr>
            <w:r>
              <w:rPr>
                <w:rFonts w:ascii="Times New Roman" w:cs="Times New Roman" w:eastAsia="Times New Roman" w:hAnsi="Times New Roman"/>
                <w:sz w:val="18"/>
                <w:szCs w:val="18"/>
                <w:color w:val="auto"/>
              </w:rPr>
              <w:t>Oncology ("ESMO")</w:t>
            </w:r>
          </w:p>
        </w:tc>
        <w:tc>
          <w:tcPr>
            <w:tcW w:w="218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–Report results from Phase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780" w:type="dxa"/>
            <w:vAlign w:val="bottom"/>
            <w:vMerge w:val="continue"/>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3620" w:type="dxa"/>
            <w:vAlign w:val="bottom"/>
            <w:vMerge w:val="restart"/>
            <w:shd w:val="clear" w:color="auto" w:fill="CCEEFF"/>
          </w:tcPr>
          <w:p>
            <w:pPr>
              <w:ind w:left="1700"/>
              <w:spacing w:after="0" w:line="184" w:lineRule="exact"/>
              <w:rPr>
                <w:sz w:val="20"/>
                <w:szCs w:val="20"/>
                <w:color w:val="auto"/>
              </w:rPr>
            </w:pPr>
            <w:r>
              <w:rPr>
                <w:rFonts w:ascii="Times New Roman" w:cs="Times New Roman" w:eastAsia="Times New Roman" w:hAnsi="Times New Roman"/>
                <w:sz w:val="18"/>
                <w:szCs w:val="18"/>
                <w:color w:val="auto"/>
              </w:rPr>
              <w:t>Annual Meeting</w:t>
            </w:r>
          </w:p>
        </w:tc>
        <w:tc>
          <w:tcPr>
            <w:tcW w:w="2180" w:type="dxa"/>
            <w:vAlign w:val="bottom"/>
            <w:vMerge w:val="restart"/>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3 study versus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17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melanoma</w:t>
            </w:r>
          </w:p>
        </w:tc>
        <w:tc>
          <w:tcPr>
            <w:tcW w:w="1800" w:type="dxa"/>
            <w:vAlign w:val="bottom"/>
            <w:shd w:val="clear" w:color="auto" w:fill="CCEEFF"/>
          </w:tcPr>
          <w:p>
            <w:pPr>
              <w:spacing w:after="0"/>
              <w:rPr>
                <w:sz w:val="10"/>
                <w:szCs w:val="10"/>
                <w:color w:val="auto"/>
              </w:rPr>
            </w:pPr>
          </w:p>
        </w:tc>
        <w:tc>
          <w:tcPr>
            <w:tcW w:w="3620" w:type="dxa"/>
            <w:vAlign w:val="bottom"/>
            <w:vMerge w:val="continue"/>
            <w:shd w:val="clear" w:color="auto" w:fill="CCEEFF"/>
          </w:tcPr>
          <w:p>
            <w:pPr>
              <w:spacing w:after="0"/>
              <w:rPr>
                <w:sz w:val="10"/>
                <w:szCs w:val="10"/>
                <w:color w:val="auto"/>
              </w:rPr>
            </w:pPr>
          </w:p>
        </w:tc>
        <w:tc>
          <w:tcPr>
            <w:tcW w:w="218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3620" w:type="dxa"/>
            <w:vAlign w:val="bottom"/>
            <w:shd w:val="clear" w:color="auto" w:fill="CCEEFF"/>
          </w:tcPr>
          <w:p>
            <w:pPr>
              <w:spacing w:after="0"/>
              <w:rPr>
                <w:sz w:val="10"/>
                <w:szCs w:val="10"/>
                <w:color w:val="auto"/>
              </w:rPr>
            </w:pPr>
          </w:p>
        </w:tc>
        <w:tc>
          <w:tcPr>
            <w:tcW w:w="2180" w:type="dxa"/>
            <w:vAlign w:val="bottom"/>
            <w:vMerge w:val="restart"/>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pembrolizumab in first-line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3620" w:type="dxa"/>
            <w:vAlign w:val="bottom"/>
            <w:shd w:val="clear" w:color="auto" w:fill="CCEEFF"/>
          </w:tcPr>
          <w:p>
            <w:pPr>
              <w:spacing w:after="0"/>
              <w:rPr>
                <w:sz w:val="5"/>
                <w:szCs w:val="5"/>
                <w:color w:val="auto"/>
              </w:rPr>
            </w:pPr>
          </w:p>
        </w:tc>
        <w:tc>
          <w:tcPr>
            <w:tcW w:w="218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21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metastatic melanoma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(second half 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0" w:type="dxa"/>
            <w:vAlign w:val="bottom"/>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–Report initial data from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21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Phase 2/3 study in first-line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21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advanced NSCLC (first half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8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Vidutolimod</w:t>
            </w:r>
          </w:p>
        </w:tc>
        <w:tc>
          <w:tcPr>
            <w:tcW w:w="17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620" w:type="dxa"/>
            <w:vAlign w:val="bottom"/>
          </w:tcPr>
          <w:p>
            <w:pPr>
              <w:ind w:left="1700"/>
              <w:spacing w:after="0" w:line="182" w:lineRule="exact"/>
              <w:rPr>
                <w:sz w:val="20"/>
                <w:szCs w:val="20"/>
                <w:color w:val="auto"/>
              </w:rPr>
            </w:pPr>
            <w:r>
              <w:rPr>
                <w:rFonts w:ascii="Times New Roman" w:cs="Times New Roman" w:eastAsia="Times New Roman" w:hAnsi="Times New Roman"/>
                <w:sz w:val="18"/>
                <w:szCs w:val="18"/>
                <w:color w:val="auto"/>
              </w:rPr>
              <w:t>–Company discontinued</w:t>
            </w: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8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Immune activator</w:t>
            </w:r>
          </w:p>
        </w:tc>
        <w:tc>
          <w:tcPr>
            <w:tcW w:w="17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620" w:type="dxa"/>
            <w:vAlign w:val="bottom"/>
          </w:tcPr>
          <w:p>
            <w:pPr>
              <w:ind w:left="1700"/>
              <w:spacing w:after="0" w:line="182" w:lineRule="exact"/>
              <w:rPr>
                <w:sz w:val="20"/>
                <w:szCs w:val="20"/>
                <w:color w:val="auto"/>
              </w:rPr>
            </w:pPr>
            <w:r>
              <w:rPr>
                <w:rFonts w:ascii="Times New Roman" w:cs="Times New Roman" w:eastAsia="Times New Roman" w:hAnsi="Times New Roman"/>
                <w:sz w:val="18"/>
                <w:szCs w:val="18"/>
                <w:color w:val="auto"/>
              </w:rPr>
              <w:t>Phase 2 study due to drug</w:t>
            </w: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TLR9</w:t>
            </w:r>
          </w:p>
        </w:tc>
        <w:tc>
          <w:tcPr>
            <w:tcW w:w="1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6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supply</w:t>
            </w: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Ubamatamab</w:t>
            </w:r>
            <w:r>
              <w:rPr>
                <w:rFonts w:ascii="Times New Roman" w:cs="Times New Roman" w:eastAsia="Times New Roman" w:hAnsi="Times New Roman"/>
                <w:sz w:val="20"/>
                <w:szCs w:val="20"/>
                <w:b w:val="1"/>
                <w:bCs w:val="1"/>
                <w:color w:val="auto"/>
                <w:vertAlign w:val="superscript"/>
              </w:rPr>
              <w:t>(f)</w:t>
            </w:r>
          </w:p>
        </w:tc>
        <w:tc>
          <w:tcPr>
            <w:tcW w:w="17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–Platinum-resistant</w:t>
            </w:r>
          </w:p>
        </w:tc>
        <w:tc>
          <w:tcPr>
            <w:tcW w:w="180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218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w w:val="99"/>
              </w:rPr>
              <w:t>–Report additional data from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(REGN4018)</w:t>
            </w:r>
          </w:p>
        </w:tc>
        <w:tc>
          <w:tcPr>
            <w:tcW w:w="17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ovarian cancer</w:t>
            </w:r>
          </w:p>
        </w:tc>
        <w:tc>
          <w:tcPr>
            <w:tcW w:w="1800" w:type="dxa"/>
            <w:vAlign w:val="bottom"/>
            <w:shd w:val="clear" w:color="auto" w:fill="CCEEFF"/>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21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study in platinum-resistant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7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21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ovarian cancer (2025)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8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7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17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20"/>
          </w:cols>
          <w:pgMar w:left="320" w:top="3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3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2024 and 2025</w:t>
            </w:r>
          </w:p>
        </w:tc>
        <w:tc>
          <w:tcPr>
            <w:tcW w:w="0" w:type="dxa"/>
            <w:vAlign w:val="bottom"/>
          </w:tcPr>
          <w:p>
            <w:pPr>
              <w:spacing w:after="0"/>
              <w:rPr>
                <w:sz w:val="1"/>
                <w:szCs w:val="1"/>
                <w:color w:val="auto"/>
              </w:rPr>
            </w:pPr>
          </w:p>
        </w:tc>
      </w:tr>
      <w:tr>
        <w:trPr>
          <w:trHeight w:val="240"/>
        </w:trPr>
        <w:tc>
          <w:tcPr>
            <w:tcW w:w="20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640" w:type="dxa"/>
            <w:vAlign w:val="bottom"/>
            <w:gridSpan w:val="2"/>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0" w:type="dxa"/>
            <w:vAlign w:val="bottom"/>
          </w:tcPr>
          <w:p>
            <w:pPr>
              <w:spacing w:after="0"/>
              <w:rPr>
                <w:sz w:val="1"/>
                <w:szCs w:val="1"/>
                <w:color w:val="auto"/>
              </w:rPr>
            </w:pPr>
          </w:p>
        </w:tc>
      </w:tr>
      <w:tr>
        <w:trPr>
          <w:trHeight w:val="174"/>
        </w:trPr>
        <w:tc>
          <w:tcPr>
            <w:tcW w:w="192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Nezastomig</w:t>
            </w:r>
          </w:p>
        </w:tc>
        <w:tc>
          <w:tcPr>
            <w:tcW w:w="80" w:type="dxa"/>
            <w:vAlign w:val="bottom"/>
          </w:tcPr>
          <w:p>
            <w:pPr>
              <w:spacing w:after="0"/>
              <w:rPr>
                <w:sz w:val="15"/>
                <w:szCs w:val="15"/>
                <w:color w:val="auto"/>
              </w:rPr>
            </w:pPr>
          </w:p>
        </w:tc>
        <w:tc>
          <w:tcPr>
            <w:tcW w:w="156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–Prostate cancer</w:t>
            </w:r>
          </w:p>
        </w:tc>
        <w:tc>
          <w:tcPr>
            <w:tcW w:w="8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(REGN5678)</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targeting PSMA and</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0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REGN7075</w:t>
            </w:r>
          </w:p>
        </w:tc>
        <w:tc>
          <w:tcPr>
            <w:tcW w:w="16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–Solid tumors</w:t>
            </w: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–Presented positive</w:t>
            </w:r>
          </w:p>
        </w:tc>
        <w:tc>
          <w:tcPr>
            <w:tcW w:w="0" w:type="dxa"/>
            <w:vAlign w:val="bottom"/>
          </w:tcPr>
          <w:p>
            <w:pPr>
              <w:spacing w:after="0"/>
              <w:rPr>
                <w:sz w:val="1"/>
                <w:szCs w:val="1"/>
                <w:color w:val="auto"/>
              </w:rPr>
            </w:pPr>
          </w:p>
        </w:tc>
      </w:tr>
      <w:tr>
        <w:trPr>
          <w:trHeight w:val="182"/>
        </w:trPr>
        <w:tc>
          <w:tcPr>
            <w:tcW w:w="2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results from dose</w:t>
            </w: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EGFR and</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escalation portion of</w:t>
            </w: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CD28</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Phase 1/2 trial (in</w:t>
            </w: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combination with</w:t>
            </w: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Libtayo) in advanced</w:t>
            </w: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solid tumors at American</w:t>
            </w: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Society of Clinical</w:t>
            </w: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Oncology ("ASCO")</w:t>
            </w:r>
          </w:p>
        </w:tc>
        <w:tc>
          <w:tcPr>
            <w:tcW w:w="0" w:type="dxa"/>
            <w:vAlign w:val="bottom"/>
          </w:tcPr>
          <w:p>
            <w:pPr>
              <w:spacing w:after="0"/>
              <w:rPr>
                <w:sz w:val="1"/>
                <w:szCs w:val="1"/>
                <w:color w:val="auto"/>
              </w:rPr>
            </w:pPr>
          </w:p>
        </w:tc>
      </w:tr>
      <w:tr>
        <w:trPr>
          <w:trHeight w:val="234"/>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Davutamig</w:t>
            </w: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–MET-altered</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Annual Meeting</w:t>
            </w:r>
          </w:p>
        </w:tc>
        <w:tc>
          <w:tcPr>
            <w:tcW w:w="0" w:type="dxa"/>
            <w:vAlign w:val="bottom"/>
          </w:tcPr>
          <w:p>
            <w:pPr>
              <w:spacing w:after="0"/>
              <w:rPr>
                <w:sz w:val="1"/>
                <w:szCs w:val="1"/>
                <w:color w:val="auto"/>
              </w:rPr>
            </w:pPr>
          </w:p>
        </w:tc>
      </w:tr>
      <w:tr>
        <w:trPr>
          <w:trHeight w:val="175"/>
        </w:trPr>
        <w:tc>
          <w:tcPr>
            <w:tcW w:w="20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(REGN5093)</w:t>
            </w:r>
          </w:p>
        </w:tc>
        <w:tc>
          <w:tcPr>
            <w:tcW w:w="1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advanced NSCLC</w:t>
            </w: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targeting two distinct</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MET epitopes</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Hematology</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-1962150</wp:posOffset>
            </wp:positionV>
            <wp:extent cx="7098030" cy="1174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1741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-144780</wp:posOffset>
            </wp:positionV>
            <wp:extent cx="709803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 Upcoming</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wp:posOffset>
            </wp:positionV>
            <wp:extent cx="13544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–Report additional data from study in prostate cancer</w:t>
      </w:r>
    </w:p>
    <w:p>
      <w:pPr>
        <w:spacing w:after="0"/>
        <w:rPr>
          <w:sz w:val="20"/>
          <w:szCs w:val="20"/>
          <w:color w:val="auto"/>
        </w:rPr>
      </w:pPr>
      <w:r>
        <w:rPr>
          <w:rFonts w:ascii="Times New Roman" w:cs="Times New Roman" w:eastAsia="Times New Roman" w:hAnsi="Times New Roman"/>
          <w:sz w:val="18"/>
          <w:szCs w:val="18"/>
          <w:color w:val="auto"/>
        </w:rPr>
        <w:t>(2025)</w:t>
      </w:r>
    </w:p>
    <w:p>
      <w:pPr>
        <w:spacing w:after="0" w:line="367"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7"/>
          <w:szCs w:val="17"/>
          <w:color w:val="auto"/>
        </w:rPr>
        <w:t>–Report additional data from study in solid tumors (2025)</w:t>
      </w:r>
    </w:p>
    <w:p>
      <w:pPr>
        <w:spacing w:after="0" w:line="2633" w:lineRule="exact"/>
        <w:rPr>
          <w:sz w:val="20"/>
          <w:szCs w:val="20"/>
          <w:color w:val="auto"/>
        </w:rPr>
      </w:pPr>
    </w:p>
    <w:p>
      <w:pPr>
        <w:sectPr>
          <w:pgSz w:w="11900" w:h="16838" w:orient="portrait"/>
          <w:cols w:equalWidth="0" w:num="2">
            <w:col w:w="9000" w:space="100"/>
            <w:col w:w="2120"/>
          </w:cols>
          <w:pgMar w:left="320" w:top="369" w:right="359" w:bottom="1440" w:gutter="0" w:footer="0" w:header="0"/>
          <w:type w:val="continuous"/>
        </w:sectPr>
      </w:pPr>
    </w:p>
    <w:tbl>
      <w:tblPr>
        <w:tblLayout w:type="fixed"/>
        <w:tblInd w:w="40" w:type="dxa"/>
        <w:tblCellMar>
          <w:top w:w="0" w:type="dxa"/>
          <w:left w:w="0" w:type="dxa"/>
          <w:bottom w:w="0" w:type="dxa"/>
          <w:right w:w="0" w:type="dxa"/>
        </w:tblCellMar>
      </w:tblPr>
      <w:tr>
        <w:trPr>
          <w:trHeight w:val="26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p>
        </w:tc>
        <w:tc>
          <w:tcPr>
            <w:tcW w:w="37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–Myasthenia gravis,</w:t>
            </w:r>
          </w:p>
        </w:tc>
        <w:tc>
          <w:tcPr>
            <w:tcW w:w="28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–Presented positive</w:t>
            </w: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–Report results from Phase 3</w:t>
            </w:r>
          </w:p>
        </w:tc>
      </w:tr>
      <w:tr>
        <w:trPr>
          <w:trHeight w:val="176"/>
        </w:trPr>
        <w:tc>
          <w:tcPr>
            <w:tcW w:w="2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(REGN3918)</w:t>
            </w:r>
          </w:p>
        </w:tc>
        <w:tc>
          <w:tcPr>
            <w:tcW w:w="3740" w:type="dxa"/>
            <w:vAlign w:val="bottom"/>
            <w:shd w:val="clear" w:color="auto" w:fill="CCEEFF"/>
          </w:tcPr>
          <w:p>
            <w:pPr>
              <w:ind w:left="1280"/>
              <w:spacing w:after="0" w:line="176" w:lineRule="exact"/>
              <w:rPr>
                <w:sz w:val="20"/>
                <w:szCs w:val="20"/>
                <w:color w:val="auto"/>
              </w:rPr>
            </w:pPr>
            <w:r>
              <w:rPr>
                <w:rFonts w:ascii="Times New Roman" w:cs="Times New Roman" w:eastAsia="Times New Roman" w:hAnsi="Times New Roman"/>
                <w:sz w:val="18"/>
                <w:szCs w:val="18"/>
                <w:color w:val="auto"/>
              </w:rPr>
              <w:t>cemdisiran</w:t>
            </w:r>
          </w:p>
        </w:tc>
        <w:tc>
          <w:tcPr>
            <w:tcW w:w="2840" w:type="dxa"/>
            <w:vAlign w:val="bottom"/>
            <w:shd w:val="clear" w:color="auto" w:fill="CCEEFF"/>
          </w:tcPr>
          <w:p>
            <w:pPr>
              <w:ind w:left="940"/>
              <w:spacing w:after="0" w:line="176" w:lineRule="exact"/>
              <w:rPr>
                <w:sz w:val="20"/>
                <w:szCs w:val="20"/>
                <w:color w:val="auto"/>
              </w:rPr>
            </w:pPr>
            <w:r>
              <w:rPr>
                <w:rFonts w:ascii="Times New Roman" w:cs="Times New Roman" w:eastAsia="Times New Roman" w:hAnsi="Times New Roman"/>
                <w:sz w:val="18"/>
                <w:szCs w:val="18"/>
                <w:color w:val="auto"/>
              </w:rPr>
              <w:t>updated data from Phase</w:t>
            </w:r>
          </w:p>
        </w:tc>
        <w:tc>
          <w:tcPr>
            <w:tcW w:w="22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cemdisiran combination</w:t>
            </w:r>
          </w:p>
        </w:tc>
      </w:tr>
      <w:tr>
        <w:trPr>
          <w:trHeight w:val="189"/>
        </w:trPr>
        <w:tc>
          <w:tcPr>
            <w:tcW w:w="2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Antibody to C5</w:t>
            </w:r>
          </w:p>
        </w:tc>
        <w:tc>
          <w:tcPr>
            <w:tcW w:w="3740" w:type="dxa"/>
            <w:vAlign w:val="bottom"/>
            <w:shd w:val="clear" w:color="auto" w:fill="CCEEFF"/>
          </w:tcPr>
          <w:p>
            <w:pPr>
              <w:ind w:left="1280"/>
              <w:spacing w:after="0" w:line="189" w:lineRule="exact"/>
              <w:rPr>
                <w:sz w:val="20"/>
                <w:szCs w:val="20"/>
                <w:color w:val="auto"/>
              </w:rPr>
            </w:pPr>
            <w:r>
              <w:rPr>
                <w:rFonts w:ascii="Times New Roman" w:cs="Times New Roman" w:eastAsia="Times New Roman" w:hAnsi="Times New Roman"/>
                <w:sz w:val="17"/>
                <w:szCs w:val="17"/>
                <w:color w:val="auto"/>
              </w:rPr>
              <w:t>combination</w:t>
            </w:r>
            <w:r>
              <w:rPr>
                <w:rFonts w:ascii="Times New Roman" w:cs="Times New Roman" w:eastAsia="Times New Roman" w:hAnsi="Times New Roman"/>
                <w:sz w:val="21"/>
                <w:szCs w:val="21"/>
                <w:color w:val="auto"/>
                <w:vertAlign w:val="superscript"/>
              </w:rPr>
              <w:t>(c)(l)</w:t>
            </w:r>
          </w:p>
        </w:tc>
        <w:tc>
          <w:tcPr>
            <w:tcW w:w="2840" w:type="dxa"/>
            <w:vAlign w:val="bottom"/>
            <w:shd w:val="clear" w:color="auto" w:fill="CCEEFF"/>
          </w:tcPr>
          <w:p>
            <w:pPr>
              <w:ind w:left="940"/>
              <w:spacing w:after="0" w:line="189" w:lineRule="exact"/>
              <w:rPr>
                <w:sz w:val="20"/>
                <w:szCs w:val="20"/>
                <w:color w:val="auto"/>
              </w:rPr>
            </w:pPr>
            <w:r>
              <w:rPr>
                <w:rFonts w:ascii="Times New Roman" w:cs="Times New Roman" w:eastAsia="Times New Roman" w:hAnsi="Times New Roman"/>
                <w:sz w:val="18"/>
                <w:szCs w:val="18"/>
                <w:color w:val="auto"/>
              </w:rPr>
              <w:t>3 trial (in combination</w:t>
            </w:r>
          </w:p>
        </w:tc>
        <w:tc>
          <w:tcPr>
            <w:tcW w:w="22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study in myasthenia gravis</w:t>
            </w:r>
          </w:p>
        </w:tc>
      </w:tr>
      <w:tr>
        <w:trPr>
          <w:trHeight w:val="176"/>
        </w:trPr>
        <w:tc>
          <w:tcPr>
            <w:tcW w:w="238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2840" w:type="dxa"/>
            <w:vAlign w:val="bottom"/>
            <w:shd w:val="clear" w:color="auto" w:fill="CCEEFF"/>
          </w:tcPr>
          <w:p>
            <w:pPr>
              <w:ind w:left="940"/>
              <w:spacing w:after="0" w:line="176" w:lineRule="exact"/>
              <w:rPr>
                <w:sz w:val="20"/>
                <w:szCs w:val="20"/>
                <w:color w:val="auto"/>
              </w:rPr>
            </w:pPr>
            <w:r>
              <w:rPr>
                <w:rFonts w:ascii="Times New Roman" w:cs="Times New Roman" w:eastAsia="Times New Roman" w:hAnsi="Times New Roman"/>
                <w:sz w:val="18"/>
                <w:szCs w:val="18"/>
                <w:color w:val="auto"/>
              </w:rPr>
              <w:t>with cemdisiran) in PNH</w:t>
            </w:r>
          </w:p>
        </w:tc>
        <w:tc>
          <w:tcPr>
            <w:tcW w:w="22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(second half 2025)</w:t>
            </w:r>
          </w:p>
        </w:tc>
      </w:tr>
      <w:tr>
        <w:trPr>
          <w:trHeight w:val="203"/>
        </w:trPr>
        <w:tc>
          <w:tcPr>
            <w:tcW w:w="2380" w:type="dxa"/>
            <w:vAlign w:val="bottom"/>
            <w:shd w:val="clear" w:color="auto" w:fill="CCEEFF"/>
          </w:tcPr>
          <w:p>
            <w:pPr>
              <w:spacing w:after="0"/>
              <w:rPr>
                <w:sz w:val="17"/>
                <w:szCs w:val="17"/>
                <w:color w:val="auto"/>
              </w:rPr>
            </w:pPr>
          </w:p>
        </w:tc>
        <w:tc>
          <w:tcPr>
            <w:tcW w:w="3740" w:type="dxa"/>
            <w:vAlign w:val="bottom"/>
            <w:shd w:val="clear" w:color="auto" w:fill="CCEEFF"/>
          </w:tcPr>
          <w:p>
            <w:pPr>
              <w:ind w:left="1280"/>
              <w:spacing w:after="0" w:line="202" w:lineRule="exact"/>
              <w:rPr>
                <w:sz w:val="20"/>
                <w:szCs w:val="20"/>
                <w:color w:val="auto"/>
              </w:rPr>
            </w:pPr>
            <w:r>
              <w:rPr>
                <w:rFonts w:ascii="Times New Roman" w:cs="Times New Roman" w:eastAsia="Times New Roman" w:hAnsi="Times New Roman"/>
                <w:sz w:val="18"/>
                <w:szCs w:val="18"/>
                <w:color w:val="auto"/>
              </w:rPr>
              <w:t>–Paroxysmal</w:t>
            </w:r>
          </w:p>
        </w:tc>
        <w:tc>
          <w:tcPr>
            <w:tcW w:w="2840" w:type="dxa"/>
            <w:vAlign w:val="bottom"/>
            <w:shd w:val="clear" w:color="auto" w:fill="CCEEFF"/>
          </w:tcPr>
          <w:p>
            <w:pPr>
              <w:ind w:left="940"/>
              <w:spacing w:after="0" w:line="202" w:lineRule="exact"/>
              <w:rPr>
                <w:sz w:val="20"/>
                <w:szCs w:val="20"/>
                <w:color w:val="auto"/>
              </w:rPr>
            </w:pPr>
            <w:r>
              <w:rPr>
                <w:rFonts w:ascii="Times New Roman" w:cs="Times New Roman" w:eastAsia="Times New Roman" w:hAnsi="Times New Roman"/>
                <w:sz w:val="18"/>
                <w:szCs w:val="18"/>
                <w:color w:val="auto"/>
              </w:rPr>
              <w:t>at American Society of</w:t>
            </w:r>
          </w:p>
        </w:tc>
        <w:tc>
          <w:tcPr>
            <w:tcW w:w="2220" w:type="dxa"/>
            <w:vAlign w:val="bottom"/>
            <w:shd w:val="clear" w:color="auto" w:fill="CCEEFF"/>
          </w:tcPr>
          <w:p>
            <w:pPr>
              <w:spacing w:after="0"/>
              <w:rPr>
                <w:sz w:val="17"/>
                <w:szCs w:val="17"/>
                <w:color w:val="auto"/>
              </w:rPr>
            </w:pPr>
          </w:p>
        </w:tc>
      </w:tr>
      <w:tr>
        <w:trPr>
          <w:trHeight w:val="189"/>
        </w:trPr>
        <w:tc>
          <w:tcPr>
            <w:tcW w:w="2380" w:type="dxa"/>
            <w:vAlign w:val="bottom"/>
            <w:shd w:val="clear" w:color="auto" w:fill="CCEEFF"/>
          </w:tcPr>
          <w:p>
            <w:pPr>
              <w:spacing w:after="0"/>
              <w:rPr>
                <w:sz w:val="16"/>
                <w:szCs w:val="16"/>
                <w:color w:val="auto"/>
              </w:rPr>
            </w:pPr>
          </w:p>
        </w:tc>
        <w:tc>
          <w:tcPr>
            <w:tcW w:w="3740" w:type="dxa"/>
            <w:vAlign w:val="bottom"/>
            <w:shd w:val="clear" w:color="auto" w:fill="CCEEFF"/>
          </w:tcPr>
          <w:p>
            <w:pPr>
              <w:ind w:left="1280"/>
              <w:spacing w:after="0" w:line="189" w:lineRule="exact"/>
              <w:rPr>
                <w:sz w:val="20"/>
                <w:szCs w:val="20"/>
                <w:color w:val="auto"/>
              </w:rPr>
            </w:pPr>
            <w:r>
              <w:rPr>
                <w:rFonts w:ascii="Times New Roman" w:cs="Times New Roman" w:eastAsia="Times New Roman" w:hAnsi="Times New Roman"/>
                <w:sz w:val="18"/>
                <w:szCs w:val="18"/>
                <w:color w:val="auto"/>
              </w:rPr>
              <w:t>nocturnal</w:t>
            </w:r>
          </w:p>
        </w:tc>
        <w:tc>
          <w:tcPr>
            <w:tcW w:w="2840" w:type="dxa"/>
            <w:vAlign w:val="bottom"/>
            <w:shd w:val="clear" w:color="auto" w:fill="CCEEFF"/>
          </w:tcPr>
          <w:p>
            <w:pPr>
              <w:ind w:left="940"/>
              <w:spacing w:after="0" w:line="189" w:lineRule="exact"/>
              <w:rPr>
                <w:sz w:val="20"/>
                <w:szCs w:val="20"/>
                <w:color w:val="auto"/>
              </w:rPr>
            </w:pPr>
            <w:r>
              <w:rPr>
                <w:rFonts w:ascii="Times New Roman" w:cs="Times New Roman" w:eastAsia="Times New Roman" w:hAnsi="Times New Roman"/>
                <w:sz w:val="18"/>
                <w:szCs w:val="18"/>
                <w:color w:val="auto"/>
              </w:rPr>
              <w:t>Hematology ("ASH")</w:t>
            </w:r>
          </w:p>
        </w:tc>
        <w:tc>
          <w:tcPr>
            <w:tcW w:w="2220" w:type="dxa"/>
            <w:vAlign w:val="bottom"/>
            <w:shd w:val="clear" w:color="auto" w:fill="CCEEFF"/>
          </w:tcPr>
          <w:p>
            <w:pPr>
              <w:spacing w:after="0"/>
              <w:rPr>
                <w:sz w:val="16"/>
                <w:szCs w:val="16"/>
                <w:color w:val="auto"/>
              </w:rPr>
            </w:pPr>
          </w:p>
        </w:tc>
      </w:tr>
      <w:tr>
        <w:trPr>
          <w:trHeight w:val="176"/>
        </w:trPr>
        <w:tc>
          <w:tcPr>
            <w:tcW w:w="2380" w:type="dxa"/>
            <w:vAlign w:val="bottom"/>
            <w:shd w:val="clear" w:color="auto" w:fill="CCEEFF"/>
          </w:tcPr>
          <w:p>
            <w:pPr>
              <w:spacing w:after="0"/>
              <w:rPr>
                <w:sz w:val="15"/>
                <w:szCs w:val="15"/>
                <w:color w:val="auto"/>
              </w:rPr>
            </w:pPr>
          </w:p>
        </w:tc>
        <w:tc>
          <w:tcPr>
            <w:tcW w:w="3740" w:type="dxa"/>
            <w:vAlign w:val="bottom"/>
            <w:shd w:val="clear" w:color="auto" w:fill="CCEEFF"/>
          </w:tcPr>
          <w:p>
            <w:pPr>
              <w:ind w:left="1280"/>
              <w:spacing w:after="0" w:line="176" w:lineRule="exact"/>
              <w:rPr>
                <w:sz w:val="20"/>
                <w:szCs w:val="20"/>
                <w:color w:val="auto"/>
              </w:rPr>
            </w:pPr>
            <w:r>
              <w:rPr>
                <w:rFonts w:ascii="Times New Roman" w:cs="Times New Roman" w:eastAsia="Times New Roman" w:hAnsi="Times New Roman"/>
                <w:sz w:val="18"/>
                <w:szCs w:val="18"/>
                <w:color w:val="auto"/>
              </w:rPr>
              <w:t>hemoglobinuria</w:t>
            </w:r>
          </w:p>
        </w:tc>
        <w:tc>
          <w:tcPr>
            <w:tcW w:w="2840" w:type="dxa"/>
            <w:vAlign w:val="bottom"/>
            <w:shd w:val="clear" w:color="auto" w:fill="CCEEFF"/>
          </w:tcPr>
          <w:p>
            <w:pPr>
              <w:ind w:left="940"/>
              <w:spacing w:after="0" w:line="176" w:lineRule="exact"/>
              <w:rPr>
                <w:sz w:val="20"/>
                <w:szCs w:val="20"/>
                <w:color w:val="auto"/>
              </w:rPr>
            </w:pPr>
            <w:r>
              <w:rPr>
                <w:rFonts w:ascii="Times New Roman" w:cs="Times New Roman" w:eastAsia="Times New Roman" w:hAnsi="Times New Roman"/>
                <w:sz w:val="18"/>
                <w:szCs w:val="18"/>
                <w:color w:val="auto"/>
              </w:rPr>
              <w:t>Annual Meeting</w:t>
            </w:r>
          </w:p>
        </w:tc>
        <w:tc>
          <w:tcPr>
            <w:tcW w:w="2220" w:type="dxa"/>
            <w:vAlign w:val="bottom"/>
            <w:shd w:val="clear" w:color="auto" w:fill="CCEEFF"/>
          </w:tcPr>
          <w:p>
            <w:pPr>
              <w:spacing w:after="0"/>
              <w:rPr>
                <w:sz w:val="15"/>
                <w:szCs w:val="15"/>
                <w:color w:val="auto"/>
              </w:rPr>
            </w:pPr>
          </w:p>
        </w:tc>
      </w:tr>
      <w:tr>
        <w:trPr>
          <w:trHeight w:val="181"/>
        </w:trPr>
        <w:tc>
          <w:tcPr>
            <w:tcW w:w="2380" w:type="dxa"/>
            <w:vAlign w:val="bottom"/>
            <w:shd w:val="clear" w:color="auto" w:fill="CCEEFF"/>
          </w:tcPr>
          <w:p>
            <w:pPr>
              <w:spacing w:after="0"/>
              <w:rPr>
                <w:sz w:val="15"/>
                <w:szCs w:val="15"/>
                <w:color w:val="auto"/>
              </w:rPr>
            </w:pPr>
          </w:p>
        </w:tc>
        <w:tc>
          <w:tcPr>
            <w:tcW w:w="3740" w:type="dxa"/>
            <w:vAlign w:val="bottom"/>
            <w:shd w:val="clear" w:color="auto" w:fill="CCEEFF"/>
          </w:tcPr>
          <w:p>
            <w:pPr>
              <w:ind w:left="1280"/>
              <w:spacing w:after="0" w:line="181" w:lineRule="exact"/>
              <w:rPr>
                <w:sz w:val="20"/>
                <w:szCs w:val="20"/>
                <w:color w:val="auto"/>
              </w:rPr>
            </w:pPr>
            <w:r>
              <w:rPr>
                <w:rFonts w:ascii="Times New Roman" w:cs="Times New Roman" w:eastAsia="Times New Roman" w:hAnsi="Times New Roman"/>
                <w:sz w:val="18"/>
                <w:szCs w:val="18"/>
                <w:color w:val="auto"/>
              </w:rPr>
              <w:t>("PNH"), cemdisiran</w:t>
            </w:r>
          </w:p>
        </w:tc>
        <w:tc>
          <w:tcPr>
            <w:tcW w:w="284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238"/>
        </w:trPr>
        <w:tc>
          <w:tcPr>
            <w:tcW w:w="2380" w:type="dxa"/>
            <w:vAlign w:val="bottom"/>
            <w:shd w:val="clear" w:color="auto" w:fill="CCEEFF"/>
          </w:tcPr>
          <w:p>
            <w:pPr>
              <w:spacing w:after="0"/>
              <w:rPr>
                <w:sz w:val="20"/>
                <w:szCs w:val="20"/>
                <w:color w:val="auto"/>
              </w:rPr>
            </w:pPr>
          </w:p>
        </w:tc>
        <w:tc>
          <w:tcPr>
            <w:tcW w:w="3740" w:type="dxa"/>
            <w:vAlign w:val="bottom"/>
            <w:shd w:val="clear" w:color="auto" w:fill="CCEEFF"/>
          </w:tcPr>
          <w:p>
            <w:pPr>
              <w:ind w:left="1280"/>
              <w:spacing w:after="0" w:line="237" w:lineRule="exact"/>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(c)(l)</w:t>
            </w:r>
          </w:p>
        </w:tc>
        <w:tc>
          <w:tcPr>
            <w:tcW w:w="28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20"/>
          </w:cols>
          <w:pgMar w:left="320" w:top="369" w:right="359" w:bottom="1440" w:gutter="0" w:footer="0" w:header="0"/>
          <w:type w:val="continuous"/>
        </w:sectPr>
      </w:pPr>
    </w:p>
    <w:tbl>
      <w:tblPr>
        <w:tblLayout w:type="fixed"/>
        <w:tblInd w:w="6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Ordspono</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–B-cell non-</w:t>
            </w:r>
          </w:p>
        </w:tc>
        <w:tc>
          <w:tcPr>
            <w:tcW w:w="1380" w:type="dxa"/>
            <w:vAlign w:val="bottom"/>
          </w:tcPr>
          <w:p>
            <w:pPr>
              <w:ind w:left="100"/>
              <w:spacing w:after="0" w:line="216" w:lineRule="exact"/>
              <w:rPr>
                <w:sz w:val="20"/>
                <w:szCs w:val="20"/>
                <w:color w:val="auto"/>
              </w:rPr>
            </w:pPr>
            <w:r>
              <w:rPr>
                <w:rFonts w:ascii="Times New Roman" w:cs="Times New Roman" w:eastAsia="Times New Roman" w:hAnsi="Times New Roman"/>
                <w:sz w:val="25"/>
                <w:szCs w:val="25"/>
                <w:color w:val="auto"/>
                <w:vertAlign w:val="subscript"/>
              </w:rPr>
              <w:t>–FL</w:t>
            </w:r>
            <w:r>
              <w:rPr>
                <w:rFonts w:ascii="Times New Roman" w:cs="Times New Roman" w:eastAsia="Times New Roman" w:hAnsi="Times New Roman"/>
                <w:sz w:val="10"/>
                <w:szCs w:val="10"/>
                <w:color w:val="auto"/>
              </w:rPr>
              <w:t>(e)</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–FL (U.S.)</w:t>
            </w:r>
          </w:p>
        </w:tc>
        <w:tc>
          <w:tcPr>
            <w:tcW w:w="2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–FDA issued Complete</w:t>
            </w:r>
          </w:p>
        </w:tc>
      </w:tr>
      <w:tr>
        <w:trPr>
          <w:trHeight w:val="149"/>
        </w:trPr>
        <w:tc>
          <w:tcPr>
            <w:tcW w:w="1900" w:type="dxa"/>
            <w:vAlign w:val="bottom"/>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(odronextamab)</w:t>
            </w:r>
          </w:p>
        </w:tc>
        <w:tc>
          <w:tcPr>
            <w:tcW w:w="1640" w:type="dxa"/>
            <w:vAlign w:val="bottom"/>
          </w:tcPr>
          <w:p>
            <w:pPr>
              <w:ind w:left="100"/>
              <w:spacing w:after="0" w:line="149" w:lineRule="exact"/>
              <w:rPr>
                <w:sz w:val="20"/>
                <w:szCs w:val="20"/>
                <w:color w:val="auto"/>
              </w:rPr>
            </w:pPr>
            <w:r>
              <w:rPr>
                <w:rFonts w:ascii="Times New Roman" w:cs="Times New Roman" w:eastAsia="Times New Roman" w:hAnsi="Times New Roman"/>
                <w:sz w:val="17"/>
                <w:szCs w:val="17"/>
                <w:color w:val="auto"/>
              </w:rPr>
              <w:t>Hodgkin lymphoma</w:t>
            </w:r>
          </w:p>
        </w:tc>
        <w:tc>
          <w:tcPr>
            <w:tcW w:w="1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0" w:type="dxa"/>
            <w:vAlign w:val="bottom"/>
          </w:tcPr>
          <w:p>
            <w:pPr>
              <w:ind w:left="440"/>
              <w:spacing w:after="0" w:line="149" w:lineRule="exact"/>
              <w:rPr>
                <w:sz w:val="20"/>
                <w:szCs w:val="20"/>
                <w:color w:val="auto"/>
              </w:rPr>
            </w:pPr>
            <w:r>
              <w:rPr>
                <w:rFonts w:ascii="Times New Roman" w:cs="Times New Roman" w:eastAsia="Times New Roman" w:hAnsi="Times New Roman"/>
                <w:sz w:val="17"/>
                <w:szCs w:val="17"/>
                <w:color w:val="auto"/>
              </w:rPr>
              <w:t>Response Letters</w:t>
            </w:r>
          </w:p>
        </w:tc>
      </w:tr>
      <w:tr>
        <w:trPr>
          <w:trHeight w:val="243"/>
        </w:trPr>
        <w:tc>
          <w:tcPr>
            <w:tcW w:w="1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Bispecific antibody</w:t>
            </w:r>
          </w:p>
        </w:tc>
        <w:tc>
          <w:tcPr>
            <w:tcW w:w="1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("B-NHL") (pivotal</w:t>
            </w:r>
          </w:p>
        </w:tc>
        <w:tc>
          <w:tcPr>
            <w:tcW w:w="1380" w:type="dxa"/>
            <w:vAlign w:val="bottom"/>
          </w:tcPr>
          <w:p>
            <w:pPr>
              <w:ind w:left="100"/>
              <w:spacing w:after="0" w:line="243" w:lineRule="exact"/>
              <w:rPr>
                <w:sz w:val="20"/>
                <w:szCs w:val="20"/>
                <w:color w:val="auto"/>
              </w:rPr>
            </w:pPr>
            <w:r>
              <w:rPr>
                <w:rFonts w:ascii="Times New Roman" w:cs="Times New Roman" w:eastAsia="Times New Roman" w:hAnsi="Times New Roman"/>
                <w:sz w:val="18"/>
                <w:szCs w:val="18"/>
                <w:color w:val="auto"/>
              </w:rPr>
              <w:t>–DLBCL</w:t>
            </w:r>
            <w:r>
              <w:rPr>
                <w:rFonts w:ascii="Times New Roman" w:cs="Times New Roman" w:eastAsia="Times New Roman" w:hAnsi="Times New Roman"/>
                <w:sz w:val="23"/>
                <w:szCs w:val="23"/>
                <w:color w:val="auto"/>
                <w:vertAlign w:val="superscript"/>
              </w:rPr>
              <w:t>(e)</w:t>
            </w:r>
          </w:p>
        </w:tc>
        <w:tc>
          <w:tcPr>
            <w:tcW w:w="1680" w:type="dxa"/>
            <w:vAlign w:val="bottom"/>
          </w:tcPr>
          <w:p>
            <w:pPr>
              <w:spacing w:after="0"/>
              <w:rPr>
                <w:sz w:val="21"/>
                <w:szCs w:val="21"/>
                <w:color w:val="auto"/>
              </w:rPr>
            </w:pPr>
          </w:p>
        </w:tc>
        <w:tc>
          <w:tcPr>
            <w:tcW w:w="2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("CRLs") for BLA for</w:t>
            </w:r>
          </w:p>
        </w:tc>
      </w:tr>
      <w:tr>
        <w:trPr>
          <w:trHeight w:val="117"/>
        </w:trPr>
        <w:tc>
          <w:tcPr>
            <w:tcW w:w="1900" w:type="dxa"/>
            <w:vAlign w:val="bottom"/>
          </w:tcPr>
          <w:p>
            <w:pPr>
              <w:spacing w:after="0" w:line="117" w:lineRule="exact"/>
              <w:rPr>
                <w:sz w:val="20"/>
                <w:szCs w:val="20"/>
                <w:color w:val="auto"/>
              </w:rPr>
            </w:pPr>
            <w:r>
              <w:rPr>
                <w:rFonts w:ascii="Times New Roman" w:cs="Times New Roman" w:eastAsia="Times New Roman" w:hAnsi="Times New Roman"/>
                <w:sz w:val="13"/>
                <w:szCs w:val="13"/>
                <w:i w:val="1"/>
                <w:iCs w:val="1"/>
                <w:color w:val="auto"/>
              </w:rPr>
              <w:t>targeting CD20 and CD3</w:t>
            </w:r>
          </w:p>
        </w:tc>
        <w:tc>
          <w:tcPr>
            <w:tcW w:w="164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study)</w:t>
            </w:r>
          </w:p>
        </w:tc>
        <w:tc>
          <w:tcPr>
            <w:tcW w:w="1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200" w:type="dxa"/>
            <w:vAlign w:val="bottom"/>
          </w:tcPr>
          <w:p>
            <w:pPr>
              <w:ind w:left="440"/>
              <w:spacing w:after="0" w:line="117" w:lineRule="exact"/>
              <w:rPr>
                <w:sz w:val="20"/>
                <w:szCs w:val="20"/>
                <w:color w:val="auto"/>
              </w:rPr>
            </w:pPr>
            <w:r>
              <w:rPr>
                <w:rFonts w:ascii="Times New Roman" w:cs="Times New Roman" w:eastAsia="Times New Roman" w:hAnsi="Times New Roman"/>
                <w:sz w:val="13"/>
                <w:szCs w:val="13"/>
                <w:color w:val="auto"/>
              </w:rPr>
              <w:t>relapsed/refractory FL</w:t>
            </w:r>
          </w:p>
        </w:tc>
      </w:tr>
      <w:tr>
        <w:trPr>
          <w:trHeight w:val="180"/>
        </w:trPr>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and DLBCL due to</w:t>
            </w:r>
          </w:p>
        </w:tc>
      </w:tr>
      <w:tr>
        <w:trPr>
          <w:trHeight w:val="175"/>
        </w:trPr>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enrollment status of</w:t>
            </w:r>
          </w:p>
        </w:tc>
      </w:tr>
      <w:tr>
        <w:trPr>
          <w:trHeight w:val="184"/>
        </w:trPr>
        <w:tc>
          <w:tcPr>
            <w:tcW w:w="1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confirmatory Phase 3</w:t>
            </w:r>
          </w:p>
        </w:tc>
      </w:tr>
      <w:tr>
        <w:trPr>
          <w:trHeight w:val="180"/>
        </w:trPr>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trials; subsequently</w:t>
            </w:r>
          </w:p>
        </w:tc>
      </w:tr>
      <w:tr>
        <w:trPr>
          <w:trHeight w:val="234"/>
        </w:trPr>
        <w:tc>
          <w:tcPr>
            <w:tcW w:w="1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resubmitted BLA for FL</w:t>
            </w:r>
          </w:p>
        </w:tc>
      </w:tr>
      <w:tr>
        <w:trPr>
          <w:trHeight w:val="368"/>
        </w:trPr>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–Approved by EC for</w:t>
            </w:r>
          </w:p>
        </w:tc>
      </w:tr>
      <w:tr>
        <w:trPr>
          <w:trHeight w:val="180"/>
        </w:trPr>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relapsed/refractory FL</w:t>
            </w:r>
          </w:p>
        </w:tc>
      </w:tr>
      <w:tr>
        <w:trPr>
          <w:trHeight w:val="234"/>
        </w:trPr>
        <w:tc>
          <w:tcPr>
            <w:tcW w:w="1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and DLBCL</w:t>
            </w:r>
          </w:p>
        </w:tc>
      </w:tr>
      <w:tr>
        <w:trPr>
          <w:trHeight w:val="368"/>
        </w:trPr>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–Presented new and</w:t>
            </w:r>
          </w:p>
        </w:tc>
      </w:tr>
      <w:tr>
        <w:trPr>
          <w:trHeight w:val="180"/>
        </w:trPr>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updated data for several</w:t>
            </w:r>
          </w:p>
        </w:tc>
      </w:tr>
      <w:tr>
        <w:trPr>
          <w:trHeight w:val="175"/>
        </w:trPr>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B-NHL subtypes across</w:t>
            </w:r>
          </w:p>
        </w:tc>
      </w:tr>
      <w:tr>
        <w:trPr>
          <w:trHeight w:val="184"/>
        </w:trPr>
        <w:tc>
          <w:tcPr>
            <w:tcW w:w="1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w w:val="98"/>
              </w:rPr>
              <w:t>earlier lines of treatment</w:t>
            </w:r>
          </w:p>
        </w:tc>
      </w:tr>
      <w:tr>
        <w:trPr>
          <w:trHeight w:val="234"/>
        </w:trPr>
        <w:tc>
          <w:tcPr>
            <w:tcW w:w="1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at ASH Annual Meeting</w:t>
            </w: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18"/>
          <w:szCs w:val="18"/>
          <w:color w:val="auto"/>
        </w:rPr>
        <w:t>–FDA decision on BLA for relapsed/refractory FL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half 2025)</w:t>
      </w:r>
    </w:p>
    <w:p>
      <w:pPr>
        <w:spacing w:after="0" w:line="3177" w:lineRule="exact"/>
        <w:rPr>
          <w:sz w:val="20"/>
          <w:szCs w:val="20"/>
          <w:color w:val="auto"/>
        </w:rPr>
      </w:pPr>
    </w:p>
    <w:p>
      <w:pPr>
        <w:sectPr>
          <w:pgSz w:w="11900" w:h="16838" w:orient="portrait"/>
          <w:cols w:equalWidth="0" w:num="2">
            <w:col w:w="8860" w:space="240"/>
            <w:col w:w="2120"/>
          </w:cols>
          <w:pgMar w:left="320" w:top="369" w:right="359" w:bottom="1440" w:gutter="0" w:footer="0" w:header="0"/>
          <w:type w:val="continuous"/>
        </w:sect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9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64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20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2024 and 2025</w:t>
            </w:r>
          </w:p>
        </w:tc>
        <w:tc>
          <w:tcPr>
            <w:tcW w:w="21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9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2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8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8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9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Linvoseltamab</w:t>
            </w:r>
            <w:r>
              <w:rPr>
                <w:rFonts w:ascii="Times New Roman" w:cs="Times New Roman" w:eastAsia="Times New Roman" w:hAnsi="Times New Roman"/>
                <w:sz w:val="23"/>
                <w:szCs w:val="23"/>
                <w:b w:val="1"/>
                <w:bCs w:val="1"/>
                <w:color w:val="auto"/>
                <w:vertAlign w:val="superscript"/>
              </w:rPr>
              <w:t>(f)</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–Multiple myeloma</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–Multiple myeloma</w:t>
            </w:r>
            <w:r>
              <w:rPr>
                <w:rFonts w:ascii="Times New Roman" w:cs="Times New Roman" w:eastAsia="Times New Roman" w:hAnsi="Times New Roman"/>
                <w:sz w:val="23"/>
                <w:szCs w:val="23"/>
                <w:color w:val="auto"/>
                <w:vertAlign w:val="superscript"/>
              </w:rPr>
              <w:t>(c)</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–Relapsed/refractory</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–Resubmitted BLA for</w:t>
            </w: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 decision on BLA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(REGN5458)</w:t>
            </w: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(pivotal study)</w:t>
            </w:r>
            <w:r>
              <w:rPr>
                <w:rFonts w:ascii="Times New Roman" w:cs="Times New Roman" w:eastAsia="Times New Roman" w:hAnsi="Times New Roman"/>
                <w:sz w:val="20"/>
                <w:szCs w:val="20"/>
                <w:color w:val="auto"/>
                <w:vertAlign w:val="superscript"/>
              </w:rPr>
              <w:t>(c)(e)</w:t>
            </w: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w:t>
            </w:r>
          </w:p>
        </w:tc>
        <w:tc>
          <w:tcPr>
            <w:tcW w:w="1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multiple myeloma</w:t>
            </w: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relapsed/refractory</w:t>
            </w: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(mid-2025) and EC decision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(U.S. and EU)</w:t>
            </w:r>
          </w:p>
        </w:tc>
        <w:tc>
          <w:tcPr>
            <w:tcW w:w="20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multiple myeloma</w:t>
            </w:r>
          </w:p>
        </w:tc>
        <w:tc>
          <w:tcPr>
            <w:tcW w:w="2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on regulatory application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9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targeting BCMA and</w:t>
            </w:r>
          </w:p>
        </w:tc>
        <w:tc>
          <w:tcPr>
            <w:tcW w:w="16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–Earlier (pre-</w:t>
            </w: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following resolution of</w:t>
            </w:r>
          </w:p>
        </w:tc>
        <w:tc>
          <w:tcPr>
            <w:tcW w:w="21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(first half 2025) for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CD3</w:t>
            </w: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malignant) multiple</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third-party manufacturing</w:t>
            </w: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relapsed/refractory multiple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myeloma</w:t>
            </w:r>
          </w:p>
        </w:tc>
        <w:tc>
          <w:tcPr>
            <w:tcW w:w="1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issues</w:t>
            </w: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myeloma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–Monoclonal</w:t>
            </w:r>
          </w:p>
        </w:tc>
        <w:tc>
          <w:tcPr>
            <w:tcW w:w="1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–Presented 14-month</w:t>
            </w:r>
          </w:p>
        </w:tc>
        <w:tc>
          <w:tcPr>
            <w:tcW w:w="2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60" w:type="dxa"/>
            <w:vAlign w:val="bottom"/>
            <w:gridSpan w:val="2"/>
            <w:vMerge w:val="continue"/>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median follow-up data</w:t>
            </w:r>
          </w:p>
        </w:tc>
        <w:tc>
          <w:tcPr>
            <w:tcW w:w="21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gammopathy of</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vMerge w:val="continue"/>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gridSpan w:val="2"/>
            <w:vMerge w:val="restart"/>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undetermined</w:t>
            </w:r>
          </w:p>
        </w:tc>
        <w:tc>
          <w:tcPr>
            <w:tcW w:w="1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from pivotal Phase 1/2</w:t>
            </w:r>
          </w:p>
        </w:tc>
        <w:tc>
          <w:tcPr>
            <w:tcW w:w="21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60" w:type="dxa"/>
            <w:vAlign w:val="bottom"/>
            <w:gridSpan w:val="2"/>
            <w:vMerge w:val="continue"/>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0" w:type="dxa"/>
            <w:vAlign w:val="bottom"/>
            <w:gridSpan w:val="2"/>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trial in multiple myeloma</w:t>
            </w:r>
          </w:p>
        </w:tc>
        <w:tc>
          <w:tcPr>
            <w:tcW w:w="21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significance</w:t>
            </w:r>
          </w:p>
        </w:tc>
        <w:tc>
          <w:tcPr>
            <w:tcW w:w="1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0" w:type="dxa"/>
            <w:vAlign w:val="bottom"/>
            <w:gridSpan w:val="2"/>
            <w:vMerge w:val="continue"/>
            <w:shd w:val="clear" w:color="auto" w:fill="CCEEFF"/>
          </w:tcPr>
          <w:p>
            <w:pPr>
              <w:spacing w:after="0"/>
              <w:rPr>
                <w:sz w:val="10"/>
                <w:szCs w:val="10"/>
                <w:color w:val="auto"/>
              </w:rPr>
            </w:pPr>
          </w:p>
        </w:tc>
        <w:tc>
          <w:tcPr>
            <w:tcW w:w="21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60" w:type="dxa"/>
            <w:vAlign w:val="bottom"/>
            <w:gridSpan w:val="2"/>
            <w:vMerge w:val="continue"/>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0" w:type="dxa"/>
            <w:vAlign w:val="bottom"/>
            <w:gridSpan w:val="2"/>
            <w:vMerge w:val="restart"/>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at European Hematology</w:t>
            </w:r>
          </w:p>
        </w:tc>
        <w:tc>
          <w:tcPr>
            <w:tcW w:w="21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ind w:left="20"/>
              <w:spacing w:after="0" w:line="137" w:lineRule="exact"/>
              <w:rPr>
                <w:sz w:val="20"/>
                <w:szCs w:val="20"/>
                <w:color w:val="auto"/>
              </w:rPr>
            </w:pPr>
            <w:r>
              <w:rPr>
                <w:rFonts w:ascii="Times New Roman" w:cs="Times New Roman" w:eastAsia="Times New Roman" w:hAnsi="Times New Roman"/>
                <w:sz w:val="15"/>
                <w:szCs w:val="15"/>
                <w:color w:val="auto"/>
              </w:rPr>
              <w:t>("MGUS")</w:t>
            </w:r>
          </w:p>
        </w:tc>
        <w:tc>
          <w:tcPr>
            <w:tcW w:w="1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0" w:type="dxa"/>
            <w:vAlign w:val="bottom"/>
            <w:gridSpan w:val="2"/>
            <w:vMerge w:val="continue"/>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Association ("EHA")</w:t>
            </w:r>
          </w:p>
        </w:tc>
        <w:tc>
          <w:tcPr>
            <w:tcW w:w="2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chain</w:t>
            </w: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Congress 2024 and</w:t>
            </w:r>
          </w:p>
        </w:tc>
        <w:tc>
          <w:tcPr>
            <w:tcW w:w="2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vMerge w:val="continue"/>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published these data in</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amyloidosis</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Journal of Clinical</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w:t>
            </w: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Oncology</w:t>
            </w:r>
          </w:p>
        </w:tc>
        <w:tc>
          <w:tcPr>
            <w:tcW w:w="2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9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Nexiguran ziclumeran</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–Transthyretin</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98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(Nex-z, NTLA-2001)</w:t>
            </w:r>
            <w:r>
              <w:rPr>
                <w:rFonts w:ascii="Times New Roman" w:cs="Times New Roman" w:eastAsia="Times New Roman" w:hAnsi="Times New Roman"/>
                <w:sz w:val="21"/>
                <w:szCs w:val="21"/>
                <w:b w:val="1"/>
                <w:bCs w:val="1"/>
                <w:color w:val="auto"/>
                <w:vertAlign w:val="superscript"/>
              </w:rPr>
              <w:t>(j)</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amyloidosis with</w:t>
            </w: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TTR gene knockout using</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cardiomyopathy</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CRISPR/Cas9</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("ATTR-CM")</w:t>
            </w:r>
            <w:r>
              <w:rPr>
                <w:rFonts w:ascii="Times New Roman" w:cs="Times New Roman" w:eastAsia="Times New Roman" w:hAnsi="Times New Roman"/>
                <w:sz w:val="23"/>
                <w:szCs w:val="23"/>
                <w:color w:val="auto"/>
                <w:vertAlign w:val="superscript"/>
              </w:rPr>
              <w:t>(c)</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–Hereditary</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transthyretin</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amyloidosis with</w:t>
            </w: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polyneuropathy</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("ATTRv-PN")</w:t>
            </w:r>
            <w:r>
              <w:rPr>
                <w:rFonts w:ascii="Times New Roman" w:cs="Times New Roman" w:eastAsia="Times New Roman" w:hAnsi="Times New Roman"/>
                <w:sz w:val="23"/>
                <w:szCs w:val="23"/>
                <w:color w:val="auto"/>
                <w:vertAlign w:val="superscript"/>
              </w:rPr>
              <w:t>(c)(m)</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REGN9933</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–Thrombosis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positive results</w:t>
            </w: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 Phase 3 program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Antibody to Factor XI</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from Phase 2 trial in</w:t>
            </w: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thrombosis</w:t>
            </w:r>
          </w:p>
        </w:tc>
        <w:tc>
          <w:tcPr>
            <w:tcW w:w="2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REGN7508</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–Thrombosis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–Reported positive results</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–Initiate Phase 3 program</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Antibody to Factor XI</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from Phase 2 trial in</w:t>
            </w:r>
          </w:p>
        </w:tc>
        <w:tc>
          <w:tcPr>
            <w:tcW w:w="2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thrombosis</w:t>
            </w: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9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REGN7257</w:t>
            </w:r>
          </w:p>
        </w:tc>
        <w:tc>
          <w:tcPr>
            <w:tcW w:w="1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–Aplastic anemia</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IL2Rg</w:t>
            </w: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9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REGN7999</w:t>
            </w:r>
          </w:p>
        </w:tc>
        <w:tc>
          <w:tcPr>
            <w:tcW w:w="1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–Iron overload in</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TMPRSS6</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beta-thalassemia</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9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3420" w:type="dxa"/>
            <w:vAlign w:val="bottom"/>
            <w:gridSpan w:val="4"/>
            <w:shd w:val="clear" w:color="auto" w:fill="ACACAC"/>
          </w:tcPr>
          <w:p>
            <w:pPr>
              <w:ind w:left="520"/>
              <w:spacing w:after="0"/>
              <w:rPr>
                <w:sz w:val="20"/>
                <w:szCs w:val="20"/>
                <w:color w:val="auto"/>
              </w:rPr>
            </w:pPr>
            <w:r>
              <w:rPr>
                <w:rFonts w:ascii="Times New Roman" w:cs="Times New Roman" w:eastAsia="Times New Roman" w:hAnsi="Times New Roman"/>
                <w:sz w:val="18"/>
                <w:szCs w:val="18"/>
                <w:b w:val="1"/>
                <w:bCs w:val="1"/>
                <w:color w:val="auto"/>
              </w:rPr>
              <w:t>Internal Medicine/Genetic Medicines</w:t>
            </w:r>
          </w:p>
        </w:tc>
        <w:tc>
          <w:tcPr>
            <w:tcW w:w="19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120" w:type="dxa"/>
            <w:vAlign w:val="bottom"/>
            <w:shd w:val="clear" w:color="auto" w:fill="ACACA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9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Garetosmab</w:t>
            </w:r>
            <w:r>
              <w:rPr>
                <w:rFonts w:ascii="Times New Roman" w:cs="Times New Roman" w:eastAsia="Times New Roman" w:hAnsi="Times New Roman"/>
                <w:sz w:val="23"/>
                <w:szCs w:val="23"/>
                <w:b w:val="1"/>
                <w:bCs w:val="1"/>
                <w:color w:val="auto"/>
                <w:vertAlign w:val="superscript"/>
              </w:rPr>
              <w:t>(f)</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–Fibrodysplasia</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results from Phase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(REGN2477)</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ossificans progressiva</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 study in FOP (second half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Activin A</w:t>
            </w: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bscript"/>
              </w:rPr>
              <w:t>("FOP")</w:t>
            </w:r>
            <w:r>
              <w:rPr>
                <w:rFonts w:ascii="Times New Roman" w:cs="Times New Roman" w:eastAsia="Times New Roman" w:hAnsi="Times New Roman"/>
                <w:sz w:val="11"/>
                <w:szCs w:val="11"/>
                <w:color w:val="auto"/>
              </w:rPr>
              <w:t>(c)(d)(e)</w:t>
            </w: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9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Trevogrumab</w:t>
            </w:r>
            <w:r>
              <w:rPr>
                <w:rFonts w:ascii="Times New Roman" w:cs="Times New Roman" w:eastAsia="Times New Roman" w:hAnsi="Times New Roman"/>
                <w:sz w:val="23"/>
                <w:szCs w:val="23"/>
                <w:b w:val="1"/>
                <w:bCs w:val="1"/>
                <w:color w:val="auto"/>
                <w:vertAlign w:val="superscript"/>
              </w:rPr>
              <w:t>(f)</w:t>
            </w:r>
          </w:p>
        </w:tc>
        <w:tc>
          <w:tcPr>
            <w:tcW w:w="16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–Obesity</w:t>
            </w:r>
            <w:r>
              <w:rPr>
                <w:rFonts w:ascii="Times New Roman" w:cs="Times New Roman" w:eastAsia="Times New Roman" w:hAnsi="Times New Roman"/>
                <w:sz w:val="23"/>
                <w:szCs w:val="23"/>
                <w:color w:val="auto"/>
                <w:vertAlign w:val="superscript"/>
              </w:rPr>
              <w:t>(n)</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–Completed enrollment</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(REGN1033)</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 Phase 2 study in</w:t>
            </w:r>
          </w:p>
        </w:tc>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2 study in obesity (second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Antibody to myostatin</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obesity</w:t>
            </w:r>
          </w:p>
        </w:tc>
        <w:tc>
          <w:tcPr>
            <w:tcW w:w="21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half 2025)</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(GDF8)</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9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7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2024 and 2025</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40"/>
        </w:trPr>
        <w:tc>
          <w:tcPr>
            <w:tcW w:w="19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70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6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19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Milestones</w:t>
            </w:r>
          </w:p>
        </w:tc>
        <w:tc>
          <w:tcPr>
            <w:tcW w:w="0" w:type="dxa"/>
            <w:vAlign w:val="bottom"/>
          </w:tcPr>
          <w:p>
            <w:pPr>
              <w:spacing w:after="0"/>
              <w:rPr>
                <w:sz w:val="1"/>
                <w:szCs w:val="1"/>
                <w:color w:val="auto"/>
              </w:rPr>
            </w:pPr>
          </w:p>
        </w:tc>
      </w:tr>
      <w:tr>
        <w:trPr>
          <w:trHeight w:val="174"/>
        </w:trPr>
        <w:tc>
          <w:tcPr>
            <w:tcW w:w="19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Mibavademab</w:t>
            </w:r>
            <w:r>
              <w:rPr>
                <w:rFonts w:ascii="Times New Roman" w:cs="Times New Roman" w:eastAsia="Times New Roman" w:hAnsi="Times New Roman"/>
                <w:sz w:val="20"/>
                <w:szCs w:val="20"/>
                <w:b w:val="1"/>
                <w:bCs w:val="1"/>
                <w:color w:val="auto"/>
                <w:vertAlign w:val="superscript"/>
              </w:rPr>
              <w:t>(f)(o)</w:t>
            </w:r>
          </w:p>
        </w:tc>
        <w:tc>
          <w:tcPr>
            <w:tcW w:w="8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–Generalized</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(REGN4461)</w:t>
            </w: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lipodystrophy</w:t>
            </w:r>
            <w:r>
              <w:rPr>
                <w:rFonts w:ascii="Times New Roman" w:cs="Times New Roman" w:eastAsia="Times New Roman" w:hAnsi="Times New Roman"/>
                <w:sz w:val="21"/>
                <w:szCs w:val="21"/>
                <w:color w:val="auto"/>
                <w:vertAlign w:val="superscript"/>
              </w:rPr>
              <w:t>(d)(e)</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Agonist antibody to leptin</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receptor ("LEPR")</w:t>
            </w: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9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REGN5381</w:t>
            </w:r>
          </w:p>
        </w:tc>
        <w:tc>
          <w:tcPr>
            <w:tcW w:w="17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–Heart failure</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Agonist antibody to</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NPR1</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9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REGN7544</w:t>
            </w:r>
          </w:p>
        </w:tc>
        <w:tc>
          <w:tcPr>
            <w:tcW w:w="17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–Postural orthostatic</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Antagonist antibody to</w:t>
            </w:r>
          </w:p>
        </w:tc>
        <w:tc>
          <w:tcPr>
            <w:tcW w:w="17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tachycardia syndrome</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NPR1</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("POTS")</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9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Rapirosiran (ALN-</w:t>
            </w:r>
          </w:p>
        </w:tc>
        <w:tc>
          <w:tcPr>
            <w:tcW w:w="17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–Metabolic</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98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HSD)</w:t>
            </w:r>
            <w:r>
              <w:rPr>
                <w:rFonts w:ascii="Times New Roman" w:cs="Times New Roman" w:eastAsia="Times New Roman" w:hAnsi="Times New Roman"/>
                <w:sz w:val="21"/>
                <w:szCs w:val="21"/>
                <w:b w:val="1"/>
                <w:bCs w:val="1"/>
                <w:color w:val="auto"/>
                <w:vertAlign w:val="superscript"/>
              </w:rPr>
              <w:t>(k)</w:t>
            </w:r>
          </w:p>
        </w:tc>
        <w:tc>
          <w:tcPr>
            <w:tcW w:w="17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dysfunction-</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associated</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targeting HSD17B13</w:t>
            </w:r>
          </w:p>
        </w:tc>
        <w:tc>
          <w:tcPr>
            <w:tcW w:w="1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steatohepatitis</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("MASH")</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DB-OTO</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–Hearing deficit due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–Presented updated data</w:t>
            </w: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additional data</w:t>
            </w:r>
          </w:p>
        </w:tc>
        <w:tc>
          <w:tcPr>
            <w:tcW w:w="0" w:type="dxa"/>
            <w:vAlign w:val="bottom"/>
          </w:tcPr>
          <w:p>
            <w:pPr>
              <w:spacing w:after="0"/>
              <w:rPr>
                <w:sz w:val="1"/>
                <w:szCs w:val="1"/>
                <w:color w:val="auto"/>
              </w:rPr>
            </w:pPr>
          </w:p>
        </w:tc>
      </w:tr>
      <w:tr>
        <w:trPr>
          <w:trHeight w:val="175"/>
        </w:trPr>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AAV-based gene therapy</w:t>
            </w:r>
          </w:p>
        </w:tc>
        <w:tc>
          <w:tcPr>
            <w:tcW w:w="1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 variants of the</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Phase 1/2 trial at</w:t>
            </w: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Phase 1/2 study (mid-</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otoferlin gene</w:t>
            </w:r>
            <w:r>
              <w:rPr>
                <w:rFonts w:ascii="Times New Roman" w:cs="Times New Roman" w:eastAsia="Times New Roman" w:hAnsi="Times New Roman"/>
                <w:sz w:val="21"/>
                <w:szCs w:val="21"/>
                <w:color w:val="auto"/>
                <w:vertAlign w:val="superscript"/>
              </w:rPr>
              <w:t>(c)(m)</w:t>
            </w: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American Society of</w:t>
            </w:r>
          </w:p>
        </w:tc>
        <w:tc>
          <w:tcPr>
            <w:tcW w:w="2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(Phase 1/2)</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Gene and Cell Therapy</w:t>
            </w: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("ASGCT") annual</w:t>
            </w: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conference</w:t>
            </w: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240" w:right="740"/>
        <w:spacing w:after="0"/>
        <w:rPr>
          <w:sz w:val="20"/>
          <w:szCs w:val="20"/>
          <w:color w:val="auto"/>
        </w:rPr>
      </w:pPr>
      <w:r>
        <w:rPr>
          <w:rFonts w:ascii="Times New Roman" w:cs="Times New Roman" w:eastAsia="Times New Roman" w:hAnsi="Times New Roman"/>
          <w:sz w:val="16"/>
          <w:szCs w:val="16"/>
          <w:color w:val="auto"/>
        </w:rPr>
        <w:t>Note: For purposes of the table above, a program is classified in Phase 2 or 3 clinical development after recruitment for the corresponding study or studies has commenced.</w:t>
      </w:r>
    </w:p>
    <w:p>
      <w:pPr>
        <w:ind w:left="400" w:hanging="165"/>
        <w:spacing w:after="0" w:line="209" w:lineRule="auto"/>
        <w:tabs>
          <w:tab w:leader="none" w:pos="4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Orphan Drug designation</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Breakthrough Therapy designation</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Fast Track designation</w:t>
      </w:r>
    </w:p>
    <w:p>
      <w:pPr>
        <w:spacing w:after="0" w:line="64" w:lineRule="exact"/>
        <w:rPr>
          <w:rFonts w:ascii="Times New Roman" w:cs="Times New Roman" w:eastAsia="Times New Roman" w:hAnsi="Times New Roman"/>
          <w:sz w:val="22"/>
          <w:szCs w:val="22"/>
          <w:color w:val="auto"/>
          <w:vertAlign w:val="superscript"/>
        </w:rPr>
      </w:pPr>
    </w:p>
    <w:p>
      <w:pPr>
        <w:ind w:left="240" w:right="340" w:hanging="5"/>
        <w:spacing w:after="0" w:line="189" w:lineRule="auto"/>
        <w:tabs>
          <w:tab w:leader="none" w:pos="397"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Sanofi did not opt-in to or elected not to continue to co-develop the product candidate. Under the terms of our agreement, Sanofi is entitled to receive royalties on sales of the product, if any.</w:t>
      </w:r>
    </w:p>
    <w:p>
      <w:pPr>
        <w:spacing w:after="0" w:line="6" w:lineRule="exact"/>
        <w:rPr>
          <w:rFonts w:ascii="Times New Roman" w:cs="Times New Roman" w:eastAsia="Times New Roman" w:hAnsi="Times New Roman"/>
          <w:sz w:val="23"/>
          <w:szCs w:val="23"/>
          <w:color w:val="auto"/>
          <w:vertAlign w:val="superscript"/>
        </w:rPr>
      </w:pPr>
    </w:p>
    <w:p>
      <w:pPr>
        <w:ind w:left="420" w:hanging="185"/>
        <w:spacing w:after="0"/>
        <w:tabs>
          <w:tab w:leader="none" w:pos="4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Studied as monotherapy and in combination with other antibodies and treatments</w:t>
      </w:r>
    </w:p>
    <w:p>
      <w:pPr>
        <w:spacing w:after="0" w:line="64" w:lineRule="exact"/>
        <w:rPr>
          <w:rFonts w:ascii="Times New Roman" w:cs="Times New Roman" w:eastAsia="Times New Roman" w:hAnsi="Times New Roman"/>
          <w:sz w:val="23"/>
          <w:szCs w:val="23"/>
          <w:color w:val="auto"/>
          <w:vertAlign w:val="superscript"/>
        </w:rPr>
      </w:pPr>
    </w:p>
    <w:p>
      <w:pPr>
        <w:ind w:left="420" w:hanging="185"/>
        <w:spacing w:after="0" w:line="182" w:lineRule="auto"/>
        <w:tabs>
          <w:tab w:leader="none" w:pos="4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Information in this column captures submissions to U.S., EU, and Japan regulatory authorities</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BioNTech's BNT116 is an mRNA cancer vaccine.</w:t>
      </w:r>
    </w:p>
    <w:p>
      <w:pPr>
        <w:spacing w:after="0" w:line="2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Intellia</w:t>
      </w:r>
    </w:p>
    <w:p>
      <w:pPr>
        <w:spacing w:after="0" w:line="2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Alnylam elected to opt-out of the product candidate. Under the terms of our agreement, Alnylam is entitled to receive royalties on sales of the product, if any.</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Under the terms of our license agreement for cemdisiran, Alnylam is entitled to receive royalties on sales (if any), as well as sales milestones.</w:t>
      </w:r>
    </w:p>
    <w:p>
      <w:pPr>
        <w:spacing w:after="0" w:line="24" w:lineRule="exact"/>
        <w:rPr>
          <w:rFonts w:ascii="Times New Roman" w:cs="Times New Roman" w:eastAsia="Times New Roman" w:hAnsi="Times New Roman"/>
          <w:sz w:val="22"/>
          <w:szCs w:val="22"/>
          <w:color w:val="auto"/>
          <w:vertAlign w:val="superscript"/>
        </w:rPr>
      </w:pPr>
    </w:p>
    <w:p>
      <w:pPr>
        <w:ind w:left="440" w:hanging="205"/>
        <w:spacing w:after="0" w:line="191" w:lineRule="auto"/>
        <w:tabs>
          <w:tab w:leader="none" w:pos="44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Regenerative Medicine Advanced Therapy ("RMAT") designation</w:t>
      </w:r>
    </w:p>
    <w:p>
      <w:pPr>
        <w:spacing w:after="0" w:line="64" w:lineRule="exact"/>
        <w:rPr>
          <w:rFonts w:ascii="Times New Roman" w:cs="Times New Roman" w:eastAsia="Times New Roman" w:hAnsi="Times New Roman"/>
          <w:sz w:val="21"/>
          <w:szCs w:val="21"/>
          <w:color w:val="auto"/>
          <w:vertAlign w:val="superscript"/>
        </w:rPr>
      </w:pPr>
    </w:p>
    <w:p>
      <w:pPr>
        <w:ind w:left="420" w:hanging="185"/>
        <w:spacing w:after="0" w:line="182" w:lineRule="auto"/>
        <w:tabs>
          <w:tab w:leader="none" w:pos="4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Studied in combination with semaglutide with and without garetosmab</w:t>
      </w:r>
    </w:p>
    <w:p>
      <w:pPr>
        <w:spacing w:after="0" w:line="24" w:lineRule="exact"/>
        <w:rPr>
          <w:rFonts w:ascii="Times New Roman" w:cs="Times New Roman" w:eastAsia="Times New Roman" w:hAnsi="Times New Roman"/>
          <w:sz w:val="22"/>
          <w:szCs w:val="22"/>
          <w:color w:val="auto"/>
          <w:vertAlign w:val="superscript"/>
        </w:rPr>
      </w:pPr>
    </w:p>
    <w:p>
      <w:pPr>
        <w:ind w:left="240" w:right="80" w:hanging="5"/>
        <w:spacing w:after="0" w:line="189" w:lineRule="auto"/>
        <w:tabs>
          <w:tab w:leader="none" w:pos="417"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 Phase 2 study, sponsored by Eli Lilly, is also ongoing and testing the combination of tirzepatide and mibavademab compared with tirzepatide alone in patients with obesity.</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 Clinical Development Programs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Linvoseltamab</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FDA issued a CRL for the BLA for linvoseltamab in relapsed/refractory multiple myeloma that has progressed after at least three prior therapies. The sole approvability issue identified related to findings from a pre-approval inspection at a third-party fill/finish manufacturer. In January 2025, the Company resubmitted the BLA following resolution of third-party manufacturing issues, and an FDA decision on the BLA is anticipated by mid-2025.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Dupixent</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2024, the Company and Sanofi announced that the first Phase 3 trial (Study A) of Dupixent in adults with uncontrolled and severe CPUO did not achieve statistical significance in its primary itch responder endpoint (despite favorable numerical improvements), but showed nominally significant improvements in all other itch endpoints. The Dupixent Phase 3 program in CPUO consists of Study A and Study B. Study B recently initiated as a subsequent pivotal trial.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 Early-Stage Clinical Development Updates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a Phase 1 study of linvoseltamab, in combination with dupilumab, in severe food allergy was initiated.</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a Phase 1 combination cohort of nezastomig and REGN4336 (bispecific antibody targeting PSMA and CD3) in metastatic castration-resistant prostate cancer was initiated.</w:t>
      </w:r>
    </w:p>
    <w:p>
      <w:pPr>
        <w:spacing w:after="0" w:line="90" w:lineRule="exact"/>
        <w:rPr>
          <w:sz w:val="20"/>
          <w:szCs w:val="20"/>
          <w:color w:val="auto"/>
        </w:rPr>
      </w:pPr>
    </w:p>
    <w:p>
      <w:pPr>
        <w:ind w:right="1620"/>
        <w:spacing w:after="0" w:line="4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Descriptions of Marketed Products Studied in Additional Indications and Product Candidates in Late-Stage Clinical Development </w:t>
      </w:r>
      <w:r>
        <w:rPr>
          <w:rFonts w:ascii="Times New Roman" w:cs="Times New Roman" w:eastAsia="Times New Roman" w:hAnsi="Times New Roman"/>
          <w:sz w:val="18"/>
          <w:szCs w:val="18"/>
          <w:i w:val="1"/>
          <w:iCs w:val="1"/>
          <w:color w:val="auto"/>
        </w:rPr>
        <w:t>EYLEA HD (aflibercept) 8 mg</w:t>
      </w:r>
    </w:p>
    <w:p>
      <w:pPr>
        <w:jc w:val="both"/>
        <w:spacing w:after="0" w:line="266" w:lineRule="auto"/>
        <w:rPr>
          <w:sz w:val="20"/>
          <w:szCs w:val="20"/>
          <w:color w:val="auto"/>
        </w:rPr>
      </w:pPr>
      <w:r>
        <w:rPr>
          <w:rFonts w:ascii="Times New Roman" w:cs="Times New Roman" w:eastAsia="Times New Roman" w:hAnsi="Times New Roman"/>
          <w:sz w:val="18"/>
          <w:szCs w:val="18"/>
          <w:color w:val="auto"/>
        </w:rPr>
        <w:t>EYLEA HD is a soluble fusion protein that acts as a vascular endothelial growth factor ("VEGF") inhibitor. Through a novel formulation, it is designed to deliver a concentrated dose of aflibercept to block VEGF-A and PLGF and inhibit the growth of new blood vessels and decrease vascular permeability to treat various retinal diseases, including wAMD, DME, and DR.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Dupixent (dupilumab)</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Dupixent is a fully human monoclonal antibody that inhibits signaling of the IL-4 and IL-13 pathways, and is not an immunosuppressant. IL-4 and IL-13 are key and central drivers of the type 2 inflammation that play a major role in atopic dermatitis, asthma, CRSwNP, COPD, EoE, prurigo nodularis, CSU, and potentially other chronic allergic and inflammatory diseases.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Kevzara (sarilumab)</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Kevzara is a fully human monoclonal antibody that binds specifically to the IL-6 receptor and inhibits IL-6-mediated signaling. IL-6 is an immune system protein produced in increased quantities in patients with RA and has been associated with disease activity, joint destruction, and other systemic problems.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Itepekimab</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Itepekimab is an investigational, fully human monoclonal antibody that inhibits IL-33, a protein that is believed to play a key role in lung inflammation in COPD.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REGN5713-5715</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REGN5713-5715 is an investigational combination of two fully human monoclonal antibodies designed to treat allergic inflammatory conditions caused by the allergen Bet v 1, which is the main allergen responsible for birch pollen allergies. Birch pollen allergy is one of the most common causes of seasonal allergies that occur in the spring, and is also believed to trigger "oral allergy syndrome" food reactions to related allergens found in nuts and fruits such as apples, pears, and cherries.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REGN1908-1909</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REGN1908-1909 is an investigational combination of two fully human monoclonal antibodies that is designed to specifically bind and block the Fel d 1 allergen, thus preventing it from binding and triggering the endogenous antibodies that cause allergies (i.e., immunoglobulin E antibodies). Cat allergy is primarily caused by exposure to Fel d 1, the major allergen in cat dander produced by all cats.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Libtayo (cemiplimab)</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Libtayo is a fully human monoclonal antibody targeting the immune checkpoint receptor PD-1 on T-cells. The PD-1/PD-L1 immune checkpoint pathway is a well-known mechanism by which cancers evade immune destruction. Regeneron is studying Libtayo as monotherapy and in combination with either conventional or novel therapeutic approaches in various solid tumors and blood cancers. It is also being studied in combination with proprietary anti-cancer assets of other companies. Libtayo has also been approved by regulatory authorities in a number of cancer indications, including advanced NSCLC, BCC, CSCC, and cervical cancer.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Fianlimab</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Fianlimab is an investigational, fully human monoclonal antibody targeting the immune checkpoint receptor LAG-3 on T-cells. In melanoma and NSCLC, LAG-3 expression in the tumor microenvironment may be associated with therapeutic resistance to PD-1 inhibitors. Fianlimab is being investigated in combination with Libtayo to determine whether concurrent blockade of LAG-3 and PD-1 can help overcome this resistance and release the brakes on T-cell activation.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Pozelimab</w:t>
      </w:r>
    </w:p>
    <w:p>
      <w:pPr>
        <w:spacing w:after="0" w:line="14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Pozelimab is a fully human monoclonal antibody designed to block complement factor C5 in order to treat diseases mediated by abnormal complement pathway activity, and is approved by the FDA for CHAPLE. Pozelimab is being studied in investigational combinations with an investigational small interfering RNA ("siRNA") therapy, cemdisiran, in PNH, myasthenia gravis, and geographic atrophy.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Ordspono (odronextamab)</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Odronextamab is a bispecific monoclonal antibody designed to bridge CD20 on cancer cells with CD3-expressing T cells to facilitate local T-cell activation and cancer-cell killing. We are studying odronextamab in several types of B-cell non-Hodgkin lymphoma.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Linvoseltamab</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Linvoseltamab is an investigational bispecific monoclonal antibody designed to bind to CD3 while also binding and bridging T-cells to the BCMA protein on multiple myeloma cells. We are studying whether linvoseltamab may help to activate T-cells via their CD3 receptors and trigger targeted, T-cell mediated killing of multiple myeloma. We are also studying linvoseltamab in precursor conditions to multiple myeloma, including high-risk MGUS and high-risk smoldering myeloma.</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Nex-z</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Nex-z is an investigational CRISPR-based therapy to be systemically delivered to edit genes inside the human body and is being studied as a treatment for ATTR amyloidosis. ATTR amyloidosis is a progressive and fatal disorder resulting from deposition of insoluble amyloid fibrils into multiple organs and tissues leading to systemic failure. Delivered with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technology, nex-z offers the possibility of halting and reversing the disease by driving a deep, consistent, and potentially lifelong reduction in transthyretin ("TTR") protein after a single dose.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Garetosmab</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Garetosmab is an investigational, fully human monoclonal antibody that binds to and neutralizes Activin A, which drives the abnormal bone formation that is the main pathology of the ultra-rare genetic disorder FOP. This abnormal bone formation in soft tissue outside of the normal skeleton, a process known as heterotopic ossification, leads to loss of mobility and premature death in FOP patients. Garetosmab is being investigated to determine whether it can help reduce and/or prevent the formation of heterotopic bone lesions by neutralizing the Activin A protein.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Mibavademab</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Mibavademab is an investigational, fully human monoclonal antibody that binds to and activates the leptin receptor, which modulates the control of food intake, energy expenditure, and glucose/lipid metabolism. We are studying mibavademab as a potential treatment for generalized lipodystrophy.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Programs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preclinical research programs include the areas of oncology/immuno-oncology, angiogenesis, ophthalmology, metabolic and related diseases, muscle diseases and disorders, inflammation and immune diseases, bone and cartilage, pain and neurobiology, auditory conditions, enzyme replacement therapy, cardiovascular diseases, infectious diseases, and diseases related to aging. These preclinical research programs include both rare diseases and those involving broader populations.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Technologies</w:t>
      </w:r>
    </w:p>
    <w:p>
      <w:pPr>
        <w:spacing w:after="0" w:line="1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Many proteins that play an important role in biology and disease are secreted by cells or located on the cell surface. Moreover, cells communicate through secreted factors and surface molecules. Our scientists have developed two different technologies to make protein therapeutics that potently and specifically block, activate, or inhibit the action of specific cell surface or secreted molecules. The first technology fuses receptor components to the constant region of an antibody molecule to make a class of drugs we call "Traps." EYLEA HD, EYLEA, ZALTRAP, and ARCALYST are drugs generated using our Trap technology.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our second technology platform, which is used for discovering, developing, and producing fully human antibodies that can address both secreted and cell-surface targets. We also leverage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to produce new classes of bispecific antibodies. Additionally, we use genetic medicine platforms as complementary approaches to these core technologies to potentially treat or cure diseases.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VelociSuite</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VelociSuite </w:t>
      </w:r>
      <w:r>
        <w:rPr>
          <w:rFonts w:ascii="Times New Roman" w:cs="Times New Roman" w:eastAsia="Times New Roman" w:hAnsi="Times New Roman"/>
          <w:sz w:val="18"/>
          <w:szCs w:val="18"/>
          <w:color w:val="auto"/>
        </w:rPr>
        <w:t>consists of</w:t>
      </w:r>
      <w:r>
        <w:rPr>
          <w:rFonts w:ascii="Times New Roman" w:cs="Times New Roman" w:eastAsia="Times New Roman" w:hAnsi="Times New Roman"/>
          <w:sz w:val="18"/>
          <w:szCs w:val="18"/>
          <w:i w:val="1"/>
          <w:iCs w:val="1"/>
          <w:color w:val="auto"/>
        </w:rPr>
        <w:t xml:space="preserve"> VelocImmune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VelociGene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VelociMouse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VelociMab</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Veloci-Bi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VelociHum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other related technologies. The</w:t>
      </w:r>
      <w:r>
        <w:rPr>
          <w:rFonts w:ascii="Times New Roman" w:cs="Times New Roman" w:eastAsia="Times New Roman" w:hAnsi="Times New Roman"/>
          <w:sz w:val="18"/>
          <w:szCs w:val="18"/>
          <w:i w:val="1"/>
          <w:iCs w:val="1"/>
          <w:color w:val="auto"/>
        </w:rPr>
        <w:t xml:space="preserve"> VelocImmune </w:t>
      </w:r>
      <w:r>
        <w:rPr>
          <w:rFonts w:ascii="Times New Roman" w:cs="Times New Roman" w:eastAsia="Times New Roman" w:hAnsi="Times New Roman"/>
          <w:sz w:val="18"/>
          <w:szCs w:val="18"/>
          <w:color w:val="auto"/>
        </w:rPr>
        <w:t>mouse platform is utilized to produce fully human antibodies.</w:t>
      </w:r>
      <w:r>
        <w:rPr>
          <w:rFonts w:ascii="Times New Roman" w:cs="Times New Roman" w:eastAsia="Times New Roman" w:hAnsi="Times New Roman"/>
          <w:sz w:val="18"/>
          <w:szCs w:val="18"/>
          <w:i w:val="1"/>
          <w:iCs w:val="1"/>
          <w:color w:val="auto"/>
        </w:rPr>
        <w:t xml:space="preserve"> VelocImmune </w:t>
      </w:r>
      <w:r>
        <w:rPr>
          <w:rFonts w:ascii="Times New Roman" w:cs="Times New Roman" w:eastAsia="Times New Roman" w:hAnsi="Times New Roman"/>
          <w:sz w:val="18"/>
          <w:szCs w:val="18"/>
          <w:color w:val="auto"/>
        </w:rPr>
        <w:t>was generated by leveraging our</w:t>
      </w:r>
      <w:r>
        <w:rPr>
          <w:rFonts w:ascii="Times New Roman" w:cs="Times New Roman" w:eastAsia="Times New Roman" w:hAnsi="Times New Roman"/>
          <w:sz w:val="18"/>
          <w:szCs w:val="18"/>
          <w:i w:val="1"/>
          <w:iCs w:val="1"/>
          <w:color w:val="auto"/>
        </w:rPr>
        <w:t xml:space="preserve"> VelociGene </w:t>
      </w:r>
      <w:r>
        <w:rPr>
          <w:rFonts w:ascii="Times New Roman" w:cs="Times New Roman" w:eastAsia="Times New Roman" w:hAnsi="Times New Roman"/>
          <w:sz w:val="18"/>
          <w:szCs w:val="18"/>
          <w:color w:val="auto"/>
        </w:rPr>
        <w:t>technology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below), in a process in which six megabases of mouse immunoglobulin gene loci were replaced, or "humanized," with corresponding human immunoglobulin gene loci.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mice can be used efficiently to generate fully human antibodies to targets of therapeutic interest.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and our entire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offer the potential to increase the speed and efficiency through which human antibody therapeutics may be discovered and validated, thereby improving the overall efficiency of our early-stage drug development activities. We are utilizing the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to produce our next generation of therapeutic antibody drug candidates for preclinical and clinical development.</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platform allows custom and precise manipulation of very large sequences of DNA to produce highly customized alterations of a specified target gene, or genes, and accelerates the production of knock-out and transgenic expression models.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offers the opportunity to humanize targets by replacing the mouse gene with the human homolog or variants thereof. Thus,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allows scientists to rapidly identify the physical and biological effects of deleting or over-expressing the target gene, as well as to characterize and test potential therapeutic molecules.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technology are suitable for direct phenotyping or other studies.</w:t>
      </w:r>
    </w:p>
    <w:p>
      <w:pPr>
        <w:spacing w:after="0" w:line="11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We have also developed our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18"/>
          <w:szCs w:val="18"/>
          <w:color w:val="auto"/>
        </w:rPr>
        <w:t xml:space="preserve"> platform for the rapid screening of antibodies and rapid generation of expression cell lines for our Traps and our </w:t>
      </w:r>
      <w:r>
        <w:rPr>
          <w:rFonts w:ascii="Times New Roman" w:cs="Times New Roman" w:eastAsia="Times New Roman" w:hAnsi="Times New Roman"/>
          <w:sz w:val="18"/>
          <w:szCs w:val="18"/>
          <w:i w:val="1"/>
          <w:iCs w:val="1"/>
          <w:color w:val="auto"/>
        </w:rPr>
        <w:t xml:space="preserve">VelocImmune </w:t>
      </w:r>
      <w:r>
        <w:rPr>
          <w:rFonts w:ascii="Times New Roman" w:cs="Times New Roman" w:eastAsia="Times New Roman" w:hAnsi="Times New Roman"/>
          <w:sz w:val="18"/>
          <w:szCs w:val="18"/>
          <w:color w:val="auto"/>
        </w:rPr>
        <w:t>human antibodies.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utilized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to develop a class of potential drug candidates, known as bispecific antibodies. </w:t>
      </w:r>
      <w:r>
        <w:rPr>
          <w:rFonts w:ascii="Times New Roman" w:cs="Times New Roman" w:eastAsia="Times New Roman" w:hAnsi="Times New Roman"/>
          <w:sz w:val="18"/>
          <w:szCs w:val="18"/>
          <w:i w:val="1"/>
          <w:iCs w:val="1"/>
          <w:color w:val="auto"/>
        </w:rPr>
        <w:t>Veloci-Bi</w:t>
      </w:r>
      <w:r>
        <w:rPr>
          <w:rFonts w:ascii="Times New Roman" w:cs="Times New Roman" w:eastAsia="Times New Roman" w:hAnsi="Times New Roman"/>
          <w:sz w:val="18"/>
          <w:szCs w:val="18"/>
          <w:color w:val="auto"/>
        </w:rPr>
        <w:t xml:space="preserve"> allows for the generation of full-length bispecific antibodies similar to native antibodies that are amenable to production by standard antibody manufacturing techniques, and are likely to have favorable antibody-like pharmacokinetic properties. In the area of immunotherapies in oncology, we are exploring the use of bispecific antibodies that target tumor antigens and the CD3 receptor on T-cells to harness the oncolytic properties of T-cells. We are exploring additional indications and applications for our bispecific technologies, including CD28 and 4-1BB costimulatory bispecifics. We are also exploring a variety of alternative antibody formats (Altibodies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that can bring binding partners together in restrained geometries.</w:t>
      </w:r>
    </w:p>
    <w:p>
      <w:pPr>
        <w:spacing w:after="0" w:line="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VelociT</w:t>
      </w:r>
      <w:r>
        <w:rPr>
          <w:rFonts w:ascii="Times New Roman" w:cs="Times New Roman" w:eastAsia="Times New Roman" w:hAnsi="Times New Roman"/>
          <w:sz w:val="18"/>
          <w:szCs w:val="18"/>
          <w:color w:val="auto"/>
        </w:rPr>
        <w:t xml:space="preserve"> mouse extends our research and drug discovery capabilities into cell-mediated immunity and therapeutic T-cell receptors ("TCRs") for oncology and other indications. </w:t>
      </w:r>
      <w:r>
        <w:rPr>
          <w:rFonts w:ascii="Times New Roman" w:cs="Times New Roman" w:eastAsia="Times New Roman" w:hAnsi="Times New Roman"/>
          <w:sz w:val="18"/>
          <w:szCs w:val="18"/>
          <w:i w:val="1"/>
          <w:iCs w:val="1"/>
          <w:color w:val="auto"/>
        </w:rPr>
        <w:t>VelociT</w:t>
      </w:r>
      <w:r>
        <w:rPr>
          <w:rFonts w:ascii="Times New Roman" w:cs="Times New Roman" w:eastAsia="Times New Roman" w:hAnsi="Times New Roman"/>
          <w:sz w:val="18"/>
          <w:szCs w:val="18"/>
          <w:color w:val="auto"/>
        </w:rPr>
        <w:t xml:space="preserve"> was developed by using 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technology to humanize genes encoding TCRα and TCRβ variable sequences, CD4 and CD8 co-receptors, β2m, and class-I and -II major histocompatibility complexes. As a result, </w:t>
      </w:r>
      <w:r>
        <w:rPr>
          <w:rFonts w:ascii="Times New Roman" w:cs="Times New Roman" w:eastAsia="Times New Roman" w:hAnsi="Times New Roman"/>
          <w:sz w:val="18"/>
          <w:szCs w:val="18"/>
          <w:i w:val="1"/>
          <w:iCs w:val="1"/>
          <w:color w:val="auto"/>
        </w:rPr>
        <w:t>VelociT</w:t>
      </w:r>
      <w:r>
        <w:rPr>
          <w:rFonts w:ascii="Times New Roman" w:cs="Times New Roman" w:eastAsia="Times New Roman" w:hAnsi="Times New Roman"/>
          <w:sz w:val="18"/>
          <w:szCs w:val="18"/>
          <w:color w:val="auto"/>
        </w:rPr>
        <w:t xml:space="preserve"> mice can be utilized to produce fully human TCRs, providing for customized modeling of T-cell function in different diseases and a powerful platform for the discovery of unique TCR-based therapies. We are also able to produce antibodies that recognize intracellular peptides bound in the groove of human leukocyte antigen ("HLA"), enabling the targeting of intracellular proteins in cancer cells.</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VelociHum </w:t>
      </w:r>
      <w:r>
        <w:rPr>
          <w:rFonts w:ascii="Times New Roman" w:cs="Times New Roman" w:eastAsia="Times New Roman" w:hAnsi="Times New Roman"/>
          <w:sz w:val="18"/>
          <w:szCs w:val="18"/>
          <w:color w:val="auto"/>
        </w:rPr>
        <w:t>is our immunodeficient mouse platform that can be used to accurately test human therapeutics against human immune cells and to study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tumor models. Through genetic humanizations, </w:t>
      </w:r>
      <w:r>
        <w:rPr>
          <w:rFonts w:ascii="Times New Roman" w:cs="Times New Roman" w:eastAsia="Times New Roman" w:hAnsi="Times New Roman"/>
          <w:sz w:val="18"/>
          <w:szCs w:val="18"/>
          <w:i w:val="1"/>
          <w:iCs w:val="1"/>
          <w:color w:val="auto"/>
        </w:rPr>
        <w:t>VelociHum</w:t>
      </w:r>
      <w:r>
        <w:rPr>
          <w:rFonts w:ascii="Times New Roman" w:cs="Times New Roman" w:eastAsia="Times New Roman" w:hAnsi="Times New Roman"/>
          <w:sz w:val="18"/>
          <w:szCs w:val="18"/>
          <w:color w:val="auto"/>
        </w:rPr>
        <w:t xml:space="preserve"> mice have been optimized to allow for better development of human immune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as well as to allow for engraftment of primary patient-derived tumors that do not take in other commercially available mice.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Regeneron Genetics Center</w:t>
      </w:r>
      <w:r>
        <w:rPr>
          <w:rFonts w:ascii="Times New Roman" w:cs="Times New Roman" w:eastAsia="Times New Roman" w:hAnsi="Times New Roman"/>
          <w:sz w:val="23"/>
          <w:szCs w:val="23"/>
          <w:b w:val="1"/>
          <w:bCs w:val="1"/>
          <w:color w:val="auto"/>
          <w:vertAlign w:val="superscript"/>
        </w:rPr>
        <w:t>®</w:t>
      </w:r>
    </w:p>
    <w:p>
      <w:pPr>
        <w:spacing w:after="0" w:line="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Regeneron Genetics Center LLC (RGC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wholly owned subsidiary of Regeneron Pharmaceuticals, Inc., leverages de-identified clinical, genomic, and other types of molecular data from properly consented human volunteers from around the world to identify medically relevant associations in a blinded fashion designed to preserve a patient's privacy while uncovering the unique characteristics of their health and wellness. The objective of RGC is to expand the use of human genetics for discovering and validating genetic factors that cause or influence a range of diseases where there are major unmet medical needs, with the prospect of improving the drug discovery and development process and to advance innovation in clinical care design. RGC is undertaking multiple collaborative approaches to study design and implementation, including large population-based efforts that engage study participants to more discrete disease specific and founder populations with data on strategic phenotypes of interest. RGC utilizes laboratory automation and innovative approaches to cloud computing to achieve high-quality throughput, attaining nearly 3 million samples sequenced to date.</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it was announced that RGC was selected by UK Biobank consortium members to complete proteomic assay data generation for the recently announced UK Biobank Pharma Proteomics Project.</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January 2025, RGC entered into an agreement with Truveta Inc. pursuant to which RGC will sequence exomes and conduct genotyping and imputation of up to ten million de-identified consented volunteers using biospecimens provided by Truveta health system members across the United States.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central to the ongoing work of RGC is the portfolio of collaborations with over 150 academic and clinical collaborators around the world, including the University of Colorado, Geisinger Health System, Mayo Clinic, University of Pennsylvania, UCLA Medical Center, UK Biobank, University of Oxford, and the University of Cambridge. These collaborations provide access to biological samples and associated phenotype data from properly consented patient volunteers for purposes of genomic research. RGC undertakes genetic sequencing of these samples to create a unique resource of de-identified genetic data and associated phenotype data for research. Furthermore, RGC has deployed bulk RNA sequencing, whole genome sequencing, and an O-LINK proteomic assay to complement whole exome sequencing and genotyping. In addition, RGC leverages organoid models, siRNA, and CRISPR knockout models to validate genetic associations that lead to new therapeutic targets. RGC continues to publish results from its research efforts in journals and publications in partnership with its collaborators to advance the field of genomics.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These efforts at RGC have led to the identification of more than 30 novel genetic targets. Through our Regeneron Genetics Medicines initiative, we are currently advancing these targets using either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or other technologies, such as siRNA gene silencing, genome editing, and targeted viral-based gene delivery and expression. See the "Collaboration, License, and Other Agreements" section below for descriptions of our collaborations with Alnylam Pharmaceuticals, Inc. and Intellia Therapeutics,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collaborating with Sanofi on the global development and commercialization of Dupixent, Kevzara, and itepekimab (the "Antibody Collaboration"). Under the terms of the Antibody Collaboration, Sanofi is generally responsible for funding 80% to 100% of agreed-upon development costs. We are obligated to reimburse Sanofi for 30% to 50% of worldwide development expenses that were funded by Sanofi based on our share of collaboration profits; however, we are only required to apply 20% of our share of profits from the collaboration each calendar quarter to reimburse Sanofi for these development expenses. As of December 31, 2024, the total amount of our contingent reimbursement obligation (i.e., "development balance") to Sanofi in connection with such development expenses was approximately $1.635 billion.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Regeneron has the right to co-commercialize such products on a country-by-country basis. We co-commercialize Dupixent in the United States and in certain countries outside the United States. We supply certain commercial bulk product to Sanofi. We and Sanofi equally share profits from sales within the United States, and share profits outside the United States on a sliding scale based on sales starting at 65% (Sanofi)/35% (us) and ending at 55% (Sanofi)/45% (us).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Bayer are parties to a license and collaboration agreement for the global development and commercialization of EYLEA 8 mg and EYLEA outside the United States. Agreed-upon development expenses incurred by the Company and Bayer are generally shared equally. Bayer is responsible for commercialization activities outside the United States, and the companies share equally in profits from such sales.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at a faster 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and are entitled to all profits from such sales.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Alnylam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2019, we and Alnylam entered into a collaboration to discover, develop, and commercialize RNAi therapeutics for a broad range of diseases by addressing therapeutic disease targets expressed in the eye and central nervous system ("CNS"), in addition to a select number of targets expressed in the liver. For each program, we provide Alnylam with a specified amount of funding at program initiation and at lead candidate designation. During 2023, we paid a $100.0 million development milestone to Alnylam (in connection with a CNS program) and Alnylam is eligible to receive an additional $100.0 million clinical proof-of-principle milestone in connection with an eye program.</w:t>
      </w:r>
    </w:p>
    <w:p>
      <w:pPr>
        <w:spacing w:after="0" w:line="1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Under the terms of the collaboration, the parties perform discovery research until designation of lead candidates. Following designation of a lead candidate, the parties may further advance such lead candidate under either a co-development/co-commercialization collaboration agreement ("Co-Co Collaboration Agreement") or a license agreement structure. The initial target nomination and discovery period of five years has been automatically extended until the earlier of seven years from the effective date of the collaboration or the achievement of certain milestones (the "Research Term"). In addition, we have an option to extend the Research Term for an additional five-year period for a research extension fee of $300.0 million.</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CNS programs and liver programs, under a Co-Co Collaboration Agreement, the party designated as the lead party will lead development and commercialization of the program and the parties will split profits and share costs equally, subject to certain co-funding opt-outs at specified clinical trial phases or under other conditions.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 license agreement, the lead party is designated as the licensee and has the right to develop and commercialize the collaboration product under such program. The licensee will be responsible for its own costs and expenses incurred. The licensee will pay to the licensor certain development and/or commercialization milestone payments, as well as certain tiered royalty payments to the licensor based on the aggregate annual net sales of the collaboration product.</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various license agreements with Alnylam, with us as the licensee, including for cemdisiran as a monotherapy and for a combination consisting of cemdisiran and pozelimab.</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we elected to no longer co-develop ALN-APP pursuant to a Co-Co Collaboration Agreement; as a result, Alnylam retains the right to develop and commercialize such product and we will receive a royalty on sales (if 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and Intellia Therapeutics, Inc. are parties to a license and collaboration agreement to advance CRISPR/Cas9 gene-editing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development. Nex-z, which is in clinical development, is subject to a co-development and co-commercialization arrangement pursuant to which Intellia will lead development and commercialization activities and the parties share an agreed-upon percentage of development expenses and profits (if commercialized). In addition, we also have non-exclusive rights to independently develop and commercialize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edited products.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2023, we expanded the license and collaboration agreement to develop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CRISPR-based gene editing therapies focused on neurological and muscular diseases. Intellia will lead the design of the editing methodology, we will lead the design of the targeted viral vector delivery approach, and the parties share costs equally. Each company will have the opportunity to lead potential development and commercialization of product candidates for one target, and the company that is not leading development and commercialization will have the option to enter into a co-development and co-commercialization agreement for the target.</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in October 2023, we elected to extend the period for selecting targets under the license and collaboration agreement for an additional two years until April 2026; as a result, we made a $30.0 million extension payment to Intellia.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2024, Intellia elected to opt-out of further development activities pursuant to the Factor IX co-development and co-commercialization agreement; as a result, we retain the right to develop and commercialize products directed to Factor IX (which is currently in Phase 1 clinical development), and Intellia will be entitled to receive milestone payments and royalties on sales (if 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Decibel</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2017, we entered into an agreement with Decibel Therapeutics, Inc. to discover and develop new potential therapeutics to protect, repair and restore hearing (including DB-OTO, which is currently in clinical development, and preclinical programs for GJB2-related and stereocilin-related hearing loss).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we acquired Decibel by paying $101.3 million in cash (or $4.00 per share of Decibel common stock). In addition, Decibel shareholders received one non-tradeable contingent value right ("CVR") per share of Decibel common stock, entitling them to receive up to an additional $3.50 per share in cash upon achievement of certain development milestones for DB-OTO within specified time periods. During 2024, the first and second (final) development milestones contemplated by the CVRs were achieved. As a result, we have paid an aggregate amount of $97.1 million, which was the maximum amount that holders of the CVRs were entitled to receive (including the payment in respect of the second development milestone made in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2seventy bio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2018, we entered into a collaboration agreement with bluebird bio, Inc. (which subsequently spun out 2seventy bio, Inc. in 2021) to research, develop, and commercialize novel cell therapy approaches to address cancer.</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2024, we acquired full development and commercialization rights to 2seventy bio's oncology and autoimmune preclinical and clinical stage cell therapy pipeline. Under the terms of the agreement, we made a $5.0 million up-front payment, and have assumed ongoing program, infrastructure, and personnel costs related to the product candidates acquired. We are obligated to pay 2seventy bio a regulatory milestone upon the first major market approval of the first approved product; and, with respect to any approved product, a low single-digit percent royalty on sales. In addition, we separately entered into sublease agreements for a portion of 2seventy bio's facilities.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manufacture bulk drug materials and products at our manufacturing facilities in Rensselaer, New York and Limerick, Ireland. These facilities consist of owned and leased manufacturing, office, laboratory, and warehouse space. In addition, we have constructed a fill/finish facility in Rensselaer, New York that is undergoing process validation as required by regulatory authorities.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approximately 100,000 liters of cell culture capacity at our Rensselaer facility and approximately 120,000 liters of cell culture capacity at our Limerick facility. Each of these facilities is approved by the FDA and certain other regulatory agencies to manufacture our bulk drug materials and products.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bulk drug materials and products are also manufactured by our collaborators, and certain raw materials or products necessary for the manufacture and formulation of our products and product candidates are provided by single-source unaffiliated third-party suppliers. In addition, we rely on our collaborators or third parties to perform packaging, filling, finishing, labeling, distribution, laboratory testing, and other services related to the manufacture of our products and product candidates. See Part I, Item 1A. "Risk Factors - Risks Related to Manufacturing and Supply" for further information.</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Among the conditions for marketing approval of a new drug or biologic product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medicines are marketed through our commercial group, which includes experienced professionals in the fields of marketing, sales, professional education, patient education, reimbursement and market access, trade and distribution, commercial operations, commercial analytics, and market research.</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we sell our marketed products primarily to wholesalers and specialty distributors that serve pharmacies, hospitals, government agencies, physicians, and other healthcare providers. We had sales to two customers (Besse Medical, a subsidiary of Cencora, Inc., and McKesson Corporation) that each accounted for more than 10% of total gross product revenue for the year ended December 31, 2024. On a combined basis, our product sales to these customers accounted for 74% of our total gross product revenue for the year ended December 31, 2024. We promote approved medicines to healthcare professionals via our team of field employees, as well as medical journals, medical exhibitions, distribution of literature and samples, and online channels. In addition, we advertise certain products directly to consumers and maintain websites with information about our medicines. The commercial group also evaluates opportunities for our targets and product candidates and prepares for market launches of new medicines.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established certain commercial capabilities outside the United States in connection with co-commercializing Dupixent in accordance with our Sanofi collaboration and with obtaining the rights, in 2022, to commercialize Libtayo outside the United States.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substantial competition from pharmaceutical and biotechnology companies. Our ability to compete depends, to a great extent, on how fast we can develop safe and effective product candidates, complete clinical testing and approval processes, and supply commercial quantities of the product to the market. Competition among products approved for sale is based on efficacy, safety, reliability, ease of administration, dosing frequency, availability, price, patent and other intellectual property position, and other factors.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Marketed Products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table below provides an overview of the current competitive landscape for key products marketed by us and/or our collaborators in such products' currently approved indications. The table below is provided for illustrative purposes only and is not exhaustive. For additional information regarding the substantial competition these marketed products face, including potential future competition from product candidates in clinical development, see also Part 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 products and product candidates is subject to significant competition.</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Marketed Product</w:t>
            </w:r>
          </w:p>
        </w:tc>
        <w:tc>
          <w:tcPr>
            <w:tcW w:w="120" w:type="dxa"/>
            <w:vAlign w:val="bottom"/>
          </w:tcPr>
          <w:p>
            <w:pPr>
              <w:spacing w:after="0"/>
              <w:rPr>
                <w:sz w:val="22"/>
                <w:szCs w:val="22"/>
                <w:color w:val="auto"/>
              </w:rPr>
            </w:pPr>
          </w:p>
        </w:tc>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Competitor Product</w:t>
            </w:r>
          </w:p>
        </w:tc>
        <w:tc>
          <w:tcPr>
            <w:tcW w:w="100" w:type="dxa"/>
            <w:vAlign w:val="bottom"/>
          </w:tcPr>
          <w:p>
            <w:pPr>
              <w:spacing w:after="0"/>
              <w:rPr>
                <w:sz w:val="22"/>
                <w:szCs w:val="22"/>
                <w:color w:val="auto"/>
              </w:rPr>
            </w:pPr>
          </w:p>
        </w:tc>
        <w:tc>
          <w:tcPr>
            <w:tcW w:w="23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Competitor</w:t>
            </w:r>
          </w:p>
        </w:tc>
        <w:tc>
          <w:tcPr>
            <w:tcW w:w="120" w:type="dxa"/>
            <w:vAlign w:val="bottom"/>
          </w:tcPr>
          <w:p>
            <w:pPr>
              <w:spacing w:after="0"/>
              <w:rPr>
                <w:sz w:val="22"/>
                <w:szCs w:val="22"/>
                <w:color w:val="auto"/>
              </w:rPr>
            </w:pPr>
          </w:p>
        </w:tc>
        <w:tc>
          <w:tcPr>
            <w:tcW w:w="20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9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23"/>
                <w:szCs w:val="23"/>
                <w:b w:val="1"/>
                <w:bCs w:val="1"/>
                <w:color w:val="auto"/>
                <w:vertAlign w:val="superscript"/>
              </w:rPr>
              <w:t>(a)</w:t>
            </w:r>
          </w:p>
        </w:tc>
      </w:tr>
      <w:tr>
        <w:trPr>
          <w:trHeight w:val="178"/>
        </w:trPr>
        <w:tc>
          <w:tcPr>
            <w:tcW w:w="80" w:type="dxa"/>
            <w:vAlign w:val="bottom"/>
          </w:tcPr>
          <w:p>
            <w:pPr>
              <w:spacing w:after="0"/>
              <w:rPr>
                <w:sz w:val="15"/>
                <w:szCs w:val="15"/>
                <w:color w:val="auto"/>
              </w:rPr>
            </w:pPr>
          </w:p>
        </w:tc>
        <w:tc>
          <w:tcPr>
            <w:tcW w:w="2000" w:type="dxa"/>
            <w:vAlign w:val="bottom"/>
            <w:tcBorders>
              <w:top w:val="single" w:sz="8" w:color="auto"/>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rPr>
              <w:t>EYLEA HD and EYLEA</w:t>
            </w:r>
            <w:r>
              <w:rPr>
                <w:rFonts w:ascii="Times New Roman" w:cs="Times New Roman" w:eastAsia="Times New Roman" w:hAnsi="Times New Roman"/>
                <w:sz w:val="20"/>
                <w:szCs w:val="20"/>
                <w:color w:val="auto"/>
                <w:vertAlign w:val="superscript"/>
              </w:rPr>
              <w:t>(b)</w:t>
            </w:r>
          </w:p>
        </w:tc>
        <w:tc>
          <w:tcPr>
            <w:tcW w:w="120" w:type="dxa"/>
            <w:vAlign w:val="bottom"/>
            <w:tcBorders>
              <w:top w:val="single" w:sz="8" w:color="CCEEFF"/>
            </w:tcBorders>
            <w:shd w:val="clear" w:color="auto" w:fill="CCEEFF"/>
          </w:tcPr>
          <w:p>
            <w:pPr>
              <w:spacing w:after="0"/>
              <w:rPr>
                <w:sz w:val="15"/>
                <w:szCs w:val="15"/>
                <w:color w:val="auto"/>
              </w:rPr>
            </w:pPr>
          </w:p>
        </w:tc>
        <w:tc>
          <w:tcPr>
            <w:tcW w:w="2480" w:type="dxa"/>
            <w:vAlign w:val="bottom"/>
            <w:tcBorders>
              <w:top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Pavblu</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(aflibercept-ayyh)</w:t>
            </w:r>
          </w:p>
        </w:tc>
        <w:tc>
          <w:tcPr>
            <w:tcW w:w="10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Amgen Inc.</w:t>
            </w:r>
          </w:p>
        </w:tc>
        <w:tc>
          <w:tcPr>
            <w:tcW w:w="12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wAMD, DME, macular</w:t>
            </w: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United States</w:t>
            </w:r>
          </w:p>
        </w:tc>
        <w:tc>
          <w:tcPr>
            <w:tcW w:w="6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(biosimilar referencing EYLEA)</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edema following RVO</w:t>
            </w: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(including CRVO and</w:t>
            </w: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80" w:type="dxa"/>
            <w:vAlign w:val="bottom"/>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BRVO), and DR</w:t>
            </w:r>
          </w:p>
        </w:tc>
        <w:tc>
          <w:tcPr>
            <w:tcW w:w="18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184"/>
        </w:trPr>
        <w:tc>
          <w:tcPr>
            <w:tcW w:w="80" w:type="dxa"/>
            <w:vAlign w:val="bottom"/>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Vabysmo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(faricimab-svoa)</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Genentech/Roche</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wAMD, DME, and</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60" w:type="dxa"/>
            <w:vAlign w:val="bottom"/>
          </w:tcPr>
          <w:p>
            <w:pPr>
              <w:spacing w:after="0"/>
              <w:rPr>
                <w:sz w:val="16"/>
                <w:szCs w:val="16"/>
                <w:color w:val="auto"/>
              </w:rPr>
            </w:pPr>
          </w:p>
        </w:tc>
      </w:tr>
      <w:tr>
        <w:trPr>
          <w:trHeight w:val="180"/>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macular edema following</w:t>
            </w:r>
          </w:p>
        </w:tc>
        <w:tc>
          <w:tcPr>
            <w:tcW w:w="1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Japan</w:t>
            </w:r>
          </w:p>
        </w:tc>
        <w:tc>
          <w:tcPr>
            <w:tcW w:w="60" w:type="dxa"/>
            <w:vAlign w:val="bottom"/>
          </w:tcPr>
          <w:p>
            <w:pPr>
              <w:spacing w:after="0"/>
              <w:rPr>
                <w:sz w:val="15"/>
                <w:szCs w:val="15"/>
                <w:color w:val="auto"/>
              </w:rPr>
            </w:pPr>
          </w:p>
        </w:tc>
      </w:tr>
      <w:tr>
        <w:trPr>
          <w:trHeight w:val="230"/>
        </w:trPr>
        <w:tc>
          <w:tcPr>
            <w:tcW w:w="80" w:type="dxa"/>
            <w:vAlign w:val="bottom"/>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RVO</w:t>
            </w:r>
          </w:p>
        </w:tc>
        <w:tc>
          <w:tcPr>
            <w:tcW w:w="18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184"/>
        </w:trPr>
        <w:tc>
          <w:tcPr>
            <w:tcW w:w="80" w:type="dxa"/>
            <w:vAlign w:val="bottom"/>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Avastin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(bevacizumab) (off-</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Genentech/Roche</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wAMD, DME, and</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60" w:type="dxa"/>
            <w:vAlign w:val="bottom"/>
          </w:tcPr>
          <w:p>
            <w:pPr>
              <w:spacing w:after="0"/>
              <w:rPr>
                <w:sz w:val="16"/>
                <w:szCs w:val="16"/>
                <w:color w:val="auto"/>
              </w:rPr>
            </w:pPr>
          </w:p>
        </w:tc>
      </w:tr>
      <w:tr>
        <w:trPr>
          <w:trHeight w:val="180"/>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label and repackaged)</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macular edema following</w:t>
            </w:r>
          </w:p>
        </w:tc>
        <w:tc>
          <w:tcPr>
            <w:tcW w:w="1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Japan</w:t>
            </w:r>
          </w:p>
        </w:tc>
        <w:tc>
          <w:tcPr>
            <w:tcW w:w="60" w:type="dxa"/>
            <w:vAlign w:val="bottom"/>
          </w:tcPr>
          <w:p>
            <w:pPr>
              <w:spacing w:after="0"/>
              <w:rPr>
                <w:sz w:val="15"/>
                <w:szCs w:val="15"/>
                <w:color w:val="auto"/>
              </w:rPr>
            </w:pPr>
          </w:p>
        </w:tc>
      </w:tr>
      <w:tr>
        <w:trPr>
          <w:trHeight w:val="230"/>
        </w:trPr>
        <w:tc>
          <w:tcPr>
            <w:tcW w:w="80" w:type="dxa"/>
            <w:vAlign w:val="bottom"/>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RVO</w:t>
            </w:r>
          </w:p>
        </w:tc>
        <w:tc>
          <w:tcPr>
            <w:tcW w:w="18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184"/>
        </w:trPr>
        <w:tc>
          <w:tcPr>
            <w:tcW w:w="80" w:type="dxa"/>
            <w:vAlign w:val="bottom"/>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Lucentis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(ranibizumab injection)</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Novartis AG and</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wAMD, DME, macular</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60" w:type="dxa"/>
            <w:vAlign w:val="bottom"/>
          </w:tcPr>
          <w:p>
            <w:pPr>
              <w:spacing w:after="0"/>
              <w:rPr>
                <w:sz w:val="16"/>
                <w:szCs w:val="16"/>
                <w:color w:val="auto"/>
              </w:rPr>
            </w:pPr>
          </w:p>
        </w:tc>
      </w:tr>
      <w:tr>
        <w:trPr>
          <w:trHeight w:val="180"/>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Genentech/Roche</w:t>
            </w: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edema following RVO</w:t>
            </w:r>
          </w:p>
        </w:tc>
        <w:tc>
          <w:tcPr>
            <w:tcW w:w="1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Japan</w:t>
            </w:r>
          </w:p>
        </w:tc>
        <w:tc>
          <w:tcPr>
            <w:tcW w:w="6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(including CRVO and</w:t>
            </w: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4"/>
        </w:trPr>
        <w:tc>
          <w:tcPr>
            <w:tcW w:w="80" w:type="dxa"/>
            <w:vAlign w:val="bottom"/>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BRVO), DR, mCNV, and</w:t>
            </w:r>
          </w:p>
        </w:tc>
        <w:tc>
          <w:tcPr>
            <w:tcW w:w="18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8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ROP</w:t>
            </w:r>
          </w:p>
        </w:tc>
        <w:tc>
          <w:tcPr>
            <w:tcW w:w="18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184"/>
        </w:trPr>
        <w:tc>
          <w:tcPr>
            <w:tcW w:w="80" w:type="dxa"/>
            <w:vAlign w:val="bottom"/>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Byooviz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(ranibizumab-nuna)</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Samsung Bioepis Co., Ltd. and</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wAMD, DME, macular</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60" w:type="dxa"/>
            <w:vAlign w:val="bottom"/>
          </w:tcPr>
          <w:p>
            <w:pPr>
              <w:spacing w:after="0"/>
              <w:rPr>
                <w:sz w:val="16"/>
                <w:szCs w:val="16"/>
                <w:color w:val="auto"/>
              </w:rPr>
            </w:pPr>
          </w:p>
        </w:tc>
      </w:tr>
      <w:tr>
        <w:trPr>
          <w:trHeight w:val="180"/>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(biosimilar referencing Lucentis)</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Biogen Inc.</w:t>
            </w: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edema following RVO</w:t>
            </w: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(including CRVO and</w:t>
            </w:r>
          </w:p>
        </w:tc>
        <w:tc>
          <w:tcPr>
            <w:tcW w:w="1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80" w:type="dxa"/>
            <w:vAlign w:val="bottom"/>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BRVO), DR, and mCNV</w:t>
            </w:r>
          </w:p>
        </w:tc>
        <w:tc>
          <w:tcPr>
            <w:tcW w:w="18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184"/>
        </w:trPr>
        <w:tc>
          <w:tcPr>
            <w:tcW w:w="80" w:type="dxa"/>
            <w:vAlign w:val="bottom"/>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Ximluci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(ranibizumab)</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Xbrane Biopharma AB and</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wAMD, DME, macular</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EU</w:t>
            </w:r>
          </w:p>
        </w:tc>
        <w:tc>
          <w:tcPr>
            <w:tcW w:w="60" w:type="dxa"/>
            <w:vAlign w:val="bottom"/>
          </w:tcPr>
          <w:p>
            <w:pPr>
              <w:spacing w:after="0"/>
              <w:rPr>
                <w:sz w:val="16"/>
                <w:szCs w:val="16"/>
                <w:color w:val="auto"/>
              </w:rPr>
            </w:pPr>
          </w:p>
        </w:tc>
      </w:tr>
      <w:tr>
        <w:trPr>
          <w:trHeight w:val="194"/>
        </w:trPr>
        <w:tc>
          <w:tcPr>
            <w:tcW w:w="80" w:type="dxa"/>
            <w:vAlign w:val="bottom"/>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(biosimilar referencing Lucentis)</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STADA Arzneimittel AG</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edema following RVO</w:t>
            </w:r>
          </w:p>
        </w:tc>
        <w:tc>
          <w:tcPr>
            <w:tcW w:w="18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62"/>
        </w:trPr>
        <w:tc>
          <w:tcPr>
            <w:tcW w:w="80" w:type="dxa"/>
            <w:vAlign w:val="bottom"/>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(including CRVO and</w:t>
            </w:r>
          </w:p>
        </w:tc>
        <w:tc>
          <w:tcPr>
            <w:tcW w:w="184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BRVO), DR, and CNV</w:t>
            </w:r>
          </w:p>
        </w:tc>
        <w:tc>
          <w:tcPr>
            <w:tcW w:w="18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810"/>
        </w:trPr>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8"/>
        </w:trPr>
        <w:tc>
          <w:tcPr>
            <w:tcW w:w="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Marketed Product</w:t>
            </w:r>
          </w:p>
        </w:tc>
        <w:tc>
          <w:tcPr>
            <w:tcW w:w="100" w:type="dxa"/>
            <w:vAlign w:val="bottom"/>
          </w:tcPr>
          <w:p>
            <w:pPr>
              <w:spacing w:after="0"/>
              <w:rPr>
                <w:sz w:val="17"/>
                <w:szCs w:val="17"/>
                <w:color w:val="auto"/>
              </w:rPr>
            </w:pPr>
          </w:p>
        </w:tc>
        <w:tc>
          <w:tcPr>
            <w:tcW w:w="25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Competitor Product</w:t>
            </w:r>
          </w:p>
        </w:tc>
        <w:tc>
          <w:tcPr>
            <w:tcW w:w="100" w:type="dxa"/>
            <w:vAlign w:val="bottom"/>
          </w:tcPr>
          <w:p>
            <w:pPr>
              <w:spacing w:after="0"/>
              <w:rPr>
                <w:sz w:val="17"/>
                <w:szCs w:val="17"/>
                <w:color w:val="auto"/>
              </w:rPr>
            </w:pPr>
          </w:p>
        </w:tc>
        <w:tc>
          <w:tcPr>
            <w:tcW w:w="2400" w:type="dxa"/>
            <w:vAlign w:val="bottom"/>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Competitor</w:t>
            </w:r>
          </w:p>
        </w:tc>
        <w:tc>
          <w:tcPr>
            <w:tcW w:w="100" w:type="dxa"/>
            <w:vAlign w:val="bottom"/>
          </w:tcPr>
          <w:p>
            <w:pPr>
              <w:spacing w:after="0"/>
              <w:rPr>
                <w:sz w:val="17"/>
                <w:szCs w:val="17"/>
                <w:color w:val="auto"/>
              </w:rPr>
            </w:pPr>
          </w:p>
        </w:tc>
        <w:tc>
          <w:tcPr>
            <w:tcW w:w="20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8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23"/>
                <w:szCs w:val="23"/>
                <w:b w:val="1"/>
                <w:bCs w:val="1"/>
                <w:color w:val="auto"/>
                <w:vertAlign w:val="superscript"/>
              </w:rPr>
              <w:t>(a)</w:t>
            </w:r>
          </w:p>
        </w:tc>
        <w:tc>
          <w:tcPr>
            <w:tcW w:w="0" w:type="dxa"/>
            <w:vAlign w:val="bottom"/>
          </w:tcPr>
          <w:p>
            <w:pPr>
              <w:spacing w:after="0"/>
              <w:rPr>
                <w:sz w:val="1"/>
                <w:szCs w:val="1"/>
                <w:color w:val="auto"/>
              </w:rPr>
            </w:pPr>
          </w:p>
        </w:tc>
      </w:tr>
      <w:tr>
        <w:trPr>
          <w:trHeight w:val="238"/>
        </w:trPr>
        <w:tc>
          <w:tcPr>
            <w:tcW w:w="20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00" w:type="dxa"/>
            <w:vAlign w:val="bottom"/>
          </w:tcPr>
          <w:p>
            <w:pPr>
              <w:spacing w:after="0"/>
              <w:rPr>
                <w:sz w:val="20"/>
                <w:szCs w:val="20"/>
                <w:color w:val="auto"/>
              </w:rPr>
            </w:pPr>
          </w:p>
        </w:tc>
        <w:tc>
          <w:tcPr>
            <w:tcW w:w="2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2"/>
            <w:vMerge w:val="continue"/>
          </w:tcPr>
          <w:p>
            <w:pPr>
              <w:spacing w:after="0"/>
              <w:rPr>
                <w:sz w:val="20"/>
                <w:szCs w:val="20"/>
                <w:color w:val="auto"/>
              </w:rPr>
            </w:pPr>
          </w:p>
        </w:tc>
        <w:tc>
          <w:tcPr>
            <w:tcW w:w="1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0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EYLEA HD and EYLEA</w:t>
            </w:r>
          </w:p>
        </w:tc>
        <w:tc>
          <w:tcPr>
            <w:tcW w:w="10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Cimerli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(ranibizumab-eqrn)</w:t>
            </w:r>
          </w:p>
        </w:tc>
        <w:tc>
          <w:tcPr>
            <w:tcW w:w="10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Formycon AG, Bioeq AG,</w:t>
            </w:r>
          </w:p>
        </w:tc>
        <w:tc>
          <w:tcPr>
            <w:tcW w:w="10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wAMD, DME, macular</w:t>
            </w: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196"/>
        </w:trPr>
        <w:tc>
          <w:tcPr>
            <w:tcW w:w="2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(continued)</w:t>
            </w: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(biosimilar referencing Lucentis)</w:t>
            </w: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Sandoz, and Teva Ltd.</w:t>
            </w: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edema following RVO</w:t>
            </w: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(including CRVO and</w:t>
            </w: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BRVO), DR, and mCNV</w:t>
            </w: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7"/>
                <w:szCs w:val="17"/>
                <w:color w:val="auto"/>
              </w:rPr>
              <w:t>Susvimo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(ranibizumab ocular</w:t>
            </w: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Genentech/Roche</w:t>
            </w: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wAMD, DME</w:t>
            </w:r>
          </w:p>
        </w:tc>
        <w:tc>
          <w:tcPr>
            <w:tcW w:w="18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implant)</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color w:val="auto"/>
              </w:rPr>
              <w:t>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Injection</w:t>
            </w: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Novartis AG</w:t>
            </w:r>
          </w:p>
        </w:tc>
        <w:tc>
          <w:tcPr>
            <w:tcW w:w="1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wAMD, DME</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Ozurdex</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(dexamethasone</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Allergan/AbbVie Inc.</w:t>
            </w:r>
          </w:p>
        </w:tc>
        <w:tc>
          <w:tcPr>
            <w:tcW w:w="10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DME, RVO</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intravitreal implant)</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Iluvien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(fluocinolone acetonide</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Alimera Sciences, Inc.</w:t>
            </w:r>
          </w:p>
        </w:tc>
        <w:tc>
          <w:tcPr>
            <w:tcW w:w="10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DME</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intravitreal implant)</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Dupixent</w:t>
            </w:r>
          </w:p>
        </w:tc>
        <w:tc>
          <w:tcPr>
            <w:tcW w:w="100" w:type="dxa"/>
            <w:vAlign w:val="bottom"/>
          </w:tcPr>
          <w:p>
            <w:pPr>
              <w:spacing w:after="0"/>
              <w:rPr>
                <w:sz w:val="16"/>
                <w:szCs w:val="16"/>
                <w:color w:val="auto"/>
              </w:rPr>
            </w:pPr>
          </w:p>
        </w:tc>
        <w:tc>
          <w:tcPr>
            <w:tcW w:w="250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Ebglyss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(lebrikizumab)</w:t>
            </w:r>
          </w:p>
        </w:tc>
        <w:tc>
          <w:tcPr>
            <w:tcW w:w="100" w:type="dxa"/>
            <w:vAlign w:val="bottom"/>
          </w:tcPr>
          <w:p>
            <w:pPr>
              <w:spacing w:after="0"/>
              <w:rPr>
                <w:sz w:val="16"/>
                <w:szCs w:val="16"/>
                <w:color w:val="auto"/>
              </w:rPr>
            </w:pPr>
          </w:p>
        </w:tc>
        <w:tc>
          <w:tcPr>
            <w:tcW w:w="24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Almirall S.A., Eli Lilly and</w:t>
            </w:r>
          </w:p>
        </w:tc>
        <w:tc>
          <w:tcPr>
            <w:tcW w:w="100" w:type="dxa"/>
            <w:vAlign w:val="bottom"/>
          </w:tcPr>
          <w:p>
            <w:pPr>
              <w:spacing w:after="0"/>
              <w:rPr>
                <w:sz w:val="16"/>
                <w:szCs w:val="16"/>
                <w:color w:val="auto"/>
              </w:rPr>
            </w:pPr>
          </w:p>
        </w:tc>
        <w:tc>
          <w:tcPr>
            <w:tcW w:w="20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Moderate-to-severe atopic</w:t>
            </w:r>
          </w:p>
        </w:tc>
        <w:tc>
          <w:tcPr>
            <w:tcW w:w="1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dermatitis</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1"/>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20"/>
              <w:spacing w:after="0" w:line="211" w:lineRule="exact"/>
              <w:rPr>
                <w:sz w:val="20"/>
                <w:szCs w:val="20"/>
                <w:color w:val="auto"/>
              </w:rPr>
            </w:pPr>
            <w:r>
              <w:rPr>
                <w:rFonts w:ascii="Times New Roman" w:cs="Times New Roman" w:eastAsia="Times New Roman" w:hAnsi="Times New Roman"/>
                <w:sz w:val="18"/>
                <w:szCs w:val="18"/>
                <w:color w:val="auto"/>
              </w:rPr>
              <w:t>Rinvoq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(upadacitinib)</w:t>
            </w:r>
          </w:p>
        </w:tc>
        <w:tc>
          <w:tcPr>
            <w:tcW w:w="100" w:type="dxa"/>
            <w:vAlign w:val="bottom"/>
          </w:tcPr>
          <w:p>
            <w:pPr>
              <w:spacing w:after="0"/>
              <w:rPr>
                <w:sz w:val="18"/>
                <w:szCs w:val="18"/>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AbbVie</w:t>
            </w:r>
          </w:p>
        </w:tc>
        <w:tc>
          <w:tcPr>
            <w:tcW w:w="100" w:type="dxa"/>
            <w:vAlign w:val="bottom"/>
          </w:tcPr>
          <w:p>
            <w:pPr>
              <w:spacing w:after="0"/>
              <w:rPr>
                <w:sz w:val="18"/>
                <w:szCs w:val="18"/>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Moderate-to-severe atopic</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dermatitis</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Nemluvio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/Mitchga</w:t>
            </w:r>
            <w:r>
              <w:rPr>
                <w:rFonts w:ascii="Times New Roman" w:cs="Times New Roman" w:eastAsia="Times New Roman" w:hAnsi="Times New Roman"/>
                <w:sz w:val="21"/>
                <w:szCs w:val="21"/>
                <w:color w:val="auto"/>
                <w:vertAlign w:val="superscript"/>
              </w:rPr>
              <w:t>®</w:t>
            </w:r>
          </w:p>
        </w:tc>
        <w:tc>
          <w:tcPr>
            <w:tcW w:w="100" w:type="dxa"/>
            <w:vAlign w:val="bottom"/>
          </w:tcPr>
          <w:p>
            <w:pPr>
              <w:spacing w:after="0"/>
              <w:rPr>
                <w:sz w:val="16"/>
                <w:szCs w:val="16"/>
                <w:color w:val="auto"/>
              </w:rPr>
            </w:pPr>
          </w:p>
        </w:tc>
        <w:tc>
          <w:tcPr>
            <w:tcW w:w="24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Galderma; Maruho Co.,</w:t>
            </w:r>
          </w:p>
        </w:tc>
        <w:tc>
          <w:tcPr>
            <w:tcW w:w="100" w:type="dxa"/>
            <w:vAlign w:val="bottom"/>
          </w:tcPr>
          <w:p>
            <w:pPr>
              <w:spacing w:after="0"/>
              <w:rPr>
                <w:sz w:val="16"/>
                <w:szCs w:val="16"/>
                <w:color w:val="auto"/>
              </w:rPr>
            </w:pPr>
          </w:p>
        </w:tc>
        <w:tc>
          <w:tcPr>
            <w:tcW w:w="20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Moderate-to-severe atopic</w:t>
            </w:r>
          </w:p>
        </w:tc>
        <w:tc>
          <w:tcPr>
            <w:tcW w:w="1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United States, Japan</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(nemolizumab)</w:t>
            </w:r>
          </w:p>
        </w:tc>
        <w:tc>
          <w:tcPr>
            <w:tcW w:w="100" w:type="dxa"/>
            <w:vAlign w:val="bottom"/>
          </w:tcPr>
          <w:p>
            <w:pPr>
              <w:spacing w:after="0"/>
              <w:rPr>
                <w:sz w:val="15"/>
                <w:szCs w:val="15"/>
                <w:color w:val="auto"/>
              </w:rPr>
            </w:pPr>
          </w:p>
        </w:tc>
        <w:tc>
          <w:tcPr>
            <w:tcW w:w="24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Ltd./Chugai Pharmaceutical</w:t>
            </w:r>
          </w:p>
        </w:tc>
        <w:tc>
          <w:tcPr>
            <w:tcW w:w="100" w:type="dxa"/>
            <w:vAlign w:val="bottom"/>
          </w:tcPr>
          <w:p>
            <w:pPr>
              <w:spacing w:after="0"/>
              <w:rPr>
                <w:sz w:val="15"/>
                <w:szCs w:val="15"/>
                <w:color w:val="auto"/>
              </w:rPr>
            </w:pPr>
          </w:p>
        </w:tc>
        <w:tc>
          <w:tcPr>
            <w:tcW w:w="20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dermatitis, pruritus</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 Ltd.</w:t>
            </w:r>
          </w:p>
        </w:tc>
        <w:tc>
          <w:tcPr>
            <w:tcW w:w="100" w:type="dxa"/>
            <w:vAlign w:val="bottom"/>
          </w:tcPr>
          <w:p>
            <w:pPr>
              <w:spacing w:after="0"/>
              <w:rPr>
                <w:sz w:val="15"/>
                <w:szCs w:val="15"/>
                <w:color w:val="auto"/>
              </w:rPr>
            </w:pPr>
          </w:p>
        </w:tc>
        <w:tc>
          <w:tcPr>
            <w:tcW w:w="20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associated with atopic</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dermatitis, prurigo</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nodularis</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Adbry</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/Adtralza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(tralokinumab)</w:t>
            </w:r>
          </w:p>
        </w:tc>
        <w:tc>
          <w:tcPr>
            <w:tcW w:w="100" w:type="dxa"/>
            <w:vAlign w:val="bottom"/>
          </w:tcPr>
          <w:p>
            <w:pPr>
              <w:spacing w:after="0"/>
              <w:rPr>
                <w:sz w:val="16"/>
                <w:szCs w:val="16"/>
                <w:color w:val="auto"/>
              </w:rPr>
            </w:pPr>
          </w:p>
        </w:tc>
        <w:tc>
          <w:tcPr>
            <w:tcW w:w="24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LEO Pharma Inc.</w:t>
            </w:r>
          </w:p>
        </w:tc>
        <w:tc>
          <w:tcPr>
            <w:tcW w:w="100" w:type="dxa"/>
            <w:vAlign w:val="bottom"/>
          </w:tcPr>
          <w:p>
            <w:pPr>
              <w:spacing w:after="0"/>
              <w:rPr>
                <w:sz w:val="16"/>
                <w:szCs w:val="16"/>
                <w:color w:val="auto"/>
              </w:rPr>
            </w:pPr>
          </w:p>
        </w:tc>
        <w:tc>
          <w:tcPr>
            <w:tcW w:w="20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Moderate-to-severe atopic</w:t>
            </w:r>
          </w:p>
        </w:tc>
        <w:tc>
          <w:tcPr>
            <w:tcW w:w="1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dermatitis</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Cibinqo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(abrocitinib)</w:t>
            </w:r>
          </w:p>
        </w:tc>
        <w:tc>
          <w:tcPr>
            <w:tcW w:w="100" w:type="dxa"/>
            <w:vAlign w:val="bottom"/>
          </w:tcPr>
          <w:p>
            <w:pPr>
              <w:spacing w:after="0"/>
              <w:rPr>
                <w:sz w:val="16"/>
                <w:szCs w:val="16"/>
                <w:color w:val="auto"/>
              </w:rPr>
            </w:pPr>
          </w:p>
        </w:tc>
        <w:tc>
          <w:tcPr>
            <w:tcW w:w="24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Pfizer</w:t>
            </w:r>
          </w:p>
        </w:tc>
        <w:tc>
          <w:tcPr>
            <w:tcW w:w="100" w:type="dxa"/>
            <w:vAlign w:val="bottom"/>
          </w:tcPr>
          <w:p>
            <w:pPr>
              <w:spacing w:after="0"/>
              <w:rPr>
                <w:sz w:val="16"/>
                <w:szCs w:val="16"/>
                <w:color w:val="auto"/>
              </w:rPr>
            </w:pPr>
          </w:p>
        </w:tc>
        <w:tc>
          <w:tcPr>
            <w:tcW w:w="20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Moderate-to-severe atopic</w:t>
            </w:r>
          </w:p>
        </w:tc>
        <w:tc>
          <w:tcPr>
            <w:tcW w:w="1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dermatitis</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Tezspire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(tezepelumab-ekko)</w:t>
            </w:r>
          </w:p>
        </w:tc>
        <w:tc>
          <w:tcPr>
            <w:tcW w:w="100" w:type="dxa"/>
            <w:vAlign w:val="bottom"/>
          </w:tcPr>
          <w:p>
            <w:pPr>
              <w:spacing w:after="0"/>
              <w:rPr>
                <w:sz w:val="16"/>
                <w:szCs w:val="16"/>
                <w:color w:val="auto"/>
              </w:rPr>
            </w:pPr>
          </w:p>
        </w:tc>
        <w:tc>
          <w:tcPr>
            <w:tcW w:w="24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AstraZeneca/Amgen</w:t>
            </w:r>
          </w:p>
        </w:tc>
        <w:tc>
          <w:tcPr>
            <w:tcW w:w="100" w:type="dxa"/>
            <w:vAlign w:val="bottom"/>
          </w:tcPr>
          <w:p>
            <w:pPr>
              <w:spacing w:after="0"/>
              <w:rPr>
                <w:sz w:val="16"/>
                <w:szCs w:val="16"/>
                <w:color w:val="auto"/>
              </w:rPr>
            </w:pPr>
          </w:p>
        </w:tc>
        <w:tc>
          <w:tcPr>
            <w:tcW w:w="20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Asthma</w:t>
            </w:r>
          </w:p>
        </w:tc>
        <w:tc>
          <w:tcPr>
            <w:tcW w:w="1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21"/>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ind w:left="20"/>
              <w:spacing w:after="0" w:line="221" w:lineRule="exact"/>
              <w:rPr>
                <w:sz w:val="20"/>
                <w:szCs w:val="20"/>
                <w:color w:val="auto"/>
              </w:rPr>
            </w:pPr>
            <w:r>
              <w:rPr>
                <w:rFonts w:ascii="Times New Roman" w:cs="Times New Roman" w:eastAsia="Times New Roman" w:hAnsi="Times New Roman"/>
                <w:sz w:val="18"/>
                <w:szCs w:val="18"/>
                <w:color w:val="auto"/>
              </w:rPr>
              <w:t>Fasenra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(benralizumab)</w:t>
            </w:r>
          </w:p>
        </w:tc>
        <w:tc>
          <w:tcPr>
            <w:tcW w:w="10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AstraZeneca</w:t>
            </w:r>
          </w:p>
        </w:tc>
        <w:tc>
          <w:tcPr>
            <w:tcW w:w="10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Asthma</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198"/>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Nucala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(mepolizumab)</w:t>
            </w:r>
          </w:p>
        </w:tc>
        <w:tc>
          <w:tcPr>
            <w:tcW w:w="100" w:type="dxa"/>
            <w:vAlign w:val="bottom"/>
          </w:tcPr>
          <w:p>
            <w:pPr>
              <w:spacing w:after="0"/>
              <w:rPr>
                <w:sz w:val="17"/>
                <w:szCs w:val="17"/>
                <w:color w:val="auto"/>
              </w:rPr>
            </w:pPr>
          </w:p>
        </w:tc>
        <w:tc>
          <w:tcPr>
            <w:tcW w:w="24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GlaxoSmithKline ("GSK")</w:t>
            </w:r>
          </w:p>
        </w:tc>
        <w:tc>
          <w:tcPr>
            <w:tcW w:w="100" w:type="dxa"/>
            <w:vAlign w:val="bottom"/>
          </w:tcPr>
          <w:p>
            <w:pPr>
              <w:spacing w:after="0"/>
              <w:rPr>
                <w:sz w:val="17"/>
                <w:szCs w:val="17"/>
                <w:color w:val="auto"/>
              </w:rPr>
            </w:pPr>
          </w:p>
        </w:tc>
        <w:tc>
          <w:tcPr>
            <w:tcW w:w="20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Asthma, nasal polyps</w:t>
            </w:r>
          </w:p>
        </w:tc>
        <w:tc>
          <w:tcPr>
            <w:tcW w:w="18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Xolair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(omalizumab)</w:t>
            </w:r>
          </w:p>
        </w:tc>
        <w:tc>
          <w:tcPr>
            <w:tcW w:w="10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Roche/Novartis</w:t>
            </w:r>
          </w:p>
        </w:tc>
        <w:tc>
          <w:tcPr>
            <w:tcW w:w="10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Asthma, nasal polyps,</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CSU</w:t>
            </w:r>
          </w:p>
        </w:tc>
        <w:tc>
          <w:tcPr>
            <w:tcW w:w="18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Libtayo</w:t>
            </w: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Keytruda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(pembrolizumab)</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Merck &amp; Co., Inc.</w:t>
            </w:r>
          </w:p>
        </w:tc>
        <w:tc>
          <w:tcPr>
            <w:tcW w:w="10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Opdivo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(nivolumab)</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Bristol-Myers Squibb</w:t>
            </w:r>
          </w:p>
        </w:tc>
        <w:tc>
          <w:tcPr>
            <w:tcW w:w="10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Tecentriq</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(atezolizumab)</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Roche</w:t>
            </w:r>
          </w:p>
        </w:tc>
        <w:tc>
          <w:tcPr>
            <w:tcW w:w="10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Imfinzi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(durvalumab)</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AstraZeneca</w:t>
            </w:r>
          </w:p>
        </w:tc>
        <w:tc>
          <w:tcPr>
            <w:tcW w:w="10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Bavencio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(avelumab)</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Pfizer/Merck KGaA</w:t>
            </w:r>
          </w:p>
        </w:tc>
        <w:tc>
          <w:tcPr>
            <w:tcW w:w="10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Jemperli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(dostarlimab)</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GSK</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Unloxcyt™ (cosibelimab)</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Checkpoint Therapeutics, Inc.</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CSCC</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60" w:right="400" w:hanging="5"/>
        <w:spacing w:after="0" w:line="199" w:lineRule="auto"/>
        <w:tabs>
          <w:tab w:leader="none" w:pos="43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This table focuses on products that have received marketing approval in one or more of the specified indications in the United States, EU, and/or Japan. Certain products listed in this table have also received marketing approval in countries outside the United States, EU, and Japan.</w:t>
      </w:r>
    </w:p>
    <w:p>
      <w:pPr>
        <w:spacing w:after="0" w:line="6" w:lineRule="exact"/>
        <w:rPr>
          <w:rFonts w:ascii="Times New Roman" w:cs="Times New Roman" w:eastAsia="Times New Roman" w:hAnsi="Times New Roman"/>
          <w:sz w:val="23"/>
          <w:szCs w:val="23"/>
          <w:color w:val="auto"/>
          <w:vertAlign w:val="superscript"/>
        </w:rPr>
      </w:pPr>
    </w:p>
    <w:p>
      <w:pPr>
        <w:ind w:left="260" w:right="60" w:hanging="5"/>
        <w:spacing w:after="0" w:line="204" w:lineRule="auto"/>
        <w:tabs>
          <w:tab w:leader="none" w:pos="437"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addition to the products listed in this table, certain other biosimilar products referencing EYLEA have received marketing approval in the United States, EU, and/or Japan but have not yet launched in such jurisdictions. The timing of any launch of these biosimilar products will depend on, among other factors, the outcome of the pending patent litigation proceedings described in Note 16 to our Consolidated Financial Statements and the expiration of the patents protecting EYLEA (including those set forth under "Patents, Trademarks, and Trade Secrets" below).</w:t>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9"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Candidates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late-stage and earlier-stage clinical candidates (including those being developed in collaboration with our collaborators) face competition from many pharmaceutical and biotechnology companies. For example, we are aware of other pharmaceutical and biotechnology companies actively engaged in the research and development of antibody-based products against targets that are also the targets of our early- and late-stage product candidates. These companies are using various technologies in competition with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and our other antibody generation technologies, including their own antibody generation technologies and other approaches such as RNAi, chimeric antigen receptor T cell (CAR-T cell), and gene therapy technologies. We are also aware of other companies developing or marketing small molecules that may compete with our antibody product candidates in various indications, if such product candidates obtain regulatory approval in those indications.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regarding our product candidates (including those being developed in collaboration with our collaborators) and the substantial competition they face, see also Part 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 products and product candidates is subject to significant competition</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Areas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pharmaceutical and biotechnology companies are attempting to discover new therapeutics for indications in which we invest 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inferior intellectual property position or lack of experience, trained personnel, and expertise. A number of corporate and academic competitors are involved in the discovery and development of novel therapeutics that are the focus of other research or development programs we are now conducting. Some of these competitors are currently conducting advanced preclinical and clinical research programs in these areas. These and other competitors also may have established substantial intellectual property and other competitive advantages.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compete with academic institutions, governmental agencies, and other public or private research organizations, which conduct research, seek patent and other intellectual property protection, and establish collaborative arrangements for the development and marketing of products that would provide royalties or other consideration for use of their technology. These institutions have become more active in seeking patent and other intellectual property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Trade Secrets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a combination of intellectual property laws, including patent, trademark, copyright, trade secret, and domain name protection laws, as well as confidentiality and license agreements, to protect our intellectual property and proprietary rights.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success depends, in part, on our ability to obtain patents, maintain trade secret protection, and operate without infringing on the proprietary rights of third parties (see Part I, Item 1A. "Risk Factors - Risks Related to Intellectual Property and Market Exclusivity - </w:t>
      </w:r>
      <w:r>
        <w:rPr>
          <w:rFonts w:ascii="Times New Roman" w:cs="Times New Roman" w:eastAsia="Times New Roman" w:hAnsi="Times New Roman"/>
          <w:sz w:val="18"/>
          <w:szCs w:val="18"/>
          <w:i w:val="1"/>
          <w:iCs w:val="1"/>
          <w:color w:val="auto"/>
        </w:rPr>
        <w:t>We may be restricted in our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manufacturing, and/or commercialization activities by patents or other proprietary rights of others, and could be subject to awards of damages if we are found to have infringed such patents or rights</w:t>
      </w:r>
      <w:r>
        <w:rPr>
          <w:rFonts w:ascii="Times New Roman" w:cs="Times New Roman" w:eastAsia="Times New Roman" w:hAnsi="Times New Roman"/>
          <w:sz w:val="18"/>
          <w:szCs w:val="18"/>
          <w:color w:val="auto"/>
        </w:rPr>
        <w:t>"; and Note 16 to our Consolidated Financial Statements). Our policy is to file patent applications to protect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inventions, and improvements that we consider important to our business and operations. We hold an ownership interest in a number of issued patents in the United States and other countries with respect to our products and technologies. In addition, we hold an ownership interest in thousands of patent applications in the United States and other countries.</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Our patent portfolio includes granted patents and pending patent applications covering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including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mouse platform which produces fully human antibodies. Our remaining issued patents covering these technologies will expire between 2025 and 2032. However, we continue to file patent applications directed to improvements to these technology platforms.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patent portfolio also includes issued patents and pending applications relating to commercialized products and our product candidates in clinical development. These patents cover, among other things, proteins, DNA and RNA molecules, manufacturing patents, method of use patents, and pharmaceutical compositions and formulations.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describes our U.S. patents, European patents ("EP"), and Japanese patents ("JP") that are of particular relevance to key products marketed or otherwise commercialized by us and/or our collaborators. The noted expiration dates include any patent term adjustments, and certain of these patents may also be entitled to term extensions. We continue to pursue additional patents and patent term extensions in the United States and other jurisdictions covering various aspects of our products that may, if issued, extend exclusivity beyond the expiration of the patents listed in the table below. One or more patents with the same or earlier expiry date may fall under the same "general subject matter class" for certain products and may not be separately listed. We also own various patents with claims relating to methods of making, formulating, and/or using the active molecules contained within our key products, but that do not cover indications, methods of use or processes currently approved by regulatory agencies or used by us and/or our collaborators. Such patents are not listed in the following table.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4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17"/>
                <w:szCs w:val="17"/>
                <w:color w:val="auto"/>
              </w:rPr>
            </w:pP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Molecule</w:t>
            </w:r>
          </w:p>
        </w:tc>
        <w:tc>
          <w:tcPr>
            <w:tcW w:w="100" w:type="dxa"/>
            <w:vAlign w:val="bottom"/>
          </w:tcPr>
          <w:p>
            <w:pPr>
              <w:spacing w:after="0"/>
              <w:rPr>
                <w:sz w:val="17"/>
                <w:szCs w:val="17"/>
                <w:color w:val="auto"/>
              </w:rPr>
            </w:pP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120" w:type="dxa"/>
            <w:vAlign w:val="bottom"/>
          </w:tcPr>
          <w:p>
            <w:pPr>
              <w:spacing w:after="0"/>
              <w:rPr>
                <w:sz w:val="17"/>
                <w:szCs w:val="17"/>
                <w:color w:val="auto"/>
              </w:rPr>
            </w:pP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100" w:type="dxa"/>
            <w:vAlign w:val="bottom"/>
          </w:tcPr>
          <w:p>
            <w:pPr>
              <w:spacing w:after="0"/>
              <w:rPr>
                <w:sz w:val="17"/>
                <w:szCs w:val="17"/>
                <w:color w:val="auto"/>
              </w:rPr>
            </w:pP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120" w:type="dxa"/>
            <w:vAlign w:val="bottom"/>
          </w:tcPr>
          <w:p>
            <w:pPr>
              <w:spacing w:after="0"/>
              <w:rPr>
                <w:sz w:val="17"/>
                <w:szCs w:val="17"/>
                <w:color w:val="auto"/>
              </w:rPr>
            </w:pPr>
          </w:p>
        </w:tc>
        <w:tc>
          <w:tcPr>
            <w:tcW w:w="25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20" w:type="dxa"/>
            <w:vAlign w:val="bottom"/>
          </w:tcPr>
          <w:p>
            <w:pPr>
              <w:spacing w:after="0"/>
              <w:rPr>
                <w:sz w:val="20"/>
                <w:szCs w:val="20"/>
                <w:color w:val="auto"/>
              </w:rPr>
            </w:pPr>
          </w:p>
        </w:tc>
        <w:tc>
          <w:tcPr>
            <w:tcW w:w="2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HD</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aflibercept (8 mg)</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11,066,458</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60" w:type="dxa"/>
            <w:vAlign w:val="bottom"/>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11,084,865</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11,103,552</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2039</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10,828,345</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12,168,036</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2039</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7,235,770</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10, 2039</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4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aflibercept (2 mg)</w:t>
            </w: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8,092,803</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21, 2027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11,066,458</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11,084,865</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11,732,024</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10,828,345</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11,559,564</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11,707,506</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11,730,794</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EP</w:t>
            </w:r>
          </w:p>
        </w:tc>
        <w:tc>
          <w:tcPr>
            <w:tcW w:w="1360" w:type="dxa"/>
            <w:vAlign w:val="bottom"/>
            <w:gridSpan w:val="2"/>
          </w:tcPr>
          <w:p>
            <w:pPr>
              <w:ind w:left="140"/>
              <w:spacing w:after="0" w:line="186" w:lineRule="exact"/>
              <w:rPr>
                <w:sz w:val="20"/>
                <w:szCs w:val="20"/>
                <w:color w:val="auto"/>
              </w:rPr>
            </w:pPr>
            <w:r>
              <w:rPr>
                <w:rFonts w:ascii="Times New Roman" w:cs="Times New Roman" w:eastAsia="Times New Roman" w:hAnsi="Times New Roman"/>
                <w:sz w:val="18"/>
                <w:szCs w:val="18"/>
                <w:color w:val="auto"/>
              </w:rPr>
              <w:t>1183353</w:t>
            </w:r>
          </w:p>
        </w:tc>
        <w:tc>
          <w:tcPr>
            <w:tcW w:w="100" w:type="dxa"/>
            <w:vAlign w:val="bottom"/>
          </w:tcPr>
          <w:p>
            <w:pPr>
              <w:spacing w:after="0"/>
              <w:rPr>
                <w:sz w:val="16"/>
                <w:szCs w:val="16"/>
                <w:color w:val="auto"/>
              </w:rPr>
            </w:pPr>
          </w:p>
        </w:tc>
        <w:tc>
          <w:tcPr>
            <w:tcW w:w="21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tcPr>
          <w:p>
            <w:pPr>
              <w:spacing w:after="0"/>
              <w:rPr>
                <w:sz w:val="16"/>
                <w:szCs w:val="16"/>
                <w:color w:val="auto"/>
              </w:rPr>
            </w:pPr>
          </w:p>
        </w:tc>
        <w:tc>
          <w:tcPr>
            <w:tcW w:w="252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color w:val="auto"/>
              </w:rPr>
              <w:t>(May 23, 2025)</w:t>
            </w:r>
            <w:r>
              <w:rPr>
                <w:rFonts w:ascii="Times New Roman" w:cs="Times New Roman" w:eastAsia="Times New Roman" w:hAnsi="Times New Roman"/>
                <w:sz w:val="21"/>
                <w:szCs w:val="21"/>
                <w:color w:val="auto"/>
                <w:vertAlign w:val="superscript"/>
              </w:rPr>
              <w:t>(b)</w:t>
            </w:r>
            <w:r>
              <w:rPr>
                <w:rFonts w:ascii="Times New Roman" w:cs="Times New Roman" w:eastAsia="Times New Roman" w:hAnsi="Times New Roman"/>
                <w:sz w:val="17"/>
                <w:szCs w:val="17"/>
                <w:color w:val="auto"/>
              </w:rPr>
              <w:t>/(November</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(Supplementary Protection</w:t>
            </w:r>
          </w:p>
        </w:tc>
        <w:tc>
          <w:tcPr>
            <w:tcW w:w="120" w:type="dxa"/>
            <w:vAlign w:val="bottom"/>
          </w:tcPr>
          <w:p>
            <w:pPr>
              <w:spacing w:after="0"/>
              <w:rPr>
                <w:sz w:val="15"/>
                <w:szCs w:val="15"/>
                <w:color w:val="auto"/>
              </w:rPr>
            </w:pPr>
          </w:p>
        </w:tc>
        <w:tc>
          <w:tcPr>
            <w:tcW w:w="25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7"/>
                <w:szCs w:val="17"/>
                <w:color w:val="auto"/>
              </w:rPr>
              <w:t>23, 2025)</w:t>
            </w:r>
            <w:r>
              <w:rPr>
                <w:rFonts w:ascii="Times New Roman" w:cs="Times New Roman" w:eastAsia="Times New Roman" w:hAnsi="Times New Roman"/>
                <w:sz w:val="21"/>
                <w:szCs w:val="21"/>
                <w:color w:val="auto"/>
                <w:vertAlign w:val="superscript"/>
              </w:rPr>
              <w:t>(c)</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w:t>
            </w: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2364691</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2944306</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tcPr>
          <w:p>
            <w:pPr>
              <w:spacing w:after="0"/>
              <w:rPr>
                <w:sz w:val="19"/>
                <w:szCs w:val="19"/>
                <w:color w:val="auto"/>
              </w:rPr>
            </w:pPr>
          </w:p>
        </w:tc>
        <w:tc>
          <w:tcPr>
            <w:tcW w:w="25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June 14, 2027</w:t>
            </w:r>
            <w:r>
              <w:rPr>
                <w:rFonts w:ascii="Times New Roman" w:cs="Times New Roman" w:eastAsia="Times New Roman" w:hAnsi="Times New Roman"/>
                <w:sz w:val="23"/>
                <w:szCs w:val="23"/>
                <w:color w:val="auto"/>
                <w:vertAlign w:val="superscript"/>
              </w:rPr>
              <w:t>(b)</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EP</w:t>
            </w:r>
          </w:p>
        </w:tc>
        <w:tc>
          <w:tcPr>
            <w:tcW w:w="136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2944306</w:t>
            </w:r>
          </w:p>
        </w:tc>
        <w:tc>
          <w:tcPr>
            <w:tcW w:w="100" w:type="dxa"/>
            <w:vAlign w:val="bottom"/>
          </w:tcPr>
          <w:p>
            <w:pPr>
              <w:spacing w:after="0"/>
              <w:rPr>
                <w:sz w:val="16"/>
                <w:szCs w:val="16"/>
                <w:color w:val="auto"/>
              </w:rPr>
            </w:pPr>
          </w:p>
        </w:tc>
        <w:tc>
          <w:tcPr>
            <w:tcW w:w="2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Formulation (Supplementary</w:t>
            </w:r>
          </w:p>
        </w:tc>
        <w:tc>
          <w:tcPr>
            <w:tcW w:w="120" w:type="dxa"/>
            <w:vAlign w:val="bottom"/>
          </w:tcPr>
          <w:p>
            <w:pPr>
              <w:spacing w:after="0"/>
              <w:rPr>
                <w:sz w:val="16"/>
                <w:szCs w:val="16"/>
                <w:color w:val="auto"/>
              </w:rPr>
            </w:pPr>
          </w:p>
        </w:tc>
        <w:tc>
          <w:tcPr>
            <w:tcW w:w="25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7"/>
                <w:szCs w:val="17"/>
                <w:color w:val="auto"/>
              </w:rPr>
              <w:t>(May 25, 2028)</w:t>
            </w:r>
            <w:r>
              <w:rPr>
                <w:rFonts w:ascii="Times New Roman" w:cs="Times New Roman" w:eastAsia="Times New Roman" w:hAnsi="Times New Roman"/>
                <w:sz w:val="21"/>
                <w:szCs w:val="21"/>
                <w:color w:val="auto"/>
                <w:vertAlign w:val="superscript"/>
              </w:rPr>
              <w:t>(b)</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Protection Certificate)</w:t>
            </w: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JP</w:t>
            </w:r>
          </w:p>
        </w:tc>
        <w:tc>
          <w:tcPr>
            <w:tcW w:w="136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5,216,002</w:t>
            </w:r>
          </w:p>
        </w:tc>
        <w:tc>
          <w:tcPr>
            <w:tcW w:w="100" w:type="dxa"/>
            <w:vAlign w:val="bottom"/>
          </w:tcPr>
          <w:p>
            <w:pPr>
              <w:spacing w:after="0"/>
              <w:rPr>
                <w:sz w:val="17"/>
                <w:szCs w:val="17"/>
                <w:color w:val="auto"/>
              </w:rPr>
            </w:pPr>
          </w:p>
        </w:tc>
        <w:tc>
          <w:tcPr>
            <w:tcW w:w="2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tcPr>
          <w:p>
            <w:pPr>
              <w:spacing w:after="0"/>
              <w:rPr>
                <w:sz w:val="17"/>
                <w:szCs w:val="17"/>
                <w:color w:val="auto"/>
              </w:rPr>
            </w:pPr>
          </w:p>
        </w:tc>
        <w:tc>
          <w:tcPr>
            <w:tcW w:w="25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February 27, 2028 – October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1, 2029</w:t>
            </w:r>
            <w:r>
              <w:rPr>
                <w:rFonts w:ascii="Times New Roman" w:cs="Times New Roman" w:eastAsia="Times New Roman" w:hAnsi="Times New Roman"/>
                <w:sz w:val="10"/>
                <w:szCs w:val="10"/>
                <w:color w:val="auto"/>
              </w:rPr>
              <w:t>(d)</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Dupixent</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dupilumab</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7,608,693</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March 28, 2031</w:t>
            </w:r>
            <w:r>
              <w:rPr>
                <w:rFonts w:ascii="Times New Roman" w:cs="Times New Roman" w:eastAsia="Times New Roman" w:hAnsi="Times New Roman"/>
                <w:sz w:val="23"/>
                <w:szCs w:val="23"/>
                <w:color w:val="auto"/>
                <w:vertAlign w:val="superscript"/>
              </w:rPr>
              <w:t>(e)</w:t>
            </w:r>
          </w:p>
        </w:tc>
        <w:tc>
          <w:tcPr>
            <w:tcW w:w="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8,735,095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 2027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8,945,559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17, 2032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9,238,692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10,435,473</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11,059,896</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11,926,670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8,075,887</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17, 2028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8,337,839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 2027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9,290,574</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10, 2034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9,574,004</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22, 2033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10,066,017</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21, 2036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11,421,036</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10, 2034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10,137,193</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18, 2036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10,485,844</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21, 2037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10,059,771</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 2034</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11,214,621</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21, 2036</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0"/>
        </w:trPr>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Product</w:t>
            </w:r>
          </w:p>
        </w:tc>
        <w:tc>
          <w:tcPr>
            <w:tcW w:w="120" w:type="dxa"/>
            <w:vAlign w:val="bottom"/>
          </w:tcPr>
          <w:p>
            <w:pPr>
              <w:spacing w:after="0"/>
              <w:rPr>
                <w:sz w:val="17"/>
                <w:szCs w:val="17"/>
                <w:color w:val="auto"/>
              </w:rPr>
            </w:pP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Molecule</w:t>
            </w:r>
          </w:p>
        </w:tc>
        <w:tc>
          <w:tcPr>
            <w:tcW w:w="100" w:type="dxa"/>
            <w:vAlign w:val="bottom"/>
          </w:tcPr>
          <w:p>
            <w:pPr>
              <w:spacing w:after="0"/>
              <w:rPr>
                <w:sz w:val="17"/>
                <w:szCs w:val="17"/>
                <w:color w:val="auto"/>
              </w:rPr>
            </w:pP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120" w:type="dxa"/>
            <w:vAlign w:val="bottom"/>
          </w:tcPr>
          <w:p>
            <w:pPr>
              <w:spacing w:after="0"/>
              <w:rPr>
                <w:sz w:val="17"/>
                <w:szCs w:val="17"/>
                <w:color w:val="auto"/>
              </w:rPr>
            </w:pP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100" w:type="dxa"/>
            <w:vAlign w:val="bottom"/>
          </w:tcPr>
          <w:p>
            <w:pPr>
              <w:spacing w:after="0"/>
              <w:rPr>
                <w:sz w:val="17"/>
                <w:szCs w:val="17"/>
                <w:color w:val="auto"/>
              </w:rPr>
            </w:pP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120" w:type="dxa"/>
            <w:vAlign w:val="bottom"/>
          </w:tcPr>
          <w:p>
            <w:pPr>
              <w:spacing w:after="0"/>
              <w:rPr>
                <w:sz w:val="17"/>
                <w:szCs w:val="17"/>
                <w:color w:val="auto"/>
              </w:rPr>
            </w:pPr>
          </w:p>
        </w:tc>
        <w:tc>
          <w:tcPr>
            <w:tcW w:w="21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3"/>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12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2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4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Dupixent</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11,167,004</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September 21, 2037</w:t>
            </w:r>
          </w:p>
        </w:tc>
        <w:tc>
          <w:tcPr>
            <w:tcW w:w="0" w:type="dxa"/>
            <w:vAlign w:val="bottom"/>
          </w:tcPr>
          <w:p>
            <w:pPr>
              <w:spacing w:after="0"/>
              <w:rPr>
                <w:sz w:val="1"/>
                <w:szCs w:val="1"/>
                <w:color w:val="auto"/>
              </w:rPr>
            </w:pPr>
          </w:p>
        </w:tc>
      </w:tr>
      <w:tr>
        <w:trPr>
          <w:trHeight w:val="236"/>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11,034,768</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28, 2039</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11,292,847</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10, 2039</w:t>
            </w: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11,845,800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22, 2033</w:t>
            </w: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12,090,201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3, 2043</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2356151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October 27, 2029</w:t>
            </w:r>
            <w:r>
              <w:rPr>
                <w:rFonts w:ascii="Times New Roman" w:cs="Times New Roman" w:eastAsia="Times New Roman" w:hAnsi="Times New Roman"/>
                <w:sz w:val="23"/>
                <w:szCs w:val="23"/>
                <w:color w:val="auto"/>
                <w:vertAlign w:val="superscript"/>
              </w:rPr>
              <w:t>(b)</w:t>
            </w:r>
          </w:p>
        </w:tc>
        <w:tc>
          <w:tcPr>
            <w:tcW w:w="0" w:type="dxa"/>
            <w:vAlign w:val="bottom"/>
          </w:tcPr>
          <w:p>
            <w:pPr>
              <w:spacing w:after="0"/>
              <w:rPr>
                <w:sz w:val="1"/>
                <w:szCs w:val="1"/>
                <w:color w:val="auto"/>
              </w:rPr>
            </w:pPr>
          </w:p>
        </w:tc>
      </w:tr>
      <w:tr>
        <w:trPr>
          <w:trHeight w:val="175"/>
        </w:trPr>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2356151</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 28, 2032)</w:t>
            </w: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(Supplementary Protection</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6"/>
                <w:szCs w:val="16"/>
                <w:color w:val="auto"/>
              </w:rPr>
              <w:t>)/(March 28, 2033)</w:t>
            </w:r>
            <w:r>
              <w:rPr>
                <w:rFonts w:ascii="Times New Roman" w:cs="Times New Roman" w:eastAsia="Times New Roman" w:hAnsi="Times New Roman"/>
                <w:sz w:val="20"/>
                <w:szCs w:val="20"/>
                <w:color w:val="auto"/>
                <w:vertAlign w:val="superscript"/>
              </w:rPr>
              <w:t>(c)</w:t>
            </w: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3715372</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27, 2029</w:t>
            </w: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3010539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 2034</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2888281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 2033</w:t>
            </w:r>
          </w:p>
        </w:tc>
        <w:tc>
          <w:tcPr>
            <w:tcW w:w="0" w:type="dxa"/>
            <w:vAlign w:val="bottom"/>
          </w:tcPr>
          <w:p>
            <w:pPr>
              <w:spacing w:after="0"/>
              <w:rPr>
                <w:sz w:val="1"/>
                <w:szCs w:val="1"/>
                <w:color w:val="auto"/>
              </w:rPr>
            </w:pPr>
          </w:p>
        </w:tc>
      </w:tr>
      <w:tr>
        <w:trPr>
          <w:trHeight w:val="225"/>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3064511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27, 2029</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3107575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2035</w:t>
            </w: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3019191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10, 2034</w:t>
            </w: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3703818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29, 2038</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4011915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 2033</w:t>
            </w: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3515465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21, 2037</w:t>
            </w: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3889181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4, 2033</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3973987</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2035</w:t>
            </w: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2624865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3354280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0" w:type="dxa"/>
            <w:vAlign w:val="bottom"/>
          </w:tcPr>
          <w:p>
            <w:pPr>
              <w:spacing w:after="0"/>
              <w:rPr>
                <w:sz w:val="1"/>
                <w:szCs w:val="1"/>
                <w:color w:val="auto"/>
              </w:rPr>
            </w:pPr>
          </w:p>
        </w:tc>
      </w:tr>
      <w:tr>
        <w:trPr>
          <w:trHeight w:val="199"/>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5,291,802</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October 27, 2029 – October</w:t>
            </w:r>
          </w:p>
        </w:tc>
        <w:tc>
          <w:tcPr>
            <w:tcW w:w="0" w:type="dxa"/>
            <w:vAlign w:val="bottom"/>
          </w:tcPr>
          <w:p>
            <w:pPr>
              <w:spacing w:after="0"/>
              <w:rPr>
                <w:sz w:val="1"/>
                <w:szCs w:val="1"/>
                <w:color w:val="auto"/>
              </w:rPr>
            </w:pPr>
          </w:p>
        </w:tc>
      </w:tr>
      <w:tr>
        <w:trPr>
          <w:trHeight w:val="260"/>
        </w:trPr>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line="259" w:lineRule="exact"/>
              <w:rPr>
                <w:sz w:val="20"/>
                <w:szCs w:val="20"/>
                <w:color w:val="auto"/>
              </w:rPr>
            </w:pPr>
            <w:r>
              <w:rPr>
                <w:rFonts w:ascii="Times New Roman" w:cs="Times New Roman" w:eastAsia="Times New Roman" w:hAnsi="Times New Roman"/>
                <w:sz w:val="18"/>
                <w:szCs w:val="18"/>
                <w:color w:val="auto"/>
              </w:rPr>
              <w:t>27, 2034</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203"/>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5,844,772</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October 27, 2029 – February</w:t>
            </w: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22, 2034</w:t>
            </w:r>
          </w:p>
        </w:tc>
        <w:tc>
          <w:tcPr>
            <w:tcW w:w="0" w:type="dxa"/>
            <w:vAlign w:val="bottom"/>
          </w:tcPr>
          <w:p>
            <w:pPr>
              <w:spacing w:after="0"/>
              <w:rPr>
                <w:sz w:val="1"/>
                <w:szCs w:val="1"/>
                <w:color w:val="auto"/>
              </w:rPr>
            </w:pPr>
          </w:p>
        </w:tc>
      </w:tr>
      <w:tr>
        <w:trPr>
          <w:trHeight w:val="221"/>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5,918,246</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5, 2031 – September</w:t>
            </w:r>
          </w:p>
        </w:tc>
        <w:tc>
          <w:tcPr>
            <w:tcW w:w="0" w:type="dxa"/>
            <w:vAlign w:val="bottom"/>
          </w:tcPr>
          <w:p>
            <w:pPr>
              <w:spacing w:after="0"/>
              <w:rPr>
                <w:sz w:val="1"/>
                <w:szCs w:val="1"/>
                <w:color w:val="auto"/>
              </w:rPr>
            </w:pPr>
          </w:p>
        </w:tc>
      </w:tr>
      <w:tr>
        <w:trPr>
          <w:trHeight w:val="260"/>
        </w:trPr>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line="259" w:lineRule="exact"/>
              <w:rPr>
                <w:sz w:val="20"/>
                <w:szCs w:val="20"/>
                <w:color w:val="auto"/>
              </w:rPr>
            </w:pPr>
            <w:r>
              <w:rPr>
                <w:rFonts w:ascii="Times New Roman" w:cs="Times New Roman" w:eastAsia="Times New Roman" w:hAnsi="Times New Roman"/>
                <w:sz w:val="18"/>
                <w:szCs w:val="18"/>
                <w:color w:val="auto"/>
              </w:rPr>
              <w:t>14, 2035</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203"/>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6,231,605</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October 5, 2031 – March 3,</w:t>
            </w: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1"/>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6,306,588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 2033 – August</w:t>
            </w:r>
          </w:p>
        </w:tc>
        <w:tc>
          <w:tcPr>
            <w:tcW w:w="0" w:type="dxa"/>
            <w:vAlign w:val="bottom"/>
          </w:tcPr>
          <w:p>
            <w:pPr>
              <w:spacing w:after="0"/>
              <w:rPr>
                <w:sz w:val="1"/>
                <w:szCs w:val="1"/>
                <w:color w:val="auto"/>
              </w:rPr>
            </w:pPr>
          </w:p>
        </w:tc>
      </w:tr>
      <w:tr>
        <w:trPr>
          <w:trHeight w:val="260"/>
        </w:trPr>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line="259" w:lineRule="exact"/>
              <w:rPr>
                <w:sz w:val="20"/>
                <w:szCs w:val="20"/>
                <w:color w:val="auto"/>
              </w:rPr>
            </w:pPr>
            <w:r>
              <w:rPr>
                <w:rFonts w:ascii="Times New Roman" w:cs="Times New Roman" w:eastAsia="Times New Roman" w:hAnsi="Times New Roman"/>
                <w:sz w:val="18"/>
                <w:szCs w:val="18"/>
                <w:color w:val="auto"/>
              </w:rPr>
              <w:t>29, 2034</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6,353,838</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4, 2033</w:t>
            </w:r>
          </w:p>
        </w:tc>
        <w:tc>
          <w:tcPr>
            <w:tcW w:w="0" w:type="dxa"/>
            <w:vAlign w:val="bottom"/>
          </w:tcPr>
          <w:p>
            <w:pPr>
              <w:spacing w:after="0"/>
              <w:rPr>
                <w:sz w:val="1"/>
                <w:szCs w:val="1"/>
                <w:color w:val="auto"/>
              </w:rPr>
            </w:pPr>
          </w:p>
        </w:tc>
      </w:tr>
      <w:tr>
        <w:trPr>
          <w:trHeight w:val="256"/>
        </w:trPr>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6,673,840</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2035</w:t>
            </w:r>
          </w:p>
        </w:tc>
        <w:tc>
          <w:tcPr>
            <w:tcW w:w="0" w:type="dxa"/>
            <w:vAlign w:val="bottom"/>
          </w:tcPr>
          <w:p>
            <w:pPr>
              <w:spacing w:after="0"/>
              <w:rPr>
                <w:sz w:val="1"/>
                <w:szCs w:val="1"/>
                <w:color w:val="auto"/>
              </w:rPr>
            </w:pPr>
          </w:p>
        </w:tc>
      </w:tr>
      <w:tr>
        <w:trPr>
          <w:trHeight w:val="221"/>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6,463,351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June 20, 2034 – September 2,</w:t>
            </w:r>
          </w:p>
        </w:tc>
        <w:tc>
          <w:tcPr>
            <w:tcW w:w="0" w:type="dxa"/>
            <w:vAlign w:val="bottom"/>
          </w:tcPr>
          <w:p>
            <w:pPr>
              <w:spacing w:after="0"/>
              <w:rPr>
                <w:sz w:val="1"/>
                <w:szCs w:val="1"/>
                <w:color w:val="auto"/>
              </w:rPr>
            </w:pPr>
          </w:p>
        </w:tc>
      </w:tr>
      <w:tr>
        <w:trPr>
          <w:trHeight w:val="260"/>
        </w:trPr>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line="259" w:lineRule="exact"/>
              <w:rPr>
                <w:sz w:val="20"/>
                <w:szCs w:val="20"/>
                <w:color w:val="auto"/>
              </w:rPr>
            </w:pPr>
            <w:r>
              <w:rPr>
                <w:rFonts w:ascii="Times New Roman" w:cs="Times New Roman" w:eastAsia="Times New Roman" w:hAnsi="Times New Roman"/>
                <w:sz w:val="18"/>
                <w:szCs w:val="18"/>
                <w:color w:val="auto"/>
              </w:rPr>
              <w:t>2035</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203"/>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6,640,977</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99"/>
              </w:rPr>
              <w:t>June 20, 2034 – September 6,</w:t>
            </w: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57"/>
        </w:trPr>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6,861,630</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13, 2035</w:t>
            </w:r>
          </w:p>
        </w:tc>
        <w:tc>
          <w:tcPr>
            <w:tcW w:w="0" w:type="dxa"/>
            <w:vAlign w:val="bottom"/>
          </w:tcPr>
          <w:p>
            <w:pPr>
              <w:spacing w:after="0"/>
              <w:rPr>
                <w:sz w:val="1"/>
                <w:szCs w:val="1"/>
                <w:color w:val="auto"/>
              </w:rPr>
            </w:pPr>
          </w:p>
        </w:tc>
      </w:tr>
      <w:tr>
        <w:trPr>
          <w:trHeight w:val="256"/>
        </w:trPr>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6,893,265</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2035</w:t>
            </w:r>
          </w:p>
        </w:tc>
        <w:tc>
          <w:tcPr>
            <w:tcW w:w="0" w:type="dxa"/>
            <w:vAlign w:val="bottom"/>
          </w:tcPr>
          <w:p>
            <w:pPr>
              <w:spacing w:after="0"/>
              <w:rPr>
                <w:sz w:val="1"/>
                <w:szCs w:val="1"/>
                <w:color w:val="auto"/>
              </w:rPr>
            </w:pPr>
          </w:p>
        </w:tc>
      </w:tr>
      <w:tr>
        <w:trPr>
          <w:trHeight w:val="257"/>
        </w:trPr>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7,164,530</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21, 2037</w:t>
            </w:r>
          </w:p>
        </w:tc>
        <w:tc>
          <w:tcPr>
            <w:tcW w:w="0" w:type="dxa"/>
            <w:vAlign w:val="bottom"/>
          </w:tcPr>
          <w:p>
            <w:pPr>
              <w:spacing w:after="0"/>
              <w:rPr>
                <w:sz w:val="1"/>
                <w:szCs w:val="1"/>
                <w:color w:val="auto"/>
              </w:rPr>
            </w:pPr>
          </w:p>
        </w:tc>
      </w:tr>
      <w:tr>
        <w:trPr>
          <w:trHeight w:val="256"/>
        </w:trPr>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7,216,122</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13, 2035</w:t>
            </w:r>
          </w:p>
        </w:tc>
        <w:tc>
          <w:tcPr>
            <w:tcW w:w="0" w:type="dxa"/>
            <w:vAlign w:val="bottom"/>
          </w:tcPr>
          <w:p>
            <w:pPr>
              <w:spacing w:after="0"/>
              <w:rPr>
                <w:sz w:val="1"/>
                <w:szCs w:val="1"/>
                <w:color w:val="auto"/>
              </w:rPr>
            </w:pPr>
          </w:p>
        </w:tc>
      </w:tr>
      <w:tr>
        <w:trPr>
          <w:trHeight w:val="257"/>
        </w:trPr>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7,216,157</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 2033</w:t>
            </w:r>
          </w:p>
        </w:tc>
        <w:tc>
          <w:tcPr>
            <w:tcW w:w="0" w:type="dxa"/>
            <w:vAlign w:val="bottom"/>
          </w:tcPr>
          <w:p>
            <w:pPr>
              <w:spacing w:after="0"/>
              <w:rPr>
                <w:sz w:val="1"/>
                <w:szCs w:val="1"/>
                <w:color w:val="auto"/>
              </w:rPr>
            </w:pPr>
          </w:p>
        </w:tc>
      </w:tr>
      <w:tr>
        <w:trPr>
          <w:trHeight w:val="256"/>
        </w:trPr>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7,256,231</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4, 2033</w:t>
            </w:r>
          </w:p>
        </w:tc>
        <w:tc>
          <w:tcPr>
            <w:tcW w:w="0" w:type="dxa"/>
            <w:vAlign w:val="bottom"/>
          </w:tcPr>
          <w:p>
            <w:pPr>
              <w:spacing w:after="0"/>
              <w:rPr>
                <w:sz w:val="1"/>
                <w:szCs w:val="1"/>
                <w:color w:val="auto"/>
              </w:rPr>
            </w:pPr>
          </w:p>
        </w:tc>
      </w:tr>
      <w:tr>
        <w:trPr>
          <w:trHeight w:val="256"/>
        </w:trPr>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7,315,545</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29, 2038</w:t>
            </w:r>
          </w:p>
        </w:tc>
        <w:tc>
          <w:tcPr>
            <w:tcW w:w="0" w:type="dxa"/>
            <w:vAlign w:val="bottom"/>
          </w:tcPr>
          <w:p>
            <w:pPr>
              <w:spacing w:after="0"/>
              <w:rPr>
                <w:sz w:val="1"/>
                <w:szCs w:val="1"/>
                <w:color w:val="auto"/>
              </w:rPr>
            </w:pPr>
          </w:p>
        </w:tc>
      </w:tr>
      <w:tr>
        <w:trPr>
          <w:trHeight w:val="264"/>
        </w:trPr>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7,343,547</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2035</w:t>
            </w:r>
          </w:p>
        </w:tc>
        <w:tc>
          <w:tcPr>
            <w:tcW w:w="0" w:type="dxa"/>
            <w:vAlign w:val="bottom"/>
          </w:tcPr>
          <w:p>
            <w:pPr>
              <w:spacing w:after="0"/>
              <w:rPr>
                <w:sz w:val="1"/>
                <w:szCs w:val="1"/>
                <w:color w:val="auto"/>
              </w:rPr>
            </w:pPr>
          </w:p>
        </w:tc>
      </w:tr>
      <w:tr>
        <w:trPr>
          <w:trHeight w:val="225"/>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Libtayo</w:t>
            </w:r>
          </w:p>
        </w:tc>
        <w:tc>
          <w:tcPr>
            <w:tcW w:w="120" w:type="dxa"/>
            <w:vAlign w:val="bottom"/>
          </w:tcPr>
          <w:p>
            <w:pPr>
              <w:spacing w:after="0"/>
              <w:rPr>
                <w:sz w:val="19"/>
                <w:szCs w:val="19"/>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cemiplimab</w:t>
            </w: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9,987,500</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18, 2035</w:t>
            </w:r>
          </w:p>
        </w:tc>
        <w:tc>
          <w:tcPr>
            <w:tcW w:w="0" w:type="dxa"/>
            <w:vAlign w:val="bottom"/>
          </w:tcPr>
          <w:p>
            <w:pPr>
              <w:spacing w:after="0"/>
              <w:rPr>
                <w:sz w:val="1"/>
                <w:szCs w:val="1"/>
                <w:color w:val="auto"/>
              </w:rPr>
            </w:pPr>
          </w:p>
        </w:tc>
      </w:tr>
      <w:tr>
        <w:trPr>
          <w:trHeight w:val="229"/>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10,737,113</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10, 2035</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11,603,407</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21, 2038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320" w:top="369" w:right="699" w:bottom="1440" w:gutter="0" w:footer="0" w:header="0"/>
        </w:sectPr>
      </w:pPr>
    </w:p>
    <w:p>
      <w:pPr>
        <w:spacing w:after="0" w:line="36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369" w:right="6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Molecule</w:t>
            </w: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2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2160" w:type="dxa"/>
            <w:vAlign w:val="bottom"/>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3"/>
        </w:trPr>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1820" w:type="dxa"/>
            <w:vAlign w:val="bottom"/>
            <w:gridSpan w:val="2"/>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26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Libtayo </w:t>
            </w:r>
            <w:r>
              <w:rPr>
                <w:rFonts w:ascii="Times New Roman" w:cs="Times New Roman" w:eastAsia="Times New Roman" w:hAnsi="Times New Roman"/>
                <w:sz w:val="18"/>
                <w:szCs w:val="18"/>
                <w:i w:val="1"/>
                <w:iCs w:val="1"/>
                <w:color w:val="auto"/>
              </w:rPr>
              <w:t>(continued)</w:t>
            </w:r>
          </w:p>
        </w:tc>
        <w:tc>
          <w:tcPr>
            <w:tcW w:w="1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10,457,725</w:t>
            </w:r>
          </w:p>
        </w:tc>
        <w:tc>
          <w:tcPr>
            <w:tcW w:w="100" w:type="dxa"/>
            <w:vAlign w:val="bottom"/>
          </w:tcPr>
          <w:p>
            <w:pPr>
              <w:spacing w:after="0"/>
              <w:rPr>
                <w:sz w:val="18"/>
                <w:szCs w:val="18"/>
                <w:color w:val="auto"/>
              </w:rPr>
            </w:pPr>
          </w:p>
        </w:tc>
        <w:tc>
          <w:tcPr>
            <w:tcW w:w="2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Pr>
          <w:p>
            <w:pPr>
              <w:spacing w:after="0"/>
              <w:rPr>
                <w:sz w:val="18"/>
                <w:szCs w:val="18"/>
                <w:color w:val="auto"/>
              </w:rPr>
            </w:pPr>
          </w:p>
        </w:tc>
        <w:tc>
          <w:tcPr>
            <w:tcW w:w="2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May 12, 2037</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11,292,842</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18, 2038</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11,505,600</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 2038</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11,926,668</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2038</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3097119</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23, 2035</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3606504</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23, 2038</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3455258</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2037</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3932951</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2037</w:t>
            </w: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JP</w:t>
            </w:r>
          </w:p>
        </w:tc>
        <w:tc>
          <w:tcPr>
            <w:tcW w:w="12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6,425,730</w:t>
            </w:r>
          </w:p>
        </w:tc>
        <w:tc>
          <w:tcPr>
            <w:tcW w:w="100" w:type="dxa"/>
            <w:vAlign w:val="bottom"/>
          </w:tcPr>
          <w:p>
            <w:pPr>
              <w:spacing w:after="0"/>
              <w:rPr>
                <w:sz w:val="17"/>
                <w:szCs w:val="17"/>
                <w:color w:val="auto"/>
              </w:rPr>
            </w:pPr>
          </w:p>
        </w:tc>
        <w:tc>
          <w:tcPr>
            <w:tcW w:w="226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January 23, 2035 – March</w:t>
            </w: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ind w:left="20"/>
              <w:spacing w:after="0" w:line="259" w:lineRule="exact"/>
              <w:rPr>
                <w:sz w:val="20"/>
                <w:szCs w:val="20"/>
                <w:color w:val="auto"/>
              </w:rPr>
            </w:pPr>
            <w:r>
              <w:rPr>
                <w:rFonts w:ascii="Times New Roman" w:cs="Times New Roman" w:eastAsia="Times New Roman" w:hAnsi="Times New Roman"/>
                <w:sz w:val="18"/>
                <w:szCs w:val="18"/>
                <w:color w:val="auto"/>
              </w:rPr>
              <w:t>15, 2039</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JP</w:t>
            </w:r>
          </w:p>
        </w:tc>
        <w:tc>
          <w:tcPr>
            <w:tcW w:w="12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6,711,883</w:t>
            </w:r>
          </w:p>
        </w:tc>
        <w:tc>
          <w:tcPr>
            <w:tcW w:w="100" w:type="dxa"/>
            <w:vAlign w:val="bottom"/>
          </w:tcPr>
          <w:p>
            <w:pPr>
              <w:spacing w:after="0"/>
              <w:rPr>
                <w:sz w:val="17"/>
                <w:szCs w:val="17"/>
                <w:color w:val="auto"/>
              </w:rPr>
            </w:pPr>
          </w:p>
        </w:tc>
        <w:tc>
          <w:tcPr>
            <w:tcW w:w="226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January 23, 2035 – August</w:t>
            </w: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ind w:left="20"/>
              <w:spacing w:after="0" w:line="259" w:lineRule="exact"/>
              <w:rPr>
                <w:sz w:val="20"/>
                <w:szCs w:val="20"/>
                <w:color w:val="auto"/>
              </w:rPr>
            </w:pPr>
            <w:r>
              <w:rPr>
                <w:rFonts w:ascii="Times New Roman" w:cs="Times New Roman" w:eastAsia="Times New Roman" w:hAnsi="Times New Roman"/>
                <w:sz w:val="18"/>
                <w:szCs w:val="18"/>
                <w:color w:val="auto"/>
              </w:rPr>
              <w:t>13, 2037</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JP</w:t>
            </w:r>
          </w:p>
        </w:tc>
        <w:tc>
          <w:tcPr>
            <w:tcW w:w="12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7,174,009</w:t>
            </w:r>
          </w:p>
        </w:tc>
        <w:tc>
          <w:tcPr>
            <w:tcW w:w="100" w:type="dxa"/>
            <w:vAlign w:val="bottom"/>
          </w:tcPr>
          <w:p>
            <w:pPr>
              <w:spacing w:after="0"/>
              <w:rPr>
                <w:sz w:val="17"/>
                <w:szCs w:val="17"/>
                <w:color w:val="auto"/>
              </w:rPr>
            </w:pPr>
          </w:p>
        </w:tc>
        <w:tc>
          <w:tcPr>
            <w:tcW w:w="226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January 23, 2035 – March 9,</w:t>
            </w: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ind w:left="20"/>
              <w:spacing w:after="0" w:line="259" w:lineRule="exact"/>
              <w:rPr>
                <w:sz w:val="20"/>
                <w:szCs w:val="20"/>
                <w:color w:val="auto"/>
              </w:rPr>
            </w:pPr>
            <w:r>
              <w:rPr>
                <w:rFonts w:ascii="Times New Roman" w:cs="Times New Roman" w:eastAsia="Times New Roman" w:hAnsi="Times New Roman"/>
                <w:sz w:val="18"/>
                <w:szCs w:val="18"/>
                <w:color w:val="auto"/>
              </w:rPr>
              <w:t>2035</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7,229,171</w:t>
            </w:r>
          </w:p>
        </w:tc>
        <w:tc>
          <w:tcPr>
            <w:tcW w:w="100" w:type="dxa"/>
            <w:vAlign w:val="bottom"/>
          </w:tcPr>
          <w:p>
            <w:pPr>
              <w:spacing w:after="0"/>
              <w:rPr>
                <w:sz w:val="20"/>
                <w:szCs w:val="20"/>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23, 2038</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7,240,512</w:t>
            </w:r>
          </w:p>
        </w:tc>
        <w:tc>
          <w:tcPr>
            <w:tcW w:w="10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25, 2041</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580" w:right="440" w:hanging="1"/>
        <w:spacing w:after="0" w:line="200" w:lineRule="auto"/>
        <w:tabs>
          <w:tab w:leader="none" w:pos="75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See Note 16 to our Consolidated Financial Statements for information regarding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and post-grant review petitions filed in the U.S. Patent and Trademark Office and patent infringement proceedings relating to EYLEA.</w:t>
      </w:r>
    </w:p>
    <w:p>
      <w:pPr>
        <w:spacing w:after="0" w:line="33" w:lineRule="exact"/>
        <w:rPr>
          <w:rFonts w:ascii="Times New Roman" w:cs="Times New Roman" w:eastAsia="Times New Roman" w:hAnsi="Times New Roman"/>
          <w:sz w:val="23"/>
          <w:szCs w:val="23"/>
          <w:color w:val="auto"/>
          <w:vertAlign w:val="superscript"/>
        </w:rPr>
      </w:pPr>
    </w:p>
    <w:p>
      <w:pPr>
        <w:ind w:left="580" w:right="740" w:hanging="1"/>
        <w:spacing w:after="0" w:line="204" w:lineRule="auto"/>
        <w:tabs>
          <w:tab w:leader="none" w:pos="757"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Supplementary protection certificates ("SPCs") are pending or have been granted in various European countries, extending the original patent terms in those countries, where granted, to the applicable dates indicated in parentheses.</w:t>
      </w:r>
    </w:p>
    <w:p>
      <w:pPr>
        <w:spacing w:after="0" w:line="47" w:lineRule="exact"/>
        <w:rPr>
          <w:rFonts w:ascii="Times New Roman" w:cs="Times New Roman" w:eastAsia="Times New Roman" w:hAnsi="Times New Roman"/>
          <w:sz w:val="22"/>
          <w:szCs w:val="22"/>
          <w:color w:val="auto"/>
          <w:vertAlign w:val="superscript"/>
        </w:rPr>
      </w:pPr>
    </w:p>
    <w:p>
      <w:pPr>
        <w:ind w:left="580" w:right="940" w:hanging="1"/>
        <w:spacing w:after="0" w:line="199" w:lineRule="auto"/>
        <w:tabs>
          <w:tab w:leader="none" w:pos="75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SPC term extensions are pending or have been granted in various European countries based on the completion of a pediatric investigation program, extending the term of the SPC in those countries, where granted, an additional 6 months to the applicable dates indicated in parentheses.</w:t>
      </w:r>
    </w:p>
    <w:p>
      <w:pPr>
        <w:spacing w:after="0" w:line="19" w:lineRule="exact"/>
        <w:rPr>
          <w:rFonts w:ascii="Times New Roman" w:cs="Times New Roman" w:eastAsia="Times New Roman" w:hAnsi="Times New Roman"/>
          <w:sz w:val="23"/>
          <w:szCs w:val="23"/>
          <w:color w:val="auto"/>
          <w:vertAlign w:val="superscript"/>
        </w:rPr>
      </w:pPr>
    </w:p>
    <w:p>
      <w:pPr>
        <w:ind w:left="580" w:right="440" w:hanging="1"/>
        <w:spacing w:after="0" w:line="207" w:lineRule="auto"/>
        <w:tabs>
          <w:tab w:leader="none" w:pos="757"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patent term extension ("PTE") system in Japan allows for a patent to be extended more than once provided the later approval is directed to a different indication from that of the previous approval. This may result in multiple PTE approvals for a given patent, each with its own expiration date. In this table, date ranges are shown for the expiration of Japanese patents for which multiple PTEs have been granted, with the later date indicating the latest expiring PTE for the corresponding patent.</w:t>
      </w:r>
    </w:p>
    <w:p>
      <w:pPr>
        <w:spacing w:after="0" w:line="48" w:lineRule="exact"/>
        <w:rPr>
          <w:rFonts w:ascii="Times New Roman" w:cs="Times New Roman" w:eastAsia="Times New Roman" w:hAnsi="Times New Roman"/>
          <w:sz w:val="22"/>
          <w:szCs w:val="22"/>
          <w:color w:val="auto"/>
          <w:vertAlign w:val="superscript"/>
        </w:rPr>
      </w:pPr>
    </w:p>
    <w:p>
      <w:pPr>
        <w:ind w:left="580" w:right="800" w:hanging="1"/>
        <w:spacing w:after="0" w:line="206" w:lineRule="auto"/>
        <w:tabs>
          <w:tab w:leader="none" w:pos="754"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 patent term extension has been granted by the U.S. Patent and Trademark Office, extending the original patent term (October 2, 2027), insofar as it covers Dupixent, to March 28, 2031.</w:t>
      </w:r>
    </w:p>
    <w:p>
      <w:pPr>
        <w:spacing w:after="0" w:line="2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addition to our patent portfolio, in the United States and certain other countries, our competitive position may be enhanced due to the availability of market exclusivity under relevant law (for additional information regarding market exclusivity, see Part I, Item 1A. "Risk Factors - Risks Related to Intellectual Property and Market Exclusivity - </w:t>
      </w:r>
      <w:r>
        <w:rPr>
          <w:rFonts w:ascii="Times New Roman" w:cs="Times New Roman" w:eastAsia="Times New Roman" w:hAnsi="Times New Roman"/>
          <w:sz w:val="18"/>
          <w:szCs w:val="18"/>
          <w:i w:val="1"/>
          <w:iCs w:val="1"/>
          <w:color w:val="auto"/>
        </w:rPr>
        <w:t>Loss or limitation of patent rights, and regulatory pathways for biosimilar competition, have in the past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reduced and could reduce in the future the duration of market exclusivity for our products</w:t>
      </w:r>
      <w:r>
        <w:rPr>
          <w:rFonts w:ascii="Times New Roman" w:cs="Times New Roman" w:eastAsia="Times New Roman" w:hAnsi="Times New Roman"/>
          <w:sz w:val="18"/>
          <w:szCs w:val="18"/>
          <w:color w:val="auto"/>
        </w:rPr>
        <w:t>"). The effect of expiration of a patent relating to a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also depends upon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are the nonexclusive licensee of a number of additional patents and patent applications. These include a license agreement with Bristol-Myers Squibb, E. R. Squibb &amp; Sons, L.L.C., and Ono Pharmaceutical Co., Ltd. to obtain a license under certain patents owned and/or exclusively licensed by one or more of these parties that includes the right to develop and sell Libtayo. Under the agreement, we paid royalties of 8.0% on worldwide sales of Libtayo through December 31, 2023, and are obligated to pay royalties of 2.5% from January 1, 2024 through December 31, 2026.</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or, if filed, the patents may not be issued. Patents issued to or licensed by us may be infringed by the products or processes of others.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seek to file and maintain trademarks around the world based on commercial activities in most jurisdictions where we have, or desire to have, a business presence for a particular product or service.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Part I, Item 1A. "Risk Factors - Risks Related to Intellectual Property and Market Exclusivity - </w:t>
      </w:r>
      <w:r>
        <w:rPr>
          <w:rFonts w:ascii="Times New Roman" w:cs="Times New Roman" w:eastAsia="Times New Roman" w:hAnsi="Times New Roman"/>
          <w:sz w:val="18"/>
          <w:szCs w:val="18"/>
          <w:i w:val="1"/>
          <w:iCs w:val="1"/>
          <w:color w:val="auto"/>
        </w:rPr>
        <w:t>We may be restricted in our development, manufacturing, and/or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commercialization activities by patents or other proprietary rights of others, and could be subject to awards of damages if we are found to have infringed such patents or rights</w:t>
      </w:r>
      <w:r>
        <w:rPr>
          <w:rFonts w:ascii="Times New Roman" w:cs="Times New Roman" w:eastAsia="Times New Roman" w:hAnsi="Times New Roman"/>
          <w:sz w:val="18"/>
          <w:szCs w:val="18"/>
          <w:color w:val="auto"/>
        </w:rPr>
        <w:t>"; and Note 16 to our Consolidated Financial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Regulation by government authorities in the United States and other countries is a significant factor in the research, development, manufacture, and marketing of our products and our product candidates. A summary of the primary areas of government regulation that are relevant to our business is provided below. For a description of material regulatory risks we face, also refer to Part I, Item 1A.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Requirements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activities required before a product candidate may be marketed in the United States or elsewhere begin with preclinical tests. Preclinical tests include laboratory evaluations of, among other things, product chemistry and formulation and toxicological and pharmacological studies in animal species to assess the toxicity and dosing of the product candidate. In the United States, certain preclinical trials must comply with the FDA's Good Laboratory Practice requirements ("GLPs") and the U.S. Department of Agriculture's Animal Welfare Act. The results of these studies must be submitted to the FDA or the relevant regulatory authority outside the United States as part of an IND or other clinical trial application (as applicable), which must be reviewed by the FDA or the relevant government authority before proposed clinical testing can begin in the applicable country or jurisdiction. In the United States, unless the FDA raises concerns, the IND becomes effective 30 days following its receipt by the FDA, and the clinical trial proposed in the IND may begin. The FDA or other regulatory authorities may ask for additional data in order to begin a clinical trial. Rules that are equivalent in scope but which vary in application apply in other countries.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Approval</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product candidates require regulatory approval by relevant government authorities before they can be commercialized. In particular, human therapeutic products are subject to rigorous preclinical and clinical trials and other pre-market approval requirements by the FDA, European Medicines Agency ("EMA"), and regulatory authorities of other countries. The structure and substance of the FDA and other countries' pharmaceutical regulatory practices may evolve over time. The ultimate outcome and impact of such developments cannot be predicted.</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Clinical trials involve the administration of a drug to healthy human volunteers or to patients under the supervision of a qualified investigator. The conduct of clinical trials is subject to extensive regulation, including compliance with the FDA's bioresearch monitoring regulations and Good Clinical Practice requirements ("GCPs"), which establish standards for recruiting for, conducting, recording data from, and reporting the results of, clinical trials, and are intended to assure that the data and reported results are credible, representative, and accurate, and that the rights, safety, and well-being of study participants are protected. Clinical trials must be conducted under protocols that detail the study objectives, parameters for monitoring safety, and the efficacy criteria, if any, to be evaluated. In addition, each clinical trial must be reviewed and approved by, and conducted under the auspices of, an Institutional Review Board ("IRB") for each clinical site within the United States or, where applicable, an Ethics Committee and/or the competent authority for clinical sites outside the United States. Companies sponsoring the clinical trials, investigators, and IRBs/Ethics Committees also must comply with, as applicable, regulations and guidelines for obtaining informed consent from the study patients, following the protocol and investigational plan, adequately monitoring the clinical trial, and timely reporting of adverse events. Foreign studies conducted under an IND must meet the same requirements that apply to studies being conducted in the United States. Data from a foreign study not conducted under an IND may be submitted in support of a BLA if the study was conducted in accordance with GCPs and the FDA is able to validate the data. The sponsor of a clinical trial or the sponsor's designated responsible party may be required to register certain information about the trial and disclose certain results on government or independent registry websites, such as clinicaltrials.gov.</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Typically, clinical testing involves a three-phase process, which may overlap or be subdivided in some cases. Phase 1 trials are usually conducted with a small number of healthy volunteers to determine the early safety profile, metabolism, and pharmacological actions of the product candidate, the side effects associated with increasing doses, and, if possible, to gain early evidence of effectiveness. Although Phase 1 trials are typically conducted in healthy human subjects, in some instances, the trial subjects are patients with the targeted disease or condition. Phase 2 clinical trials are conducted with a relatively small sample of the intended patient population to provide enough data to evaluate the preliminary safety, tolerability, and efficacy of different potential doses of the product candidate. Phase 3 clinical trials are larger trials conducted with patients with the target disease or disorder intended to gather additional information about dosage, safety, and effectiveness necessary to evaluate the drug's overall risk-benefit profile. Phase 3 data often form the core basis on which the FDA and comparable foreign regulatory authorities evaluate a product candidate's safety and effectiveness when considering the product application for regulatory approval. If concerns arise about the safety of the product candidate, the FDA or other regulatory authorities can stop clinical trials by placing them on a "clinical hold" pending receipt of additional data, which can result in a delay or termination of a clinical development program. The sponsoring company, the FDA or other regulatory authorities, or the IRB or Ethics Committee and competent authority may suspend or terminate a clinical trial at any time on various grounds, including a finding that the patients are being exposed to an unacceptable health risk.</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results of the preclinical and clinical testing of a biologic product candidate are then submitted to the FDA in the form of a BLA for evaluation to determine whether the product candidate may be approved for commercial sale under the Public Health Service Act. When a BLA is submitted, the FDA makes an initial determination as to whether the application is sufficiently complete to be accepted for review. If the application is not, the FDA may refuse to accept the BLA for filing and request additional information. A refusal to file, which requires resubmission of the BLA with the requested additional information, delays review of the application. If the application is accepted for review, the FDA reviews the application to determine, among other things, whether a product is safe and effective for its intended use and whether the manufacturing controls are adequate to assure and preserve the product's identity, strength, quality, and purity.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FDA performance goals generally provide for action on a BLA within 10 months of the 60-day filing date (or within 12 months of the BLA submission). That deadline can be extended by FDA under certain circumstances, including by the FDA's requests for additional information. The targeted action date can be 6 months after the 60-day filing date (or 8 months after BLA submission) for product candidates that are granted priority review designation because they are intended to treat serious or life-threatening conditions and demonstrate the potential to address unmet medical needs. The FDA has other programs to expedite development and review of product candidates that address serious or life-threatening conditions.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some BLAs, the FDA may convene an advisory committee to seek insights and recommendations on issues relevant to approval of the application. Although the FDA is not bound by the recommendation of an advisory committee, the agency considers such recommendations carefully when making decisions. Before approving a new drug or biologic product, the FDA</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also requires that the facilities at which the product will be manufactured or advanced through the supply chain be in compliance with current Good Manufacturing Practices, or cGMP, requirements and regulations governing, among other things, the manufacture, shipment, and storage of the product. The FDA will typically inspect such facilities for compliance with these requirements and regulations prior to approving a BLA. The FDA also can audit the sponsor of the BLA to determine if the clinical studies were conducted in compliance with current GCPs. After review of a BLA, the FDA may grant marketing approval, request additional information, or issue a CRL outlining the deficiencies in the submission. The CRL may require additional testing or information, including additional preclinical or clinical data, for the FDA to reconsider the application. Even if such additional information and data are submitted, the FDA may decide that the BLA still does not meet the standards for approval. Data from clinical trials are not always conclusive and the FDA may interpret data differently than the sponsor. If FDA grants approval, an approval letter authorizes commercial marketing of the product candidate with specific prescribing information for specific indications.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early-stage clinical trials may not predict long-term safety or efficacy of our compounds when they are tested or used more broadly in humans. Additionally, as a condition of approval, the FDA may impose restrictions that could affect the commercial prospects of a product and increase our costs, such as a Risk Evaluation and Mitigation Strategy ("REMS") to mitigate certain specific safety risks, and/or post-approval commitments or requirements to conduct additional clinical trials or non-clinical studies or to conduct surveillance programs to monitor the product's effects.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Approval of a product candidate by comparable regulatory authorities in countries outside the United States is generally required prior to commencement of marketing of the product in those countries. The approval procedure varies among countries and may involve different or additional testing, and the time required to obtain such approval may differ from that required for FDA approval. Approval by a regulatory authority in one jurisdiction does not guarantee approval by comparable regulatory authorities in other jurisdictions. In the European Economic Area ("EEA") (which is comprised of 27 Member States of the EU plus Norway, Iceland, and Liechtenstein), medicinal products can only be commercialized after a related Marketing Authorization has been granted. Marketing authorization for biologics must be obtained through a centralized procedure, which allows a company to submit a single application to the EMA. If a related positive opinion is provided by the EMA, the EC will grant a centralized marketing authorization that is valid in the EEA.</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many jurisdictions, pediatric data or an approved Pediatric Investigation Plan ("PIP"), or a waiver of such studies, is required to have been approved by regulatory authorities prior to submission of a marketing application. In some EU countries, we may also be required to have an approved PIP before we can begin enrolling pediatric patients in a clinical trial. In the United States, under the Pediatric Research Equity Act ("PREA"), certain applications for approval must include an assessment, generally based on clinical study data, of the safety and effectiveness of the subject product in relevant pediatric populations, unless a waiver or deferral is granted. However, a pediatric study plan is not required for orphan products and the timing of the submission is subject to negotiation with FDA, but such plan cannot be submitted later than submission of a BLA.</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federal, state, and foreign statutes and regulations also govern or influence the research, manufacture, safety, labeling, storage, record keeping, marketing, transport, and other aspects of developing and commercializing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 additional information regarding U.S. and foreign regulatory approval processes and requirements, see Part I, Item 1A. "Risk Factors -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products is costly, time-consuming, and highly uncertain. If we or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and comparable regulatory authorities in other jurisdictions may also require us to conduct additional clinical trials or to make certain changes related to a product after granting approval of the product. The FDA has the explicit authority to require postmarketing studies (also referred to as post-approval or Phase 4 studies) and labeling changes based on new safety information, and may impose and enforce a REMS at the time of approval or after the product is on the market. Post-approval modifications to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drug, such as changes in indications, labeling, or manufacturing processes or facilities, may require a sponsor to develop additional data or conduct additional preclinical studies or clinical trials, to be submitted in a new or supplemental BLA, which would require FDA approval.</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Following approval, the FDA and comparable regulatory authorities outside the United States regulate the marketing and promotion of our products, which must comply with the Food, Drug, and Cosmetic Act and applicable FDA regulations and standards thereunder and equivalent foreign laws. The review of promotional activities by the FDA and comparable regulatory authorities outside the United States includes, but is not limited to, healthcare provider-directed and direct-to-consumer advertising, communications regarding unapproved uses, industry-sponsored scientific and educational activities, promotional activities involving the Internet, and sales representatives' communications. FDA and comparable foreign regulatory authorities' regulations impose restrictions on manufacturers' communications regarding unapproved uses, but under certain conditions manufacturers may engage in non-promotional, balanced, scientific communication regarding such use. Failure to comply with applicable FDA and comparable foreign regulatory authorities' requirements and restrictions in this area may subject a company to adverse publicity and enforcement action by the FDA, the Department of Justice, or the Office of the Inspector General of the Department of Health and Human Services, as well as state authorities and comparable regulatory authorities outside the United States. This could subject a company to a range of penalties that could have a significant commercial impact, including civil and criminal fines and agreements that materially restrict the manner in which a company promotes or distributes a drug. See Part I, Item 1A. "Risk Factors - Other Regulatory and Litigation Risks - </w:t>
      </w:r>
      <w:r>
        <w:rPr>
          <w:rFonts w:ascii="Times New Roman" w:cs="Times New Roman" w:eastAsia="Times New Roman" w:hAnsi="Times New Roman"/>
          <w:sz w:val="18"/>
          <w:szCs w:val="18"/>
          <w:i w:val="1"/>
          <w:iCs w:val="1"/>
          <w:color w:val="auto"/>
        </w:rPr>
        <w:t>Our business activities have been, and may in the future be, challenged under U.S. federal or state and foreign healthcare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laws, which may subject us to civil or criminal proceedings, investigations, or penalties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Adverse-event reporting and submission of periodic reports are required following marketing approval. The FDA requires BLA holders to employ a system for obtaining and reviewing safety information, adverse events, and product complaints associated with each drug and to submit safety reports to the FDA, with expedited reporting timelines in certain situations. Based on new safety information after approval, the FDA can, among other things, mandate product labeling changes, require new post-marketing studies, impose or modify a risk evaluation and mitigation strategy for the product, or suspend or withdraw approval of the product. We may be subject to audits by the FDA and other regulatory authorities to ensure that we are complying with the applicable requirements. Rules that are equivalent in scope but which vary in application apply in countries outside the United States in which we conduct clinical trials.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 of an EU marketing authorization for a medicinal product must also comply with the EU's pharmacovigilance legislation. This includes requirements to conduct pharmacovigilance, or the assessment and monitoring of the safety of medicinal products. Marketing authorization holders are required to maintain a Pharmacovigilance System Master File ("PSMF"), which supports and documents the compliance of the marketing authorization holder with the requirements of EU pharmacovigilance legislation. Marketing authorization holders are also required to have a Qualified Person for Pharmacovigilance ("QPPV"), who, among other things, maintains the PSMF. A QPPV must reside in the EEA and must also prepare pharmacovigilance reports, respond to potential requests from competent authorities concerning pharmacovigilance on a 24-hour basis, and provide competent authorities with any other information that may be relevant to the safety of the medicinal product in accordance with Good Pharmacovigilance Practices.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EC can also require marketing authorization holders to conduct post-authorization safety and/or efficacy studies. A post-authorization safety study ("PASS") is a study that is carried out after a medicinal product has been authorized to obtain further information on a medicinal product's safety, or to measure the effectiveness of risk-management measures. Such studies may be clinical trials or non-interventional studies. A post-authorization efficacy study ("PAES") is a study that is carried out for complementing available efficacy data in the light of well-reasoned scientific uncertainties on aspects of the evidence of benefits that is to be or only can be addressed post-authorization. The EC may, in particular, impose a PASS and/or PAES on marketing authorization holders when a marketing authorization is granted upon conditions. The EC may grant conditional marketing authorizations in the interest of public health, when there is less comprehensive clinical data available than would be required, if the EC considers that the benefit of immediate availability may outweigh the risk that the absence of the required clinical data poses.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and our third-party suppliers are required to maintain compliance with cGMP, and are subject to inspections by the FDA or comparable regulatory authorities in other jurisdictions to confirm such compliance. Changes of suppliers or modifications of methods of manufacturing may require amending our application(s) to the FDA or such comparable foreign regulatory authorities and acceptance of the change by the FDA or such comparable foreign regulatory authorities prior to release of product(s). FDA regulations also require investigation and correction of any deviations from cGMP and impose reporting and documentation requirements upon us and our third-party suppliers. Prescription drug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properly handle suspect and illegitimate products. We may also be subject to state regulations related to the manufacturing and distribution of our products.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comply with these laws, regulations, and conditions of product approval may lead the FDA and comparable regulatory authorities in other jurisdictions to take regulatory action or seek sanctions, including fines, issuance of warning letters, civil penalties, injunctions, suspension of manufacturing operations, operating restrictions, withdrawal of FDA approval of a product, seizure or recall of products, and criminal prosecution.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and Reimbursement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Sales in the United States of our marketed products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Sales of our marketed products in other countries are dependent, in large part, on coverage and reimbursement mechanisms and programs administered by health authorities in those countries. See Part 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Changes to product reimbursement and coverage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practices may materially harm our business, prospects, operating results, and financial condition.</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participate in, and have certain price reporting obligations to, the Medicaid Drug Rebate program, state Medicaid supplemental rebate program(s), and other governmental pricing programs. We also have obligations to report the average sales price for certain drugs to the Medicare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for our drugs under Medicaid and Part B of the Medicare program.</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Medicaid is a joint federal and state program that is administered by the states for low-income and disabled beneficiaries. Medicaid rebates are based on pricing data reported by us on a monthly and quarterly basis to the Centers for Medicare &amp; Medicaid Services ("CMS"), the federal agency that administers the Medicaid and Medicare programs.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the average manufacturer price increases more than inflation (measured by reference to the Consumer Price Index - Urban). Effective January 1, 2024, the rebate is no longer capped at 100% of the average manufacturer price and, as a result, the rebate liability of manufacturers could increase.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If we become aware that our Medicaid reporting for a prior quarter was incorrect, or has changed as a result of recalculation of the pricing data, we are obligated to resubmit the corrected data for up to three years after those data originally were due, which revisions could affect our rebate liability for prior quarters. If we fail to pay the required rebate amount or report pricing data on a timely basis, we may be subject to civil monetary penalties and/or termination of our Medicaid Drug Rebate program agreement, in which case federal payments may not be available under Medicaid or Medicare Part B for our covered outpatient drugs. For additional information regarding risks related to our price reporting and rebate payment obligations, see Part I, Item 1A. "Risk Factors - Other Regulatory and Litigation Risks - </w:t>
      </w:r>
      <w:r>
        <w:rPr>
          <w:rFonts w:ascii="Times New Roman" w:cs="Times New Roman" w:eastAsia="Times New Roman" w:hAnsi="Times New Roman"/>
          <w:sz w:val="18"/>
          <w:szCs w:val="18"/>
          <w:i w:val="1"/>
          <w:iCs w:val="1"/>
          <w:color w:val="auto"/>
        </w:rPr>
        <w:t>If we fail to comply with our reporting and payment obligations under the Medicaid Drug Rebate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program or other governmental pricing programs, we could be subject to additional reimbursement requirements, penalties, sanctions and fines, which could have a material adverse effect on our business, financial condition, results of operations, and future prospects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healthcare practitioners; are provided in connection with certain durable medical equipment; or are certain oral anti-cancer drugs and certain oral immunosuppressive drugs. Medicare Part B pays for such drugs under a payment methodology based on the average sales price of the drugs. Manufacturers, including us, are required to report average sales price information to CMS on a quarterly basis. The manufacturer-submitted information may be used by CMS to calculate Medicare payment rates. Manufacturers must pay refunds to Medicare for single-source drugs or biological products, or biosimilar biological products, reimbursed under Medicare Part B and packaged in single-dose containers or single-use packages for units of discarded drug reimbursed by Medicare Part B in excess of 10% of total allowed charges under Medicare Part B for that drug. Manufacturers that fail to pay refunds could be subject to civil monetary penalties. Further, the Inflation Reduction Act ("IRA") has established a Medicare Part B inflation rebate scheme under which, generally speaking, manufacturers owe rebates if the average sales price of a Part B drug increases faster than the pace of inflation. Failure to timely pay a Part B inflation rebate is subject to a civil monetary penalty.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IRA also created a drug price negotiation program requiring the government to set prices for select high-expenditure drugs covered under Medicare Parts B and D. Starting in 2023 and 2026, the government is authorized to select Part D and Part B drugs, respectively, for inclusion in the drug price negotiation program, with established prices to go into effect for selected Part D drugs in 2026 and for selected Part B drugs in 2028, in each case absent certain disqualifying events. Failure to comply with requirements under the drug price negotiation program is subject to an excise tax and a civil monetary penalty. This or any other legislative change could impact the market conditions for our products. See Part 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Changes to product reimbursement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coverage policies and practices may materially harm our business, prospects, operating results, and financial condition.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pricing or other information to the government, if we are found to have made a misrepresentation in the reporting of our average sales price, or if we fail to submit the required data on a timely basis. Such conduct also could be grounds for CMS to terminate our Medicaid drug rebate agreement, in which case federal payments may not be available under Medicaid or Medicare Part B for our covered outpatient drugs.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federal Patient Protection and Affordable Care Act (the "PPACA")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HRSA issued a final regulation regarding the calculation of the 340B ceiling price and the imposition of civil monetary penalties on manufacturers that knowingly and intentionally overcharge covered entities. If we are found to have knowingly and intentionally charged 340B covered entities more than the statutorily mandated ceiling price, we could be subject to significant civil monetary penalties and/or such failure also could be grounds for HRSA to terminate our agreement to participate in the 340B program, in which case our covered outpatient drugs would no longer be eligible for federal payment under Medicaid or Medicare Part B. Moreover, HRSA has established an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HRSA has also implemented a price reporting system under which we are required to report our 340B ceiling prices to HRSA on a quarterly basis, which then publishes those prices to 340B covered entities.</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("VA") Federal Supply Schedule ("FSS") pricing program. FSS participation is required for our products to be purchased by the VA, Department of Defense ("DoD"), Coast Guard, and Public Health Service ("PHS").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We also participate in the Tricare Retail Pharmacy Program, under which we pay quarterly rebates to DoD for prescriptions of our innovator drugs dispensed to Tricare beneficiaries through Tricare Retail network pharmacies. The governing statute provides for civil monetary penalties for failure to provide information timely or for knowing submission of false information to the government.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Medicare Part D provides coverage to enrolled Medicare patients for self-administered drugs (i.e.,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manufacturers, including us, are required to provide to CMS a 70% discount on brand name prescription drugs utilized by Medicare Part D beneficiaries when those beneficiaries are in the coverage gap phase of the Part D benefit design. The IRA includes a sunset provision with respect to the coverage gap discount program starting in 2025 and replaces it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a new manufacturer discount program. In addition, the IRA has established a Medicare Part D inflation rebate scheme under which, generally speaking, manufacturers will owe additional rebates if the average manufacturer price of a Part D drug increases faster than the pace of inflation. Failure to timely pay a Part D inflation rebate or otherwise comply with obligations under the Medicare Part D inflation rebate scheme is subject to a civil monetary penalty.</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Private payor healthcare and insurance providers, health maintenance organizations,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copayment/coinsurance. These payors may not cover or adequately reimburse for use of our products or may do so at levels that disadvantage them relative to competitive products.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Outside the United States, within the EU, our products are paid for by a variety of payors, with governments being the primary source of payment. Government health authorities in the EU determine or influence reimbursement of products, and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(i.e., referencing prices in other countries or prices of competitive products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healthcare "fraud and abuse" laws, such as the federal civil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Federal false claims laws prohibit any person from knowingly presenting, or causing to be presented, a false claim for payment of government funds, or knowingly making, or causing to be made, a false statement to get a false claim paid. See Part I, Item 1A. "Risk Factors - Other Regulatory and Litigation Risks -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activities have been, and may in the future be, challenged under U.S. federal or state and foreign healthcare laws, which may subject us to civil or criminal proceedings, investigations, or penalties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Foreign Corrupt Practices Act, or FCPA, and similar anti-bribery or anti-corruption laws, regulations or rules of other countries in which we operate, including the U.K. Bribery Act. See Part I, Item 1A. "Risk Factors - Other Regulatory and Litigation Risks - </w:t>
      </w:r>
      <w:r>
        <w:rPr>
          <w:rFonts w:ascii="Times New Roman" w:cs="Times New Roman" w:eastAsia="Times New Roman" w:hAnsi="Times New Roman"/>
          <w:sz w:val="18"/>
          <w:szCs w:val="18"/>
          <w:i w:val="1"/>
          <w:iCs w:val="1"/>
          <w:color w:val="auto"/>
        </w:rPr>
        <w:t>Risks from the improper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conduct of employees, agents, contractors, or collaborators could adversely affect our reputation and our business, prospects, operating results, and financial condition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privacy and data protection laws in the United States and abroad, including health privacy laws, data breach notification laws, consumer protection laws, data localization laws, biometric privacy laws, and genetic privacy laws.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there are numerous federal and state laws and regulations governing data privacy of personal data and the collection, use, disclosure, and protection of health data, genetic data, consumer data, and children's data. At the federal level, most U.S. healthcare providers, including research institutions from which we or our collaborators obtain clinical trial data, are subject to privacy and security regulations promulgated under the Health Insurance Portability and Accountability Act of 1996, the Health Information Technology for Economic and Clinical Health Act, and their implementing regulations (collectively, "HIPAA"). While Regeneron is not directly subject to HIPAA, other than potentially with respect to providing certain employee benefits, we could be subject to criminal penalties if we, our affiliates, or our agents knowingly receive protected health information in a manner that is not permitted under HIPAA. The Federal Trade Commission ("FTC") also sets expectations for taking appropriate steps to safeguard consumers' personal information and for providing a level of privacy or security commensurate to promises made to individuals. Failure to meet these FTC standards may constitute unfair or deceptive acts or practices in violation of Section 5 of the FTC Act. The FTC also has the power to enforce the Health Breach Notification Rule, which imposes notification obligations on companies for breaches of certain health information contained in personal health records. Enforcement by the FTC under the FTC Act and Health Breach Notification Rule can result in civil penalties or enforcement actions. In addition, at the state level, many state consumer privacy laws recently went into effect and many other consumer privacy laws are expected to go into effect in the near future. These laws include certain transparency and other requirements to protect personal data and grant residents with certain rights regarding their personal data. These laws and regulations are constantly evolving and may impose limitations on our business activities.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Outside the United States, our activities subject us to additional data protection authority oversight and require us to comply with stringent local and regional data privacy laws. Such laws include the EU's General Data Protection Regulations ("GDPR"), which has a wide range of compliance obligations relating to the processing and protection of personal data. Violations of the GDPR carry significant financial penalties for noncompliance. The GDPR also confers a private right of action on data subjects and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consumer associations to file complaints with data protection authorities, seek judicial remedies, and obtain compensation for damages resulting from violations of the GDPR. Many other jurisdictions outside the United States have adopted and continue to adopt varying privacy and data protection legislation, the continued emergence of which has increased the costs and complexity of compliance.</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our present business is, and our future business may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manage our business as one segment which includes all activities related to the discovery, development, and commercialization of medicines for serious diseases. For financial information related to our one segment, see our Consolidated Financial Statements and related notes.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compete in the highly competitive biotechnology and pharmaceuticals industries. Attracting, developing, and retaining skilled and experienced employees in research and development, manufacturing, sales and marketing, and other positions is crucial to our ability to compete effectively. Our ability to recruit and retain such employees depends on a number of factors, including our corporate culture and work environment, informed by our values and behaviors (which we call "The Regeneron Way") and our philosophy of "Doing Well by Doing Good"; talent development and career opportunities; and compensation and benefits.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Integrity is a core value at Regeneron. Both the Company and each of our employees have a responsibility to act ethically and with integrity at all times. Our Code of Business Conduct and Ethics brings together Regeneron's key policy principles and establishes the Company's expectations for all of our employees to act in accordance with applicable laws, rules, and regulations.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Profile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we had 15,106 full-time employees, consisting of 11,914 employed in the United States, 2,168 employed in Ireland, and 1,024 employed in other countries (primarily in the United Kingdom, Japan, and Germany). Of these employees, 2,562 were within our research and preclinical development organization, 2,151 were within our global clinical development and regulatory affairs organization, and 6,846 were within our industrial operations and product supply organization. Company-wide, nearly 1,700 of our full-time employees hold a Ph.D. and/or M.D. We also supplement our workforce with independent contractors, contingent workers, and temporary workers, as needed. None of our employees are represented by a labor union, and our management considers its relations with our employees to be good.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 and Development</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employees represent a broad range of backgrounds, just like the people who take our medicines, and bring a wide array of perspectives and experiences that have helped us achieve our leadership position in the biotechnology and pharmaceuticals industries and the global marketplace. Our strategy is rooted in the understanding that a better workplace drives better science and that better science drives a better world. We believe that by fostering an inclusive culture and bringing diverse voices and perspectives to the discourse, we improve our ability to fulfill our mission to repeatedly bring important medicines to patients with serious diseases. We empower employee-led cross-functional resource groups, functional/site-level councils, and other interest groups, who connect around a common passion to build a culture of inclusion and collaboration. In recent years, we have expanded our mentoring program and inclusive leadership workshops for senior leaders and new managers, focusing on our diverse talent base to increase leadership skills, connection, and visibility of underrepresented talent.</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are proud of our workforce diversity representation shown in the table below, we seek to continuously improve in this area. In early 2021, we launched a global strategy to advance diversity, focused on creating a better workplace, better science, and better world; and implemented a new governance model that includes councils comprised of senior leaders who provide oversight and guidance on our diversity efforts and support the execution of our strategy. In order to better understand our employees' perspectives, we also measure inclusion and belonging as part of our annual employee engagement survey. Our board of directors and/or an appropriate committee thereof receives a detailed update on our efforts at least once a year and continues to monitor our progress.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Workforce Diversity Representation</w:t>
      </w:r>
      <w:r>
        <w:rPr>
          <w:rFonts w:ascii="Times New Roman" w:cs="Times New Roman" w:eastAsia="Times New Roman" w:hAnsi="Times New Roman"/>
          <w:sz w:val="23"/>
          <w:szCs w:val="23"/>
          <w:b w:val="1"/>
          <w:bCs w:val="1"/>
          <w:color w:val="auto"/>
          <w:vertAlign w:val="superscript"/>
        </w:rPr>
        <w:t>*</w:t>
      </w:r>
    </w:p>
    <w:tbl>
      <w:tblPr>
        <w:tblLayout w:type="fixed"/>
        <w:tblInd w:w="2920" w:type="dxa"/>
        <w:tblCellMar>
          <w:top w:w="0" w:type="dxa"/>
          <w:left w:w="0" w:type="dxa"/>
          <w:bottom w:w="0" w:type="dxa"/>
          <w:right w:w="0" w:type="dxa"/>
        </w:tblCellMar>
      </w:tblPr>
      <w:tr>
        <w:trPr>
          <w:trHeight w:val="250"/>
        </w:trPr>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Female Representation (Global)</w:t>
            </w:r>
          </w:p>
        </w:tc>
        <w:tc>
          <w:tcPr>
            <w:tcW w:w="160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50.0%</w:t>
            </w:r>
          </w:p>
        </w:tc>
      </w:tr>
      <w:tr>
        <w:trPr>
          <w:trHeight w:val="31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People of Color Representation (U.S. Only)</w:t>
            </w:r>
            <w:r>
              <w:rPr>
                <w:rFonts w:ascii="Times New Roman" w:cs="Times New Roman" w:eastAsia="Times New Roman" w:hAnsi="Times New Roman"/>
                <w:sz w:val="23"/>
                <w:szCs w:val="23"/>
                <w:color w:val="auto"/>
                <w:vertAlign w:val="superscript"/>
              </w:rPr>
              <w:t>**</w:t>
            </w:r>
          </w:p>
        </w:tc>
        <w:tc>
          <w:tcPr>
            <w:tcW w:w="16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31.6%</w:t>
            </w:r>
          </w:p>
        </w:tc>
      </w:tr>
    </w:tbl>
    <w:p>
      <w:pPr>
        <w:ind w:left="3180" w:hanging="96"/>
        <w:spacing w:after="0" w:line="226" w:lineRule="auto"/>
        <w:tabs>
          <w:tab w:leader="none" w:pos="318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Based on full-time employees as of December 31, 2024</w:t>
      </w:r>
    </w:p>
    <w:p>
      <w:pPr>
        <w:spacing w:after="0" w:line="46" w:lineRule="exact"/>
        <w:rPr>
          <w:sz w:val="20"/>
          <w:szCs w:val="20"/>
          <w:color w:val="auto"/>
        </w:rPr>
      </w:pPr>
    </w:p>
    <w:p>
      <w:pPr>
        <w:ind w:left="3080" w:right="2940" w:firstLine="4"/>
        <w:spacing w:after="0" w:line="228" w:lineRule="auto"/>
        <w:tabs>
          <w:tab w:leader="none" w:pos="3237"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Represents the percentage of our full-time employees in the United States that self-identified as belonging to a racial or ethnic minority group. The denominator used in this calculation includes employees who did not disclose information related to their race or ethnicity. Excluding those that did not disclose such information, the percentage shown in this table would be 35.5%.</w:t>
      </w:r>
    </w:p>
    <w:p>
      <w:pPr>
        <w:spacing w:after="0" w:line="2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Externally, we support diversity efforts in our community, including by supporting young scientific talent in underrepresented communities. For example, as part of our $100 million, 10-year commitment to support the Regeneron Science Talent Search ("STS"), we allocate $3.1 million annually to fund the Society for Science’s science, technology, engineering, and math ("STEM") outreach and equity programs. We have also been the title sponsor of the Regeneron International Science and Engineering Fair ("ISEF") since 2019 and made an additional $34 million, 5-year commitment to this program in 2023. Also in 2023, the Together for CHANGE</w:t>
      </w:r>
      <w:r>
        <w:rPr>
          <w:rFonts w:ascii="Times New Roman" w:cs="Times New Roman" w:eastAsia="Times New Roman" w:hAnsi="Times New Roman"/>
          <w:sz w:val="10"/>
          <w:szCs w:val="10"/>
          <w:color w:val="auto"/>
        </w:rPr>
        <w:t>TM</w:t>
      </w:r>
      <w:r>
        <w:rPr>
          <w:rFonts w:ascii="Times New Roman" w:cs="Times New Roman" w:eastAsia="Times New Roman" w:hAnsi="Times New Roman"/>
          <w:sz w:val="18"/>
          <w:szCs w:val="18"/>
          <w:color w:val="auto"/>
        </w:rPr>
        <w:t xml:space="preserve"> ("Changing Healthcare for People of African Ancestry through InterNational Genomics &amp; Equity") initiative was launched by a coalition of Meharry Medical College, the Regeneron Genetics Center, AstraZeneca, Novo Nordisk, and Roche to improve health outcomes for people of African ancestry and enhance their representation in STEM careers. Among our other efforts, we have developed a STEM pilot program with post-primary-school and high-school students in the New York State Capital Region and Limerick, Ireland that aspires to build long-term relationships with students from disadvantaged socio-economic groups, to encourage and support them in their studies, to inspire them to attend college, and, ultimately, to build a deeper more diverse talent pipeline. We also continue to take steps to further integrate diversity considerations into the design and selection of sites for our clinical studies to make sure they reflect the diversity of patients with the diseases under investigation.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Wellness, Health, and Safety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wellbeing of our employees is a primary focus as we believe that the most productive people are those who are at their best, both physically and mentally. We provide several programs related to employee health and wellness, including onsite amenities and programs such as meditation and prayer rooms and fitness centers. We also prioritize mental health initiatives and have taken further action to reduce or remove barriers to quality mental healthcare for our employees and their family members. In addition, we provide support for work-life balance through flex-time, remote working arrangements, child and elder care, and paid parental leave, among others.</w:t>
      </w:r>
    </w:p>
    <w:p>
      <w:pPr>
        <w:spacing w:after="0" w:line="1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Occupational health and safety is critical to our success. We are committed to meeting or exceeding all environmental, health, safety ("EHS") and security regulations and have a range of programs, policies, and procedures to ensure the safety of all people who come to work at Regeneron. In addition, our 2025 global responsibility goals include a commitment to focus on workplace injury prevention in our drive toward zero incidents.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Growth and Development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invest significant resources to develop talent with the right capabilities to deliver the growth and innovation needed to support our continued success. Our Talent department is dedicated to promoting individual, leader, team, and organizational development through a number of tools and services. We offer a variety of professional development courses for our employees and support employee continuing education, including through educational reimbursement and tuition forgiveness programs. In addition, we continue to invest in our current and future leaders through a number of leadership development courses and programs and feedback and coaching opportunities. In 2024, nearly 30% of job openings were filled by existing employees who were seeking career development opportunities.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engaging our employees, from their first day and throughout their career, is key to fostering new ideas and driving commitment and productivity. We communicate frequently and transparently with our employees through a variety of communication methods, including video and written communications, company forums and town halls, annual engagement surveys, and pulse surveys.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also committed to fostering employee volunteerism to reach our 2025 global responsibility goal of driving employee volunteer levels above national standards. Employees are encouraged and empowered to support organizations and causes that are important to them including through, among other things, our matching gift program, volunteer-time-off policy, and our annual company-wide service event, </w:t>
      </w:r>
      <w:r>
        <w:rPr>
          <w:rFonts w:ascii="Times New Roman" w:cs="Times New Roman" w:eastAsia="Times New Roman" w:hAnsi="Times New Roman"/>
          <w:sz w:val="18"/>
          <w:szCs w:val="18"/>
          <w:i w:val="1"/>
          <w:iCs w:val="1"/>
          <w:color w:val="auto"/>
        </w:rPr>
        <w:t>Day for Doing Good</w:t>
      </w:r>
      <w:r>
        <w:rPr>
          <w:rFonts w:ascii="Times New Roman" w:cs="Times New Roman" w:eastAsia="Times New Roman" w:hAnsi="Times New Roman"/>
          <w:sz w:val="18"/>
          <w:szCs w:val="18"/>
          <w:color w:val="auto"/>
        </w:rPr>
        <w:t>. In 2024, over 7,800 employees volunteered approximately 45,400 hours,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including approximately 49% of our employees who volunteered nearly 27,400 hours to approximately 220 nonprofits during our </w:t>
      </w:r>
      <w:r>
        <w:rPr>
          <w:rFonts w:ascii="Times New Roman" w:cs="Times New Roman" w:eastAsia="Times New Roman" w:hAnsi="Times New Roman"/>
          <w:sz w:val="18"/>
          <w:szCs w:val="18"/>
          <w:i w:val="1"/>
          <w:iCs w:val="1"/>
          <w:color w:val="auto"/>
        </w:rPr>
        <w:t>Day for Doing Good</w:t>
      </w:r>
      <w:r>
        <w:rPr>
          <w:rFonts w:ascii="Times New Roman" w:cs="Times New Roman" w:eastAsia="Times New Roman" w:hAnsi="Times New Roman"/>
          <w:sz w:val="18"/>
          <w:szCs w:val="18"/>
          <w:color w:val="auto"/>
        </w:rPr>
        <w:t>. Additionally, through our Matching Gift Program, we matched approximately $2.3 million in employee contributions in 2024, supporting over 2,300 charities. In 2024, we were named to the Civic 50 of most community-minded companies in the United States for the eighth consecutive year.</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success of our employee engagement efforts is demonstrated by our employee retention rate of 94% in 2024, as well as the fact that 88% of our employees who responded to our annual engagement survey said Regeneron is a great place to work. Additionally, we have placed in the top five for the past 14 years in </w:t>
      </w:r>
      <w:r>
        <w:rPr>
          <w:rFonts w:ascii="Times New Roman" w:cs="Times New Roman" w:eastAsia="Times New Roman" w:hAnsi="Times New Roman"/>
          <w:sz w:val="18"/>
          <w:szCs w:val="18"/>
          <w:i w:val="1"/>
          <w:iCs w:val="1"/>
          <w:color w:val="auto"/>
        </w:rPr>
        <w:t>Science</w:t>
      </w:r>
      <w:r>
        <w:rPr>
          <w:rFonts w:ascii="Times New Roman" w:cs="Times New Roman" w:eastAsia="Times New Roman" w:hAnsi="Times New Roman"/>
          <w:sz w:val="18"/>
          <w:szCs w:val="18"/>
          <w:color w:val="auto"/>
        </w:rPr>
        <w:t xml:space="preserve"> magazine’s annual "Top Employers Survey" of the global biotechnology and pharmaceutical industry.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committed to rewarding and supporting our employees in order to continue to attract and retain top talent. We believe this commitment supports our core strategy of creating and advancing a high-quality product pipeline and delivering medicines to people in need. Employee engagement, commitment, and achievements are key drivers of pipeline success and therefore our long-term performance. The primary underpinning of our pay philosophy is to award stock-based pay to all eligible employees to ensure that when we deliver for patients and for shareholders, everyone shares in the upside growth. Our practice, therefore, has been to award initial stock-based grants to all new hires, in addition to our comprehensive annual stock-based compensation program. Total employee compensation packages (which vary by country and region) include market-competitive pay (with the opportunity to receive above-market rewards), broad-based grants of stock-based awards, comprehensive healthcare benefits, parental leave, child and elder care support, retirement savings options, and matching contributions in connection with employee savings plans.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and other interested parties should note that we use our media and investor relations website (</w:t>
      </w:r>
      <w:r>
        <w:rPr>
          <w:rFonts w:ascii="Times New Roman" w:cs="Times New Roman" w:eastAsia="Times New Roman" w:hAnsi="Times New Roman"/>
          <w:sz w:val="18"/>
          <w:szCs w:val="18"/>
          <w:i w:val="1"/>
          <w:iCs w:val="1"/>
          <w:color w:val="auto"/>
        </w:rPr>
        <w:t>http://investor.regeneron.com</w:t>
      </w:r>
      <w:r>
        <w:rPr>
          <w:rFonts w:ascii="Times New Roman" w:cs="Times New Roman" w:eastAsia="Times New Roman" w:hAnsi="Times New Roman"/>
          <w:sz w:val="18"/>
          <w:szCs w:val="18"/>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101" w:lineRule="exact"/>
        <w:rPr>
          <w:sz w:val="20"/>
          <w:szCs w:val="20"/>
          <w:color w:val="auto"/>
        </w:rPr>
      </w:pPr>
    </w:p>
    <w:p>
      <w:pPr>
        <w:ind w:right="940"/>
        <w:spacing w:after="0" w:line="422" w:lineRule="auto"/>
        <w:rPr>
          <w:sz w:val="20"/>
          <w:szCs w:val="20"/>
          <w:color w:val="auto"/>
        </w:rPr>
      </w:pPr>
      <w:r>
        <w:rPr>
          <w:rFonts w:ascii="Times New Roman" w:cs="Times New Roman" w:eastAsia="Times New Roman" w:hAnsi="Times New Roman"/>
          <w:sz w:val="18"/>
          <w:szCs w:val="18"/>
          <w:color w:val="auto"/>
        </w:rPr>
        <w:t xml:space="preserve">The information contained on our websites and social media channels is not included as a part of, or incorporated by reference into, this report. </w:t>
      </w:r>
      <w:r>
        <w:rPr>
          <w:rFonts w:ascii="Times New Roman" w:cs="Times New Roman" w:eastAsia="Times New Roman" w:hAnsi="Times New Roman"/>
          <w:sz w:val="18"/>
          <w:szCs w:val="18"/>
          <w:b w:val="1"/>
          <w:bCs w:val="1"/>
          <w:color w:val="auto"/>
        </w:rPr>
        <w:t>Item 1A. Risk Factors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10-K, including the full set of risks set forth in this "Risk Factors" section, and in our other filings with the SEC before making an investment decision regarding Regeneron.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Risks</w:t>
      </w:r>
    </w:p>
    <w:p>
      <w:pPr>
        <w:spacing w:after="0" w:line="14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EYLEA, EYLEA HD, and Dupixent.</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are dependent on the availability and extent of coverage and reimbursement from third-party payors, including private payors and government programs such as Medicare and Medicaid.</w:t>
      </w:r>
    </w:p>
    <w:p>
      <w:pPr>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reimbursement and coverage policies and practices could change due to various factors such as drug price control measures that have been or may be enacted or introduced in the United States by various federal and state authorities.</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 is subject to significant competition from products or product candidates that may be superior to, or more established or cost effective than, our products or product candidates.</w:t>
      </w: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on which we rely to commercialize some of our marketed products may be unable to continue to successfully commercialize or co-commercialize our products, both in and outside the United States.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Development Risks</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products is costly, time-consuming, and highly uncertain.</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6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are intended to be used in combination with drug-delivery devices, which may result in additional regulatory, commercialization, and other risks.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Market Exclusivity Risks</w:t>
      </w:r>
    </w:p>
    <w:p>
      <w:pPr>
        <w:spacing w:after="0" w:line="162" w:lineRule="exact"/>
        <w:rPr>
          <w:sz w:val="20"/>
          <w:szCs w:val="20"/>
          <w:color w:val="auto"/>
        </w:rPr>
      </w:pPr>
    </w:p>
    <w:p>
      <w:pPr>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the confidentiality of our trade secrets, and our patents or other means of defending our intellectual property may be insufficient to protect our proprietary rights.</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limitation of patent rights, and regulatory pathways for biosimilar competition, have in the past reduced and could reduce in the future the duration of market exclusivity for our products.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Risks</w:t>
      </w:r>
    </w:p>
    <w:p>
      <w:pPr>
        <w:spacing w:after="0" w:line="148" w:lineRule="exact"/>
        <w:rPr>
          <w:sz w:val="20"/>
          <w:szCs w:val="20"/>
          <w:color w:val="auto"/>
        </w:rPr>
      </w:pPr>
    </w:p>
    <w:p>
      <w:pPr>
        <w:jc w:val="both"/>
        <w:ind w:left="660" w:hanging="328"/>
        <w:spacing w:after="0" w:line="25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products approved for marketing and could jeopardize our clinical development programs.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48" w:lineRule="exact"/>
        <w:rPr>
          <w:sz w:val="20"/>
          <w:szCs w:val="20"/>
          <w:color w:val="auto"/>
        </w:rPr>
      </w:pPr>
    </w:p>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or use of our products harms people, or is perceived to harm them even when such harm is unrelated to our products, we could be subject to costly and damaging product liability claims.</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have been, and may in the future be, challenged under U.S. federal or state and foreign healthcare laws, which may subject us to civil or criminal proceedings, investigations, or penalties.</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including those governing the use of hazardous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affecting the healthcare industry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and risks associated with our operations outside the United States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personal data we collect, process, and share.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62" w:lineRule="exact"/>
        <w:rPr>
          <w:sz w:val="20"/>
          <w:szCs w:val="20"/>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with Sanofi or Bayer or other third parties are terminated or breached, our ability to develop, manufacture, and commercialize certain of our products and product candidates in the time expected, or at all, may be materially harmed.</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and service providers may fail to perform adequately in their efforts to support the development, manufacture, and commercialization of our drug candidates and current and future products.</w:t>
      </w:r>
    </w:p>
    <w:p>
      <w:pPr>
        <w:ind w:left="66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undertaken and may in the future undertake strategic acquisitions, and any difficulties from integrating such acquisitions or failure to realize the expected benefits from such acquisitions could adversely affect our business, operating results, and financial condition.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Our Common Stock</w:t>
      </w:r>
    </w:p>
    <w:p>
      <w:pPr>
        <w:spacing w:after="0" w:line="162" w:lineRule="exact"/>
        <w:rPr>
          <w:sz w:val="20"/>
          <w:szCs w:val="20"/>
          <w:color w:val="auto"/>
        </w:rPr>
      </w:pPr>
    </w:p>
    <w:p>
      <w:pPr>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key personnel and will be harmed if we cannot recruit and retain key members of our senior management team, including leaders in our research, development, manufacturing, and commercial organizations.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outbreaks, epidemics, or pandemics (such as the COVID-19 pandemic) have adversely affected and may in the future adversely affect our business.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impact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extremely volatile.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may be able to exert substantial influence over matters requiring shareholder approval and over our management.</w:t>
      </w:r>
    </w:p>
    <w:p>
      <w:pPr>
        <w:spacing w:after="0" w:line="13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 *</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Marketed Products, Product Candidates, and New Indications for Our Marketed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EYLEA, EYLEA HD, and Dupixent.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substantially dependent on the success of EYLEA and, since its August 2023 FDA approval, EYLEA HD. EYLEA net product sales have historically represented a substantial portion of our revenues, and we expect that there will continue to be a concentration of our net sales from the net product sales of EYLEA HD and EYLEA. For the years ended December 31, 2024 and 2023, our aggregate EYLEA HD and EYLEA net product sales in the United States represented 42% and 45% of our total revenues, respectively. For the year ended December 31, 2024, EYLEA HD U.S. net product sales represented 20% of our aggregate EYLEA HD and EYLEA U.S. net product sales. If we are successful in commercializing EYLEA HD, we expect that our dependence on EYLEA HD will grow relative to our historical dependence on EYLEA. If we experience difficulty with the commercialization of EYLEA HD or EYLEA in the United States or if Bayer experiences any difficulty with the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commercialization of EYLEA HD or EYLEA outside the United States, if EYLEA net product sales experience a sustained decline in or outside the United States without an offset from EYLEA HD net product sales, or if we and Bayer are unable to maintain or obtain marketing approvals of these products (as applicable), we may experience a reduction in revenue and may not be able to stay profitable at the levels we previously achieved or at all, and our business, prospects, operating results, and financial condition may be materially harmed.</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Commercialization of EYLEA and EYLEA HD in the United States and elsewhere is subject to significant competition (as described further below under "</w:t>
      </w:r>
      <w:r>
        <w:rPr>
          <w:rFonts w:ascii="Times New Roman" w:cs="Times New Roman" w:eastAsia="Times New Roman" w:hAnsi="Times New Roman"/>
          <w:sz w:val="18"/>
          <w:szCs w:val="18"/>
          <w:i w:val="1"/>
          <w:iCs w:val="1"/>
          <w:color w:val="auto"/>
        </w:rPr>
        <w:t>The commercial success of our products and product candidates is subject to significant competition</w:t>
      </w:r>
      <w:r>
        <w:rPr>
          <w:rFonts w:ascii="Times New Roman" w:cs="Times New Roman" w:eastAsia="Times New Roman" w:hAnsi="Times New Roman"/>
          <w:sz w:val="18"/>
          <w:szCs w:val="18"/>
          <w:color w:val="auto"/>
        </w:rPr>
        <w:t>"), which we expect to continue to increase in the future. For the year ended December 31, 2024, EYLEA U.S. net product sales declined by 17% compared to the same period in 2023. Following the expiration of the U.S. regulatory exclusivity period for EYLEA (i.e., the period during which no biosimilar product can be approved by the FDA) in May 2024, several biosimilar versions of EYLEA have been approved by the FDA, and one such product has launched in the United States. EYLEA and/or EYLEA HD net product sales recorded by us are likely to be negatively impacted by biosimilar competition in the United States, which may have a material adverse impact on our results of operations. In addition, we expect that competition for EYLEA outside the United States will increase in the future when biosimilar versions of EYLEA (including those already approved but not yet launched) are brought to market in additional countries, which may negatively impact the amount of collaboration revenue we earn from Bayer. While we anticipate several important 2025 milestones relevant to further commercialization of EYLEA HD as shown in the table under Part I, Item 1. "Business - Programs in Clinical Development," there can be no assurance that any such milestones will be achieved or, if achieved, that they will enable us and Bayer to accelerate the ongoing launch and further commercialization of EYLEA HD. The degree to which EYLEA HD net product sales may offset further potential decrease in EYLEA net product sales, resulting from the factors discussed above or otherwise, is uncertain.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are substantially dependent on our share of profits from the commercialization of Dupixent under our Antibody Collaboration with Sanofi. For the years ended December 31, 2024 and 2023, Sanofi collaboration revenue (most of which is attributable to our share of profits from the commercialization of Dupixent) represented 32% and 29% of our total revenues, respectively.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may be materially harmed.</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the degree of commercial success of our marketed products will continue to depend on many factors, including the following (as applicable):</w:t>
      </w:r>
    </w:p>
    <w:p>
      <w:pPr>
        <w:spacing w:after="0" w:line="9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enacted or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and EYLEA HD, the existing and potential new branded and biosimilar competition (discussed further under "</w:t>
      </w:r>
      <w:r>
        <w:rPr>
          <w:rFonts w:ascii="Times New Roman" w:cs="Times New Roman" w:eastAsia="Times New Roman" w:hAnsi="Times New Roman"/>
          <w:sz w:val="18"/>
          <w:szCs w:val="18"/>
          <w:i w:val="1"/>
          <w:iCs w:val="1"/>
          <w:color w:val="auto"/>
        </w:rPr>
        <w:t>The commercial success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products and product candidates is subject to significant competition - </w:t>
      </w:r>
      <w:r>
        <w:rPr>
          <w:rFonts w:ascii="Times New Roman" w:cs="Times New Roman" w:eastAsia="Times New Roman" w:hAnsi="Times New Roman"/>
          <w:sz w:val="18"/>
          <w:szCs w:val="18"/>
          <w:color w:val="auto"/>
        </w:rPr>
        <w:t>Marketed Products" below) and the willingness of retinal specialists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patients to start or continue treatment with such products or to switch from a competitive product to one of our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marketed products (particularly those launched recently, such as EYLEA HD) seen in a broader patient group (i.e., real-world use);</w:t>
      </w: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healthcare laws and regulations currently being considered or implemented in the United States and globally, including measures requiring the U.S. government in the future to negotiate the prices of certain drugs and price reporting and other disclosure requirements and the potential impact of such requirements on physician prescribing practices and payor coverage;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of our products and in clinical trials for our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and new indications for our marketed products could cause our regulatory approvals to be revoked or limited or lead to delay or discontinuation of</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7" w:lineRule="exact"/>
        <w:rPr>
          <w:sz w:val="20"/>
          <w:szCs w:val="20"/>
          <w:color w:val="auto"/>
        </w:rPr>
      </w:pPr>
    </w:p>
    <w:p>
      <w:pPr>
        <w:ind w:left="660"/>
        <w:spacing w:after="0" w:line="262" w:lineRule="auto"/>
        <w:rPr>
          <w:sz w:val="20"/>
          <w:szCs w:val="20"/>
          <w:color w:val="auto"/>
        </w:rPr>
      </w:pPr>
      <w:r>
        <w:rPr>
          <w:rFonts w:ascii="Times New Roman" w:cs="Times New Roman" w:eastAsia="Times New Roman" w:hAnsi="Times New Roman"/>
          <w:sz w:val="18"/>
          <w:szCs w:val="18"/>
          <w:i w:val="1"/>
          <w:iCs w:val="1"/>
          <w:color w:val="auto"/>
        </w:rPr>
        <w:t>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proceedings relating to EYLEA (described further in Note 16 to our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proceedings and investigations and other matters described in Note 16 to our Consolidated Financial Statements included in this report (including the civil proceedings initiated or joined by the U.S. Department of Justice and the U.S. Attorney's Office for the District of Massachusetts);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for the products' currently approved indications in the United States, EU, Japan, and other countries.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products is costly,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Times New Roman" w:cs="Times New Roman" w:eastAsia="Times New Roman" w:hAnsi="Times New Roman"/>
          <w:sz w:val="18"/>
          <w:szCs w:val="18"/>
          <w:color w:val="auto"/>
        </w:rPr>
        <w:t>"), the applicable marketing approval may be withdrawn, which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 failure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coverage and reimbursement from third-party payors.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("PBMs"), and government programs such as Medicare and Medicaid. Sales of our marketed products in other countries are also dependent, in large part, on complex coverage and reimbursement mechanisms and programs in those countries.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revenues and profitability will be adversely affected in a material manner if such third-party payors do not adequately defray or reimburse the cost of our marketed products.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most of our product candidates are biologics, bringing them to market may cost more than bringing traditional, small-molecule drugs to market due to the complexity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associated with the research, development, production, supply, and regulatory review of such products. Given cost sensitivities in many healthcare systems, our currently marketed products and product candidates are likely to be subject to continued pricing pressures, which may have an adverse impact on our business, prospects, operating results, and financial condition.</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PBMs and other managed-care organizations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many countries outside the United States,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of these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In addition, in many countries outside the United States, we or our collaborators must participate in a tender process for public procurement of our products, and any failure to obtain acceptable pricing in the tender process could adversely affect our business. Our results of operations may suffer if we or our collaborators are unable to market our products in countries outside the United States or if coverage and reimbursement for our marketed products in such countries is limited or delayed. As discussed below under "</w:t>
      </w:r>
      <w:r>
        <w:rPr>
          <w:rFonts w:ascii="Times New Roman" w:cs="Times New Roman" w:eastAsia="Times New Roman" w:hAnsi="Times New Roman"/>
          <w:sz w:val="18"/>
          <w:szCs w:val="18"/>
          <w:i w:val="1"/>
          <w:iCs w:val="1"/>
          <w:color w:val="auto"/>
        </w:rPr>
        <w:t>If we are unable to establish sufficient commercial capabilities outside the United States for products we intend to commercialize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we will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manage these and other commercialization-related risks in order for us to successfully maintain and/or further develop sufficient commercial capabilities outside the United States (including those necessary for our successful commercialization and co-commercialization of Libtayo and Dupixent, respectively).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product reimbursement and coverage policies and practices may materially harm our business, prospects, operating results, and financial condition.</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Private payor healthcare and insurance providers, health maintenance organizations, and PBMs are increasingly requiring significant discounts and rebates from manufacturers as a condition to including products on formulary with favorable coverage and copayment/coinsurance. In addition, 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Some states have also enacted or are considering legislation to control the prices and reimbursement of prescription drugs, including by establishing Prescription Drug Affordability Boards (or similar entities) to review high-cost drugs, setting upper payment limits, and/or implementing marketing cost disclosure and transparency measures. Additionally,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healthcare reform measures in the future that will impose additional constraints on prices and reimbursements for our marketed products.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and recently approved or proposed federal and state legislation, regulations,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Notably, in 2022 the U.S. Congress passed the Inflation Reduction Act ("IRA"), which includes, among other items, provisions regarding the following:</w:t>
      </w:r>
    </w:p>
    <w:p>
      <w:pPr>
        <w:spacing w:after="0" w:line="100" w:lineRule="exact"/>
        <w:rPr>
          <w:sz w:val="20"/>
          <w:szCs w:val="20"/>
          <w:color w:val="auto"/>
        </w:rPr>
      </w:pPr>
    </w:p>
    <w:p>
      <w:pPr>
        <w:jc w:val="both"/>
        <w:ind w:left="660" w:hanging="328"/>
        <w:spacing w:after="0" w:line="23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of a Medicare Drug Price Negotiation Program </w:t>
      </w:r>
      <w:r>
        <w:rPr>
          <w:rFonts w:ascii="Times New Roman" w:cs="Times New Roman" w:eastAsia="Times New Roman" w:hAnsi="Times New Roman"/>
          <w:sz w:val="18"/>
          <w:szCs w:val="18"/>
          <w:color w:val="auto"/>
        </w:rPr>
        <w:t>(the "Medicare Drug Price Negotiation Program"). The Medicare Drug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Negotiation Program requires the government to set prices for select high-expenditure drugs covered under Medicare Parts B and D. Starting in 2023 and 2026, the government is authorized to select Part D and Part B drugs, respectively, for inclusion in the Medicare Drug Price Negotiation Program, with established prices to go into effect for selected Part D drugs in 2026 and for selected Part B drugs in 2028, in each case absent certain disqualifying events.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Inflation Based Rebates</w:t>
      </w:r>
      <w:r>
        <w:rPr>
          <w:rFonts w:ascii="Times New Roman" w:cs="Times New Roman" w:eastAsia="Times New Roman" w:hAnsi="Times New Roman"/>
          <w:sz w:val="18"/>
          <w:szCs w:val="18"/>
          <w:color w:val="auto"/>
        </w:rPr>
        <w:t>. The IRA includes measures requiring manufacturers to pay rebates where increases to the average sales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average manufacturer price of drugs covered under Medicare Parts B and D, respectively, exceed the rate of inflation.</w:t>
      </w:r>
    </w:p>
    <w:p>
      <w:pPr>
        <w:ind w:left="660" w:right="2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Part D Program Redesign</w:t>
      </w:r>
      <w:r>
        <w:rPr>
          <w:rFonts w:ascii="Times New Roman" w:cs="Times New Roman" w:eastAsia="Times New Roman" w:hAnsi="Times New Roman"/>
          <w:sz w:val="18"/>
          <w:szCs w:val="18"/>
          <w:color w:val="auto"/>
        </w:rPr>
        <w:t>. The IRA implements changes to the Medicare Part D benefits to limit patient out-of-pocket drug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shift program liabilities from patients to other stakeholders, including health plans, manufacturers, and the government.</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extent to which the policy changes described above will ultimately impact reimbursement levels of our marketed products, including those covered under Medicare Part B (such as EYLEA and EYLEA HD), or our product candidates that may be covered under Medicare Part B or Medicare Part D in the future, is currently unclear.</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legislation, proposals, initiatives, and developments described above) could have a material adverse effect on the sales of EYLEA, EYLEA HD, or our other marketed products. Economic pressure on state budgets may also have a similar impact.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significant competition.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substantial competition from pharmaceutical and biotechnology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EYLEA and EYLEA HD. </w:t>
      </w:r>
      <w:r>
        <w:rPr>
          <w:rFonts w:ascii="Times New Roman" w:cs="Times New Roman" w:eastAsia="Times New Roman" w:hAnsi="Times New Roman"/>
          <w:sz w:val="18"/>
          <w:szCs w:val="18"/>
          <w:color w:val="auto"/>
        </w:rPr>
        <w:t>EYLEA and EYLEA HD face significant competition in the marketplace. For example, each of EYLEA and EYLEA HD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competes in one or more of its approved indications with other VEGF inhibitors. These include Genentech/Roche's Vabysmo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(faricimab-svoa) and Susvimo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ocular implant); Novartis and Genentech/Roche's Lucentis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Novartis' 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and biosimilar versions of Lucentis commercialized in the United States by Biogen Inc. and Sandoz Group AG. In addition, biosimilar versions of EYLEA have been approved both in and outside the United States. These include Amgen's Pavblu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(aflibercept-ayyh), which recently launched in the United States. We expect that biosimilar competition for EYLEA will increase in the future when additional biosimilar versions of EYLEA are launched in the United States and other countries, the timing of which will depend on, among other factors, the outcome of the pending patent litigation proceedings described in Note 16 to our Consolidated Financial Statements and the expiration of the patents protecting EYLEA (including those set forth under Part I - Item 1. "Business - Patents, Trademarks, and Trade Secrets"). Ophthalmologists are also using off-label, third-party repackaged versions of Genentech/Roche's approved VEGF antagonist, bevacizumab, for the treatment of certain of EYLEA's and EYLEA HD's respective indications, and we are aware of another company developing an ophthalmic formulation of such product that has been approved in the EU. In DME (and, in the case of EYLEA, also RVO), EYLEA and EYLEA HD also compete with intravitreal implants of corticosteroids. We are also aware of a number of companies working on the development of product candidates and extended delivery devices for the potential treatment of one or more of EYLEA's and EYLEA HD's respective indications, including those that act by blocking VEGF and VEGF receptors (including therapies designed to extend the treatment interval) and/or other targets. In addition, we are aware of several other companies developing biosimilar versions of EYLEA, EYLEA HD, and/or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EYLEA HD was approved by the FDA in August 2023 for the treatment of wAMD, DME, and DR and entered the highly competitive environment described above. Our success in commercializing EYLEA HD will depend on a number of factors, including the degree of success and relative timing of our commercial launch and uptake efforts as compared to those of relevant competition, the extent to which we and our collaborators are able to differentiate EYLEA HD from competitive products (such as on the basis of dosing frequency, the method of administration, or the breadth of indications in which the product is approved), the safety and efficacy of EYLEA HD seen in a broader patient group (i.e., real-world use), the extent of payor coverage and reimbursement, and the applicability of any restrictions imposed by payors, such as step therapy.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Dupixent</w:t>
      </w:r>
      <w:r>
        <w:rPr>
          <w:rFonts w:ascii="Times New Roman" w:cs="Times New Roman" w:eastAsia="Times New Roman" w:hAnsi="Times New Roman"/>
          <w:sz w:val="18"/>
          <w:szCs w:val="18"/>
          <w:color w:val="auto"/>
        </w:rPr>
        <w:t>. The market for Dupixent's current and potential future indications is also increasingly competitive. In atopic dermatitis, there are systemic JAK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inhibitors and antibodies against IL-13 and IL-4Ra approved or in development for atopic dermatitis. There is also an antibody against IL-31R approved for atopic dermatitis and prurigo nodularis. In addition, a number of companies are developing antibodies against other targets, including OX40(L), that may compete with Dupixent in atopic dermatitis and other indications (including asthma and/or prurigo nodularis). In asthma, competitors to Dupixent include antibodies against the IL-5 ligand or the IL-5 receptor, immunoglobulin E, or thymic stromal lymphopoietin ("TSLP"); and some of these antibodies are either approved or in development for indications that also compete or may compete in the future with Dupixent in CRSwNP, EoE, and COPD. There are several other potentially competitive products in development that may compete with Dupixent in asthma, COPD, and potential future indications, including antibodies against the IL-33 ligand or receptor. Dupixent also faces competition from inhaled products in asthma, COPD, and potential future indications.</w:t>
      </w:r>
    </w:p>
    <w:p>
      <w:pPr>
        <w:spacing w:after="0" w:line="12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i w:val="1"/>
          <w:iCs w:val="1"/>
          <w:color w:val="auto"/>
        </w:rPr>
        <w:t xml:space="preserve">Libtayo. </w:t>
      </w:r>
      <w:r>
        <w:rPr>
          <w:rFonts w:ascii="Times New Roman" w:cs="Times New Roman" w:eastAsia="Times New Roman" w:hAnsi="Times New Roman"/>
          <w:sz w:val="18"/>
          <w:szCs w:val="18"/>
          <w:color w:val="auto"/>
        </w:rPr>
        <w:t>Libtayo also faces significant competition. There are several competitors that are marketing and/or developing antibodies against PD-1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PDL-1 (some of which were approved in the relevant indications and commercialized before Libtayo), including Merck's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Bristol-Myers Squibb's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 Roche's Tecentriq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(atezolizumab), AstraZeneca's Imfinzi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(durvalumab), and Checkpoint Therapeutics' Unloxcyt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(cosibelimab). While Libtayo is currently approved for intravenous administration only, certain of these products are also approved or in development for subcutaneous use.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marketed products. </w:t>
      </w:r>
      <w:r>
        <w:rPr>
          <w:rFonts w:ascii="Times New Roman" w:cs="Times New Roman" w:eastAsia="Times New Roman" w:hAnsi="Times New Roman"/>
          <w:sz w:val="18"/>
          <w:szCs w:val="18"/>
          <w:color w:val="auto"/>
        </w:rPr>
        <w:t>There is also significant actual and potential future competition for other products marketed or otherwise commercialized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our collaborators under our collaboration agreements with them. For example, there are several companies that are marketing and/or developing antibodies or other molecules (such as small interfering RNA molecules, or siRNAs) against PCSK9, ANGPTL3 and IL-6 and/or IL-6R, which currently (or, for product candidates in development, may in the future if approved) treat the same conditions as Praluent, Evkeeza, and Kevzara,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15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other antibody generation technologies, and late-stage and earlier-stage clinical candidates face competition from many pharmaceutical and biotechnology companies using various technologies, including antibody generation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technologies and other approaches such as RNAi, chimeric antigen receptor T cell (CAR-T cell), and gene therapy technologies. For example,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 While we evaluate market opportunities for our product candidates, there can be no assurance that our estimates will accurately reflect the market opportunity at the time of launch or that our product candidates will meet internal or external expectations and be successful commercially due to existing or potential future competition or otherwise.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some of our marketed products.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HD and EYLEA in the United States for its currently approved indications, we have no sales, marketing, commercial, or distribution capabilities for EYLEA HD 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HD and EYLEA outside the United States.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under the terms of our Antibody Collaboration, we and Sanofi co-commercialize Dupixent in the United States and, as further discussed below, certain jurisdictions outside the United States. As a result, we rely in part on Sanofi's sales and marketing organization for Dupixent. If we and Sanofi fail to coordinate our sales and marketing efforts effectively, sales of Dupixent may be materially adversely affected. Sanofi also maintains other important responsibilities relating to Dupixent. For example, Sanofi records product sales for Dupixent in the United States and leads negotiations with payors relating to this product. We also rely on Sanofi for sales, marketing, and distribution of Dupixent in many countries outside the United States. While we exercised our option under the Antibody Collaboration to co-commercialize Dupixent in certain jurisdictions outside the United States, we will continue to rely in considerable part on Sanofi's sales and marketing organization in such jurisdictions. As described in Note 16 to our Consolidated Financial Statements, we have sued Sanofi and certain of its affiliated entities (the "Antibody Collaboration Litigation") alleging that the defendants breached certain provisions of the agreement governing the Antibody Collaboration (the "Collaboration Agreement"). These provisions concern Sanofi's obligation to provide Regeneron with full access to material information relating to the commercialization of Dupixent or other products commercialized pursuant to the Collaboration Agreement and Regeneron's audit rights under the Collaboration Agreement. It is not possible to determine what impact (if any) the Antibody Collaboration Litigation may have on the Antibody Collaboration and our business relationship with Sanofi, or whether we will be successful in the Antibody Collaboration Litigation.</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While we have some commercial presence outside the United States, our commercial capabilities outside the United States are still limited and would need to be further developed or outsourced. Therefore, termination of the Bayer collaboration agreement or our Antibody Collaboration with Sanofi would create substantial new and additional risks to the successful commercialization of the applicable products, particularly outside the United States. For additional information regarding our collaborations with Bayer and Sanofi, see "Risks Related to Our Reliance on or Transactions with Third Parties - </w:t>
      </w:r>
      <w:r>
        <w:rPr>
          <w:rFonts w:ascii="Times New Roman" w:cs="Times New Roman" w:eastAsia="Times New Roman" w:hAnsi="Times New Roman"/>
          <w:sz w:val="18"/>
          <w:szCs w:val="18"/>
          <w:i w:val="1"/>
          <w:iCs w:val="1"/>
          <w:color w:val="auto"/>
        </w:rPr>
        <w:t>If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r>
        <w:rPr>
          <w:rFonts w:ascii="Times New Roman" w:cs="Times New Roman" w:eastAsia="Times New Roman" w:hAnsi="Times New Roman"/>
          <w:sz w:val="18"/>
          <w:szCs w:val="18"/>
          <w:color w:val="auto"/>
        </w:rPr>
        <w:t>" below and "Risks Related to Our Reliance on or Transactions with Third Parties -</w:t>
      </w:r>
      <w:r>
        <w:rPr>
          <w:rFonts w:ascii="Times New Roman" w:cs="Times New Roman" w:eastAsia="Times New Roman" w:hAnsi="Times New Roman"/>
          <w:sz w:val="18"/>
          <w:szCs w:val="18"/>
          <w:i w:val="1"/>
          <w:iCs w:val="1"/>
          <w:color w:val="auto"/>
        </w:rPr>
        <w:t xml:space="preserve"> 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tax rates, or national regulation of prices. Under our arrangement with Bayer, pricing and reimbursement for EYLEA HD and EYLEA outside the United States is the responsibility of Bayer. Similarly, under our Antibody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1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marketed products and product candidates are typically delivered either by intravenous infusion or by intravitreal or subcutaneous injections. These methods of administration are generally disfavored by patients when compared to tablet or capsule delivery, which could adversely affect the commercial success of such marketed products or, if they receive marketing approval, product candidates.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sell our marketed products for which we record net product sales in the United States to several distributors and specialty pharmacies, as applicable (collectively, "distributor customers"), which generally sell the product directly to healthcare providers or other pharmacies (as applicable). For the years ended December 31, 2024 and 2023, our product sales to two distributor customers accounted on a combined basis for 74% and 76% of our total gross product revenue, respectively. We expect significant distributor customer concentration to continue for the foreseeable future. Our ability to generate and grow sales of these products will depend, in part, on the extent to which our distributor customers are able to provide adequate distribution of these products to healthcare providers. Although we believe we can find additional distributors, if necessary, our revenue during any period of disruption could suffer and we might incur additional costs. In addition, these distributor customers are responsible for a significant portion of our net trade accounts receivable balances. The loss of any large distributor customer, a significant reduction in sales we make to them, any cancellation of orders they have made with us, or any failure to pay for the products we have shipped to them could adversely affect our results of operations. Commercialization of any of our marketed products may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be adversely impacted by vertical integration of private payor healthcare and insurance programs, health maintenance organizations, and PBMs, or further consolidation among the healthcare providers served or operated by our distributor customers if, for example, one or more consolidated groups of healthcare providers determines not to use (or decides to switch from) such marketed product in favor of a competing product. See also "</w:t>
      </w:r>
      <w:r>
        <w:rPr>
          <w:rFonts w:ascii="Times New Roman" w:cs="Times New Roman" w:eastAsia="Times New Roman" w:hAnsi="Times New Roman"/>
          <w:sz w:val="18"/>
          <w:szCs w:val="18"/>
          <w:i w:val="1"/>
          <w:iCs w:val="1"/>
          <w:color w:val="auto"/>
        </w:rPr>
        <w:t>The 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success of our products and product candidates is subject to significant competition - </w:t>
      </w:r>
      <w:r>
        <w:rPr>
          <w:rFonts w:ascii="Times New Roman" w:cs="Times New Roman" w:eastAsia="Times New Roman" w:hAnsi="Times New Roman"/>
          <w:sz w:val="18"/>
          <w:szCs w:val="18"/>
          <w:color w:val="auto"/>
        </w:rPr>
        <w:t>Marketed Products" above.</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sufficient commercial capabilities outside the United States for products we intend to commercialize or co-commercialize outside the United States, our business, prospects, operating results, and financial condition may be adversely affected.</w:t>
      </w:r>
    </w:p>
    <w:p>
      <w:pPr>
        <w:spacing w:after="0" w:line="7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While we have made progress with establishing commercial capabilities in certain jurisdictions outside the United States in connection with our acquisition of the exclusive right to develop, commercialize, and manufacture Libtayo worldwide pursuant to the 2022 Amended and Restated Immuno-oncology License and Collaboration Agreement with Sanofi (the "A&amp;R IO LCA") and the exercise of our option under the Antibody Collaboration to co-commercialize Dupixent in certain jurisdictions outside the United States, our commercial capabilities and experience with commercializing products outside the United States (as well as obtaining and/or maintaining regulatory approvals and securing pricing and reimbursement for our products outside the United States) are still somewhat limited. There may be other circumstances in which we need to establish further commercial capabilities outside the United States, including because we decide to commercialize a particular product independently; we are unable to find an appropriate collaborator; or an existing collaborator decides to opt out or breaches its obligations to us with respect to a particular product.</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commercialize or co-commercialize any products outside the United States beyond what we have done so far, we must build or enhance our sales, marketing, distribution, regulatory, managerial, and other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requisite commercial capabilities outside the United States within an acceptable time frame, without incurring substantial expenses, or at all. These and other difficulties relating to commercializing our products outside the United States may harm our business, prospects, operating results, and financial condition.</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or other authorization.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we intend to sell. We must obtain and maintain similar regulatory approvals from comparable foreign regulatory authorities in order to sell drugs outside the United States. Obtaining FDA or comparable foreign regulatory authority approval for a new drug or indication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in the United States, the FDA may determine that a REMS is necessary to ensure that the benefits of a new product outweigh its risks, and the product can therefore be approved. A REMS may include various 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or additional analyses of data from existing studies and submit the data before it will reconsider our application. Depending on the extent of these or any other studies or analyses that might be required, approval of any applications that we submit may be delayed significantly, or we may be required to expend more resources. It is also possible that any such additional studies or analyses, if performed and completed, may not be considered sufficient by the FDA to make our applications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approvable. If any of these outcomes occur, we may be forced to delay or abandon our applications for approval. For example, in October 2023, the FDA issued a CRL for the sBLA for Dupixent in CSU stating that additional efficacy data are required to support an approval. While we reported results from a confirmatory Phase 3 clinical trial of Dupixent in CSU (in biologic-naïve patients) in September 2024, there can be no assurance that such data will ultimately result in FDA or other regulatory approval. As another example of this type of risk, the FDA's request for additional analyses regarding sub-populations from the BOREAS and NOTUS pivotal studies delayed by three months the FDA's September 2024 approval of our sBLA for Dupixent as an add-on maintenance treatment of adults with inadequately controlled COPD and an eosinophilic phenotype.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or product labeling updates for such companion diagnostics, which could negatively impact regulatory approval of our product candidates or may result in increased development costs or delays.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countries outside the United States.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While the FDA has performance goals that provide for action on BLA submissions by certain deadlines, the FDA's review goals are subject to change and the duration of the FDA's review depends on a number of factors, including the number and types of other applications that are submitted to the FDA around the same time period or are pending. The FDA's review of our regulatory submissions has in the past been delayed, and may be delayed in the future, due to the FDA's request for additional information or for other reasons, including those beyond our control.</w:t>
      </w:r>
    </w:p>
    <w:p>
      <w:pPr>
        <w:spacing w:after="0" w:line="1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believe we meet eligibility requirements, we may apply for various regulatory incentives in the United States, such as breakthrough therapy designation, fast track designation, accelerated approval, or priority review, where available, that serve to expedite drug development and/or review, and we may also seek similar designations elsewhere in the world. Often, regulatory agencies have broad discretion in determining whether or not product candidates qualify for such regulatory incentives and benefits, and we cannot guarantee we would be successful in obtaining beneficial regulatory designations by the FDA or other regulatory agencies. Even if obtained, such designations may not result in faster development processes, reviews, or approvals compared to drugs considered for approval under conventional FDA procedures. In addition, the FDA may later decide that any of our development programs no longer meets the conditions for a beneficial regulatory designation (including due to factors beyond our control, such as intervening competitive developments) or decide that the time period for FDA review or approval will not be shortened. FDA guidance relating to accelerated approval of oncology therapeutics indicates that a confirmatory trial for a particular oncology product candidate should be underway when the related BLA is submitted to the FDA and also states that the FDA may require that a confirmatory trial for a particular oncology product candidate be well underway, if not fully enrolled, by the time of the accelerated approval action. Application of this guidance and related rules to our product candidates may result in a delay of the FDA review and approval process despite any earlier beneficial regulatory designation such product candidates may have received. For example, in March 2024, the FDA issued CRLs concerning our BLA for odronextamab for the treatment of relapsed/refractory FL and DLBCL due to the enrollment status of confirmatory Phase 3 trials.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and comparable foreign regulatory authorities enforce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 manner in which such principles are implemented may not be specifically delineated, which can be challenging as the FDA and comparable foreign regulatory authorities increasingly scrutinize compliance with these requirements and regulations. As a result,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For example, in August 2024, the FDA issued a CRL concerning the Company's BLA for linvoseltamab in relapsed/refractory multiple myeloma due to findings from a pre-approval inspection at a third-party fill/finish provider for another company's product candidate. While the linvoseltamab BLA has recently been resubmitted to the FDA, this has resulted in a delay of any potential FDA approval of this product candidate. For additional information, see "Risks Related to Manufacturing and Supply - </w:t>
      </w:r>
      <w:r>
        <w:rPr>
          <w:rFonts w:ascii="Times New Roman" w:cs="Times New Roman" w:eastAsia="Times New Roman" w:hAnsi="Times New Roman"/>
          <w:sz w:val="18"/>
          <w:szCs w:val="18"/>
          <w:i w:val="1"/>
          <w:iCs w:val="1"/>
          <w:color w:val="auto"/>
        </w:rPr>
        <w:t>Our or our collaborators' failure to meet the stringent requirements of governmental regulation in the manufacture of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prospects, operating results, and financial condition may be materially harmed as a result of noncompliance with the requirements and regulations described in this paragraph.</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or other regulatory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countries outside the United States.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countries outside the United States. From time to time, we may hold a product's marketing approval in a jurisdiction outside the United States where we may have less experience and where our regulatory capabilities may be more limited; for example, this is now the case for Libtayo in many jurisdictions outside the United States (including Europe and Japan) due to the transition under the A&amp;R IO LCA discussed above. In addition, actions by a regulatory agency in a country or region with respect to a product candidate may have an impact on the approval process for that product candidate in another country or region. Foreign regulatory authorities may ask for additional data in order to begin a clinical study, including Phase 3 clinical trials required to submit a MAA in the EU. In addition, such authorities often have the authority to require post-approval studies, such as a PASS and/or PAES, which involve various risks similar to those described above. Whether or not we obtain FDA approval for a product in the United States, we must obtain approval of the product by the comparable regulatory authorities in countries outside the United States before we can market that product or any other product in those countries.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we are subject to extensive pharmacovigilance reporting and other pharmacovigilance requirements, which may differ in the numerous countries in which we conduct clinical trials or commercialize a product. Failure to comply with any such requirements may result in the premature closure of the clinical trials and other enforcement actions by the relevant regulatory authorities. For example, if we do not manage to retain a QPPV, to maintain a PSMF, or to comply with other pharmacovigilance obligations in the EEA, we may be at risk of our clinical trials being closed prematurely, our marketing authorization being suspended, and we may be subject to other enforcement actions by the national competent authorities of the EEA or the EC.</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GLPs or GCPs. A clinical trial may also fail because the dose(s) of the investigational drug included in the trial were either too low or too high to determine the optimal effect of the investigational drug in the disease setting.</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conducting clinical trials in countries outside the United States presents additional risks, including political and economic risks that are not present in the United States, such as armed conflict and economic embargoes or boycotts. For example, we and our collaborators are currently conducting and may in the future conduct or initiate clinical trials with sites in Russia, Ukraine, and/or Israel. While we currently do not expect the Russia-Ukraine or Hamas-Israel armed conflict or related developments to have a significant impact on our ability to obtain results from clinical trials conducted by us or our collaborators, further escalation (whether in these countries or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other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such countries and 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some of our products and product candidates (such as Libtayo)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research and development activities are conducted at our existing facilities primarily located in Tarrytown, New York. As we continue to expand, we may lease, operate, purchase, or construct additional facilities to expand our research and development capabilities in the future. Expanding our research and laboratory facilities may require significant time and resources. Further, we may be unable to pursue our research and development efforts if the relevant facility were to cease operations due to fire, climate change, natural disasters, acts of war or terrorism, or other disruptions. Any related delays may interfere with our research and development efforts and our business may be adversely impacted.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had been obtained in earlier trials. In a number of instances, we have terminated the development of product candidates due to a lack of or only modest effectiveness and/or safety concerns, and clinical trials evaluating our product candidates have failed to meet the relevant endpoints. Moreover, even if we obtain positive results from preclinical testing or clinical trials, we may not achieve the same success in future trials, or the FDA and analogous foreign regulatory authorities may deem the results insufficient for an approval. If concerns arise about the safety of a product candidate or non-compliance with the protocol or applicable regulatory requirements, the FDA or other regulatory authorities can delay or suspend a clinical trial by placing it on a full or partial "clinical hold" pending receipt of additional data or the satisfaction of other conditions. A clinical hold may require us to spend significant resources to address the underlying causes of the clinical hold and may result in a delay in the clinical program, which may be significant. In addition, if we are not able to successfully address such underlying causes or our response is not deemed adequate to lift the clinical hold, the clinical program may have to be terminated. Any such clinical program delays or terminations may adversely affect our business.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or complex clinical programs (including those evaluating combination therapies),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EYLEA and EYLEA HD, there are many potential safety concerns associated with significant blockade of VEGF that may limit our ability to further successfully commercialize EYLEA and to successfully commercialize EYLEA HD.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sterile and culture positive endophthalmitis, corneal decomposition, retinal detachment, retinal tear, and retinal vasculitis), which can cause injury to the eye and other complications. The side effects previously reported for aflibercept include conjunctival hemorrhage, macular degeneration, eye pain, retinal hemorrhage, and vitreous floaters. While the safety of EYLEA HD was similar to EYLEA in clinical trials, it is possible that the use of EYLEA HD outside the clinical trial setting may yield different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outcomes or patient experiences. In addition, commercialization of EYLEA and EYLEA HD or our other products and potential future commercialization of our product candidates may be impacted by actions of third parties on which we rely, such as manufacturers of syringes or other devices used in the administration of our products. These and other complications or issues or side effects could harm further development and/or commercialization of EYLEA and EYLEA HD.</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Dupixent and Libtayo are being studied in additional indications, as shown in the table under Part I, Item 1. "Business - Programs in Clinical Development." There is no guarantee that the safety data from these trials will be consistent with the known Dupixent and Libtayo safety profiles (as applicable) or that regulatory approval of Dupixent or Libtayo (as applicable) in any of these indications will be successfully obtained. The side effects previously reported for Dupixent include hypersensitivity reactions, eye problems (including conjunctivitis and keratitis), injection-site reactions, eye and eyelid inflammation, cold sores, oropharyngeal pain, eosinophilia, insomnia, toothache, gastritis, joint pain (arthralgia), parasitic (helminth) infections, and facial rash or redness; and the side effects previously reported for Libtayo include certain immune-mediated adverse reactions that may occur in any organ system or tissue, including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In addition, there are risks inherent in intravenous administration (which are used for some of our antibody-based products and product candidates), such as infusion-related reactions (including nausea, pyrexia, rash, and dyspnea). These and other complications or side effects could harm further development and/or commercialization of our antibody-based products and product candidates utilizing this method of administration.</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In addition, the 8mg pre-filled syringe for EYLEA HD is approved in the EU and is currently under regulatory review in the United States.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Our ability to protect our trade secrets may be impaired by a number of risks and uncertainties, including those discussed under "Other Regulatory and Litigation Risks - </w:t>
      </w:r>
      <w:r>
        <w:rPr>
          <w:rFonts w:ascii="Times New Roman" w:cs="Times New Roman" w:eastAsia="Times New Roman" w:hAnsi="Times New Roman"/>
          <w:sz w:val="18"/>
          <w:szCs w:val="18"/>
          <w:i w:val="1"/>
          <w:iCs w:val="1"/>
          <w:color w:val="auto"/>
        </w:rPr>
        <w:t>Increasing use of social media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artificial intelligence-based platforms could give rise to liability, breaches of data security and privacy laws, or reputational damage</w:t>
      </w:r>
      <w:r>
        <w:rPr>
          <w:rFonts w:ascii="Times New Roman" w:cs="Times New Roman" w:eastAsia="Times New Roman" w:hAnsi="Times New Roman"/>
          <w:sz w:val="18"/>
          <w:szCs w:val="18"/>
          <w:color w:val="auto"/>
        </w:rPr>
        <w:t>"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Risks Related to Our Business - </w:t>
      </w:r>
      <w:r>
        <w:rPr>
          <w:rFonts w:ascii="Times New Roman" w:cs="Times New Roman" w:eastAsia="Times New Roman" w:hAnsi="Times New Roman"/>
          <w:sz w:val="18"/>
          <w:szCs w:val="18"/>
          <w:i w:val="1"/>
          <w:iCs w:val="1"/>
          <w:color w:val="auto"/>
        </w:rPr>
        <w:t>Significant disruptions of information technology systems or breaches of data security could adversely affect our business</w:t>
      </w:r>
      <w:r>
        <w:rPr>
          <w:rFonts w:ascii="Times New Roman" w:cs="Times New Roman" w:eastAsia="Times New Roman" w:hAnsi="Times New Roman"/>
          <w:sz w:val="18"/>
          <w:szCs w:val="18"/>
          <w:color w:val="auto"/>
        </w:rPr>
        <w:t xml:space="preserve">" below.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For example, certain of our U.S. patents (including those pertaining to our key products, such as EYLEA) have been and may in the future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as further described in Note 16 to our Consolidated Financial Statements included in this report. Post-grant proceedings are increasingly common in the United States and are costly to defend. In addition, patent applications filed outside the United States may be challenged by other parties, for example, by filing pre-grant third-party observations that argue against patentability or a post-grant opposition. Such opposition proceedings are increasingly common in Europe and are costly to defend. For example, certain of our European patents, including those pertaining to EYLEA (as further described in Note 16 to our Consolidated Financial Statements included in this report) and Dupixent, are subject to opposition proceedings before the EPO and/or patent offices of various European countries. We have pending patent applications in the United States Patent and Trademark Office (the "USPTO"), the EPO, and the patent offices of other foreign jurisdictions, and it is likely that we will need to defend patents from challenges by others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We cannot be certain that our intellectual property rights related to any current or future product or product candidate or technology would not be eliminated, narrowed, or weakened by any such change or other rulemaking.</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United States and other government actions related to Russia's invasion of Ukraine may limit or prevent filing, prosecution, and maintenance of patent applications in Russia. These actions could result in abandonment or lapse of our patents or patent applications, resulting in partial or complete loss of patent rights in Russia. Further, a decree was adopted by the Russian government in March 2022, allowing Russian companies and individuals to exploit inventions owned by patent holders from the United States without consent or compensation. Consequently, we are not able to prevent third parties from practicing our inventions in Russia or from selling or importing products made using our inventions in and into Russia.</w:t>
      </w:r>
    </w:p>
    <w:p>
      <w:pPr>
        <w:spacing w:after="0" w:line="1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are currently party to patent infringement and other proceedings relating to EYLEA, as described in Note 16 to our Consolidated Financial Statements.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product candidates infringe any valid claim in these patents or patent applications, these other parties could initiate lawsuits for patent infringement and assert that their patents are valid and cover our products or our late-stage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under the Orphan Drug Act in the United States, if a product candidate with an orphan drug designation subsequently receives FDA approval for indication(s) within the scope of such designation, the product will be entitled to orphan drug exclusivity for such indication(s), barring the FDA from approving for seven years in such approved indication(s) another sponsor's application for a product candidate considered under the FDA regulations to be the same drug as the previously-approved drug with orphan drug exclusivity. This orphan drug exclusivity does not block approval of competing products intended for the orphan exclusivity-protected indication but containing a different active moiety or principal molecular structure, or containing the same active moiety or principal molecular structure but intended for a different indication. Similarly, in the EU, a designated orphan drug is provided up to 10 years of market exclusivity in the orphan indication, during which time the EMA is generally precluded from accepting a MAA for a similar medicinal product. In both the United States and the EU, if a sponsor can demonstrate that a new product is safer, more effective, or otherwise clinically superior to the original orphan product, orphan exclusivity will not bar approval of the new product.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regulatory pathways for biosimilar competition, have in the past reduced and could reduce in the future the duration of market exclusivity for our products.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number of jurisdictions outside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Biosimilar versions of EYLEA have been recently approved in the United States, EU, and other jurisdictions, with additional biosimilar versions of EYLEA and/or EYLEA HD in development, as discussed further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commercial success of our products and product candidates is subject to significant competition - </w:t>
      </w:r>
      <w:r>
        <w:rPr>
          <w:rFonts w:ascii="Times New Roman" w:cs="Times New Roman" w:eastAsia="Times New Roman" w:hAnsi="Times New Roman"/>
          <w:sz w:val="18"/>
          <w:szCs w:val="18"/>
          <w:color w:val="auto"/>
        </w:rPr>
        <w:t>Marketed Products" above. As an EYLEA biosimilar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launched in the United States following the expiration of the U.S. regulatory exclusivity period for EYLEA (i.e., the period during which no biosimilar product could be approved by the FDA) in May 2024, EYLEA no longer has U.S. market exclusivity. In addition, as EYLEA HD does not benefit from regulatory exclusivity in the United States, market exclusivity for EYLEA HD in the United States is based solely on our patent rights pertaining to this product (which are subject to the risks and uncertainties discussed above under "</w:t>
      </w:r>
      <w:r>
        <w:rPr>
          <w:rFonts w:ascii="Times New Roman" w:cs="Times New Roman" w:eastAsia="Times New Roman" w:hAnsi="Times New Roman"/>
          <w:sz w:val="18"/>
          <w:szCs w:val="18"/>
          <w:i w:val="1"/>
          <w:iCs w:val="1"/>
          <w:color w:val="auto"/>
        </w:rPr>
        <w:t>If we cannot protect the confidentiality of our trade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Any future loss of market exclusivity for a product would likely negatively affect revenues from product sales of that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thus our financial results and condition and could have a material negative impact on our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or if there is greater demand than currently expected for our marketed products. In addition to expanding our internal capacity, we intend to continue to rely on our collaborators, and may also rely on contract manufacturers, to produce commercial quantities of drug material needed for commercialization of our products. As we increase our production in anticipation of potential regulatory approval for our product candidates, our current manufacturing capacity will likely not be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sufficient, and our dependence on our collaborators and/or contract manufacturers may increase, to produce adequate quantities of drug material for both commercial and clinical purposes. The COVID-19 pandemic has exacerbated, and this or other public health outbreaks, epidemics, or pandemics may in the future further exacerbate, certain of these risks. For example, the impact of having to prioritize certain manufacturing-related resources for our COVID-19 monoclonal antibodies in recent years included and may in the future include, among other things, drawing down inventory safety stock levels for certain of our other products (including Dupixent and EYLEA). Depending on the demand for our products and other relevant factors, we may not be able to replenish our inventory safety stock to the levels we deem prudent or supply our products and product candidates in sufficient quantities to satisfy our commercial and development needs. We also currently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1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have constructed a fill/finish facility in Rensselaer, New York that is currently undergoing process validation as required by regulatory authorities (refer to Part II, Item 7. "Management's Discussion and Analysis of Financial Condition and Results of Operations – Liquidity and Capital Resources" for information about capital expenditures relating to this and other projects). In addition, we may need to develop or acquire additional manufacturing capabilities to the extent we or our collaborators pursue the development of drugs generated by means other than our existing "Trap" or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technologies, such as siRNA gene silencing, genome editing, and targeted viral-based gene delivery and expression.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in a cost-effective manner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 marketed products, and it could also delay or require us to discontinue one or more of our clinical development programs. As a result, our business, prospects, operating results, and financial condition could be materially harmed.</w:t>
      </w:r>
    </w:p>
    <w:p>
      <w:pPr>
        <w:spacing w:after="0" w:line="13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A judicial or regulatory decision in favor of one or more parties making such allegations could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directly or indirectly preclude the manufacture of our products to which those intellectual property rights apply on a temporary or permanent basis, which could materially harm our business, prospects, operating results, and financial condition.</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 For example, during each of the years ended December 31, 2022 and 2021, we recorded a charge to write down inventory related to REGEN-COV.</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supply chain interruptions or constraints (including with respect to natural gas and other raw materials), contaminations, fire, climate change, natural disasters, acts of war or terrorism, or other problems.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have led in the past and could lead in the future to product defects or manufacturing failures, resulting in lot failures, product recalls, product liability claims, and/or insufficient inventory. Also, the complexity of our manufacturing process may make it difficult, time-consuming, and expensive to transfer our technology to our collaborators or contract manufacturers.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armed conflict between Russia and Ukraine or public health outbreaks, epidemics, or pandemics or other geopolitical developments). Regional or single-source dependencies may in some cases accentuate these risks. For example, the pharmaceutical industry generally, and in some instances our Company or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or if the previously proposed federal legislation known as the BIOSECURE Act or a similar law were to be enacted.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or advance our or our collaborators' preclinical research or clinical development programs, which could materially and adversely affect our business and future prospects.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Recently, the FDA issued CRLs to multiple companies (including us, as further discussed below) citing unresolved inspection findings at third-party manufacturers, which prevented the timely approval of such companies' marketing applications. Our inability, or the inability of our collaborators and third-party fill/finish or other service providers, to demonstrate ongoing cGMP compliance could require us to engage in lengthy and expensive remediation efforts, identify and onboard new service providers,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w:t>
      </w:r>
    </w:p>
    <w:p>
      <w:pPr>
        <w:spacing w:after="0" w:line="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any marketed products, which could be seriously detrimental to our business, prospects, operating results, and financial condition. For example, in August 2024, the FDA issued a CRL concerning the Company's BLA for linvoseltamab in relapsed/refractory multiple myeloma due to findings from a pre-approval inspection at a third-party fill/finish provider for another company's product candidate. While the linvoseltamab BLA has recently been resubmitted to the FDA, this has resulted in a delay of any potential FDA approval of this product candidate. Refer to Part I, Item 1. "Business - Programs in Clinical Development - Additional Information - Clinical Development Programs" for more information. Significant noncompliance with the requirements discussed in this paragraph could also result in the imposition of monetary penalties or other civil or criminal sanctions and damage our reputation.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have previously been subject to, and may in the future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have been, and may in the future be, challenged under U.S. federal or state and foreign healthcare laws, which may subject us to civil or criminal proceedings, investigations, or penalties.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certain communications regarding unapproved uses, industry-sponsored scientific and educational</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activities, and sales representatives' communications. Failure to comply with applicable FDA requirements and restrictions in this area may subject a company to adverse enforcement action by the FDA, the Department of Justice, or the Office of the Inspector General of the U.S. Department of Health and Human Services ("HHS"), as well as state authorities. This could subject a company to a range of penalties that could have a significant commercial impact, including civil and criminal fines and agreements that materially restrict the manner in which a company promotes or distributes a drug. Any such failures could also cause significant reputational harm.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The Bipartisan Budget Act of 2018 has increased the criminal and civil penalties that can be imposed for violating certain federal healthcare laws, including the federal anti-kickback statute.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payor.</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Sanctions under these federal and state laws may include civil monetary penalties, administrative fines and penalties, damages, exclusion of a manufacturer's products from reimbursement under government programs, criminal fines, and 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16 to our Consolidated Financial Statements included in this report, we are party to civil proceedings initiated or joined by the U.S. Department of Justice and the U.S. Attorney's Office for the District of Massachusetts concerning certain business activities. Any adverse decision, finding, allegation, or exercise of enforcement or regulatory discretion in any such proceedings or investigations could harm our business, prospects, operating results, and financial condition.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licensed physicians 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Applicable manufacturers also are required to report information regarding payments and transfers of value provided to physician assistants, nurse practitioners, clinical nurse specialists, certified nurse anesthetists, anesthesiologist assistants, and certified nurse-midwives. We also have similar reporting obligations in other countries based on laws, regulations, and/or industry trade association requirements.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dedicate significant resources to comply with these requirements. In addition, a number of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participate in the Medicaid Drug Rebate program, the Public Health Service's 340B program (which is administered by HRSA), the VA FSS pricing program, the Tricare Retail Pharmacy Program, and other federal and state government pricing programs. Such programs often require us to provide discounts and/or pay rebates to certain government payors and/or private purchasers. See Part I, Item 1, "Business - Government Regulation - Pricing and Reimbursement" for additional information on these programs.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Such interpretation can change and evolve over time. For example,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Civil monetary penalties can be applied if we fail to pay the required rebate,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knowingly and intentionally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operating results. In September 2024, CMS modified the regulations governing the Medicaid Drug Rebate Program, which could further increase our costs and the complexity of compliance, impact rebate liabilities, and be time-consuming to implement. Other regulations and coverage expansion by various governmental agencies relating to the Medicaid Drug Rebate program may have a similar impact.</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final regulation issued by HRSA regarding the calculation of the 340B ceiling price and the imposition of civil monetary penalties on manufacturers that knowingly and intentionally overcharge covered entities has affected our obligations and potential liability under the 340B program. We are also required to report the 340B ceiling prices for our covered outpatient drugs to HRSA, which then publishes them to 340B covered entities. Any charge by HRSA that we have violated the requirements of the program or the regulation could negatively impact our operating results. Moreover, HRSA established an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future changes to the definition of average manufacturer price and the Medicaid rebate amount under the PPACA or otherwise could affect our 340B ceiling price calculations and negatively impact our results of operations.</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68"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requirements under the VA FSS and/or Tricare programs can subject a manufacturer to civil monetary penalties. These program and contract-based obligations also contain extensive disclosure and certification requirements. If we overcharge the government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would be expensive and time-consuming, and could have a material adverse effect on our business, financial condition, results of operations, and future prospects.</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particular, our business activities outside the United States (which have recently expanded and continue to expand due to, in part, our efforts to establish further commercialization and co-commercialization capabilities in certain jurisdictions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are subject to regulation under the FCPA. In recent years, the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(including the imposition of monetary penalties), which could exceed our resources or insurance coverage. In addition, if we fail to obtain or maintain required permits and registrations, we may be subject to administrative fines and penalties or other regulatory actions, which could adversely affect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policies affecting the healthcare industry could adversely affect our business.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U.S. federal, state, and foreign laws and agency regulations and policies could have a materially negative impact on our business.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in April 2023, the European Commission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published a proposal to replace the current pharmaceutical legislative framework in the EU. While it is uncertain whether such proposal will be adopted in its current form, there may ultimately be a number of changes to the current regulatory framework in the EU, including a reduction of the data protection and market exclusivity periods provided thereby.</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U.S. federal or state governments could carry out other significant changes in legislation, regulation, or government policy, including with respect to government reimbursement changes or drug price control measures (such as those discussed above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Changes to product reimbursement and coverage policies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practices may materially harm our business, prospects, operating results, and financial condition</w:t>
      </w:r>
      <w:r>
        <w:rPr>
          <w:rFonts w:ascii="Times New Roman" w:cs="Times New Roman" w:eastAsia="Times New Roman" w:hAnsi="Times New Roman"/>
          <w:sz w:val="18"/>
          <w:szCs w:val="18"/>
          <w:color w:val="auto"/>
        </w:rPr>
        <w:t>") or the PPACA or other healthcare reform laws. While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the United States could adversely affect our business.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operations and conduct business in many countries outside the United States and have been significantly expanding the scope of these activities in existing and/or additional countries, including EU countries and Japan. For example, as discussed above, we now have commercial presence in certain jurisdictions outside the United States in connection with our acquisition of the exclusive right to develop, commercialize, and manufacture Libtayo worldwide pursuant to the A&amp;R IO LCA; and we perform co-commercialization activities under the Antibody Collaboration related to Dupixent in certain jurisdictions outside the United States. Consequently, we are, and will continue to be, subject to risks related to operating in countries outside the United States, particularly those in which we have not previously established operations, and many of these risks will increase as we expand our activities in such jurisdictions. These risks include:</w:t>
      </w:r>
    </w:p>
    <w:p>
      <w:pPr>
        <w:spacing w:after="0" w:line="108" w:lineRule="exact"/>
        <w:rPr>
          <w:sz w:val="20"/>
          <w:szCs w:val="20"/>
          <w:color w:val="auto"/>
        </w:rPr>
      </w:pPr>
    </w:p>
    <w:p>
      <w:pPr>
        <w:jc w:val="both"/>
        <w:ind w:left="660" w:hanging="328"/>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 and the cost of compliance with such foreign laws and regulatory requirements;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and industry trade association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collaborators could adversely affect our reputation and our business, prospects, operating results, and financial condition</w:t>
      </w:r>
      <w:r>
        <w:rPr>
          <w:rFonts w:ascii="Times New Roman" w:cs="Times New Roman" w:eastAsia="Times New Roman" w:hAnsi="Times New Roman"/>
          <w:sz w:val="18"/>
          <w:szCs w:val="18"/>
          <w:color w:val="auto"/>
        </w:rPr>
        <w:t>"), as well as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laws and regulations;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 including as a result of the Russia-Ukraine or Hamas-Israel armed conflict;</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(including tariffs that have been or may in the future be imposed by the United States or other countries), trade protection measures,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large-scale manufacturing operations in Limerick, Ireland and have also established offices in the United Kingdom, Germany, Japan, and other countries outside the United States. Changes impacting our ability to conduct business in the those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income tax in the United States and foreign jurisdictions in which we operate. Significant judgment is required in determining our worldwide tax liabilities, and our effective tax rate is derived from the applicable statutory tax rates and relative earnings in each taxing jurisdiction. We record liabilities for uncertain tax positions that involve significant management judgment as to the application of law.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Consequently, tax assessments or judgments in excess of accrued amounts that we have estimated in preparing our financial statements may materially and adversely affect our reported effective tax rate or our cash flows. Further, other factors may adversely affect our effective tax rate, including changes in the mix of our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profitability from country to country, tax effects of stock-based compensation (which depend in part on the price of our stock and, therefore, are beyond our control), and changes in tax laws or regulations. For example, the OECD Pillar Two framework has influenced tax laws in countries in which we operate, including the implementation of minimum taxes. Changes to these or other laws and regulations or their interpretations could materially adversely impact our effective tax rate or cash flows.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personal data we collect, process, and share.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conduct our business is significantly dependent on the data that we collect, process, and share in discovering, developing, and commercializing drug products. These data are often considered personal data and are therefore regulated by privacy and data protection laws in and outside the United States, including health privacy laws, data breach notification laws, consumer protection laws, data localization laws, biometric privacy laws, and genetic privacy laws. Such laws may apply to our operations and/or those of our collaborators and business partners and may impose restrictions on our collection, use, and dissemination of individuals' health and other personal data, including data that we may receive throughout the clinical trial process, in the course of our research collaborations, from individuals who enroll in our patient assistance programs, from healthcare professionals that interact with us, or from our own employees. Laws and regulations in this area are constantly evolving and are often not interpreted consistently by regulatory authorities, institutional review boards/ethics committees, or clinical trial sites.</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there are numerous federal and state laws and regulations governing data privacy of personal data and the collection, use, disclosure, and protection of health data, genetic data, consumer data, and children's data. At the federal level, most U.S. healthcare providers, including research institutions from which we or our collaborators obtain clinical trial data, are subject to privacy and security regulations promulgated under HIPAA. While Regeneron is not directly subject to HIPAA, other than potentially with respect to providing certain employee benefits, we could be subject to criminal penalties if we, our affiliates, or our agents knowingly receive protected health information in a manner that is not permitted under HIPAA. The FTC also sets expectations for taking appropriate steps to safeguard consumers' personal information and for providing a level of privacy or security commensurate to promises made to individuals. Failure to meet these FTC standards may constitute unfair or deceptive acts or practices in violation of Section 5 of the FTC Act. The FTC also has the power to enforce the Health Breach Notification Rule, which imposes notification obligations on companies for breaches of certain health information contained in personal health records. Enforcement by the FTC under the FTC Act and Health Breach Notification Rule can result in civil penalties or enforcement actions. In addition, at the state level, many state consumer privacy laws recently went into effect and many other consumer privacy laws are expected to go into effect in the near future. These laws include certain transparency and other requirements to protect personal data and grant residents with certain rights regarding their personal data. These laws and regulations are constantly evolving and may impose limitations on our business activities.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Outside the United States, we have operations and conduct business in several countries and have been significantly expanding the scope of these activities in those and/or additional countries, as discussed above under "</w:t>
      </w:r>
      <w:r>
        <w:rPr>
          <w:rFonts w:ascii="Times New Roman" w:cs="Times New Roman" w:eastAsia="Times New Roman" w:hAnsi="Times New Roman"/>
          <w:sz w:val="18"/>
          <w:szCs w:val="18"/>
          <w:i w:val="1"/>
          <w:iCs w:val="1"/>
          <w:color w:val="auto"/>
        </w:rPr>
        <w:t>Risks associated with our operations outside the United States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We also conduct clinical trials in these and many other countries around the world. These activities subject us to additional data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oversight and require us to comply with stringent local and regional data privacy laws. Such laws include the GDPR, which has a wide range of compliance obligations relating to the processing and protection of personal data. Violations of the GDPR carry significant financial penalties for noncompliance. The GDPR also confers a private right of action on data subjects and consumer associations to file complaints with data protection authorities, seek judicial remedies, and obtain compensation for damages resulting from violations of the GDPR. Many other jurisdictions outside the United States have adopted and continue to adopt varying privacy and data protection legislation, the continued emergence of which has increased the costs and complexity of compliance.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any of our collaborators fail to comply with applicable federal, state, local, or foreign regulatory requirements, we could be subject to a range of regulatory actions that could result in fines or other penalties or otherwise affect our or any such collaborators' ability to commercialize our products. Any threatened or actual government enforcement action could also generate adverse publicity and could result in additional regulatory oversight.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use of social media and artificial intelligence-based platforms could give rise to liability, breaches of data security and privacy laws, or reputational damage.</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data of our employees, clinical trial participants, customers, and others. Furthermore, negative posts or comments about us or our products in social media could seriously damage our reputation, brand image, and goodwill. Additionally, artificial intelligence ("AI")-based solutions, including generative AI, are increasingly being used in the biopharmaceutical industry (including by us). The use of AI solutions by our employees or third parties on which we rely may continue to increase and may lead to the impermissible use or public disclosure of confidential information (including personal data and proprietary information) in contravention of our internal policies, data protection laws, other applicable laws, or contractual requirements. In the United States and in many jurisdictions outside the United States, new regulations have recently passed or have been proposed to ensure the ethical use, privacy, and security of AI solutions and the data processed thereby. The misuse of AI solutions may give rise to liability, lead to the loss of trade secrets or other intellectual property, result in reputational harm, or lead to outcomes with unintended biases or other consequences. The misuse of AI solutions could also result in unauthorized access and use of personal data of our employees, clinical trial participants, collaborators, or other third parties. Any of these events could have a material adverse effect on our business, prospects, operating results, and financial condition and could adversely affect the price of our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support from Sanofi to develop, manufacture, and commercialize certain of our products and product candidates. With respect to the products and product candidates that we are co-developing with Sanofi under our Antibody Collaboration (currently consisting of Dupixent, Kevzara, and itepekimab), Sanofi initially funds a significant portion of development expenses incurred in connection with the development of these products and product candidates. In addition, we rely on Sanofi to lead much of the clinical development efforts, assist with or lead efforts to obtain and maintain regulatory approvals, and lead the commercialization efforts for these products and product candidates.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fails to comply with its obligations thereunder, our business, prospects, operating results, and financial condition may be materially harmed. We would be required to either expend substantially more resources than we have anticipated to support our development efforts or cut back on such activities. If Sanofi does not perform its obligations with respect to the products and product candidates it is co-developing and/or co-commercializing with us, our ability to develop, manufacture, and commercialize these products and product candidates may be adversely affected. As described in Note 16 to our Consolidated Financial Statements, we have commenced the Antibody Collaboration Ligation against Sanofi and certain of its affiliated entities. It is not possible to determine what impact (if any) the Antibody Collaboration Litigation may have on the Antibody Collaboration and our business relationship with Sanofi, or whether we will be successful in the Antibody Collaboration Litigation. While we have some commercial presence outside the United States, our commercial capabilities outside the United States are still limited and would need to be further developed or outsourced for products commercialized under our Antibody Collaboration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 sufficient commercial capabilities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outside the 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Antibody Collaboration may create substantial new and additional risks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successful development and commercialization of the products and product candidates subject to such collaborations, particularly outside the United States.</w:t>
      </w:r>
    </w:p>
    <w:p>
      <w:pPr>
        <w:spacing w:after="0" w:line="1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heavily on Bayer with respect to the commercialization of EYLEA HD and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HD and EYLEA outside the United States using its sales force and, in Japan, in cooperation with Santen pursuant to a Co-Promotion and Distribution Agreement with Bayer's Japanese affiliate. If Bayer and, in Japan, Santen do not perform their obligations in a</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timely manner, or at all, our ability to commercialize EYLEA HD and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HD and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sufficient commercial capabilities outside the 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Bayer collaboration agreement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 substantial new and additional risks to the successful commercialization of EYLEA HD and EYLEA.</w:t>
      </w:r>
    </w:p>
    <w:p>
      <w:pPr>
        <w:spacing w:after="0" w:line="1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or other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such as due to the armed conflict between Russia and Ukraine) or in compliance with applicable GMPs, GLPs, or GCP standards, we could experience additional costs, delays, and difficulties in the manufacture or development of, or in obtaining approval by regulatory authorities for, or successfully commercializing our product candidates. See also "Risks Related to Manufacturing and Supply - </w:t>
      </w:r>
      <w:r>
        <w:rPr>
          <w:rFonts w:ascii="Times New Roman" w:cs="Times New Roman" w:eastAsia="Times New Roman" w:hAnsi="Times New Roman"/>
          <w:sz w:val="18"/>
          <w:szCs w:val="18"/>
          <w:i w:val="1"/>
          <w:iCs w:val="1"/>
          <w:color w:val="auto"/>
        </w:rPr>
        <w:t>Our or our collaborators' failure to meet the stringent requirements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and may in the future undertake strategic acquisitions, and any difficulties from integrating such acquisitions could adversely affect our business, operating results, and financial condition.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acquire companies, businesses, products, or product candidates that complement or augment our existing business. For example, in May 2022 and September 2023, we completed our acquisition of Checkmate Pharmaceuticals, Inc. and Decibel Therapeutics, Inc., respectively; and in April 2024, we acquired full development and commercialization rights to 2seventy bio, Inc.'s oncology and autoimmune preclinical and clinical stage cell therapy pipeline. The process of proposing, negotiating, completing, and integrating any such acquisition is lengthy and complex. Other companies may compete with us for such acquisitions. In addition, we may not be able to integrate any acquired business successfully or operate any acquired business profitably. Integrating any newly acquired business could be expensive and time consuming. Integration efforts often take a significant amount of time, place a significant strain on managerial, operational, and financial resources, result in a loss of key personnel of the acquired business, and could prove to be more difficult or expensive than we predict. The diversion of our management’s attention and any delay or difficulties encountered in connection with any acquisitions we may consummate could result in the disruption of our ongoing business or inconsistencies in standards, controls, systems, practices, policies, and procedures of our Company and the acquired business that could negatively affect our ability to maintain third-party relationships. Moreover, we may need to raise additional funds through public or private debt or equity financing to acquire any businesses, products, or product candidates, which may result in dilution for shareholders or the incurrence of indebtedness.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efforts to acquire companies, businesses, products, or product candidates or to enter into other significant transactions, we will conduct business, legal, research and development, regulatory, and financial due diligence with the goal of identifying and evaluating material risks involved in the transaction. Despite our efforts, we ultimately may be unsuccessful in ascertaining or evaluating all such risks and, as a result, might not realize the intended advantages of the transaction. If we fail to realize the expected benefits from acquisitions we have consummated or may consummate in the future, whether as a result of unidentified risks or liabilities, integration difficulties, product development or regulatory setbacks (including those relating to</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issues that may have arisen before we completed the transaction in question), litigation with current or former employees and other events, our business, operating results, and financial condition could be adversely affected. For any acquired product candidates, we will also need to make certain assumptions about, among other things, development costs, the likelihood of receiving regulatory approval, and the market for any such product candidates. Our assumptions may prove to be incorrect, which could cause us to fail to realize the anticipated benefits of these transactions.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experience significant charges to earnings in connection with our efforts to consummate acquisitions. For transactions that are ultimately not consummated, these charges may include fees and expenses for investment bankers, attorneys, accountants, and other advisors in connection with our efforts. Even if our efforts to consummate a particular transaction are successful, we may incur substantial charges for closure costs associated with elimination of duplicate operations and facilities, acquired in-process research and development charges, or intangible asset impairment charges. In either case, the incurrence of these charges could adversely affect our operating results for particular periods.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and other key members of our senior management team. If we are not able to retain (or for any other reason lose the services of) any of these persons, our business may suffer. In particular, we depend on the services of Leonard S. Schleifer, M.D., Ph.D., our Board co-Chair, President and Chief Executive Officer, and George D. Yancopoulos, M.D., Ph.D., our Board co-Chair,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manufacturing, and commercialization of drugs. We may not be able to continue to attract and retain the qualified personnel necessary to continue to advance our business and achieve our strategic objectives.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internal and external malicious intrusion, and computer viruses and ransomware,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and incidents. For example, in the past we have experienced, and expect to continue to experience, various types of cybersecurity incidents, including unauthorized access to our IT systems, data security breaches, malware incursions, denial-of-service attacks, phishing campaigns, and other similar disruptions. Similar incidents have been experienced and may in the future be experienced by certain third parties on which we rely. Although we believe, based on an assessment of the relevant facts available to us, that none of these incidents has had a material adverse impact on our operations, there can be no assurance that a future incident would not result in material harm to our business, prospects, operating results, and financial condition. There is also the potential that our systems may be directly or indirectly affected as nation-states conduct global cyberwarfare, including in connection with the current Russia-Ukraine or Hamas-Israel armed conflict.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nature of some of these attacks, there is a risk that an attack may remain undetected for a period of time. While we continue to make investments to improve the protection of data and information technology, and to oversee and monitor the security measures of our suppliers and/or service providers, there can be no assurance that our efforts will prevent service interruptions or security breaches. In addition, we depend in part on third-party security measures over which we do not have full control to protect against data security breaches.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or our suppliers and/or service providers fail to maintain or protect our information technology systems and data security effectively and in compliance with U.S. and foreign laws, or fail to anticipate, plan for, or manage significant disruptions to these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systems, we or our suppliers and/or service providers could have difficulty preventing, detecting, or controlling such disruptions or security breaches, which could result in legal proceedings, liability under U.S. and foreign laws that protect the privacy of personal information, disruptions to our operations, government investigations, breach of contract claims, and damage to our reputation (in each case in the U.S. or globally), which could have a material adverse effect on our business, prospects, operating results, and financial condition.</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outbreaks, epidemics, or pandemics (such as the COVID-19 pandemic) have adversely affected and may in the future adversely affect our business.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previously adversely affected, and actual or threatened public health outbreaks, epidemics, or pandemics may in the future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disruptions in our operations could materially adversely impact our business, prospects, operating results, and financial condition. To the extent a public health outbreak, epidemic, or pandemic adversely affects our business, prospects, operating results, or financial condition, it may also have the effect of heightening many of the other risks described in this "Risk Factors" section.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impact our business.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certain indebtedness and contingent liabilities, including milestone and royalty payment obligations. As of December 31, 2024, we had an aggregate of $2.704 billion of outstanding indebtedness under our senior unsecured notes and the lease financing facility. We may also incur additional debt in the future. Any such indebtedness could:</w:t>
      </w:r>
    </w:p>
    <w:p>
      <w:pPr>
        <w:spacing w:after="0" w:line="10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2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6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Chinese yuan, and Australian dollar. If the U.S. dollar weakens against a specific foreign currency, assuming all other variables remained constant, our revenues will increase, having a positive impact on net income, but our overall expenses will increase, having a negative impact. Conversely, if the U.S. dollar strengthens against a specific foreign currency, assuming all other variables remained constant, our revenues will decrease, having a negative impact on net income, but our overall expenses will decrease, having a positive impact. Therefore, significant changes in foreign exchange rates can impact our operating results and the financial condition of our Company. For example, as previously reported, the amount of our share of profits we earned in connection with commercialization of antibodies outside the United States was adversely impacted in 2022 by the U.S. dollar strengthening against foreign currencies, including the Japanese yen and the euro.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we had $2.488 billion in cash and cash equivalents and $15.424 billion in marketable securities (including $1.095 billion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94" w:lineRule="exact"/>
        <w:rPr>
          <w:sz w:val="20"/>
          <w:szCs w:val="20"/>
          <w:color w:val="auto"/>
        </w:rPr>
      </w:pPr>
    </w:p>
    <w:p>
      <w:pPr>
        <w:jc w:val="both"/>
        <w:ind w:left="660" w:hanging="328"/>
        <w:spacing w:after="0" w:line="25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HD, EYLEA, Dupixent, and Libtayo, our ability and our collaborators' ability to maintain sales of our marketed products in the face of competitive products and to differentiate our marketed products from competitive products, and our overall operating results;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HD, EYLEA, Dupixent, and Libtayo;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other major market launch of a biosimilar version of one of our key marketed products (such as EYLEA or EYLEA HD);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 and developments relating to patent litigation and other proceedings and government investigations relating to our Company and operations;</w:t>
      </w: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PBMs) affecting the coverage, reimbursement, or use of any of our marketed products or competitors' products;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as a result of changes in trade, economic, and other policies of the United States or other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outbreaks, epidemics, or pandemics (such as the COVID-19 pandemic) on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 and our ability to continue to declare cash dividends on our Common Stock and Class A Stock;</w:t>
      </w:r>
    </w:p>
    <w:p>
      <w:pPr>
        <w:ind w:left="660" w:right="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our 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Securities class action litigation is often initiated against companies following periods of volatility in their stock price. For example, a putative class action civil complaint was recently filed against the Company and certain current and former executive officers of the Company asserting violations of federal securities laws, as further described in Note 16 to our Consolidated Financial Statements.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December 31, 2024, our five largest shareholders plus Dr. Schleifer, our Chief Executive Officer, beneficially owned approximately 39.0% of our outstanding shares of Common Stock, assuming, in the case of our Chief Executive Officer, the conversion of his Class A Stock into Common Stock and the exercise of all options held by him which are exercisable within 60 days of December 31, 2024.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repurchase shares of our Common Stock or continue to declare cash dividends.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2024, our board of directors authorized a share repurchase program to repurchase up to $3.0 billion of our Common Stock (of which $1.917 billion remained available as of December 31, 2024); and, in February 2025, authorized an additional $3.0 billion for share repurchases. In February 2025, our board of directors also initiated a quarterly cash dividend program and declared a first quarter 2025 cash dividend on our Common Stock and Class A Stock. Any future share repurchases, share repurchase program authorizations, or dividend declarations will depend upon, among other factors, our cash balances and potential future capital requirements, our results of operations and financial condition, the price of our Common Stock on the NASDAQ Global Select Market, and other factors that we may deem relevant. Our share repurchases and dividend payments may change from time to time, and we can provide no assurance that we will repurchase shares of our Common Stock at favorable prices, in particular amounts, or at all, or that we will maintain or increase our quarterly cash dividend payments or declare future cash dividends. A reduction in our share repurchases or reduction in, or elimination of, our quarterly cash dividend payments could have an adverse effect on our stock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substantial influence over matters requiring shareholder approval and over our management.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December 31, 2024, holders of Class A Stock held 14.4%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2024:</w:t>
      </w:r>
    </w:p>
    <w:p>
      <w:pPr>
        <w:spacing w:after="0" w:line="106" w:lineRule="exact"/>
        <w:rPr>
          <w:sz w:val="20"/>
          <w:szCs w:val="20"/>
          <w:color w:val="auto"/>
        </w:rPr>
      </w:pPr>
    </w:p>
    <w:p>
      <w:pPr>
        <w:jc w:val="both"/>
        <w:ind w:left="660" w:hanging="328"/>
        <w:spacing w:after="0" w:line="25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5.4% of our outstanding shares of Common Stock, assuming conversion of their Class A Stock into Common Stock and the exercise of all options and release of all restricted stock units held by such persons which are exercisable or releasable within 60 days of December 31, 2024, and 17.2% of the combined voting power of our outstanding shares of Common Stock and Class A Stock, assuming the exercise of all options and release of all restricted stock units held by such persons which are exercisable or releasable within 60 days of December 31, 2024; and</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39.0% of our outstanding shares of Common Stock, assuming, in the case of our Chief Executive Officer, the conversion of his Class A Stock into Common Stock and the exercise of all options held by him which are exercisable within 60 days of December 31, 2024. In addition, these five shareholders plus our Chief Executive Officer held approximately 46.2% of the combined voting power of our outstanding shares of Common Stock and Class A Stock, assuming the exercise of all options held by our Chief Executive Officer which are exercisable within 60 days of December 31, 2024.</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2" w:lineRule="exact"/>
        <w:rPr>
          <w:sz w:val="20"/>
          <w:szCs w:val="20"/>
          <w:color w:val="auto"/>
        </w:rPr>
      </w:pPr>
    </w:p>
    <w:p>
      <w:pPr>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shareholder meetings to replace all of our directors;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right="2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influence over matters requiring shareholder approval and over our management.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certain of our current or former collaborators are currently bound by "standstill" provisions under their respective agreements with us. These include the January 2014 amended and restated investor agreement between us and Sanofi, as amended, which contractually prohibits Sanofi from seeking to directly or indirectly exert control of our Company or acquiring more than 30% of our Class A Stock and Common Stock, taken together.</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regularly assess risks from cybersecurity threats; monitor our information systems for potential vulnerabilities; and test those systems pursuant to our cybersecurity policies, processes, and practices, which are integrated into our overall risk management program. To protect our information systems from cybersecurity threats, we use various security tools that are designed to help identify, escalate, investigate, resolve, and recover from security incidents in a timely manner. Our Technology Risk Management Committee, which is comprised of representatives from our business operations and support functions (e.g., legal, finance, internal audit, commercial, privacy), assesses cybersecurity risks based on probability and potential impact to key business systems and processes. Cybersecurity risks that are considered high are incorporated into our overall risk management program. A mitigation plan is developed for each identified high risk, with progress on risk mitigation reported to the Technology Risk Management Committee and tracked as part of our overall risk management program, which is overseen by the Audit Committee of our board of directors.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collaborate with third parties to assess the effectiveness of our cybersecurity prevention and response systems and processes. These include cybersecurity assessors, consultants, and other external cybersecurity experts to assist in the identification, verification, and validation of cybersecurity risks, as well as to support associated mitigation plans when necessary. We have also</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developed a process to conduct due diligence on third parties with which we work to oversee and identify material risks from cybersecurity threats associated with our use of those third parties' services, including those that perform cybersecurity services.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the Company is not aware of risks from cybersecurity threats, including those resulting from any previous cybersecurity incidents, that have materially affected or are reasonably likely to materially affect our Company, including our business strategy, results of operations, or financial condition. Refer to the risk factor captioned "</w:t>
      </w:r>
      <w:r>
        <w:rPr>
          <w:rFonts w:ascii="Times New Roman" w:cs="Times New Roman" w:eastAsia="Times New Roman" w:hAnsi="Times New Roman"/>
          <w:sz w:val="18"/>
          <w:szCs w:val="18"/>
          <w:i w:val="1"/>
          <w:iCs w:val="1"/>
          <w:color w:val="auto"/>
        </w:rPr>
        <w:t>Significant disruptions of information technology systems or breaches of data security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in Part I, Item 1A. "Risk Factors" for additional information regarding cybersecurity risks and potential related impacts on our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oversees our risk management process, including as it pertains to cybersecurity risks, directly and through its committees. The Audit Committee of the board oversees our risk management program, which focuses on the most significant risks we face in the short-, intermediate-, and long-term timeframe. Audit Committee meetings include discussions of specific risk areas throughout the year, including, among others, those relating to cybersecurity threats, and reports from the Chief Audit Executive on our enterprise risk profile on an annual basis. The Audit Committee reviews our cybersecurity risk profile with management on a periodic basis using key performance and/or risk indicators. These key performance indicators are metrics and measurements designed to assess the effectiveness of our cybersecurity program in the prevention, detection, mitigation, and remediation of cybersecurity incidents.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take a risk-based approach to cybersecurity and have implemented cybersecurity policies throughout our operations that are designed to address cybersecurity threats and incidents. The Company's Chief Information Security Officer ("CISO"), in coordination with the Chief Information Officer and the Technology Risk Management Committee, is responsible for the establishment and maintenance of our cybersecurity program, as well as the assessment and management of cybersecurity risks. The current CISO has over 35 years of experience in technology and information security, including operating in the role of the CISO for several large companies in the pharmaceutical and healthcare industries, and possesses the requisite education, skills, experience, and industry certifications expected of an individual assigned to these duties. The CISO provides periodic updates on our cybersecurity risk profile to management's Technology Risk Management Committee and the Audit Committee of our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 our research, development, manufacturing, and administrative activities at our owned and leased facilities. A summary of our significant owned and leased properties is provided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5860" w:type="dxa"/>
            <w:vAlign w:val="bottom"/>
            <w:gridSpan w:val="2"/>
            <w:vMerge w:val="restart"/>
          </w:tcPr>
          <w:p>
            <w:pPr>
              <w:ind w:left="2740"/>
              <w:spacing w:after="0"/>
              <w:rPr>
                <w:sz w:val="20"/>
                <w:szCs w:val="20"/>
                <w:color w:val="auto"/>
              </w:rPr>
            </w:pPr>
            <w:r>
              <w:rPr>
                <w:rFonts w:ascii="Times New Roman" w:cs="Times New Roman" w:eastAsia="Times New Roman" w:hAnsi="Times New Roman"/>
                <w:sz w:val="18"/>
                <w:szCs w:val="18"/>
                <w:b w:val="1"/>
                <w:bCs w:val="1"/>
                <w:color w:val="auto"/>
              </w:rPr>
              <w:t>Use</w:t>
            </w:r>
          </w:p>
        </w:tc>
        <w:tc>
          <w:tcPr>
            <w:tcW w:w="1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Leased/Owned</w:t>
            </w:r>
          </w:p>
        </w:tc>
        <w:tc>
          <w:tcPr>
            <w:tcW w:w="0" w:type="dxa"/>
            <w:vAlign w:val="bottom"/>
          </w:tcPr>
          <w:p>
            <w:pPr>
              <w:spacing w:after="0"/>
              <w:rPr>
                <w:sz w:val="1"/>
                <w:szCs w:val="1"/>
                <w:color w:val="auto"/>
              </w:rPr>
            </w:pPr>
          </w:p>
        </w:tc>
      </w:tr>
      <w:tr>
        <w:trPr>
          <w:trHeight w:val="238"/>
        </w:trPr>
        <w:tc>
          <w:tcPr>
            <w:tcW w:w="2380" w:type="dxa"/>
            <w:vAlign w:val="bottom"/>
            <w:gridSpan w:val="2"/>
            <w:vMerge w:val="continue"/>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Square Feet</w:t>
            </w:r>
          </w:p>
        </w:tc>
        <w:tc>
          <w:tcPr>
            <w:tcW w:w="586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Tarrytown, New York</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Borders>
              <w:top w:val="single" w:sz="8" w:color="CCEEFF"/>
            </w:tcBorders>
            <w:shd w:val="clear" w:color="auto" w:fill="CCEEFF"/>
          </w:tcPr>
          <w:p>
            <w:pPr>
              <w:spacing w:after="0"/>
              <w:rPr>
                <w:sz w:val="19"/>
                <w:szCs w:val="19"/>
                <w:color w:val="auto"/>
              </w:rPr>
            </w:pPr>
          </w:p>
        </w:tc>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headquarters, laboratory, and office space</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Leased</w:t>
            </w:r>
            <w:r>
              <w:rPr>
                <w:rFonts w:ascii="Times New Roman" w:cs="Times New Roman" w:eastAsia="Times New Roman" w:hAnsi="Times New Roman"/>
                <w:sz w:val="23"/>
                <w:szCs w:val="23"/>
                <w:color w:val="auto"/>
                <w:vertAlign w:val="superscript"/>
              </w:rPr>
              <w:t>(a)</w:t>
            </w:r>
          </w:p>
        </w:tc>
        <w:tc>
          <w:tcPr>
            <w:tcW w:w="0" w:type="dxa"/>
            <w:vAlign w:val="bottom"/>
          </w:tcPr>
          <w:p>
            <w:pPr>
              <w:spacing w:after="0"/>
              <w:rPr>
                <w:sz w:val="1"/>
                <w:szCs w:val="1"/>
                <w:color w:val="auto"/>
              </w:rPr>
            </w:pPr>
          </w:p>
        </w:tc>
      </w:tr>
      <w:tr>
        <w:trPr>
          <w:trHeight w:val="230"/>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Rensselaer, New York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100" w:type="dxa"/>
            <w:vAlign w:val="bottom"/>
          </w:tcPr>
          <w:p>
            <w:pPr>
              <w:spacing w:after="0"/>
              <w:rPr>
                <w:sz w:val="19"/>
                <w:szCs w:val="19"/>
                <w:color w:val="auto"/>
              </w:rPr>
            </w:pPr>
          </w:p>
        </w:tc>
        <w:tc>
          <w:tcPr>
            <w:tcW w:w="5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Manufacturing, warehouse, laboratory, fill/finish</w:t>
            </w: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8"/>
                <w:szCs w:val="18"/>
                <w:color w:val="auto"/>
              </w:rPr>
              <w:t>, and office space</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Limerick, Ireland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warehouse, laboratory, and office space</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220" w:right="340" w:firstLine="8"/>
        <w:spacing w:after="0" w:line="213" w:lineRule="auto"/>
        <w:tabs>
          <w:tab w:leader="none" w:pos="394"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Refer to Part II, Item 7. "Management's Discussion and Analysis of Financial Condition and Results of Operations - Liquidity and Capital Resources - </w:t>
      </w:r>
      <w:r>
        <w:rPr>
          <w:rFonts w:ascii="Times New Roman" w:cs="Times New Roman" w:eastAsia="Times New Roman" w:hAnsi="Times New Roman"/>
          <w:sz w:val="16"/>
          <w:szCs w:val="16"/>
          <w:i w:val="1"/>
          <w:iCs w:val="1"/>
          <w:color w:val="auto"/>
        </w:rPr>
        <w:t>Tarrytown,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New York Corporate Headquarters Lease</w:t>
      </w:r>
      <w:r>
        <w:rPr>
          <w:rFonts w:ascii="Times New Roman" w:cs="Times New Roman" w:eastAsia="Times New Roman" w:hAnsi="Times New Roman"/>
          <w:sz w:val="16"/>
          <w:szCs w:val="16"/>
          <w:color w:val="auto"/>
        </w:rPr>
        <w:t>" for further details.</w:t>
      </w:r>
    </w:p>
    <w:p>
      <w:pPr>
        <w:ind w:left="400" w:hanging="172"/>
        <w:spacing w:after="0" w:line="192" w:lineRule="auto"/>
        <w:tabs>
          <w:tab w:leader="none" w:pos="40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Our fill/finish facility in Rensselaer, New York is currently undergoing process validation as required by regulatory authorities.</w:t>
      </w:r>
    </w:p>
    <w:p>
      <w:pPr>
        <w:spacing w:after="0" w:line="23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properties summarized in the table above, we own an approximate 100-acre parcel of land adjacent to our Tarrytown, New York location, which we are in the process of developing, primarily to expand our research, preclinical manufacturing, and support facilities to accommodate our growth. In September 2024, we also acquired an approximate 1,000,000 square foot facility in Saratoga Springs, New York.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16 to our Consolidated Financial Statements included in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for Registrant's Common Equity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par value $.001 per share, is quoted on The NASDAQ Global Select Market under the symbol "REGN." Our Class A Stock, par value $.001 per share, is not publicly quoted or traded.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23, 2025, there were 149 shareholders of record of our Common Stock and 14 shareholders of record of our Class A Stock.</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2025, no dividends on our Common Stock or Class A Stock had been declared or paid. In February 2025, our board of directors approved the initiation of a quarterly cash dividend program and declared a cash dividend of $0.88 per share on our Common Stock and Class A Stock. The cash dividend will be payable on March 20, 2025 to shareholders of record as of February 20, 2025.</w:t>
      </w:r>
    </w:p>
    <w:p>
      <w:pPr>
        <w:spacing w:after="0" w:line="1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a line graph comparing the cumulative total shareholder return on Regeneron's Common Stock with the cumulative total return of (i) the NASDAQ US Benchmark Pharmaceuticals Total Return Index ("NQ US Pharma TR Index"), and (ii) Standard &amp; Poor's 500 Stock Index ("S&amp;P 500") for the period from December 31, 2019 through December 31, 2024. The comparison assumes that $100 was invested on December 31, 2019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85090</wp:posOffset>
            </wp:positionV>
            <wp:extent cx="5846445" cy="34290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644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12/31/2019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12/31/2020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12/31/2024</w:t>
            </w:r>
          </w:p>
        </w:tc>
        <w:tc>
          <w:tcPr>
            <w:tcW w:w="140" w:type="dxa"/>
            <w:vAlign w:val="bottom"/>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189.71</w:t>
            </w:r>
          </w:p>
        </w:tc>
        <w:tc>
          <w:tcPr>
            <w:tcW w:w="1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182.05</w:t>
            </w:r>
          </w:p>
        </w:tc>
        <w:tc>
          <w:tcPr>
            <w:tcW w:w="14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NQ US Pharma TR Index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140" w:type="dxa"/>
            <w:vAlign w:val="bottom"/>
          </w:tcPr>
          <w:p>
            <w:pPr>
              <w:spacing w:after="0"/>
              <w:rPr>
                <w:sz w:val="19"/>
                <w:szCs w:val="19"/>
                <w:color w:val="auto"/>
              </w:rPr>
            </w:pPr>
          </w:p>
        </w:tc>
      </w:tr>
      <w:tr>
        <w:trPr>
          <w:trHeight w:val="769"/>
        </w:trPr>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8"/>
        </w:trPr>
        <w:tc>
          <w:tcPr>
            <w:tcW w:w="1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of 1934, as amended, or incorporated by reference into any filing of ours under the Securities Act of 1933, as amended, or the Securities Exchange Act, except as shall be expressly set forth by specific reference in such filing.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reflects shares of Common Stock we repurchased under our share repurchase programs, as well as Common Stock withheld by us for employees to satisfy their tax withholding obligations arising upon the vesting of restricted stock granted under one of our long-term incentive plans, during the three months ended December 31, 2024. Refer to Part II, Item 7. "Management's Discussion and Analysis of Financial Condition and Results of Operations - Liquidity and Capital Resources" for further details of our share repurchase programs.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340" w:type="dxa"/>
            <w:vAlign w:val="bottom"/>
          </w:tcPr>
          <w:p>
            <w:pPr>
              <w:spacing w:after="0"/>
              <w:rPr>
                <w:sz w:val="17"/>
                <w:szCs w:val="17"/>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jc w:val="center"/>
              <w:ind w:right="72"/>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6"/>
        </w:trPr>
        <w:tc>
          <w:tcPr>
            <w:tcW w:w="23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jc w:val="center"/>
              <w:ind w:right="112"/>
              <w:spacing w:after="0" w:line="176" w:lineRule="exact"/>
              <w:rPr>
                <w:sz w:val="20"/>
                <w:szCs w:val="20"/>
                <w:color w:val="auto"/>
              </w:rPr>
            </w:pPr>
            <w:r>
              <w:rPr>
                <w:rFonts w:ascii="Times New Roman" w:cs="Times New Roman" w:eastAsia="Times New Roman" w:hAnsi="Times New Roman"/>
                <w:sz w:val="16"/>
                <w:szCs w:val="16"/>
                <w:b w:val="1"/>
                <w:bCs w:val="1"/>
                <w:color w:val="auto"/>
              </w:rPr>
              <w:t>Programs</w:t>
            </w:r>
            <w:r>
              <w:rPr>
                <w:rFonts w:ascii="Times New Roman" w:cs="Times New Roman" w:eastAsia="Times New Roman" w:hAnsi="Times New Roman"/>
                <w:sz w:val="20"/>
                <w:szCs w:val="20"/>
                <w:b w:val="1"/>
                <w:bCs w:val="1"/>
                <w:color w:val="auto"/>
                <w:vertAlign w:val="superscript"/>
              </w:rPr>
              <w:t>(b)</w:t>
            </w:r>
          </w:p>
        </w:tc>
        <w:tc>
          <w:tcPr>
            <w:tcW w:w="0" w:type="dxa"/>
            <w:vAlign w:val="bottom"/>
          </w:tcPr>
          <w:p>
            <w:pPr>
              <w:spacing w:after="0"/>
              <w:rPr>
                <w:sz w:val="1"/>
                <w:szCs w:val="1"/>
                <w:color w:val="auto"/>
              </w:rPr>
            </w:pPr>
          </w:p>
        </w:tc>
      </w:tr>
      <w:tr>
        <w:trPr>
          <w:trHeight w:val="243"/>
        </w:trPr>
        <w:tc>
          <w:tcPr>
            <w:tcW w:w="2360" w:type="dxa"/>
            <w:vAlign w:val="bottom"/>
            <w:gridSpan w:val="2"/>
            <w:vMerge w:val="continue"/>
          </w:tcPr>
          <w:p>
            <w:pPr>
              <w:spacing w:after="0"/>
              <w:rPr>
                <w:sz w:val="21"/>
                <w:szCs w:val="21"/>
                <w:color w:val="auto"/>
              </w:rPr>
            </w:pP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center"/>
              <w:ind w:right="112"/>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0" w:type="dxa"/>
            <w:vAlign w:val="bottom"/>
          </w:tcPr>
          <w:p>
            <w:pPr>
              <w:spacing w:after="0"/>
              <w:rPr>
                <w:sz w:val="1"/>
                <w:szCs w:val="1"/>
                <w:color w:val="auto"/>
              </w:rPr>
            </w:pPr>
          </w:p>
        </w:tc>
      </w:tr>
      <w:tr>
        <w:trPr>
          <w:trHeight w:val="223"/>
        </w:trPr>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10/1/2024–10/31/2024</w:t>
            </w:r>
          </w:p>
        </w:tc>
        <w:tc>
          <w:tcPr>
            <w:tcW w:w="34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316,483</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982.90</w:t>
            </w:r>
          </w:p>
        </w:tc>
        <w:tc>
          <w:tcPr>
            <w:tcW w:w="34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316,431</w:t>
            </w:r>
          </w:p>
        </w:tc>
        <w:tc>
          <w:tcPr>
            <w:tcW w:w="3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2,581.9</w:t>
            </w:r>
          </w:p>
        </w:tc>
        <w:tc>
          <w:tcPr>
            <w:tcW w:w="0" w:type="dxa"/>
            <w:vAlign w:val="bottom"/>
          </w:tcPr>
          <w:p>
            <w:pPr>
              <w:spacing w:after="0"/>
              <w:rPr>
                <w:sz w:val="1"/>
                <w:szCs w:val="1"/>
                <w:color w:val="auto"/>
              </w:rPr>
            </w:pPr>
          </w:p>
        </w:tc>
      </w:tr>
      <w:tr>
        <w:trPr>
          <w:trHeight w:val="229"/>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11/1/2024–11/30/2024</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404,299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782.08</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395,051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2,273.3</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12/1/2024–12/31/2024</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748,201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744.67</w:t>
            </w:r>
          </w:p>
        </w:tc>
        <w:tc>
          <w:tcPr>
            <w:tcW w:w="34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483,956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1,916.7</w:t>
            </w:r>
          </w:p>
        </w:tc>
        <w:tc>
          <w:tcPr>
            <w:tcW w:w="0" w:type="dxa"/>
            <w:vAlign w:val="bottom"/>
          </w:tcPr>
          <w:p>
            <w:pPr>
              <w:spacing w:after="0"/>
              <w:rPr>
                <w:sz w:val="1"/>
                <w:szCs w:val="1"/>
                <w:color w:val="auto"/>
              </w:rPr>
            </w:pPr>
          </w:p>
        </w:tc>
      </w:tr>
      <w:tr>
        <w:trPr>
          <w:trHeight w:val="228"/>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1,468,983</w:t>
            </w:r>
          </w:p>
        </w:tc>
        <w:tc>
          <w:tcPr>
            <w:tcW w:w="460" w:type="dxa"/>
            <w:vAlign w:val="bottom"/>
            <w:gridSpan w:val="2"/>
          </w:tcPr>
          <w:p>
            <w:pPr>
              <w:jc w:val="right"/>
              <w:ind w:right="230"/>
              <w:spacing w:after="0" w:line="130" w:lineRule="exact"/>
              <w:rPr>
                <w:sz w:val="20"/>
                <w:szCs w:val="20"/>
                <w:color w:val="auto"/>
              </w:rPr>
            </w:pPr>
            <w:r>
              <w:rPr>
                <w:rFonts w:ascii="Times New Roman" w:cs="Times New Roman" w:eastAsia="Times New Roman" w:hAnsi="Times New Roman"/>
                <w:sz w:val="12"/>
                <w:szCs w:val="12"/>
                <w:color w:val="auto"/>
                <w:w w:val="89"/>
              </w:rPr>
              <w:t>(a)</w:t>
            </w: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1,195,438</w:t>
            </w:r>
          </w:p>
        </w:tc>
        <w:tc>
          <w:tcPr>
            <w:tcW w:w="520" w:type="dxa"/>
            <w:vAlign w:val="bottom"/>
            <w:gridSpan w:val="2"/>
          </w:tcPr>
          <w:p>
            <w:pPr>
              <w:jc w:val="right"/>
              <w:ind w:right="290"/>
              <w:spacing w:after="0" w:line="130" w:lineRule="exact"/>
              <w:rPr>
                <w:sz w:val="20"/>
                <w:szCs w:val="20"/>
                <w:color w:val="auto"/>
              </w:rPr>
            </w:pPr>
            <w:r>
              <w:rPr>
                <w:rFonts w:ascii="Times New Roman" w:cs="Times New Roman" w:eastAsia="Times New Roman" w:hAnsi="Times New Roman"/>
                <w:sz w:val="12"/>
                <w:szCs w:val="12"/>
                <w:color w:val="auto"/>
                <w:w w:val="89"/>
              </w:rPr>
              <w:t>(a)</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40" w:right="200" w:hanging="4"/>
        <w:spacing w:after="0" w:line="202" w:lineRule="auto"/>
        <w:tabs>
          <w:tab w:leader="none" w:pos="51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difference between the total number of shares purchased and the total number of shares purchased as part of publicly announced programs relates to Common Stock withheld by us for employees to satisfy their tax withholding obligations arising upon the vesting of restricted stock granted under one of our long-term incentive plans.</w:t>
      </w:r>
    </w:p>
    <w:p>
      <w:pPr>
        <w:spacing w:after="0" w:line="48" w:lineRule="exact"/>
        <w:rPr>
          <w:rFonts w:ascii="Times New Roman" w:cs="Times New Roman" w:eastAsia="Times New Roman" w:hAnsi="Times New Roman"/>
          <w:sz w:val="23"/>
          <w:szCs w:val="23"/>
          <w:color w:val="auto"/>
          <w:vertAlign w:val="superscript"/>
        </w:rPr>
      </w:pPr>
    </w:p>
    <w:p>
      <w:pPr>
        <w:jc w:val="both"/>
        <w:ind w:left="340" w:right="280" w:hanging="4"/>
        <w:spacing w:after="0" w:line="202" w:lineRule="auto"/>
        <w:tabs>
          <w:tab w:leader="none" w:pos="517"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February 2025, our board of directors authorized a share repurchase program to repurchase up to an additional $3.0 billion of our Common Stock. See Part II, Item 7. "Management's Discussion and Analysis of Financial Condition and Results of Operations - Liquidity and Capital Resources - Share Repurchase Programs" for further details.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and Results of Operations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related notes included elsewhere in this report. Refer to Part II, Item 7 in our Annual Report on Form 10-K for the fiscal year ended December 31, 2023 (filed with the SEC on February 5, 2024) for additional discussion of our financial condition and results of operations for the year ended December 31, 2022, as well as our financial condition and results of operations for the year ended December 31, 2023 compared to the year ended December 31, 2022.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research and development efforts have led to numerous approved products that have received marketing approval and approximately 40 product candidates in clinical development (including a number of marketed products for which we are investigating additional indications), most of which were homegrown in our laboratories.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success in commercializing EYLEA HD, EYLEA, and Dupixent. We expect to continue to incur substantial expenses related to our research and development activities, and our research and development activities and related costs which are not reimbursed by collaborators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There is uncertainty surrounding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of America ("GAAP") requires management to make estimates and assumptions that affect reported amounts and related disclosures in the financial statements. Critical accounting estimates are those estimates made in accordance with GAAP that involve a significant level of estimation uncertainty and have had or are reasonably likely to have a material impact on our results of operations or financial condition.</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the current assumptions used to estimate amounts reflected in our Consolidated Financial Statements are appropriate. However, if actual experience differs from the assumptions used in estimating amounts reflected in our Consolidated Financial Statements, the resulting changes could have a material adverse effect on our results of operations, and, in certain situations, could have a material adverse effect on our liquidity and financial condition. The critical accounting estimates that impact our Consolidated Financial Statements are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revenue from product sales at a point in time when our customer is deemed to have obtained control of the product, which generally occurs upon receipt or acceptance by our customer. The amount of revenue we recognize from product sales may vary due to rebates, chargebacks, and discounts provided under governmental and other programs, distribution-related fees, and other sales-related deductions. In order to determine the transaction price, we estimate, utilizing the expected value method, the amount of variable consideration to which we will be entitled. This estimate is based upon contracts with customers, healthcare providers, payors and government agencies, statutorily-defined discounts applicable to government-funded programs, historical experience, estimated payor mix, and other relevant factors. Calculating these provisions involves estimates and judgments. We review our estimates of rebates, chargebacks, and other applicable provisions each period and record any necessary adjustments in the current period's net product sales. Refer to the "Results of Operations - Revenues - Net Product Sales" section below for further details regarding our provisions, and credits/payments, for sales-related deductions.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various collaborative arrangements to research, develop, manufacture, and commercialize products and/or product candidates. Our collaboration agreements may require us to deliver various rights, services, and/or goods across the entire life cycle of a product or product candidate. In agreements involving multiple goods or services promised to be transferred to our collaborator, we assess, at the inception of the contract, whether each promise represents a separate obligation (i.e., is "distinct"), or whether such promises should be combined as a single unit of account. When we have a combined unit of account which includes a license and providing research and development services to our collaborator, recognition of up-front payments and development milestones earned from our collaborator is deferred (as a liability) and recognized over the development period (i.e., over time) typically using an input method on the basis of our research and development costs incurred relative to the total expected cost which determines the extent of our progress toward completion. We review our estimates each period and make revisions to such estimates as necessary. Due to the variability in the scope of activities and length of time necessary to develop a drug product, potential delays in development programs, changes to development plans and budgets as programs progress, including if we and our collaborators decide to expand or contract our clinical plans for a drug candidate in various disease indications, and uncertainty in the ultimate requirements to obtain governmental approval for commercialization, revisions to our estimates are likely to occur periodically, potentially resulting in material changes to amounts recognized.</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collaborator performs research and development work or commercialization-related activities and the parties share the related costs, we also recognize, as expense (e.g., research and development expense or selling, general and administrative expense, as applicable) in the period when our collaborator incurs such expenses, the portion of the collaborator's expenses that we are obligated to reimburse. Our collaborators provide us with estimated expenses for the most recent fiscal quarter. The estimates are revised, if necessary, in subsequent periods if actual expenses differ from those estimates.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certain of the Company's collaboration agreements, product sales and cost of sales may be recorded by the Company's collaborators as they are deemed to be the principal in the transaction. In arrangements where we:</w:t>
      </w:r>
    </w:p>
    <w:p>
      <w:pPr>
        <w:spacing w:after="0" w:line="94" w:lineRule="exact"/>
        <w:rPr>
          <w:sz w:val="20"/>
          <w:szCs w:val="20"/>
          <w:color w:val="auto"/>
        </w:rPr>
      </w:pPr>
    </w:p>
    <w:p>
      <w:pPr>
        <w:jc w:val="both"/>
        <w:ind w:left="660" w:hanging="328"/>
        <w:spacing w:after="0" w:line="257"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commercial product to our collaborator, we may be reimbursed for our manufacturing costs as commercial product is shipped to the collaborator (however, recognition of such cost reimbursements may be deferred until the product is sold by our collaborator to third-party customers);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in any profits or losses arising from the commercialization of such products, we record our share of the variable consideration, representing net product sales less cost of goods sold and shared commercialization and other expenses, in the period in which such underlying sales occur and costs are incurred by the collaborator;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royalties and/or sales-based milestone payments from our collaborator, we recognize such amounts in the period earned.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collaborators provide us with estimates of product sales and our share of profits or losses, as applicable, for each quarter. The estimates are revised, if necessary, in subsequent periods if our actual share of profits or losses differ from those estimates.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stock-based compensation expense for equity grants under our long-term incentive plans to employees and non-employee members of our board of directors (as applicable) based on the grant-date fair value of those awards. The grant-date fair value of an award is generally recognized as compensation expense over the award's requisite service period. Stock-based compensation expense also includes an estimate, which is made at the time of grant, of the number of awards that are expected to be forfeited. The forfeiture rate estimate is calculated by considering both historical forfeiture</w:t>
      </w:r>
    </w:p>
    <w:p>
      <w:pPr>
        <w:spacing w:after="0" w:line="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experience and an estimate of expected future forfeitures for currently outstanding unvested awards. This estimate is reviewed at least annually and revised, if necessary, in subsequent periods if actual forfeitures differ from those estimates. The assumptions used in computing the fair value of equity awards reflect our best estimates but involve uncertainties related to market and other conditions, many of which are outside our control. Changes in any of these assumptions may materially affect the fair value of awards granted and the amount of stock-based compensation recognized in future periods.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is estimated based on actual movements in our stock price over the most recent historical periods equivalent to the options' expected lives. Expected lives are principally based on our historical exercise experience with previously issued employee and board of director option grants.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a Monte Carlo simulation to compute the estimated fair value of performance-based restricted stock units that are subject to vesting based on the Company's attainment of pre-established criteria that include a market condition.</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performance-based restricted stock units that contain a performance condition, we recognize stock-based compensation expense if and when we determine that it is probable the performance condition will be achieved (based on the number of shares expected to be vested and issued). We reassess the probability of achievement at each reporting period and adjust compensation cost, as necessary. If there are any changes in our probability assessment, we recognize a cumulative catch-up adjustment in the period of the change in estimate, with the remaining unrecognized expense recognized prospectively over the remaining requisite service period. If we subsequently determine that the performance criteria are not met or are not expected to be met, any amounts previously recognized as compensation expense are reversed in the period when such determination is made.</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13 to our Consolidated Financial Statements for stock-based compensation expense and related assumptions used in determining the fair value of our awards.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deferred tax assets and liabilities for the expected future tax consequences of events that have been included in the financial statements or tax returns, including deferred tax assets and liabilities for expected amounts of global intangible low-taxed income ("GILTI") inclusions. Deferred tax assets and liabilities are determined as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all available evidence, including scheduled reversals of deferred tax liabilities, projected future taxable income, tax planning strategies, results of recent operations, and our historical earnings experience by taxing jurisdiction. Significant judgment is required in making this assessment.</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the financial statement effects of a tax position when our assessment is that there is more than a 50% probability that the position will be sustained upon examination by a taxing authority based upon its technical merits. Uncertain tax positions are recorded based upon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 We adjust the amount of the liability to reflect any subsequent changes in the relevant facts and circumstances surrounding the uncertain tax positions.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capitalize inventory costs associated with our products prior to regulatory approval when, based on management's judgment, future commercialization is considered probable and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periodically analyze our inventory levels to identify inventory that may expire prior to expected sale or has a cost basis in excess of its estimated realizable value. In addition, our products are subject to strict quality control and monitoring which we perform throughout the manufacturing process. If certain batches or units of product no longer meet quality specifications or become obsolete due to expiration, we record a charge to write down such inventory to its estimated realizable value.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make certain judgments to determine whether a transaction should be accounted for as a business combination or as an asset acquisition.</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 business combination, the acquisition method of accounting generally requires that the assets acquired and liabilities assumed be recorded as of the date of the acquisition at their respective fair values. There can be significant judgment involved in determining the estimated fair values of such assets and liabilities. Amounts allocated to acquired in-process research and development are capitalized as indefinite-lived intangible assets. Any excess of the purchase price (consideration transferred) over the fair values of net assets acquired is recorded as goodwill. Contingent consideration obligations are recorded at fair value as of the acquisition date and remeasured each subsequent reporting period until the contingencies have been resolved. The fair value of contingent consideration liabilities is determined using inputs that may include the probability of achieving certain milestones and estimated discount rates.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it is determined that the assets acquired do not meet the definition of a business, or if substantially all of the fair value of the assets acquired are concentrated in a single identifiable asset, then the transaction is accounted for as an asset acquisition rather than a business combination. In an asset acquisition, assets acquired are recorded at cost, goodwill is not recorded, and acquired in-process research and development with no alternative future use is charged to expense.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acquired in a business combination are recorded at fair value, while intangible assets acquired in connection with an asset acquisition are recorded at cost.</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Payments to acquire intangible assets in an asset acquisition may include up-front payments and contingent consideration. With regard to contingent consideration in an asset acquisition, the Company recognizes regulatory milestones upon achievement, royalties in the period in which the underlying sales occur, and sales-based milestones when the milestone is deemed probable by the Company of being achieved. If contingent consideration is recognized subsequent to the acquisition date in an asset acquisition, the amount of such consideration is recorded as an addition to the cost basis of the intangible asset with a cumulative catch-up adjustment for amortization expense as if the additional amount of consideration had been accrued from the outset of the acquisition.</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are subject to impairment testing until completion or abandonment of the associated research and development efforts. Definite-lived intangible assets are amortized over the estimated useful lives of the assets based on the pattern in which the economic benefits of the intangible assets are consumed; if that pattern cannot be reliably determined, a straight-line basis is used.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are reviewed for recoverability whenever events or changes in circumstances (e.g., changes in economic, regulatory, or legal conditions) indicate that the carrying amount of the asset may not be recoverable. If an indicator of impairment exists, we compare the projected undiscounted cash flows to be generated by the asset to the intangible asset's carrying amount. If the projected undiscounted cash flows of the intangible asset are less than the carrying amount, the intangible asset is written down to its fair value in the period in which the impairment occurs.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based on management's judgment, for an estimated loss when the potential loss from claims or legal proceedings is considered probable and the amount can be reasonably estimated. As additional information becomes available, or, based on specific events such as the outcome of litigation or settlement of claims, we reassess the potential liability related to pending claims and litigation, and may change our estimates.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93" w:lineRule="exact"/>
        <w:rPr>
          <w:sz w:val="20"/>
          <w:szCs w:val="20"/>
          <w:color w:val="auto"/>
        </w:rPr>
      </w:pPr>
    </w:p>
    <w:tbl>
      <w:tblPr>
        <w:tblLayout w:type="fixed"/>
        <w:tblInd w:w="162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r>
      <w:tr>
        <w:trPr>
          <w:trHeight w:val="223"/>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12,172.9</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7,434.0</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4,738.9</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4,858.8</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w:t>
            </w: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05"/>
        </w:trPr>
        <w:tc>
          <w:tcPr>
            <w:tcW w:w="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4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09"/>
        </w:trPr>
        <w:tc>
          <w:tcPr>
            <w:tcW w:w="14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1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EYLEA HD - U.S.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9"/>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EYLEA - U.S.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r>
      <w:tr>
        <w:trPr>
          <w:trHeight w:val="223"/>
        </w:trPr>
        <w:tc>
          <w:tcPr>
            <w:tcW w:w="140" w:type="dxa"/>
            <w:vAlign w:val="bottom"/>
          </w:tcPr>
          <w:p>
            <w:pPr>
              <w:spacing w:after="0"/>
              <w:rPr>
                <w:sz w:val="19"/>
                <w:szCs w:val="19"/>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EYLEA HD and EYLEA - U.S.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r>
      <w:tr>
        <w:trPr>
          <w:trHeight w:val="230"/>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Libtayo - U.S.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30"/>
        </w:trPr>
        <w:tc>
          <w:tcPr>
            <w:tcW w:w="140" w:type="dxa"/>
            <w:vAlign w:val="bottom"/>
          </w:tcPr>
          <w:p>
            <w:pPr>
              <w:spacing w:after="0"/>
              <w:rPr>
                <w:sz w:val="19"/>
                <w:szCs w:val="19"/>
                <w:color w:val="auto"/>
              </w:rPr>
            </w:pPr>
          </w:p>
        </w:tc>
        <w:tc>
          <w:tcPr>
            <w:tcW w:w="378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Libtayo - ROW</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23"/>
        </w:trPr>
        <w:tc>
          <w:tcPr>
            <w:tcW w:w="140" w:type="dxa"/>
            <w:vAlign w:val="bottom"/>
          </w:tcPr>
          <w:p>
            <w:pPr>
              <w:spacing w:after="0"/>
              <w:rPr>
                <w:sz w:val="19"/>
                <w:szCs w:val="19"/>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Libtayo - Global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r>
      <w:tr>
        <w:trPr>
          <w:trHeight w:val="230"/>
        </w:trPr>
        <w:tc>
          <w:tcPr>
            <w:tcW w:w="1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Praluent - U.S.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30"/>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Evkeeza - U.S.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140" w:type="dxa"/>
            <w:vAlign w:val="bottom"/>
          </w:tcPr>
          <w:p>
            <w:pPr>
              <w:spacing w:after="0"/>
              <w:rPr>
                <w:sz w:val="19"/>
                <w:szCs w:val="19"/>
                <w:color w:val="auto"/>
              </w:rPr>
            </w:pPr>
          </w:p>
        </w:tc>
        <w:tc>
          <w:tcPr>
            <w:tcW w:w="3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Inmazeb - U.S.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3"/>
        </w:trPr>
        <w:tc>
          <w:tcPr>
            <w:tcW w:w="1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94"/>
        </w:trPr>
        <w:tc>
          <w:tcPr>
            <w:tcW w:w="1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30"/>
        </w:trPr>
        <w:tc>
          <w:tcPr>
            <w:tcW w:w="1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Sanofi</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w:t>
            </w:r>
          </w:p>
        </w:tc>
      </w:tr>
      <w:tr>
        <w:trPr>
          <w:trHeight w:val="230"/>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Bayer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9"/>
        </w:trPr>
        <w:tc>
          <w:tcPr>
            <w:tcW w:w="1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Roche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r>
      <w:tr>
        <w:trPr>
          <w:trHeight w:val="230"/>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140" w:type="dxa"/>
            <w:vAlign w:val="bottom"/>
          </w:tcPr>
          <w:p>
            <w:pPr>
              <w:spacing w:after="0"/>
              <w:rPr>
                <w:sz w:val="19"/>
                <w:szCs w:val="19"/>
                <w:color w:val="auto"/>
              </w:rPr>
            </w:pPr>
          </w:p>
        </w:tc>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48"/>
        </w:trPr>
        <w:tc>
          <w:tcPr>
            <w:tcW w:w="14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r>
      <w:tr>
        <w:trPr>
          <w:trHeight w:val="20"/>
        </w:trPr>
        <w:tc>
          <w:tcPr>
            <w:tcW w:w="14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60" w:right="160" w:firstLine="3"/>
        <w:spacing w:after="0" w:line="206" w:lineRule="auto"/>
        <w:tabs>
          <w:tab w:leader="none" w:pos="53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Effective July 1, 2022, we obtained the exclusive right to develop, commercialize, and manufacture Libtayo worldwide under an Amended and Restated Immuno-oncology License and Collaboration Agreement with Sanofi ("A&amp;R IO LCA") and, as a result, we began recording net product sales of Libtayo outside the United States as of such date.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EYLEA HD and EYLEA net product sales in the U.S. increased in 2024 compared to 2023. EYLEA HD was approved by the FDA in August 2023 and net product sales in 2024 were driven by the transition of patients from other anti-VEGF products, including EYLEA, as well as new patients naïve to anti-VEGF therapy. Net product sales of EYLEA HD and EYLEA in 2024 were adversely impacted by a lower net selling price compared to 2023.</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EYLEA HD and EYLEA net product sales for the fourth quarter of 2024 were favorably impacted by approximately $85 million as a result of higher wholesaler inventory levels for EYLEA, partially offset by lower wholesaler inventory levels for EYLEA HD, at the end of the fourth quarter of 2024 compared to the end of the third quarter of 2024.</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chargebacks, and discounts; distribution-related fees; and other sales-related deductions. The following table summarizes the provisions, and credits/payments, for sales-related deductions: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80" w:type="dxa"/>
            <w:vAlign w:val="bottom"/>
          </w:tcPr>
          <w:p>
            <w:pPr>
              <w:spacing w:after="0"/>
              <w:rPr>
                <w:sz w:val="17"/>
                <w:szCs w:val="17"/>
                <w:color w:val="auto"/>
              </w:rPr>
            </w:pPr>
          </w:p>
        </w:tc>
        <w:tc>
          <w:tcPr>
            <w:tcW w:w="130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120" w:type="dxa"/>
            <w:vAlign w:val="bottom"/>
          </w:tcPr>
          <w:p>
            <w:pPr>
              <w:spacing w:after="0"/>
              <w:rPr>
                <w:sz w:val="17"/>
                <w:szCs w:val="17"/>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Other Sales-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15"/>
                <w:szCs w:val="15"/>
                <w:color w:val="auto"/>
              </w:rPr>
            </w:pPr>
          </w:p>
        </w:tc>
        <w:tc>
          <w:tcPr>
            <w:tcW w:w="14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Chargebacks,</w:t>
            </w: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Related</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and Discounts</w:t>
            </w:r>
          </w:p>
        </w:tc>
        <w:tc>
          <w:tcPr>
            <w:tcW w:w="180" w:type="dxa"/>
            <w:vAlign w:val="bottom"/>
          </w:tcPr>
          <w:p>
            <w:pPr>
              <w:spacing w:after="0"/>
              <w:rPr>
                <w:sz w:val="21"/>
                <w:szCs w:val="21"/>
                <w:color w:val="auto"/>
              </w:rPr>
            </w:pPr>
          </w:p>
        </w:tc>
        <w:tc>
          <w:tcPr>
            <w:tcW w:w="13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Related Fees</w:t>
            </w:r>
          </w:p>
        </w:tc>
        <w:tc>
          <w:tcPr>
            <w:tcW w:w="120" w:type="dxa"/>
            <w:vAlign w:val="bottom"/>
          </w:tcPr>
          <w:p>
            <w:pPr>
              <w:spacing w:after="0"/>
              <w:rPr>
                <w:sz w:val="21"/>
                <w:szCs w:val="21"/>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(1,924.9)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(2,518.5)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(2,989.9)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1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0"/>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3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3,923.5</w:t>
            </w:r>
          </w:p>
        </w:tc>
        <w:tc>
          <w:tcPr>
            <w:tcW w:w="10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3,136.5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2,082.0</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33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Sales-based milestones earned</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940" w:type="dxa"/>
            <w:vAlign w:val="bottom"/>
            <w:gridSpan w:val="6"/>
          </w:tcPr>
          <w:p>
            <w:pPr>
              <w:ind w:left="2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633.7</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33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Antibody</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4,531.4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3,799.5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2,844.4</w:t>
            </w:r>
          </w:p>
        </w:tc>
        <w:tc>
          <w:tcPr>
            <w:tcW w:w="0" w:type="dxa"/>
            <w:vAlign w:val="bottom"/>
          </w:tcPr>
          <w:p>
            <w:pPr>
              <w:spacing w:after="0"/>
              <w:rPr>
                <w:sz w:val="1"/>
                <w:szCs w:val="1"/>
                <w:color w:val="auto"/>
              </w:rPr>
            </w:pPr>
          </w:p>
        </w:tc>
      </w:tr>
      <w:tr>
        <w:trPr>
          <w:trHeight w:val="94"/>
        </w:trPr>
        <w:tc>
          <w:tcPr>
            <w:tcW w:w="760" w:type="dxa"/>
            <w:vAlign w:val="bottom"/>
          </w:tcPr>
          <w:p>
            <w:pPr>
              <w:spacing w:after="0"/>
              <w:rPr>
                <w:sz w:val="8"/>
                <w:szCs w:val="8"/>
                <w:color w:val="auto"/>
              </w:rPr>
            </w:pPr>
          </w:p>
        </w:tc>
        <w:tc>
          <w:tcPr>
            <w:tcW w:w="3360" w:type="dxa"/>
            <w:vAlign w:val="bottom"/>
            <w:gridSpan w:val="3"/>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0" w:type="dxa"/>
            <w:vAlign w:val="bottom"/>
            <w:gridSpan w:val="2"/>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33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Immuno-oncology</w:t>
            </w:r>
            <w:r>
              <w:rPr>
                <w:rFonts w:ascii="Times New Roman" w:cs="Times New Roman" w:eastAsia="Times New Roman" w:hAnsi="Times New Roman"/>
                <w:sz w:val="23"/>
                <w:szCs w:val="23"/>
                <w:color w:val="auto"/>
                <w:vertAlign w:val="superscript"/>
              </w:rPr>
              <w:t>(b)</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8"/>
        </w:trPr>
        <w:tc>
          <w:tcPr>
            <w:tcW w:w="760" w:type="dxa"/>
            <w:vAlign w:val="bottom"/>
          </w:tcPr>
          <w:p>
            <w:pPr>
              <w:spacing w:after="0"/>
              <w:rPr>
                <w:sz w:val="21"/>
                <w:szCs w:val="21"/>
                <w:color w:val="auto"/>
              </w:rPr>
            </w:pPr>
          </w:p>
        </w:tc>
        <w:tc>
          <w:tcPr>
            <w:tcW w:w="33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2,855.7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100" w:right="920" w:firstLine="6"/>
        <w:spacing w:after="0" w:line="204" w:lineRule="auto"/>
        <w:tabs>
          <w:tab w:leader="none" w:pos="127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Corresponding costs incurred by the Company in connection with such manufacturing is recorded within Cost of collaboration and contract manufacturing.</w:t>
      </w:r>
    </w:p>
    <w:p>
      <w:pPr>
        <w:spacing w:after="0" w:line="47" w:lineRule="exact"/>
        <w:rPr>
          <w:rFonts w:ascii="Times New Roman" w:cs="Times New Roman" w:eastAsia="Times New Roman" w:hAnsi="Times New Roman"/>
          <w:sz w:val="22"/>
          <w:szCs w:val="22"/>
          <w:color w:val="auto"/>
          <w:vertAlign w:val="superscript"/>
        </w:rPr>
      </w:pPr>
    </w:p>
    <w:p>
      <w:pPr>
        <w:ind w:left="1100" w:right="980" w:firstLine="6"/>
        <w:spacing w:after="0" w:line="215" w:lineRule="auto"/>
        <w:tabs>
          <w:tab w:leader="none" w:pos="1276"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As the A&amp;R IO LCA became effective July 1, 2022, the six months ended June 30, 2022 was the last period in which Sanofi collaboration revenue was recognized in connection with the Immuno-oncology collaboration.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Antibody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net product sales of Dupixent and Kevzara are recorded by Sanofi, and we and Sanofi share profits on such sales.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the commercialization of Dupixent and Kevzara is summarized below:</w:t>
      </w:r>
    </w:p>
    <w:p>
      <w:pPr>
        <w:spacing w:after="0" w:line="275"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Dupixent and Kevzara net product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w:t>
            </w:r>
            <w:r>
              <w:rPr>
                <w:rFonts w:ascii="Times New Roman" w:cs="Times New Roman" w:eastAsia="Times New Roman" w:hAnsi="Times New Roman"/>
                <w:sz w:val="18"/>
                <w:szCs w:val="18"/>
                <w:u w:val="single" w:color="auto"/>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w:t>
            </w:r>
            <w:r>
              <w:rPr>
                <w:rFonts w:ascii="Times New Roman" w:cs="Times New Roman" w:eastAsia="Times New Roman" w:hAnsi="Times New Roman"/>
                <w:sz w:val="18"/>
                <w:szCs w:val="18"/>
                <w:u w:val="single" w:color="auto"/>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Regeneron's share of collaboration profits in connection with</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3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2,405.5</w:t>
            </w:r>
          </w:p>
        </w:tc>
        <w:tc>
          <w:tcPr>
            <w:tcW w:w="0" w:type="dxa"/>
            <w:vAlign w:val="bottom"/>
          </w:tcPr>
          <w:p>
            <w:pPr>
              <w:spacing w:after="0"/>
              <w:rPr>
                <w:sz w:val="1"/>
                <w:szCs w:val="1"/>
                <w:color w:val="auto"/>
              </w:rPr>
            </w:pPr>
          </w:p>
        </w:tc>
      </w:tr>
      <w:tr>
        <w:trPr>
          <w:trHeight w:val="175"/>
        </w:trPr>
        <w:tc>
          <w:tcPr>
            <w:tcW w:w="5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 Sanofi in</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accordance with Regeneron's payment obligation</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176"/>
        </w:trPr>
        <w:tc>
          <w:tcPr>
            <w:tcW w:w="5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One-time payment in connection with amendment to the Antibody</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and Collaboration Agreement</w:t>
            </w: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share of profits as a percentage of Dupixent and Kevzara</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product sales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520" w:right="1720" w:hanging="2"/>
        <w:spacing w:after="0" w:line="215" w:lineRule="auto"/>
        <w:tabs>
          <w:tab w:leader="none" w:pos="1679"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See "Liquidity and Capital Resources - Additional Funding Requirements" below for additional details on our contingent reimbursement obligation.</w:t>
      </w:r>
    </w:p>
    <w:p>
      <w:pPr>
        <w:spacing w:after="0" w:line="2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our share of profits during the year ended December 31, 2024, compared to 2023, was driven by higher profits associated with Dupixent sales.</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earned the final $50.0 million sales-based milestone from Sanofi upon aggregate annual sales of antibodies outside the United States exceeding $3.0 billion on a rolling twelve-month basis.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12"/>
        </w:trPr>
        <w:tc>
          <w:tcPr>
            <w:tcW w:w="10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1040" w:type="dxa"/>
            <w:vAlign w:val="bottom"/>
          </w:tcPr>
          <w:p>
            <w:pPr>
              <w:spacing w:after="0"/>
              <w:rPr>
                <w:sz w:val="19"/>
                <w:szCs w:val="19"/>
                <w:color w:val="auto"/>
              </w:rPr>
            </w:pPr>
          </w:p>
        </w:tc>
        <w:tc>
          <w:tcPr>
            <w:tcW w:w="5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1040" w:type="dxa"/>
            <w:vAlign w:val="bottom"/>
          </w:tcPr>
          <w:p>
            <w:pPr>
              <w:spacing w:after="0"/>
              <w:rPr>
                <w:sz w:val="19"/>
                <w:szCs w:val="19"/>
                <w:color w:val="auto"/>
              </w:rPr>
            </w:pPr>
          </w:p>
        </w:tc>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w:t>
            </w:r>
          </w:p>
        </w:tc>
      </w:tr>
      <w:tr>
        <w:trPr>
          <w:trHeight w:val="230"/>
        </w:trPr>
        <w:tc>
          <w:tcPr>
            <w:tcW w:w="1040" w:type="dxa"/>
            <w:vAlign w:val="bottom"/>
          </w:tcPr>
          <w:p>
            <w:pPr>
              <w:spacing w:after="0"/>
              <w:rPr>
                <w:sz w:val="19"/>
                <w:szCs w:val="19"/>
                <w:color w:val="auto"/>
              </w:rPr>
            </w:pPr>
          </w:p>
        </w:tc>
        <w:tc>
          <w:tcPr>
            <w:tcW w:w="53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ex-U.S. commercial supplies</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30"/>
        </w:trPr>
        <w:tc>
          <w:tcPr>
            <w:tcW w:w="1040" w:type="dxa"/>
            <w:vAlign w:val="bottom"/>
          </w:tcPr>
          <w:p>
            <w:pPr>
              <w:spacing w:after="0"/>
              <w:rPr>
                <w:sz w:val="19"/>
                <w:szCs w:val="19"/>
                <w:color w:val="auto"/>
              </w:rPr>
            </w:pPr>
          </w:p>
        </w:tc>
        <w:tc>
          <w:tcPr>
            <w:tcW w:w="5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One-time payment in connection with change in Japan arrangement</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3"/>
        </w:trPr>
        <w:tc>
          <w:tcPr>
            <w:tcW w:w="1040" w:type="dxa"/>
            <w:vAlign w:val="bottom"/>
          </w:tcPr>
          <w:p>
            <w:pPr>
              <w:spacing w:after="0"/>
              <w:rPr>
                <w:sz w:val="19"/>
                <w:szCs w:val="19"/>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1,430.7</w:t>
            </w:r>
          </w:p>
        </w:tc>
      </w:tr>
      <w:tr>
        <w:trPr>
          <w:trHeight w:val="20"/>
        </w:trPr>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380" w:right="1220" w:hanging="4"/>
        <w:spacing w:after="0" w:line="199" w:lineRule="auto"/>
        <w:tabs>
          <w:tab w:leader="none" w:pos="155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Corresponding costs incurred by the Company in connection with such manufacturing is recorded within Cost of collaboration and contract manufacturing.</w:t>
      </w:r>
    </w:p>
    <w:p>
      <w:pPr>
        <w:spacing w:after="0" w:line="46" w:lineRule="exact"/>
        <w:rPr>
          <w:rFonts w:ascii="Times New Roman" w:cs="Times New Roman" w:eastAsia="Times New Roman" w:hAnsi="Times New Roman"/>
          <w:sz w:val="23"/>
          <w:szCs w:val="23"/>
          <w:color w:val="auto"/>
          <w:vertAlign w:val="superscript"/>
        </w:rPr>
      </w:pPr>
    </w:p>
    <w:p>
      <w:pPr>
        <w:ind w:left="1380" w:right="1060" w:hanging="4"/>
        <w:spacing w:after="0" w:line="199" w:lineRule="auto"/>
        <w:tabs>
          <w:tab w:leader="none" w:pos="1556"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January 1, 2022, the Company and Bayer commenced sharing equally in profits based on sales from Bayer to its distributor in Japan. Previously, the Company received from Bayer a tiered percentage of sales based on sales by Bayer's distributor in Japan.</w:t>
      </w:r>
    </w:p>
    <w:p>
      <w:pPr>
        <w:spacing w:after="0" w:line="2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Bayer records net product sales of EYLEA 8 mg and EYLEA outside the United States. Regeneron's share of profits in connection with commercialization of EYLEA 8 mg and EYLEA outside the United States is summarized below:</w:t>
      </w:r>
    </w:p>
    <w:p>
      <w:pPr>
        <w:spacing w:after="0" w:line="117"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8 mg and EYLEA net product sales outside the United States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Regeneron's share of collaboration profit from sales outside the United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3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1,469.7</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0" w:type="dxa"/>
            <w:vAlign w:val="bottom"/>
          </w:tcPr>
          <w:p>
            <w:pPr>
              <w:spacing w:after="0"/>
              <w:rPr>
                <w:sz w:val="1"/>
                <w:szCs w:val="1"/>
                <w:color w:val="auto"/>
              </w:rPr>
            </w:pPr>
          </w:p>
        </w:tc>
      </w:tr>
      <w:tr>
        <w:trPr>
          <w:trHeight w:val="181"/>
        </w:trPr>
        <w:tc>
          <w:tcPr>
            <w:tcW w:w="53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Reimbursement of development expenses incurred by Bayer in</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8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accordance with Regeneron's payment obligation</w:t>
            </w:r>
            <w:r>
              <w:rPr>
                <w:rFonts w:ascii="Times New Roman" w:cs="Times New Roman" w:eastAsia="Times New Roman" w:hAnsi="Times New Roman"/>
                <w:sz w:val="23"/>
                <w:szCs w:val="23"/>
                <w:color w:val="auto"/>
                <w:vertAlign w:val="superscript"/>
              </w:rPr>
              <w:t>(a)</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Regeneron's share of profits as a percentage of EYLEA 8 mg and</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EYLEA net product sales outside the United States</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380" w:right="1840" w:hanging="4"/>
        <w:spacing w:after="0" w:line="199" w:lineRule="auto"/>
        <w:tabs>
          <w:tab w:leader="none" w:pos="155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See "Liquidity and Capital Resources - Additional Funding Requirements" below for additional details on our contingent reimbursement obligation.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Roche Collaboration Revenue</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12"/>
        </w:trPr>
        <w:tc>
          <w:tcPr>
            <w:tcW w:w="1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23"/>
        </w:trPr>
        <w:tc>
          <w:tcPr>
            <w:tcW w:w="1100" w:type="dxa"/>
            <w:vAlign w:val="bottom"/>
          </w:tcPr>
          <w:p>
            <w:pPr>
              <w:spacing w:after="0"/>
              <w:rPr>
                <w:sz w:val="19"/>
                <w:szCs w:val="19"/>
                <w:color w:val="auto"/>
              </w:rPr>
            </w:pPr>
          </w:p>
        </w:tc>
        <w:tc>
          <w:tcPr>
            <w:tcW w:w="5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1100" w:type="dxa"/>
            <w:vAlign w:val="bottom"/>
          </w:tcPr>
          <w:p>
            <w:pPr>
              <w:spacing w:after="0"/>
              <w:rPr>
                <w:sz w:val="19"/>
                <w:szCs w:val="19"/>
                <w:color w:val="auto"/>
              </w:rPr>
            </w:pPr>
          </w:p>
        </w:tc>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r>
      <w:tr>
        <w:trPr>
          <w:trHeight w:val="229"/>
        </w:trPr>
        <w:tc>
          <w:tcPr>
            <w:tcW w:w="1100" w:type="dxa"/>
            <w:vAlign w:val="bottom"/>
          </w:tcPr>
          <w:p>
            <w:pPr>
              <w:spacing w:after="0"/>
              <w:rPr>
                <w:sz w:val="19"/>
                <w:szCs w:val="19"/>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100" w:type="dxa"/>
            <w:vAlign w:val="bottom"/>
          </w:tcPr>
          <w:p>
            <w:pPr>
              <w:spacing w:after="0"/>
              <w:rPr>
                <w:sz w:val="21"/>
                <w:szCs w:val="21"/>
                <w:color w:val="auto"/>
              </w:rPr>
            </w:pPr>
          </w:p>
        </w:tc>
        <w:tc>
          <w:tcPr>
            <w:tcW w:w="5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Roche collaboration revenue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r>
      <w:tr>
        <w:trPr>
          <w:trHeight w:val="20"/>
        </w:trPr>
        <w:tc>
          <w:tcPr>
            <w:tcW w:w="110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Roche distributes and records net product sales of Ronapreve outside the United States, and the parties share gross profits from sales based on a pre-specified formula. Net product sales of Ronapreve outside the United States declined as a result of new variants of the SARS-CoV-2 virus emerging that are not susceptible to the treatment.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 in 2024 and 2023 included $328.6 million and $247.6 million, respectively, of royalties and share of profits earned in connection with license agreements.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91"/>
        </w:trPr>
        <w:tc>
          <w:tcPr>
            <w:tcW w:w="5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 except headcount data)</w:t>
            </w: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6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23"/>
        </w:trPr>
        <w:tc>
          <w:tcPr>
            <w:tcW w:w="500" w:type="dxa"/>
            <w:vAlign w:val="bottom"/>
          </w:tcPr>
          <w:p>
            <w:pPr>
              <w:spacing w:after="0"/>
              <w:rPr>
                <w:sz w:val="19"/>
                <w:szCs w:val="19"/>
                <w:color w:val="auto"/>
              </w:rPr>
            </w:pPr>
          </w:p>
        </w:tc>
        <w:tc>
          <w:tcPr>
            <w:tcW w:w="374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r>
      <w:tr>
        <w:trPr>
          <w:trHeight w:val="229"/>
        </w:trPr>
        <w:tc>
          <w:tcPr>
            <w:tcW w:w="5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9"/>
        </w:trPr>
        <w:tc>
          <w:tcPr>
            <w:tcW w:w="500" w:type="dxa"/>
            <w:vAlign w:val="bottom"/>
          </w:tcPr>
          <w:p>
            <w:pPr>
              <w:spacing w:after="0"/>
              <w:rPr>
                <w:sz w:val="19"/>
                <w:szCs w:val="19"/>
                <w:color w:val="auto"/>
              </w:rPr>
            </w:pPr>
          </w:p>
        </w:tc>
        <w:tc>
          <w:tcPr>
            <w:tcW w:w="37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r>
      <w:tr>
        <w:trPr>
          <w:trHeight w:val="230"/>
        </w:trPr>
        <w:tc>
          <w:tcPr>
            <w:tcW w:w="5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181"/>
        </w:trPr>
        <w:tc>
          <w:tcPr>
            <w:tcW w:w="500" w:type="dxa"/>
            <w:vAlign w:val="bottom"/>
          </w:tcPr>
          <w:p>
            <w:pPr>
              <w:spacing w:after="0"/>
              <w:rPr>
                <w:sz w:val="15"/>
                <w:szCs w:val="15"/>
                <w:color w:val="auto"/>
              </w:rPr>
            </w:pPr>
          </w:p>
        </w:tc>
        <w:tc>
          <w:tcPr>
            <w:tcW w:w="37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Cost of collaboration and contract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38"/>
        </w:trPr>
        <w:tc>
          <w:tcPr>
            <w:tcW w:w="500" w:type="dxa"/>
            <w:vAlign w:val="bottom"/>
          </w:tcPr>
          <w:p>
            <w:pPr>
              <w:spacing w:after="0"/>
              <w:rPr>
                <w:sz w:val="20"/>
                <w:szCs w:val="20"/>
                <w:color w:val="auto"/>
              </w:rPr>
            </w:pPr>
          </w:p>
        </w:tc>
        <w:tc>
          <w:tcPr>
            <w:tcW w:w="3740" w:type="dxa"/>
            <w:vAlign w:val="bottom"/>
            <w:shd w:val="clear" w:color="auto" w:fill="CCEEFF"/>
          </w:tcPr>
          <w:p>
            <w:pPr>
              <w:ind w:left="160"/>
              <w:spacing w:after="0" w:line="237" w:lineRule="exact"/>
              <w:rPr>
                <w:sz w:val="20"/>
                <w:szCs w:val="20"/>
                <w:color w:val="auto"/>
              </w:rPr>
            </w:pPr>
            <w:r>
              <w:rPr>
                <w:rFonts w:ascii="Times New Roman" w:cs="Times New Roman" w:eastAsia="Times New Roman" w:hAnsi="Times New Roman"/>
                <w:sz w:val="18"/>
                <w:szCs w:val="18"/>
                <w:color w:val="auto"/>
              </w:rPr>
              <w:t>manufacturing</w:t>
            </w:r>
            <w:r>
              <w:rPr>
                <w:rFonts w:ascii="Times New Roman" w:cs="Times New Roman" w:eastAsia="Times New Roman" w:hAnsi="Times New Roman"/>
                <w:sz w:val="23"/>
                <w:szCs w:val="23"/>
                <w:color w:val="auto"/>
                <w:vertAlign w:val="superscript"/>
              </w:rPr>
              <w:t>(b)</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29"/>
        </w:trPr>
        <w:tc>
          <w:tcPr>
            <w:tcW w:w="500" w:type="dxa"/>
            <w:vAlign w:val="bottom"/>
          </w:tcPr>
          <w:p>
            <w:pPr>
              <w:spacing w:after="0"/>
              <w:rPr>
                <w:sz w:val="19"/>
                <w:szCs w:val="19"/>
                <w:color w:val="auto"/>
              </w:rPr>
            </w:pPr>
          </w:p>
        </w:tc>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48"/>
        </w:trPr>
        <w:tc>
          <w:tcPr>
            <w:tcW w:w="50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r>
              <w:rPr>
                <w:rFonts w:ascii="Times New Roman" w:cs="Times New Roman" w:eastAsia="Times New Roman" w:hAnsi="Times New Roman"/>
                <w:sz w:val="18"/>
                <w:szCs w:val="18"/>
                <w:u w:val="single" w:color="auto"/>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1,636.1</w:t>
            </w:r>
          </w:p>
        </w:tc>
      </w:tr>
      <w:tr>
        <w:trPr>
          <w:trHeight w:val="20"/>
        </w:trPr>
        <w:tc>
          <w:tcPr>
            <w:tcW w:w="50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30"/>
        </w:trPr>
        <w:tc>
          <w:tcPr>
            <w:tcW w:w="50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headcount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r>
    </w:tbl>
    <w:p>
      <w:pPr>
        <w:spacing w:after="0" w:line="40" w:lineRule="exact"/>
        <w:rPr>
          <w:sz w:val="20"/>
          <w:szCs w:val="20"/>
          <w:color w:val="auto"/>
        </w:rPr>
      </w:pPr>
    </w:p>
    <w:p>
      <w:pPr>
        <w:ind w:left="840" w:hanging="173"/>
        <w:spacing w:after="0"/>
        <w:tabs>
          <w:tab w:leader="none" w:pos="84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Includes costs incurred net of any cost reimbursements from collaborators</w:t>
      </w:r>
    </w:p>
    <w:p>
      <w:pPr>
        <w:spacing w:after="0" w:line="64" w:lineRule="exact"/>
        <w:rPr>
          <w:rFonts w:ascii="Times New Roman" w:cs="Times New Roman" w:eastAsia="Times New Roman" w:hAnsi="Times New Roman"/>
          <w:sz w:val="23"/>
          <w:szCs w:val="23"/>
          <w:color w:val="auto"/>
          <w:vertAlign w:val="superscript"/>
        </w:rPr>
      </w:pPr>
    </w:p>
    <w:p>
      <w:pPr>
        <w:ind w:left="840" w:hanging="173"/>
        <w:spacing w:after="0" w:line="182" w:lineRule="auto"/>
        <w:tabs>
          <w:tab w:leader="none" w:pos="84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costs incurred in connection with manufacturing drug supplies for collaborators and others</w:t>
      </w:r>
    </w:p>
    <w:p>
      <w:pPr>
        <w:spacing w:after="0" w:line="2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 2024 and 2023 included a total of $982.8 million and $885.0 million, respectively, of stock-based compensation expense related to equity awards granted under our long-term incentive plans. As of December 31, 2024, unrecognized stock-based compensation expense related to unvested stock options and unvested restricted stock (including performance-based restricted stock units) was $626.7 million and $1.271 billion, respectively. We expect to recognize this stock-based compensation expense related to stock options and restricted stock over a weighted-average period of 1.9 years.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summarizes our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drug filling, packaging, and labeling costs. Clinical manufacturing costs also include pre-launch commercial supplies which did not meet the criteria to be capitalized as inventory (see "Critical Accounting Estimates - Inventories" above).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163"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20"/>
                <w:szCs w:val="20"/>
                <w:color w:val="auto"/>
              </w:rPr>
            </w:pPr>
          </w:p>
        </w:tc>
        <w:tc>
          <w:tcPr>
            <w:tcW w:w="266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50"/>
              <w:spacing w:after="0" w:line="223" w:lineRule="exact"/>
              <w:rPr>
                <w:sz w:val="20"/>
                <w:szCs w:val="20"/>
                <w:color w:val="auto"/>
              </w:rPr>
            </w:pP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23"/>
                <w:szCs w:val="23"/>
                <w:b w:val="1"/>
                <w:bCs w:val="1"/>
                <w:color w:val="auto"/>
                <w:vertAlign w:val="superscript"/>
              </w:rPr>
              <w:t>*</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50"/>
              <w:spacing w:after="0" w:line="223" w:lineRule="exact"/>
              <w:rPr>
                <w:sz w:val="20"/>
                <w:szCs w:val="20"/>
                <w:color w:val="auto"/>
              </w:rPr>
            </w:pPr>
            <w:r>
              <w:rPr>
                <w:rFonts w:ascii="Times New Roman" w:cs="Times New Roman" w:eastAsia="Times New Roman" w:hAnsi="Times New Roman"/>
                <w:sz w:val="18"/>
                <w:szCs w:val="18"/>
                <w:b w:val="1"/>
                <w:bCs w:val="1"/>
                <w:color w:val="auto"/>
              </w:rPr>
              <w:t>2022</w:t>
            </w:r>
            <w:r>
              <w:rPr>
                <w:rFonts w:ascii="Times New Roman" w:cs="Times New Roman" w:eastAsia="Times New Roman" w:hAnsi="Times New Roman"/>
                <w:sz w:val="23"/>
                <w:szCs w:val="23"/>
                <w:b w:val="1"/>
                <w:bCs w:val="1"/>
                <w:color w:val="auto"/>
                <w:vertAlign w:val="superscript"/>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0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Fianlimab</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9"/>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Linvoseltamab</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Ordspono (odronextamab)</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9"/>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Dupixent (dupilumab)</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EYLEA HD (aflibercept) 8 mg</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Itepekimab</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Pozelimab</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 (cemiplimab)</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176"/>
        </w:trPr>
        <w:tc>
          <w:tcPr>
            <w:tcW w:w="43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product candidates in clinical development and</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3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other research programs</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r>
      <w:tr>
        <w:trPr>
          <w:trHeight w:val="75"/>
        </w:trPr>
        <w:tc>
          <w:tcPr>
            <w:tcW w:w="4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r>
      <w:tr>
        <w:trPr>
          <w:trHeight w:val="175"/>
        </w:trPr>
        <w:tc>
          <w:tcPr>
            <w:tcW w:w="43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Lab supplies and other research and development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r>
      <w:tr>
        <w:trPr>
          <w:trHeight w:val="142"/>
        </w:trPr>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94"/>
        </w:trPr>
        <w:tc>
          <w:tcPr>
            <w:tcW w:w="4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175"/>
        </w:trPr>
        <w:tc>
          <w:tcPr>
            <w:tcW w:w="43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 expenses</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collaborators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94"/>
        </w:trPr>
        <w:tc>
          <w:tcPr>
            <w:tcW w:w="43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600" w:hanging="102"/>
        <w:spacing w:after="0"/>
        <w:tabs>
          <w:tab w:leader="none" w:pos="60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200" w:lineRule="exact"/>
        <w:rPr>
          <w:rFonts w:ascii="Times New Roman" w:cs="Times New Roman" w:eastAsia="Times New Roman" w:hAnsi="Times New Roman"/>
          <w:sz w:val="23"/>
          <w:szCs w:val="23"/>
          <w:color w:val="auto"/>
          <w:vertAlign w:val="superscript"/>
        </w:rPr>
      </w:pPr>
    </w:p>
    <w:p>
      <w:pPr>
        <w:spacing w:after="0" w:line="233"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included stock-based compensation expense of $543.8 million and $488.7 million in 2024 and 2023, respectively.</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 Item 1A. "Risk Factors." There is also variability in the duration and costs necessary to develop a product candidate,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("IPR&amp;D") Expenses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IPR&amp;D expense in 2024 included a $45.0 million development milestone in connection with our collaboration agreement with Sonoma Biotherapeutics, Inc.</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Acquired IPR&amp;D expense in 2023 included a $100.0 million development milestone in connection with our collaboration agreement with Alnylam Pharmaceuticals, Inc., a $45.0 million up-front payment in connection with our collaboration agreement with Sonoma, and a $30.0 million charge to extend the period for selecting targets under our collaboration agreement with Intellia Therapeutics, Inc.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in 2024, compared to 2023, due to higher commercialization-related expenses to support our launch of EYLEA HD and higher headcount and headcount-related costs partly related to our international commercial expansion. Selling, general, and administrative expenses also included stock-based compensation expense of $355.0 million and $307.1 million in 2024 and 2023,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 increased in 2024, compared to 2023, primarily due to higher start-up costs for our Rensselaer, New York fill/finish facility.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 (Income)</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(income), net, in 2024 reflected a charge of $53.4 million related to the increase in the estimated fair value of the contingent consideration liability recognized in connection with our 2023 acquisition of Decibel Therapeutics, Inc.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51"/>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consists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05"/>
        </w:trPr>
        <w:tc>
          <w:tcPr>
            <w:tcW w:w="16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r>
      <w:tr>
        <w:trPr>
          <w:trHeight w:val="223"/>
        </w:trPr>
        <w:tc>
          <w:tcPr>
            <w:tcW w:w="1660" w:type="dxa"/>
            <w:vAlign w:val="bottom"/>
          </w:tcPr>
          <w:p>
            <w:pPr>
              <w:spacing w:after="0"/>
              <w:rPr>
                <w:sz w:val="19"/>
                <w:szCs w:val="19"/>
                <w:color w:val="auto"/>
              </w:rPr>
            </w:pPr>
          </w:p>
        </w:tc>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166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equity securities,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9"/>
        </w:trPr>
        <w:tc>
          <w:tcPr>
            <w:tcW w:w="166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30"/>
        </w:trPr>
        <w:tc>
          <w:tcPr>
            <w:tcW w:w="166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(losses) gains,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29"/>
        </w:trPr>
        <w:tc>
          <w:tcPr>
            <w:tcW w:w="1660" w:type="dxa"/>
            <w:vAlign w:val="bottom"/>
          </w:tcPr>
          <w:p>
            <w:pPr>
              <w:spacing w:after="0"/>
              <w:rPr>
                <w:sz w:val="19"/>
                <w:szCs w:val="19"/>
                <w:color w:val="auto"/>
              </w:rPr>
            </w:pPr>
          </w:p>
        </w:tc>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166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94"/>
        </w:trPr>
        <w:tc>
          <w:tcPr>
            <w:tcW w:w="16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30"/>
        </w:trPr>
        <w:tc>
          <w:tcPr>
            <w:tcW w:w="166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166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1"/>
        </w:trPr>
        <w:tc>
          <w:tcPr>
            <w:tcW w:w="16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05"/>
        </w:trPr>
        <w:tc>
          <w:tcPr>
            <w:tcW w:w="17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00" w:type="dxa"/>
            <w:vAlign w:val="bottom"/>
            <w:tcBorders>
              <w:bottom w:val="single" w:sz="8" w:color="auto"/>
            </w:tcBorders>
          </w:tcPr>
          <w:p>
            <w:pPr>
              <w:spacing w:after="0"/>
              <w:rPr>
                <w:sz w:val="24"/>
                <w:szCs w:val="24"/>
                <w:color w:val="auto"/>
              </w:rPr>
            </w:pPr>
          </w:p>
        </w:tc>
      </w:tr>
      <w:tr>
        <w:trPr>
          <w:trHeight w:val="223"/>
        </w:trPr>
        <w:tc>
          <w:tcPr>
            <w:tcW w:w="1780" w:type="dxa"/>
            <w:vAlign w:val="bottom"/>
          </w:tcPr>
          <w:p>
            <w:pPr>
              <w:spacing w:after="0"/>
              <w:rPr>
                <w:sz w:val="19"/>
                <w:szCs w:val="19"/>
                <w:color w:val="auto"/>
              </w:rPr>
            </w:pPr>
          </w:p>
        </w:tc>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effective tax rate)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178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245.7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520.4</w:t>
            </w:r>
          </w:p>
        </w:tc>
      </w:tr>
      <w:tr>
        <w:trPr>
          <w:trHeight w:val="234"/>
        </w:trPr>
        <w:tc>
          <w:tcPr>
            <w:tcW w:w="178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r>
    </w:tbl>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for 2024 and 2023 was positively impacted, compared to the U.S. federal statutory rate, primarily by stock-based compensation, income earned in foreign jurisdictions with tax rates lower than the U.S. federal statutory rate, and federal tax credits for research activities.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countries in which we have operations, including Ireland, have adopted legislation influenced by the Organization for Economic Co-operation and Development ("OECD") Global Anti-Base Erosion Model Rules ("Pillar Two") framework, including a minimum tax rate of 15%. The adoption of the Pillar Two framework did not have a material impact on our effective tax rate for the year ended December 31, 2024. It is uncertain whether the United States will enact legislation to adopt the Pillar Two framework. We continue to evaluate additional guidance released by the OECD, along with the pending legislative adoption by additional countries.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89" w:lineRule="exact"/>
        <w:rPr>
          <w:sz w:val="20"/>
          <w:szCs w:val="20"/>
          <w:color w:val="auto"/>
        </w:rPr>
      </w:pPr>
    </w:p>
    <w:tbl>
      <w:tblPr>
        <w:tblLayout w:type="fixed"/>
        <w:tblInd w:w="134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3"/>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r>
      <w:tr>
        <w:trPr>
          <w:trHeight w:val="229"/>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r>
      <w:tr>
        <w:trPr>
          <w:trHeight w:val="229"/>
        </w:trPr>
        <w:tc>
          <w:tcPr>
            <w:tcW w:w="3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3,503.6</w:t>
            </w:r>
          </w:p>
        </w:tc>
      </w:tr>
      <w:tr>
        <w:trPr>
          <w:trHeight w:val="223"/>
        </w:trPr>
        <w:tc>
          <w:tcPr>
            <w:tcW w:w="36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1,671.3</w:t>
            </w:r>
          </w:p>
        </w:tc>
      </w:tr>
      <w:tr>
        <w:trPr>
          <w:trHeight w:val="270"/>
        </w:trPr>
        <w:tc>
          <w:tcPr>
            <w:tcW w:w="3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19,479.2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w:t>
            </w:r>
          </w:p>
        </w:tc>
      </w:tr>
      <w:tr>
        <w:trPr>
          <w:trHeight w:val="229"/>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w:t>
            </w:r>
          </w:p>
        </w:tc>
      </w:tr>
      <w:tr>
        <w:trPr>
          <w:trHeight w:val="223"/>
        </w:trPr>
        <w:tc>
          <w:tcPr>
            <w:tcW w:w="36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14,716.6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16,055.8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(1,339.2)</w:t>
            </w: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3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Borrowings and finance lease liabilities: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As of December 31, 2024, we also had borrowing availability of $750.0 million under a revolving credit facility (see further description under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Facility</w:t>
      </w:r>
      <w:r>
        <w:rPr>
          <w:rFonts w:ascii="Times New Roman" w:cs="Times New Roman" w:eastAsia="Times New Roman" w:hAnsi="Times New Roman"/>
          <w:sz w:val="18"/>
          <w:szCs w:val="18"/>
          <w:color w:val="auto"/>
        </w:rPr>
        <w:t>" below).</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Years Ended December 31, 2024, 2023, and 2022</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40" w:type="dxa"/>
            <w:vAlign w:val="bottom"/>
          </w:tcPr>
          <w:p>
            <w:pPr>
              <w:spacing w:after="0"/>
              <w:rPr>
                <w:sz w:val="19"/>
                <w:szCs w:val="19"/>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4,420.5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4,594.0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5,014.9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(173.5)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(420.9)</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(2,468.1)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(3,185.1)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(3,784.6)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717.0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599.5</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(2,200.5)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(1,790.1)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(410.4)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(781.1)</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expenditures in 2024 included costs incurred in connection with the expansion of our research, preclinical manufacturing, and support facilities at our Tarrytown, New York corporate headquarters, as well as costs associated with the expansion of our manufacturing facilities in Rensselaer, New York (including the fill/finish facility). In addition, in September 2024, we acquired an approximate 1,000,000 square foot facility in Saratoga Springs, New York. We expect to incur capital expenditures of $850 million to $975 million in 2025, including in connection with the continued expansion of our facilities in Tarrytown, New York. We expect continued significant capital expenditures over the next several years related to this expansion.</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Payments for the Libtayo intangible asset of $125.7 million, $207.8 million, and $1.027 billion in 2024, 2023, and 2022, respectively, related to our acquisition (including contingent consideration paid) of the exclusive right to develop, commercialize, and manufacture Libtayo worldwide.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Acquisitions, net of cash acquired, of $54.9 million and $230.3 million in 2023 and 2022 was related to our acquisitions of Decibel Therapeutics, Inc. and Checkmate Pharmaceuticals, Inc.,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Proceeds from issuances of Common Stock, in connection with exercises of employee stock options, were $1.465 billion during 2024, compared to $1.146 billion during 2023 and $1.520 billion during 2022. In addition, payments in connection with Common Stock tendered for employee tax obligations were $1.029 billion during 2024, compared to $700.6 million during 2023 and $445.7 million during 2022. For information related to repurchases of Common Stock, see "</w:t>
      </w:r>
      <w:r>
        <w:rPr>
          <w:rFonts w:ascii="Times New Roman" w:cs="Times New Roman" w:eastAsia="Times New Roman" w:hAnsi="Times New Roman"/>
          <w:sz w:val="18"/>
          <w:szCs w:val="18"/>
          <w:i w:val="1"/>
          <w:iCs w:val="1"/>
          <w:color w:val="auto"/>
        </w:rPr>
        <w:t>Share Repurchase Programs</w:t>
      </w:r>
      <w:r>
        <w:rPr>
          <w:rFonts w:ascii="Times New Roman" w:cs="Times New Roman" w:eastAsia="Times New Roman" w:hAnsi="Times New Roman"/>
          <w:sz w:val="18"/>
          <w:szCs w:val="18"/>
          <w:color w:val="auto"/>
        </w:rPr>
        <w:t>" section below.</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an agreement with a syndicate of lenders (the "Credit Agreement") which provides for a $750.0 million senior unsecured five-year revolving credit facility (the "Credit Facility"). The Credit Agreement includes an option for the Company to elect to increase the commitments under the Credit Facility and/or to enter into one or more tranches of term loans in the aggregate principal amount of up to $500.0 million, subject to the consent of the lenders providing the additional commitments or term loans, as applicable, and certain other conditions. The Credit Agreement also provides a $50.0 million sublimit for letters of credit.</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set forth in the Credit Agreement, we have the option to amend the Credit Agreement to establish environmental, social, and governance targets which will be used to adjust pricing under the Credit Facility, subject to parameters to be provided in the Credit Agreement.</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Proceeds of the loans under the Credit Facility may be used to finance working capital needs, and for general corporate or other lawful purposes, of Regeneron and its subsidiaries. Regeneron Pharmaceuticals, Inc. has guaranteed all obligations under the Credit Facility. The Credit Agreement includes an option for us to elect to extend the maturity date of the Credit Facility beyond December 2027, subject to the consent of the extending lenders and certain other conditions. Amounts borrowed under the Credit Facility may be prepaid, and the commitments under the Credit Facility may be terminated, at any time without premium or penalty.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borrowings outstanding under the Credit Facility as of December 31, 2024.</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contains operating covenants and a maximum total leverage ratio financial covenant. We were in compliance with all covenants of the Credit Agreement as of December 31,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2021, our board of directors authorized a share repurchase program to repurchase up to $3.0 billion of our Common Stock. As of June 30, 2023, the Company had repurchased the entire $3.0 billion of its Common Stock it was authorized to repurchase under the program.</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our board of directors authorized a share repurchase program to repurchase up to an additional $3.0 billion of our Common Stock. As of September 30, 2024, the Company had repurchased the entire $3.0 billion of its Common Stock it was authorized to repurchase under the program.</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2024, our board of directors authorized a share repurchase program to repurchase up to an additional $3.0 billion of our Common Stock. The share repurchase program permits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shares of our Common Stock that we repurchased and the cost of such shares, which were recorded as Treasury Stock.</w:t>
      </w:r>
    </w:p>
    <w:p>
      <w:pPr>
        <w:spacing w:after="0" w:line="194" w:lineRule="exact"/>
        <w:rPr>
          <w:sz w:val="20"/>
          <w:szCs w:val="20"/>
          <w:color w:val="auto"/>
        </w:rPr>
      </w:pPr>
    </w:p>
    <w:tbl>
      <w:tblPr>
        <w:tblLayout w:type="fixed"/>
        <w:tblInd w:w="234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$1.917 billion remained available for share repurchases under the April 2024 program.</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February 2025, our board of directors authorized a share repurchase program to repurchase up to an additional $3.0 billion of our Common Stock. The share repurchase program was approved under terms substantially similar to the repurchase programs described above.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2025, our board of directors declared our first quarterly cash dividend, in the amount of $0.88 per share on our Common Stock and Class A Stock. The cash dividend will be payable on March 20, 2025 to shareholders of record as of February 20, 2025.</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intend to continue to pay a quarterly cash dividend on our outstanding Common Stock and Class A Stock. Amounts and timing of any future cash dividends are subject to authorization by our board of directors in its sole discretion, after taking into consideration our financial condition and other relevant factors described under "</w:t>
      </w:r>
      <w:r>
        <w:rPr>
          <w:rFonts w:ascii="Times New Roman" w:cs="Times New Roman" w:eastAsia="Times New Roman" w:hAnsi="Times New Roman"/>
          <w:sz w:val="18"/>
          <w:szCs w:val="18"/>
          <w:i w:val="1"/>
          <w:iCs w:val="1"/>
          <w:color w:val="auto"/>
        </w:rPr>
        <w:t>There can be no assurance that we will continue to repurchase shares of our Common Stock or continue to declare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in Part I, 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Tarrytown, New York Corporate Headquarters Lease</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lease laboratory and office facilities for our corporate headquarters in Tarrytown, New York (the "Facility") under the Third Amended and Restated Lease and Remedies Agreement (the "Lease") with BA Leasing BSC, LLC, an affiliate of Banc of America Leasing &amp; Capital, LLC ("BAL"), as lessor, and the Third Amended and Restated Participation Agreement (the "Participation Agreement") with Bank of America, N.A., as administrative agent, and a syndicate of lenders (collectively with BAL, the "Participants"), as rent assignees. The Lease, Participation Agreement, and certain related agreements provide for $720.0 million of lease financing (previously advanced by the Participants in March 2017 in connection with the acquisition by BAL of the Facility and our lease of the Facility from BAL), which matures when the term of the Lease expires in March 2027, at which time all amounts outstanding thereunder will become payable in full. We have the option to further extend the maturity date of the Participation Agreement and the term of the Lease for an additional five-year period, subject to the consent of the Participants and certain other conditions. We also have the option to (a) purchase the Facility by paying an amount equal to the outstanding principal amount of the Participants' advances under the Participation Agreement, all accrued and unpaid yield thereon, and all other outstanding amounts under the Participation Agreement, Lease, and certain related documents or (b) sell the Facility to a third party on behalf of BAL.</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Lease, we pay all maintenance, insurance, taxes, and other costs arising out of the use of the Facility. We are also required to make monthly payments of basic rent to satisfy the yield payable to the Participants on their outstanding advances under the Participation Agreement. Such advances accrue yield at a variable rate per annum based on the one-month forward-looking Secured Overnight Financing Rate ("SOFR") term rate, plus a spread adjustment, plus an applicable margin that varies with our debt rating and total leverage ratio.</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is classified as a finance lease as we have the option to purchase the Facility under terms that make it reasonably certain to be exercised. The agreements governing the Lease financing contain financial and operating covenants. Such financial covenants and certain of the operating covenants are substantially similar to the covenants set forth in our Credit Agreement. We were in compliance with all such covenants as of December 31,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Funding Requirements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required to fund operations will depend on various factors, including the potential regulatory approval and commercialization of our product candidates and the timing thereof and the extent and cost of our research and development programs. We believe that our existing capital resources, borrowing availability under the Credit Facility, funds generated by anticipated product sales, and funding for reimbursement of research and development costs that we are entitled to receive under our collaboration agreements, will enable us to meet our anticipated operating needs for the foreseeable future.</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incur significant costs in connection with our research and development activities (including preclinical and clinical programs).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including the size of trials, fees charged for services provided by clinical trial investigators and other third parties, the costs for manufacturing the product candidate for use in the trials, and other expenses.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anticipate continuing to incur substantial commercialization costs for our marketed products. Commercialization costs over the next few years will depend on, among other things, the market potential for product candidates, whether commercialization costs are shared with a collaborator, and regulatory approval of additional product candidates.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expenses related to the filing, prosecution, defense, and enforcement of patents and other intellectual property will be substantial.</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Liabilities for unrecognized tax benefits totaled $1.314 billion as of December 31, 2024. Due to their nature, there is a high degree of uncertainty regarding the period and amounts of potential future cash settlement with tax authorities. We expect the IRS 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conclude its examination of our 2017 and 2018 federal income tax returns within the next twelve months, and, as a result, we may be required to make a payment of approximately $120 million. See Note 15 to our Consolidated Financial Statements.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collaboration and licensing agreements that may require us to pay (i) amounts contingent upon the occurrence of various future events (e.g., upon the achievement of various development and commercial milestones), which, in the aggregate, could be significant, and/or (ii) royalties calculated based on a percentage of net product sales. The specific timing of these contingent payments cannot be predicted. See Note 3 to our Consolidated Financial Statements.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Part I, Item 1. "Collaboration, License, and Other Agreements," under our collaborations with Sanofi and Bayer, we and our collaborator share profits in connection with commercialization of drug products. If the applicable collaboration is profitable, we have contingent contractual obligations to reimburse Sanofi and Bayer for a defined percentage (generally 50%) of agreed-upon development expenses funded by Sanofi and Bayer (i.e., "development balance"). These reimbursements are deducted each quarter, in accordance with a formula, from our share of the collaboration profits otherwise payable to us, unless, in the case of Bayer, we elect to reimburse these expenses at a faster rate. As of December 31, 2024, our contingent reimbursement obligation to Sanofi in connection with the companies' Antibody Collaboration was approximately $1.635 billion and our contingent reimbursement obligation to Bayer was approximately $315 million. Therefore, we continue to expect that a portion of our share of profits from sales under our collaborations with Sanofi and Bayer will be used to reimburse our collaborators for these obligations.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Consolidated Financial Statements for a description of recently issued accounting standards.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earnings and cash flows are subject to fluctuations due to changes in interest rates, principally in connection with our investments in marketable securities, which consist primarily of corporate bonds and U.S. treasury securities. We do not believe we are materially exposed to changes in interest rates related to our investments, and we do not currently use interest rate derivative instruments to manage exposure to interest rate changes of our investments. We estimate that a 100 basis point, or 1%, unfavorable change in interest rates would have resulted in approximately a $163.0 million and $98.7 million decrease in the fair value of our investment portfolio as of December 31, 2024 and 2023, respectively.</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exposure to market risk for changes in interest rates, including the interest rate risk relating to our variable rate Tarrytown, New York lease (as described in Part II, Item 7. "Management's Discussion and Analysis of Financial Condition and Results of Operations - Liquidity and Capital Resources - </w:t>
      </w:r>
      <w:r>
        <w:rPr>
          <w:rFonts w:ascii="Times New Roman" w:cs="Times New Roman" w:eastAsia="Times New Roman" w:hAnsi="Times New Roman"/>
          <w:sz w:val="18"/>
          <w:szCs w:val="18"/>
          <w:i w:val="1"/>
          <w:iCs w:val="1"/>
          <w:color w:val="auto"/>
        </w:rPr>
        <w:t>Tarrytown, New York Corporate Headquarters Lease</w:t>
      </w:r>
      <w:r>
        <w:rPr>
          <w:rFonts w:ascii="Times New Roman" w:cs="Times New Roman" w:eastAsia="Times New Roman" w:hAnsi="Times New Roman"/>
          <w:sz w:val="18"/>
          <w:szCs w:val="18"/>
          <w:color w:val="auto"/>
        </w:rPr>
        <w:t>"). Our interest rate exposure is offset by our investments in marketable securities. We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 our interest rate risk and may utilize derivative instruments and/or other strategies in the future to further mitigate our interest rate exposure.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Risk</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In 2024 and 2023, we did not recognize any charges for credit-related losses of our available-for-sale debt securities.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credit risk associated with the receivables due from our collaborators, including Sanofi and Bayer. We are also subject to credit risk in connection with trade accounts receivable due from our customers from our product sales. As of December 31, 2024, two customers accounted on a combined basis for 79% of our net trade accounts receivables. We have contractual payment terms with each of our collaborators and customers, and also monitor financial performance and credit worthiness so that we can properly assess and respond to any changes in collaborator and/or customer credit profiles. In 2024 and 2023, we did not recognize any charges for write-offs and allowances of accounts receivable related to credit risk for our collaborators or customers.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changes in foreign exchange rates of the countries outside the United States where our products are sold, where development expenses are incurred by us or our collaborators, or where we incur operating expenses may impact our operating results and financial condition.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further above, our collaborators market certain products outside the United States, and we share in profits and losses with these collaborators from commercialization of products. In addition, pursuant to the applicable terms of the agreements with our collaborators, we also share in certain worldwide development and/or commercialization-related expenses incurred by our collaborators.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incur worldwide development expenses for clinical products we are developing independently, incur expenses outside the United States in connection with our international operations, and record product sales of Libtayo outside the United States.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sales outside the United States continue to grow, and as we expand our international operations, we will continue to assess and implement strategies, including foreign currency hedging, to mitigate our foreign exchange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Risk</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price risk on equity securities included in our investment portfolio. Our investments in equity securities primarily include companies with which we have entered into collaboration arrangements. As of December 31, 2024, our marketable securities included $1.095 billion of equity securities. Changes in the fair value of our equity securities are included in Other income (expense), net on the Statements of Operations. We recorded $117.7 million of net unrealized gains and $237.8 million of net unrealized losses on equity securities in Other income (expense), net in 2024 and 2023,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set forth beginning on page F-1 of this report and is incorporated herein by reference.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or 15d-15(e) under the Securities Exchange Act of 1934, as amended (the "Exchange Act")), as of the end of the period covered by this Annual Report on Form 10-K.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Rules 13a-15(f) or 15d-15(f) under the Exchange Act. Our management conducted an evaluation of the effectiveness of our internal control over financial reporting as of December 31, 2024 using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that evaluation, our management has concluded that our internal control over financial reporting was effective as of December 31, 2024. The effectiveness of the Company's internal control over financial reporting as of December 31, 2024 has been audited by PricewaterhouseCoopers LLP, an independent registered public accounting firm, as stated in their report which appears under Part IV, Item 15.</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or 15d-15(f) under the Exchange Act) during the quarter ended December 31, 2024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disclosed in the table below, during the three months ended December 31, 2024, certain of our directors and/or executive officers adopted plans for trading arrangements intended to satisfy the affirmative defense conditions of Rule 10b5-1(c) of the Exchange Act.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Date of Plan</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Scheduled End Date</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0" w:type="dxa"/>
            <w:vAlign w:val="bottom"/>
          </w:tcPr>
          <w:p>
            <w:pPr>
              <w:spacing w:after="0"/>
              <w:rPr>
                <w:sz w:val="1"/>
                <w:szCs w:val="1"/>
                <w:color w:val="auto"/>
              </w:rPr>
            </w:pPr>
          </w:p>
        </w:tc>
      </w:tr>
      <w:tr>
        <w:trPr>
          <w:trHeight w:val="175"/>
        </w:trPr>
        <w:tc>
          <w:tcPr>
            <w:tcW w:w="25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6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600" w:type="dxa"/>
            <w:vAlign w:val="bottom"/>
            <w:gridSpan w:val="2"/>
            <w:vMerge w:val="continue"/>
          </w:tcPr>
          <w:p>
            <w:pPr>
              <w:spacing w:after="0"/>
              <w:rPr>
                <w:sz w:val="15"/>
                <w:szCs w:val="15"/>
                <w:color w:val="auto"/>
              </w:rPr>
            </w:pPr>
          </w:p>
        </w:tc>
        <w:tc>
          <w:tcPr>
            <w:tcW w:w="18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Trading</w:t>
            </w:r>
          </w:p>
        </w:tc>
        <w:tc>
          <w:tcPr>
            <w:tcW w:w="2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Securities to Be Sold</w:t>
            </w:r>
          </w:p>
        </w:tc>
        <w:tc>
          <w:tcPr>
            <w:tcW w:w="0" w:type="dxa"/>
            <w:vAlign w:val="bottom"/>
          </w:tcPr>
          <w:p>
            <w:pPr>
              <w:spacing w:after="0"/>
              <w:rPr>
                <w:sz w:val="1"/>
                <w:szCs w:val="1"/>
                <w:color w:val="auto"/>
              </w:rPr>
            </w:pPr>
          </w:p>
        </w:tc>
      </w:tr>
      <w:tr>
        <w:trPr>
          <w:trHeight w:val="243"/>
        </w:trPr>
        <w:tc>
          <w:tcPr>
            <w:tcW w:w="2500" w:type="dxa"/>
            <w:vAlign w:val="bottom"/>
            <w:gridSpan w:val="2"/>
            <w:vMerge w:val="continue"/>
          </w:tcPr>
          <w:p>
            <w:pPr>
              <w:spacing w:after="0"/>
              <w:rPr>
                <w:sz w:val="21"/>
                <w:szCs w:val="21"/>
                <w:color w:val="auto"/>
              </w:rPr>
            </w:pPr>
          </w:p>
        </w:tc>
        <w:tc>
          <w:tcPr>
            <w:tcW w:w="3060" w:type="dxa"/>
            <w:vAlign w:val="bottom"/>
            <w:gridSpan w:val="2"/>
            <w:vMerge w:val="continue"/>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Adoption</w:t>
            </w:r>
          </w:p>
        </w:tc>
        <w:tc>
          <w:tcPr>
            <w:tcW w:w="184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6"/>
              </w:rPr>
              <w:t>Arrangement</w:t>
            </w:r>
            <w:r>
              <w:rPr>
                <w:rFonts w:ascii="Times New Roman" w:cs="Times New Roman" w:eastAsia="Times New Roman" w:hAnsi="Times New Roman"/>
                <w:sz w:val="23"/>
                <w:szCs w:val="23"/>
                <w:b w:val="1"/>
                <w:bCs w:val="1"/>
                <w:color w:val="auto"/>
                <w:w w:val="96"/>
                <w:vertAlign w:val="superscript"/>
              </w:rPr>
              <w:t>(a)</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 Plan</w:t>
            </w:r>
          </w:p>
        </w:tc>
        <w:tc>
          <w:tcPr>
            <w:tcW w:w="0" w:type="dxa"/>
            <w:vAlign w:val="bottom"/>
          </w:tcPr>
          <w:p>
            <w:pPr>
              <w:spacing w:after="0"/>
              <w:rPr>
                <w:sz w:val="1"/>
                <w:szCs w:val="1"/>
                <w:color w:val="auto"/>
              </w:rPr>
            </w:pP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Kathryn Guarini, Ph.D.</w:t>
            </w:r>
          </w:p>
        </w:tc>
        <w:tc>
          <w:tcPr>
            <w:tcW w:w="12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11/14/2025</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360" w:hanging="172"/>
        <w:spacing w:after="0"/>
        <w:tabs>
          <w:tab w:leader="none" w:pos="36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trading arrangement may expire on an earlier date if and when all transactions under the arrangement are completed.</w:t>
      </w:r>
    </w:p>
    <w:p>
      <w:pPr>
        <w:spacing w:after="0" w:line="254" w:lineRule="exact"/>
        <w:rPr>
          <w:sz w:val="20"/>
          <w:szCs w:val="20"/>
          <w:color w:val="auto"/>
        </w:rPr>
      </w:pPr>
    </w:p>
    <w:p>
      <w:pPr>
        <w:ind w:right="5280"/>
        <w:spacing w:after="0" w:line="414"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set forth in the next paragraph in this Item 10) will be included in our definitive proxy statement with respect to our 2025 Annual Meeting of Shareholders to be filed with the SEC, and is incorporated herein by reference.</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The full text of our code of business conduct and ethics can be found on our website (http://www.regeneron.com) under the "Governance" heading on the "Investors &amp; Media"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2025 Annual Meeting of Shareholders to be filed with the SEC, and is incorporated herein by reference.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2025 Annual Meeting of Shareholders to be filed with the SEC, and is incorporated herein by reference.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2025 Annual Meeting of Shareholders to be filed with the SEC, and is incorporated herein by reference.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2025 Annual Meeting of Shareholders to be filed with the SEC, and is incorporated herein by reference.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6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1. Financial Statements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filed as part of this report are listed on the Index to Financial Statements on page F-1.</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6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regulations of the SEC are not required under the related instructions or are inapplicable and, therefore, have been omitted.</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8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84"/>
              </w:rPr>
              <w:t>Number</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180" w:type="dxa"/>
            <w:vAlign w:val="bottom"/>
            <w:gridSpan w:val="3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2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60" w:type="dxa"/>
            <w:vAlign w:val="bottom"/>
            <w:tcBorders>
              <w:right w:val="single" w:sz="8" w:color="CCEEFF"/>
            </w:tcBorders>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Restated Certificate of Incorporation, as amended. (Incorporated by reference from the Form 10-Q for Regeneron Pharmaceuticals, Inc.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160" w:type="dxa"/>
            <w:vAlign w:val="bottom"/>
            <w:tcBorders>
              <w:top w:val="single" w:sz="8" w:color="0000FF"/>
              <w:right w:val="single" w:sz="8" w:color="CCEEFF"/>
            </w:tcBorders>
            <w:gridSpan w:val="32"/>
            <w:shd w:val="clear" w:color="auto" w:fill="CCEEFF"/>
          </w:tcPr>
          <w:p>
            <w:pPr>
              <w:spacing w:after="0" w:line="16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(the "Registrant"), for the quarter ended June 30, 2015, filed August 4, 2015.)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2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60" w:type="dxa"/>
            <w:vAlign w:val="bottom"/>
            <w:gridSpan w:val="32"/>
          </w:tcPr>
          <w:p>
            <w:pPr>
              <w:spacing w:after="0" w:line="18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Amended and Restated By-Laws. (Incorporated by reference from the Form 8-K for the Registrant filed December 21, 2016.)</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60" w:type="dxa"/>
            <w:vAlign w:val="bottom"/>
            <w:tcBorders>
              <w:right w:val="single" w:sz="8" w:color="CCEEFF"/>
            </w:tcBorders>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Amendment to the Amended and Restated By-Laws effective June 9, 2023. (Incorporated by reference from the Form 8-K for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860" w:type="dxa"/>
            <w:vAlign w:val="bottom"/>
            <w:tcBorders>
              <w:top w:val="single" w:sz="8" w:color="0000FF"/>
            </w:tcBorders>
            <w:gridSpan w:val="18"/>
            <w:shd w:val="clear" w:color="auto" w:fill="CCEEFF"/>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Registrant filed June 14, 2023.)</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2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6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Description of Securities Registered Pursuant to Section 12 of the Securities Exchange Act of 1934.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2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4.2</w:t>
            </w: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60" w:type="dxa"/>
            <w:vAlign w:val="bottom"/>
            <w:tcBorders>
              <w:right w:val="single" w:sz="8" w:color="CCEEFF"/>
            </w:tcBorders>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Indenture, dated August 12, 2020, between the Registrant and U.S. Bank National Association. (Incorporated by reference from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840" w:type="dxa"/>
            <w:vAlign w:val="bottom"/>
            <w:tcBorders>
              <w:top w:val="single" w:sz="8" w:color="0000FF"/>
            </w:tcBorders>
            <w:gridSpan w:val="17"/>
            <w:shd w:val="clear" w:color="auto" w:fill="CCEEFF"/>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8-K for the Registrant, filed August 12, 2020.)</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2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4.3</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60" w:type="dxa"/>
            <w:vAlign w:val="bottom"/>
            <w:gridSpan w:val="32"/>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First Supplemental Indenture, dated August 12, 2020, between the Registrant and U.S. Bank National Association.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8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reference from the Form 8-K for the Registrant, filed August 12,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2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4.4</w:t>
            </w: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60" w:type="dxa"/>
            <w:vAlign w:val="bottom"/>
            <w:tcBorders>
              <w:right w:val="single" w:sz="8" w:color="CCEEFF"/>
            </w:tcBorders>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1.750% Senior Note due 2030 (included in Exhibit 4.3).</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2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4.5</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60" w:type="dxa"/>
            <w:vAlign w:val="bottom"/>
            <w:gridSpan w:val="32"/>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2.800% Senior Note due 2050 (included in Exhibit 4.3).</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60" w:type="dxa"/>
            <w:vAlign w:val="bottom"/>
            <w:tcBorders>
              <w:right w:val="single" w:sz="8" w:color="CCEEFF"/>
            </w:tcBorders>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Regeneron Pharmaceuticals, Inc. 2014 Long-Term Incentive Plan. (Incorporated by reference from the Registration Statement on Form</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940" w:type="dxa"/>
            <w:vAlign w:val="bottom"/>
            <w:tcBorders>
              <w:top w:val="single" w:sz="8" w:color="0000FF"/>
            </w:tcBorders>
            <w:gridSpan w:val="22"/>
            <w:shd w:val="clear" w:color="auto" w:fill="CCEEFF"/>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S-8 for the Registrant, filed June 16, 2014.)</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10.1.1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60" w:type="dxa"/>
            <w:vAlign w:val="bottom"/>
            <w:gridSpan w:val="32"/>
          </w:tcPr>
          <w:p>
            <w:pPr>
              <w:spacing w:after="0" w:line="18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60" w:type="dxa"/>
            <w:vAlign w:val="bottom"/>
            <w:tcBorders>
              <w:top w:val="single" w:sz="8" w:color="0000FF"/>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Registrant's executive officers under the Regeneron Pharmaceuticals, Inc. 2014 Long-Term Incentive Plan. (Incorporated by reference</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120" w:type="dxa"/>
            <w:vAlign w:val="bottom"/>
            <w:gridSpan w:val="31"/>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from the Form 8-K for the Registrant, filed June 18, 2014.)</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10.1.2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60" w:type="dxa"/>
            <w:vAlign w:val="bottom"/>
            <w:tcBorders>
              <w:right w:val="single" w:sz="8" w:color="CCEEFF"/>
            </w:tcBorders>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restricted stock award agreement and related notice of grant for use in connection with the grant of restricted stock awards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0000FF"/>
            </w:tcBorders>
            <w:gridSpan w:val="30"/>
            <w:shd w:val="clear" w:color="auto" w:fill="CCEEFF"/>
          </w:tcPr>
          <w:p>
            <w:pPr>
              <w:spacing w:after="0" w:line="16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the Registrant's executive officers under the Regeneron Pharmaceuticals, Inc. 2014 Long-Term Incentive Plan. (Incorporated by</w:t>
              </w:r>
            </w:hyperlink>
          </w:p>
        </w:tc>
        <w:tc>
          <w:tcPr>
            <w:tcW w:w="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24"/>
            <w:shd w:val="clear" w:color="auto" w:fill="CCEEFF"/>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reference from the Form 8-K for the Registrant, filed June 18, 2014.)</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gridSpan w:val="5"/>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10.1.3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60" w:type="dxa"/>
            <w:vAlign w:val="bottom"/>
            <w:gridSpan w:val="32"/>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4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Registrant's non-employee directors under the Regeneron Pharmaceuticals, Inc. 2014 Long-Term Incentive Plan. (Incorporated by</w:t>
              </w:r>
            </w:hyperlink>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reference from the Form 8-K for the Registrant, filed June 18,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10.1.4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60" w:type="dxa"/>
            <w:vAlign w:val="bottom"/>
            <w:tcBorders>
              <w:right w:val="single" w:sz="8" w:color="CCEEFF"/>
            </w:tcBorders>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40" w:type="dxa"/>
            <w:vAlign w:val="bottom"/>
            <w:tcBorders>
              <w:top w:val="single" w:sz="8" w:color="0000FF"/>
            </w:tcBorders>
            <w:gridSpan w:val="27"/>
            <w:shd w:val="clear" w:color="auto" w:fill="CCEEFF"/>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Registrant's executive officers under the Regeneron Pharmaceuticals, Inc. 2014 Long-Term Incentive Plan (revised). (Incorporated by</w:t>
              </w:r>
            </w:hyperlink>
          </w:p>
        </w:tc>
        <w:tc>
          <w:tcPr>
            <w:tcW w:w="120" w:type="dxa"/>
            <w:vAlign w:val="bottom"/>
            <w:tcBorders>
              <w:top w:val="single" w:sz="8" w:color="CCEEFF"/>
              <w:right w:val="single" w:sz="8" w:color="CCEEFF"/>
            </w:tcBorders>
            <w:gridSpan w:val="5"/>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5400" w:type="dxa"/>
            <w:vAlign w:val="bottom"/>
            <w:tcBorders>
              <w:top w:val="single" w:sz="8" w:color="0000FF"/>
              <w:bottom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reference from the Form 8-K for the Registrant, filed November 19, 2015.)</w:t>
              </w:r>
            </w:hyperlink>
          </w:p>
        </w:tc>
        <w:tc>
          <w:tcPr>
            <w:tcW w:w="4620" w:type="dxa"/>
            <w:vAlign w:val="bottom"/>
            <w:tcBorders>
              <w:top w:val="single" w:sz="8" w:color="0000FF"/>
              <w:bottom w:val="single" w:sz="8" w:color="CCEEFF"/>
            </w:tcBorders>
            <w:gridSpan w:val="17"/>
            <w:shd w:val="clear" w:color="auto" w:fill="CCEEFF"/>
          </w:tcPr>
          <w:p>
            <w:pPr>
              <w:spacing w:after="0"/>
              <w:rPr>
                <w:sz w:val="15"/>
                <w:szCs w:val="15"/>
                <w:color w:val="auto"/>
              </w:rPr>
            </w:pPr>
          </w:p>
        </w:tc>
        <w:tc>
          <w:tcPr>
            <w:tcW w:w="140" w:type="dxa"/>
            <w:vAlign w:val="bottom"/>
            <w:tcBorders>
              <w:top w:val="single" w:sz="8" w:color="CCEEFF"/>
              <w:bottom w:val="single" w:sz="8" w:color="CCEEFF"/>
              <w:right w:val="single" w:sz="8" w:color="CCEEFF"/>
            </w:tcBorders>
            <w:gridSpan w:val="6"/>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10.1.5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60" w:type="dxa"/>
            <w:vAlign w:val="bottom"/>
            <w:gridSpan w:val="32"/>
          </w:tcPr>
          <w:p>
            <w:pPr>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restricted stock award agreement and related notice of grant for use in connection with the grant of restricted stock awards to</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10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the Registrant's executive officers under the Regeneron Pharmaceuticals, Inc. 2014 Long-Term Incentive Plan (revised). (Incorporated</w:t>
              </w:r>
            </w:hyperlink>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by reference from the Form 8-K for the Registrant, filed November 19, 2015.)</w:t>
              </w:r>
            </w:hyperlink>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10.1.6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60" w:type="dxa"/>
            <w:vAlign w:val="bottom"/>
            <w:tcBorders>
              <w:right w:val="single" w:sz="8" w:color="CCEEFF"/>
            </w:tcBorders>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40" w:type="dxa"/>
            <w:vAlign w:val="bottom"/>
            <w:tcBorders>
              <w:top w:val="single" w:sz="8" w:color="0000FF"/>
            </w:tcBorders>
            <w:gridSpan w:val="27"/>
            <w:shd w:val="clear" w:color="auto" w:fill="CCEEFF"/>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Registrant's non-employee directors under the Regeneron Pharmaceuticals, Inc. 2014 Long-Term Incentive Plan (revised). (Incorporated</w:t>
              </w:r>
            </w:hyperlink>
          </w:p>
        </w:tc>
        <w:tc>
          <w:tcPr>
            <w:tcW w:w="120" w:type="dxa"/>
            <w:vAlign w:val="bottom"/>
            <w:tcBorders>
              <w:top w:val="single" w:sz="8" w:color="CCEEFF"/>
              <w:right w:val="single" w:sz="8" w:color="CCEEFF"/>
            </w:tcBorders>
            <w:gridSpan w:val="5"/>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by reference from the Form 10-K for the Registrant, for the year ended December 31, 2015, filed February 11, 2016.)</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right w:val="single" w:sz="8" w:color="CCEEFF"/>
            </w:tcBorders>
            <w:gridSpan w:val="9"/>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10.2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60" w:type="dxa"/>
            <w:vAlign w:val="bottom"/>
            <w:gridSpan w:val="32"/>
          </w:tcPr>
          <w:p>
            <w:pPr>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Amended and Restated Regeneron Pharmaceuticals, Inc. 2014 Long-Term Incentive Plan. (Incorporated by reference from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6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Registration Statement on Form S-8 for the Registrant, filed June 12, 2017.)</w:t>
              </w:r>
            </w:hyperlink>
          </w:p>
        </w:tc>
        <w:tc>
          <w:tcPr>
            <w:tcW w:w="2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10.2.1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60" w:type="dxa"/>
            <w:vAlign w:val="bottom"/>
            <w:tcBorders>
              <w:right w:val="single" w:sz="8" w:color="CCEEFF"/>
            </w:tcBorders>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40" w:type="dxa"/>
            <w:vAlign w:val="bottom"/>
            <w:tcBorders>
              <w:top w:val="single" w:sz="8" w:color="0000FF"/>
            </w:tcBorders>
            <w:gridSpan w:val="27"/>
            <w:shd w:val="clear" w:color="auto" w:fill="CCEEFF"/>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Registrant's executive officers under the Amended and Restated Regeneron Pharmaceuticals, Inc. 2014 Long-Term Incentive Plan.</w:t>
              </w:r>
            </w:hyperlink>
          </w:p>
        </w:tc>
        <w:tc>
          <w:tcPr>
            <w:tcW w:w="120" w:type="dxa"/>
            <w:vAlign w:val="bottom"/>
            <w:tcBorders>
              <w:top w:val="single" w:sz="8" w:color="CCEEFF"/>
              <w:right w:val="single" w:sz="8" w:color="CCEEFF"/>
            </w:tcBorders>
            <w:gridSpan w:val="5"/>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92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(Incorporated by reference from the Form 10-K for the Registrant, for the year ended December 31, 2017, filed February 8, 2018.)</w:t>
              </w:r>
            </w:hyperlink>
          </w:p>
        </w:tc>
        <w:tc>
          <w:tcPr>
            <w:tcW w:w="240" w:type="dxa"/>
            <w:vAlign w:val="bottom"/>
            <w:tcBorders>
              <w:top w:val="single" w:sz="8" w:color="CCEEFF"/>
              <w:right w:val="single" w:sz="8" w:color="CCEEFF"/>
            </w:tcBorders>
            <w:gridSpan w:val="11"/>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1"/>
        </w:trPr>
        <w:tc>
          <w:tcPr>
            <w:tcW w:w="140" w:type="dxa"/>
            <w:vAlign w:val="bottom"/>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660" w:type="dxa"/>
            <w:vAlign w:val="bottom"/>
            <w:tcBorders>
              <w:top w:val="single" w:sz="8" w:color="0000FF"/>
            </w:tcBorders>
            <w:gridSpan w:val="6"/>
          </w:tcPr>
          <w:p>
            <w:pPr>
              <w:ind w:left="4300"/>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 +</w:t>
            </w:r>
          </w:p>
        </w:tc>
        <w:tc>
          <w:tcPr>
            <w:tcW w:w="10180" w:type="dxa"/>
            <w:vAlign w:val="bottom"/>
            <w:gridSpan w:val="23"/>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restricted stock award agreement and related notice of grant for use in connection with the grant of restricted stock awards to</w:t>
              </w:r>
            </w:hyperlink>
          </w:p>
        </w:tc>
      </w:tr>
      <w:tr>
        <w:trPr>
          <w:trHeight w:val="156"/>
        </w:trPr>
        <w:tc>
          <w:tcPr>
            <w:tcW w:w="110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the Registrant's executive officers under the Amended and Restated Regeneron Pharmaceuticals, Inc. 2014 Long-Term Incentive Plan.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10100" w:type="dxa"/>
            <w:vAlign w:val="bottom"/>
            <w:gridSpan w:val="19"/>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(Incorporated by reference from the Form 10-K for the Registrant, for the year ended December 31, 2017, filed February 8,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140" w:type="dxa"/>
            <w:vAlign w:val="bottom"/>
            <w:tcBorders>
              <w:top w:val="single" w:sz="8" w:color="0000FF"/>
            </w:tcBorders>
          </w:tcPr>
          <w:p>
            <w:pPr>
              <w:spacing w:after="0" w:line="20" w:lineRule="exact"/>
              <w:rPr>
                <w:sz w:val="1"/>
                <w:szCs w:val="1"/>
                <w:color w:val="auto"/>
              </w:rPr>
            </w:pPr>
          </w:p>
        </w:tc>
        <w:tc>
          <w:tcPr>
            <w:tcW w:w="39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10.2.3 +</w:t>
            </w:r>
          </w:p>
        </w:tc>
        <w:tc>
          <w:tcPr>
            <w:tcW w:w="1018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5"/>
        </w:trPr>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10000" w:type="dxa"/>
            <w:vAlign w:val="bottom"/>
            <w:tcBorders>
              <w:top w:val="single" w:sz="8" w:color="0000FF"/>
              <w:bottom w:val="single" w:sz="8" w:color="0000FF"/>
            </w:tcBorders>
            <w:gridSpan w:val="14"/>
            <w:shd w:val="clear" w:color="auto" w:fill="CCEEFF"/>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Registrant's non-employee directors under the Amended and Restated Regeneron Pharmaceuticals, Inc. 2014 Long-Term Incentive Plan.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9"/>
        </w:trPr>
        <w:tc>
          <w:tcPr>
            <w:tcW w:w="1100" w:type="dxa"/>
            <w:vAlign w:val="bottom"/>
            <w:shd w:val="clear" w:color="auto" w:fill="CCEEFF"/>
          </w:tcPr>
          <w:p>
            <w:pPr>
              <w:spacing w:after="0"/>
              <w:rPr>
                <w:sz w:val="14"/>
                <w:szCs w:val="14"/>
                <w:color w:val="auto"/>
              </w:rPr>
            </w:pPr>
          </w:p>
        </w:tc>
        <w:tc>
          <w:tcPr>
            <w:tcW w:w="10020" w:type="dxa"/>
            <w:vAlign w:val="bottom"/>
            <w:gridSpan w:val="15"/>
            <w:shd w:val="clear" w:color="auto" w:fill="CCEEFF"/>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(Incorporated by reference from the Form 10-K for the Registrant, for the year ended December 31, 2017, filed February 8, 2018.)</w:t>
              </w:r>
            </w:hyperlink>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140" w:type="dxa"/>
            <w:vAlign w:val="bottom"/>
            <w:tcBorders>
              <w:top w:val="single" w:sz="8" w:color="0000FF"/>
            </w:tcBorders>
            <w:shd w:val="clear" w:color="auto" w:fill="CCEEFF"/>
          </w:tcPr>
          <w:p>
            <w:pPr>
              <w:spacing w:after="0" w:line="20" w:lineRule="exact"/>
              <w:rPr>
                <w:sz w:val="1"/>
                <w:szCs w:val="1"/>
                <w:color w:val="auto"/>
              </w:rPr>
            </w:pPr>
          </w:p>
        </w:tc>
        <w:tc>
          <w:tcPr>
            <w:tcW w:w="39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10.2.4 +</w:t>
            </w:r>
          </w:p>
        </w:tc>
        <w:tc>
          <w:tcPr>
            <w:tcW w:w="10180" w:type="dxa"/>
            <w:vAlign w:val="bottom"/>
            <w:gridSpan w:val="23"/>
          </w:tcPr>
          <w:p>
            <w:pPr>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6"/>
        </w:trPr>
        <w:tc>
          <w:tcPr>
            <w:tcW w:w="110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Registrant's executive officers under the Amended and Restated Regeneron Pharmaceuticals, Inc. 2014 Long-Term Incentive Plan</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10160" w:type="dxa"/>
            <w:vAlign w:val="bottom"/>
            <w:tcBorders>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(revised 2018). (Incorporated by reference from the Form 10-K for the Registrant, for the year ended December 31, 2018, filed February</w:t>
              </w:r>
            </w:hyperlink>
          </w:p>
        </w:tc>
        <w:tc>
          <w:tcPr>
            <w:tcW w:w="20" w:type="dxa"/>
            <w:vAlign w:val="bottom"/>
            <w:tcBorders>
              <w:bottom w:val="single" w:sz="8" w:color="0000FF"/>
            </w:tcBorders>
          </w:tcPr>
          <w:p>
            <w:pPr>
              <w:spacing w:after="0"/>
              <w:rPr>
                <w:sz w:val="14"/>
                <w:szCs w:val="14"/>
                <w:color w:val="auto"/>
              </w:rPr>
            </w:pPr>
          </w:p>
        </w:tc>
      </w:tr>
      <w:tr>
        <w:trPr>
          <w:trHeight w:val="156"/>
        </w:trPr>
        <w:tc>
          <w:tcPr>
            <w:tcW w:w="1100" w:type="dxa"/>
            <w:vAlign w:val="bottom"/>
          </w:tcPr>
          <w:p>
            <w:pPr>
              <w:spacing w:after="0"/>
              <w:rPr>
                <w:sz w:val="13"/>
                <w:szCs w:val="13"/>
                <w:color w:val="auto"/>
              </w:rPr>
            </w:pPr>
          </w:p>
        </w:tc>
        <w:tc>
          <w:tcPr>
            <w:tcW w:w="1340" w:type="dxa"/>
            <w:vAlign w:val="bottom"/>
            <w:gridSpan w:val="2"/>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7, 2019.)</w:t>
              </w:r>
            </w:hyperlink>
          </w:p>
        </w:tc>
        <w:tc>
          <w:tcPr>
            <w:tcW w:w="4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1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10.2.5 +</w:t>
            </w:r>
          </w:p>
        </w:tc>
        <w:tc>
          <w:tcPr>
            <w:tcW w:w="1018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restricted stock award agreement and related notice of grant for use in connection with the grant of restricted stock awards to</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the Registrant's executive officers under the Amended and Restated Regeneron Pharmaceuticals, Inc. 2014 Long-Term Incentive Plan</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69"/>
        </w:trPr>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9960" w:type="dxa"/>
            <w:vAlign w:val="bottom"/>
            <w:tcBorders>
              <w:top w:val="single" w:sz="8" w:color="0000FF"/>
              <w:bottom w:val="single" w:sz="8" w:color="0000FF"/>
            </w:tcBorders>
            <w:gridSpan w:val="12"/>
            <w:shd w:val="clear" w:color="auto" w:fill="CCEEFF"/>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(revised 2018). (Incorporated by reference from the Form 10-K for the Registrant, for the year ended December 31, 2018, filed February</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00" w:type="dxa"/>
            <w:vAlign w:val="bottom"/>
            <w:tcBorders>
              <w:top w:val="single" w:sz="8" w:color="CCEEFF"/>
              <w:bottom w:val="single" w:sz="8" w:color="0000FF"/>
            </w:tcBorders>
            <w:gridSpan w:val="5"/>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r>
      <w:tr>
        <w:trPr>
          <w:trHeight w:val="156"/>
        </w:trPr>
        <w:tc>
          <w:tcPr>
            <w:tcW w:w="1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7, 2019.)</w:t>
              </w:r>
            </w:hyperlink>
          </w:p>
        </w:tc>
        <w:tc>
          <w:tcPr>
            <w:tcW w:w="4140" w:type="dxa"/>
            <w:vAlign w:val="bottom"/>
            <w:shd w:val="clear" w:color="auto" w:fill="CCEEFF"/>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10.2.6 +</w:t>
            </w:r>
          </w:p>
        </w:tc>
        <w:tc>
          <w:tcPr>
            <w:tcW w:w="10180" w:type="dxa"/>
            <w:vAlign w:val="bottom"/>
            <w:gridSpan w:val="23"/>
          </w:tcPr>
          <w:p>
            <w:pPr>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6"/>
        </w:trPr>
        <w:tc>
          <w:tcPr>
            <w:tcW w:w="110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Registrant's non-employee directors under the Amended and Restated Regeneron Pharmaceuticals, Inc. 2014 Long-Term Incentive Plan</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98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(revised 2018). (Incorporated by reference from the Form 10-K for the Registrant, for the year ended December 31, 2018, filed February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40" w:type="dxa"/>
            <w:vAlign w:val="bottom"/>
            <w:tcBorders>
              <w:bottom w:val="single" w:sz="8" w:color="0000FF"/>
            </w:tcBorders>
            <w:gridSpan w:val="7"/>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r>
      <w:tr>
        <w:trPr>
          <w:trHeight w:val="155"/>
        </w:trPr>
        <w:tc>
          <w:tcPr>
            <w:tcW w:w="1100" w:type="dxa"/>
            <w:vAlign w:val="bottom"/>
          </w:tcPr>
          <w:p>
            <w:pPr>
              <w:spacing w:after="0"/>
              <w:rPr>
                <w:sz w:val="13"/>
                <w:szCs w:val="13"/>
                <w:color w:val="auto"/>
              </w:rPr>
            </w:pPr>
          </w:p>
        </w:tc>
        <w:tc>
          <w:tcPr>
            <w:tcW w:w="1340" w:type="dxa"/>
            <w:vAlign w:val="bottom"/>
            <w:gridSpan w:val="2"/>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7, 2019.)</w:t>
              </w:r>
            </w:hyperlink>
          </w:p>
        </w:tc>
        <w:tc>
          <w:tcPr>
            <w:tcW w:w="4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1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10.2.7 +</w:t>
            </w:r>
          </w:p>
        </w:tc>
        <w:tc>
          <w:tcPr>
            <w:tcW w:w="1018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restricted stock unit award agreement and related notice of grant for use in connection with the grant of restricted stock units to</w:t>
              </w:r>
            </w:hyperlink>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1014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the Registrant's non-employee directors under the Amended and Restated Regeneron Pharmaceuticals, Inc. 2014 Long-Term Incentive</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9800" w:type="dxa"/>
            <w:vAlign w:val="bottom"/>
            <w:tcBorders>
              <w:top w:val="single" w:sz="8" w:color="0000FF"/>
              <w:bottom w:val="single" w:sz="8" w:color="0000FF"/>
            </w:tcBorders>
            <w:gridSpan w:val="5"/>
            <w:shd w:val="clear" w:color="auto" w:fill="CCEEFF"/>
          </w:tcPr>
          <w:p>
            <w:pPr>
              <w:spacing w:after="0" w:line="169"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Plan. (Incorporated by reference from the Form 10-K for the Registrant, for the year ended December 31, 2018, filed February 7, 2019.)</w:t>
              </w:r>
            </w:hyperlink>
          </w:p>
        </w:tc>
        <w:tc>
          <w:tcPr>
            <w:tcW w:w="28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10.2.8 +</w:t>
            </w:r>
          </w:p>
        </w:tc>
        <w:tc>
          <w:tcPr>
            <w:tcW w:w="10180" w:type="dxa"/>
            <w:vAlign w:val="bottom"/>
            <w:gridSpan w:val="23"/>
          </w:tcPr>
          <w:p>
            <w:pPr>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6"/>
        </w:trPr>
        <w:tc>
          <w:tcPr>
            <w:tcW w:w="1100" w:type="dxa"/>
            <w:vAlign w:val="bottom"/>
          </w:tcPr>
          <w:p>
            <w:pPr>
              <w:spacing w:after="0"/>
              <w:rPr>
                <w:sz w:val="13"/>
                <w:szCs w:val="13"/>
                <w:color w:val="auto"/>
              </w:rPr>
            </w:pPr>
          </w:p>
        </w:tc>
        <w:tc>
          <w:tcPr>
            <w:tcW w:w="100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Registrant's executive officers under the Amended and Restated Regeneron Pharmaceuticals, Inc. 2014 Long-Term Incentive Plan</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1016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(revised 2019). (Incorporated by reference from the Form 10-K for the Registrant, for the year ended December 31, 2019, filed February</w:t>
              </w:r>
            </w:hyperlink>
          </w:p>
        </w:tc>
        <w:tc>
          <w:tcPr>
            <w:tcW w:w="20" w:type="dxa"/>
            <w:vAlign w:val="bottom"/>
            <w:tcBorders>
              <w:bottom w:val="single" w:sz="8" w:color="0000FF"/>
            </w:tcBorders>
          </w:tcPr>
          <w:p>
            <w:pPr>
              <w:spacing w:after="0"/>
              <w:rPr>
                <w:sz w:val="14"/>
                <w:szCs w:val="14"/>
                <w:color w:val="auto"/>
              </w:rPr>
            </w:pPr>
          </w:p>
        </w:tc>
      </w:tr>
      <w:tr>
        <w:trPr>
          <w:trHeight w:val="156"/>
        </w:trPr>
        <w:tc>
          <w:tcPr>
            <w:tcW w:w="1100" w:type="dxa"/>
            <w:vAlign w:val="bottom"/>
          </w:tcPr>
          <w:p>
            <w:pPr>
              <w:spacing w:after="0"/>
              <w:rPr>
                <w:sz w:val="13"/>
                <w:szCs w:val="13"/>
                <w:color w:val="auto"/>
              </w:rPr>
            </w:pPr>
          </w:p>
        </w:tc>
        <w:tc>
          <w:tcPr>
            <w:tcW w:w="1340" w:type="dxa"/>
            <w:vAlign w:val="bottom"/>
            <w:gridSpan w:val="2"/>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7, 2020.)</w:t>
              </w:r>
            </w:hyperlink>
          </w:p>
        </w:tc>
        <w:tc>
          <w:tcPr>
            <w:tcW w:w="4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1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10.2.9 +</w:t>
            </w:r>
          </w:p>
        </w:tc>
        <w:tc>
          <w:tcPr>
            <w:tcW w:w="1018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restricted stock award agreement and related notice of grant for use in connection with the grant of restricted stock awards to</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the Registrant's executive officers under the Amended and Restated Regeneron Pharmaceuticals, Inc. 2014 Long-Term Incentive Plan</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69"/>
        </w:trPr>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9960" w:type="dxa"/>
            <w:vAlign w:val="bottom"/>
            <w:tcBorders>
              <w:top w:val="single" w:sz="8" w:color="0000FF"/>
              <w:bottom w:val="single" w:sz="8" w:color="0000FF"/>
            </w:tcBorders>
            <w:gridSpan w:val="12"/>
            <w:shd w:val="clear" w:color="auto" w:fill="CCEEFF"/>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(revised 2019). (Incorporated by reference from the Form 10-K for the Registrant, for the year ended December 31, 2019, filed February</w:t>
              </w:r>
            </w:hyperlink>
          </w:p>
        </w:tc>
        <w:tc>
          <w:tcPr>
            <w:tcW w:w="160" w:type="dxa"/>
            <w:vAlign w:val="bottom"/>
            <w:tcBorders>
              <w:top w:val="single" w:sz="8" w:color="CCEEFF"/>
              <w:bottom w:val="single" w:sz="8" w:color="0000FF"/>
            </w:tcBorders>
            <w:gridSpan w:val="8"/>
            <w:shd w:val="clear" w:color="auto" w:fill="CCEEFF"/>
          </w:tcPr>
          <w:p>
            <w:pPr>
              <w:spacing w:after="0"/>
              <w:rPr>
                <w:sz w:val="14"/>
                <w:szCs w:val="14"/>
                <w:color w:val="auto"/>
              </w:rPr>
            </w:pPr>
          </w:p>
        </w:tc>
        <w:tc>
          <w:tcPr>
            <w:tcW w:w="60" w:type="dxa"/>
            <w:vAlign w:val="bottom"/>
            <w:tcBorders>
              <w:top w:val="single" w:sz="8" w:color="CCEEFF"/>
              <w:bottom w:val="single" w:sz="8" w:color="0000FF"/>
            </w:tcBorders>
            <w:gridSpan w:val="3"/>
            <w:shd w:val="clear" w:color="auto" w:fill="CCEEFF"/>
          </w:tcPr>
          <w:p>
            <w:pPr>
              <w:spacing w:after="0"/>
              <w:rPr>
                <w:sz w:val="14"/>
                <w:szCs w:val="14"/>
                <w:color w:val="auto"/>
              </w:rPr>
            </w:pPr>
          </w:p>
        </w:tc>
      </w:tr>
      <w:tr>
        <w:trPr>
          <w:trHeight w:val="156"/>
        </w:trPr>
        <w:tc>
          <w:tcPr>
            <w:tcW w:w="1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7, 2020.)</w:t>
              </w:r>
            </w:hyperlink>
          </w:p>
        </w:tc>
        <w:tc>
          <w:tcPr>
            <w:tcW w:w="4140" w:type="dxa"/>
            <w:vAlign w:val="bottom"/>
            <w:shd w:val="clear" w:color="auto" w:fill="CCEEFF"/>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10.2.10 +</w:t>
            </w:r>
          </w:p>
        </w:tc>
        <w:tc>
          <w:tcPr>
            <w:tcW w:w="10180" w:type="dxa"/>
            <w:vAlign w:val="bottom"/>
            <w:gridSpan w:val="23"/>
          </w:tcPr>
          <w:p>
            <w:pPr>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5"/>
        </w:trPr>
        <w:tc>
          <w:tcPr>
            <w:tcW w:w="110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Registrant's non-employee directors under the Amended and Restated Regeneron Pharmaceuticals, Inc. 2014 Long-Term Incentive Plan</w:t>
              </w:r>
            </w:hyperlink>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98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(revised 2019). (Incorporated by reference from the Form 10-K for the Registrant, for the year ended December 31, 2019, filed February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80" w:type="dxa"/>
            <w:vAlign w:val="bottom"/>
            <w:tcBorders>
              <w:bottom w:val="single" w:sz="8" w:color="0000FF"/>
            </w:tcBorders>
            <w:gridSpan w:val="9"/>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r>
      <w:tr>
        <w:trPr>
          <w:trHeight w:val="155"/>
        </w:trPr>
        <w:tc>
          <w:tcPr>
            <w:tcW w:w="1100" w:type="dxa"/>
            <w:vAlign w:val="bottom"/>
          </w:tcPr>
          <w:p>
            <w:pPr>
              <w:spacing w:after="0"/>
              <w:rPr>
                <w:sz w:val="13"/>
                <w:szCs w:val="13"/>
                <w:color w:val="auto"/>
              </w:rPr>
            </w:pPr>
          </w:p>
        </w:tc>
        <w:tc>
          <w:tcPr>
            <w:tcW w:w="1340" w:type="dxa"/>
            <w:vAlign w:val="bottom"/>
            <w:gridSpan w:val="2"/>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7, 2020.)</w:t>
              </w:r>
            </w:hyperlink>
          </w:p>
        </w:tc>
        <w:tc>
          <w:tcPr>
            <w:tcW w:w="4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1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10.2.11 +</w:t>
            </w:r>
          </w:p>
        </w:tc>
        <w:tc>
          <w:tcPr>
            <w:tcW w:w="1018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restricted stock unit award agreement and related notice of grant for use in connection with the grant of restricted stock units to</w:t>
              </w:r>
            </w:hyperlink>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1014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the Registrant's non-employee directors under the Amended and Restated Regeneron Pharmaceuticals, Inc. 2014 Long-Term Incentive</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69"/>
        </w:trPr>
        <w:tc>
          <w:tcPr>
            <w:tcW w:w="1100" w:type="dxa"/>
            <w:vAlign w:val="bottom"/>
            <w:tcBorders>
              <w:top w:val="single" w:sz="8" w:color="CCEEFF"/>
            </w:tcBorders>
            <w:shd w:val="clear" w:color="auto" w:fill="CCEEFF"/>
          </w:tcPr>
          <w:p>
            <w:pPr>
              <w:spacing w:after="0"/>
              <w:rPr>
                <w:sz w:val="14"/>
                <w:szCs w:val="14"/>
                <w:color w:val="auto"/>
              </w:rPr>
            </w:pPr>
          </w:p>
        </w:tc>
        <w:tc>
          <w:tcPr>
            <w:tcW w:w="10080" w:type="dxa"/>
            <w:vAlign w:val="bottom"/>
            <w:tcBorders>
              <w:top w:val="single" w:sz="8" w:color="0000FF"/>
            </w:tcBorders>
            <w:gridSpan w:val="18"/>
            <w:shd w:val="clear" w:color="auto" w:fill="CCEEFF"/>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Plan (revised 2019). (Incorporated by reference from the Form 10-K for the Registrant, for the year ended December 31, 2019, filed</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February 7, 2020.)</w:t>
              </w:r>
            </w:hyperlink>
          </w:p>
        </w:tc>
        <w:tc>
          <w:tcPr>
            <w:tcW w:w="180" w:type="dxa"/>
            <w:vAlign w:val="bottom"/>
            <w:tcBorders>
              <w:top w:val="single" w:sz="8" w:color="CCEEFF"/>
            </w:tcBorders>
            <w:gridSpan w:val="9"/>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 +</w:t>
            </w:r>
          </w:p>
        </w:tc>
        <w:tc>
          <w:tcPr>
            <w:tcW w:w="10180" w:type="dxa"/>
            <w:vAlign w:val="bottom"/>
            <w:gridSpan w:val="23"/>
          </w:tcPr>
          <w:p>
            <w:pPr>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Second Amended and Restated Regeneron Pharmaceuticals, Inc. 2014 Long-Term Incentive Plan. (Incorporated by reference from the</w:t>
              </w:r>
            </w:hyperlink>
          </w:p>
        </w:tc>
      </w:tr>
      <w:tr>
        <w:trPr>
          <w:trHeight w:val="155"/>
        </w:trPr>
        <w:tc>
          <w:tcPr>
            <w:tcW w:w="1100" w:type="dxa"/>
            <w:vAlign w:val="bottom"/>
          </w:tcPr>
          <w:p>
            <w:pPr>
              <w:spacing w:after="0"/>
              <w:rPr>
                <w:sz w:val="13"/>
                <w:szCs w:val="13"/>
                <w:color w:val="auto"/>
              </w:rPr>
            </w:pPr>
          </w:p>
        </w:tc>
        <w:tc>
          <w:tcPr>
            <w:tcW w:w="101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Registration Statement on Form S-8 for the Registrant, filed June 16, 2020.)</w:t>
              </w:r>
            </w:hyperlink>
          </w:p>
        </w:tc>
        <w:tc>
          <w:tcPr>
            <w:tcW w:w="60" w:type="dxa"/>
            <w:vAlign w:val="bottom"/>
            <w:gridSpan w:val="3"/>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140" w:type="dxa"/>
            <w:vAlign w:val="bottom"/>
            <w:tcBorders>
              <w:top w:val="single" w:sz="8" w:color="0000FF"/>
            </w:tcBorders>
          </w:tcPr>
          <w:p>
            <w:pPr>
              <w:spacing w:after="0"/>
              <w:rPr>
                <w:sz w:val="2"/>
                <w:szCs w:val="2"/>
                <w:color w:val="auto"/>
              </w:rPr>
            </w:pPr>
          </w:p>
        </w:tc>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10.3.1 +</w:t>
            </w:r>
          </w:p>
        </w:tc>
        <w:tc>
          <w:tcPr>
            <w:tcW w:w="1018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Registrant's executive officers under the Second Amended and Restated Regeneron Pharmaceuticals, Inc. 2014 Long-Term Incentive</w:t>
              </w:r>
            </w:hyperlink>
          </w:p>
        </w:tc>
        <w:tc>
          <w:tcPr>
            <w:tcW w:w="200" w:type="dxa"/>
            <w:vAlign w:val="bottom"/>
            <w:tcBorders>
              <w:top w:val="single" w:sz="8" w:color="CCEEFF"/>
            </w:tcBorders>
            <w:gridSpan w:val="10"/>
            <w:shd w:val="clear" w:color="auto" w:fill="CCEEFF"/>
          </w:tcPr>
          <w:p>
            <w:pPr>
              <w:spacing w:after="0"/>
              <w:rPr>
                <w:sz w:val="13"/>
                <w:szCs w:val="13"/>
                <w:color w:val="auto"/>
              </w:rPr>
            </w:pPr>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9800" w:type="dxa"/>
            <w:vAlign w:val="bottom"/>
            <w:tcBorders>
              <w:top w:val="single" w:sz="8" w:color="0000FF"/>
              <w:bottom w:val="single" w:sz="8" w:color="0000FF"/>
            </w:tcBorders>
            <w:gridSpan w:val="5"/>
            <w:shd w:val="clear" w:color="auto" w:fill="CCEEFF"/>
          </w:tcPr>
          <w:p>
            <w:pPr>
              <w:spacing w:after="0" w:line="169"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Plan. (Incorporated by reference from the Form 10-K for the Registrant, for the year ended December 31, 2020, filed February 8, 2021.)</w:t>
              </w:r>
            </w:hyperlink>
          </w:p>
        </w:tc>
        <w:tc>
          <w:tcPr>
            <w:tcW w:w="10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gridSpan w:val="13"/>
            <w:shd w:val="clear" w:color="auto" w:fill="CCEEFF"/>
          </w:tcPr>
          <w:p>
            <w:pPr>
              <w:spacing w:after="0"/>
              <w:rPr>
                <w:sz w:val="16"/>
                <w:szCs w:val="16"/>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10.3.2 +</w:t>
            </w:r>
          </w:p>
        </w:tc>
        <w:tc>
          <w:tcPr>
            <w:tcW w:w="10180" w:type="dxa"/>
            <w:vAlign w:val="bottom"/>
            <w:gridSpan w:val="23"/>
          </w:tcPr>
          <w:p>
            <w:pPr>
              <w:spacing w:after="0" w:line="18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restricted stock award agreement and related notice of grant for use in connection with the grant of restricted stock awards to</w:t>
              </w:r>
            </w:hyperlink>
          </w:p>
        </w:tc>
      </w:tr>
      <w:tr>
        <w:trPr>
          <w:trHeight w:val="155"/>
        </w:trPr>
        <w:tc>
          <w:tcPr>
            <w:tcW w:w="1100" w:type="dxa"/>
            <w:vAlign w:val="bottom"/>
          </w:tcPr>
          <w:p>
            <w:pPr>
              <w:spacing w:after="0"/>
              <w:rPr>
                <w:sz w:val="13"/>
                <w:szCs w:val="13"/>
                <w:color w:val="auto"/>
              </w:rPr>
            </w:pPr>
          </w:p>
        </w:tc>
        <w:tc>
          <w:tcPr>
            <w:tcW w:w="100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the Registrant's executive officers under the Second Amended and Restated Regeneron Pharmaceuticals, Inc. 2014 Long-Term Incentive</w:t>
              </w:r>
            </w:hyperlink>
          </w:p>
        </w:tc>
        <w:tc>
          <w:tcPr>
            <w:tcW w:w="140" w:type="dxa"/>
            <w:vAlign w:val="bottom"/>
            <w:gridSpan w:val="7"/>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984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Plan. (Incorporated by reference from the Form 10-K for the Registrant, for the year ended December 31, 2020, filed February 8, 2021.)</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60" w:type="dxa"/>
            <w:vAlign w:val="bottom"/>
            <w:gridSpan w:val="13"/>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140" w:type="dxa"/>
            <w:vAlign w:val="bottom"/>
            <w:tcBorders>
              <w:top w:val="single" w:sz="8" w:color="0000FF"/>
            </w:tcBorders>
          </w:tcPr>
          <w:p>
            <w:pPr>
              <w:spacing w:after="0" w:line="20" w:lineRule="exact"/>
              <w:rPr>
                <w:sz w:val="1"/>
                <w:szCs w:val="1"/>
                <w:color w:val="auto"/>
              </w:rPr>
            </w:pPr>
          </w:p>
        </w:tc>
        <w:tc>
          <w:tcPr>
            <w:tcW w:w="39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10.3.3 +</w:t>
            </w:r>
          </w:p>
        </w:tc>
        <w:tc>
          <w:tcPr>
            <w:tcW w:w="1018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0000FF"/>
            </w:tcBorders>
            <w:gridSpan w:val="14"/>
            <w:shd w:val="clear" w:color="auto" w:fill="CCEEFF"/>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Registrant's non-employee directors under the Second Amended and Restated Regeneron Pharmaceuticals, Inc. 2014 Long-Term</w:t>
              </w:r>
            </w:hyperlink>
          </w:p>
        </w:tc>
        <w:tc>
          <w:tcPr>
            <w:tcW w:w="180" w:type="dxa"/>
            <w:vAlign w:val="bottom"/>
            <w:tcBorders>
              <w:top w:val="single" w:sz="8" w:color="CCEEFF"/>
            </w:tcBorders>
            <w:gridSpan w:val="9"/>
            <w:shd w:val="clear" w:color="auto" w:fill="CCEEFF"/>
          </w:tcPr>
          <w:p>
            <w:pPr>
              <w:spacing w:after="0"/>
              <w:rPr>
                <w:sz w:val="13"/>
                <w:szCs w:val="13"/>
                <w:color w:val="auto"/>
              </w:rPr>
            </w:pPr>
          </w:p>
        </w:tc>
      </w:tr>
      <w:tr>
        <w:trPr>
          <w:trHeight w:val="169"/>
        </w:trPr>
        <w:tc>
          <w:tcPr>
            <w:tcW w:w="1100" w:type="dxa"/>
            <w:vAlign w:val="bottom"/>
            <w:tcBorders>
              <w:top w:val="single" w:sz="8" w:color="CCEEFF"/>
            </w:tcBorders>
            <w:shd w:val="clear" w:color="auto" w:fill="CCEEFF"/>
          </w:tcPr>
          <w:p>
            <w:pPr>
              <w:spacing w:after="0"/>
              <w:rPr>
                <w:sz w:val="14"/>
                <w:szCs w:val="14"/>
                <w:color w:val="auto"/>
              </w:rPr>
            </w:pPr>
          </w:p>
        </w:tc>
        <w:tc>
          <w:tcPr>
            <w:tcW w:w="10120" w:type="dxa"/>
            <w:vAlign w:val="bottom"/>
            <w:tcBorders>
              <w:top w:val="single" w:sz="8" w:color="0000FF"/>
            </w:tcBorders>
            <w:gridSpan w:val="20"/>
            <w:shd w:val="clear" w:color="auto" w:fill="CCEEFF"/>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Incentive Plan. (Incorporated by reference from the Form 10-K for the Registrant, for the year ended December 31, 2020, filed February</w:t>
              </w:r>
            </w:hyperlink>
          </w:p>
        </w:tc>
        <w:tc>
          <w:tcPr>
            <w:tcW w:w="60" w:type="dxa"/>
            <w:vAlign w:val="bottom"/>
            <w:tcBorders>
              <w:top w:val="single" w:sz="8" w:color="CCEEFF"/>
            </w:tcBorders>
            <w:gridSpan w:val="3"/>
            <w:shd w:val="clear" w:color="auto" w:fill="CCEEFF"/>
          </w:tcPr>
          <w:p>
            <w:pPr>
              <w:spacing w:after="0"/>
              <w:rPr>
                <w:sz w:val="14"/>
                <w:szCs w:val="14"/>
                <w:color w:val="auto"/>
              </w:rPr>
            </w:pPr>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8, 2021.)</w:t>
              </w:r>
            </w:hyperlink>
          </w:p>
        </w:tc>
        <w:tc>
          <w:tcPr>
            <w:tcW w:w="4140" w:type="dxa"/>
            <w:vAlign w:val="bottom"/>
            <w:tcBorders>
              <w:top w:val="single" w:sz="8" w:color="0000FF"/>
            </w:tcBorders>
            <w:shd w:val="clear" w:color="auto" w:fill="CCEEFF"/>
          </w:tcPr>
          <w:p>
            <w:pPr>
              <w:spacing w:after="0"/>
              <w:rPr>
                <w:sz w:val="13"/>
                <w:szCs w:val="13"/>
                <w:color w:val="auto"/>
              </w:rPr>
            </w:pPr>
          </w:p>
        </w:tc>
        <w:tc>
          <w:tcPr>
            <w:tcW w:w="3900" w:type="dxa"/>
            <w:vAlign w:val="bottom"/>
            <w:tcBorders>
              <w:top w:val="single" w:sz="8" w:color="0000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10.3.4 +</w:t>
            </w:r>
          </w:p>
        </w:tc>
        <w:tc>
          <w:tcPr>
            <w:tcW w:w="10180" w:type="dxa"/>
            <w:vAlign w:val="bottom"/>
            <w:gridSpan w:val="23"/>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restricted stock unit award agreement and related notice of grant for use in connection with the grant of restricted stock units to</w:t>
              </w:r>
            </w:hyperlink>
          </w:p>
        </w:tc>
      </w:tr>
      <w:tr>
        <w:trPr>
          <w:trHeight w:val="155"/>
        </w:trPr>
        <w:tc>
          <w:tcPr>
            <w:tcW w:w="1100" w:type="dxa"/>
            <w:vAlign w:val="bottom"/>
          </w:tcPr>
          <w:p>
            <w:pPr>
              <w:spacing w:after="0"/>
              <w:rPr>
                <w:sz w:val="13"/>
                <w:szCs w:val="13"/>
                <w:color w:val="auto"/>
              </w:rPr>
            </w:pPr>
          </w:p>
        </w:tc>
        <w:tc>
          <w:tcPr>
            <w:tcW w:w="101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the Registrant's non-employee directors under the Second Amended and Restated Regeneron Pharmaceuticals, Inc. 2014 Long-Term</w:t>
              </w:r>
            </w:hyperlink>
          </w:p>
        </w:tc>
        <w:tc>
          <w:tcPr>
            <w:tcW w:w="40" w:type="dxa"/>
            <w:vAlign w:val="bottom"/>
            <w:gridSpan w:val="2"/>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992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Incentive Plan. (Incorporated by reference from the Form 10-K for the Registrant, for the year ended December 31, 2020, filed February</w:t>
              </w:r>
            </w:hyperlink>
          </w:p>
        </w:tc>
        <w:tc>
          <w:tcPr>
            <w:tcW w:w="260" w:type="dxa"/>
            <w:vAlign w:val="bottom"/>
            <w:gridSpan w:val="13"/>
          </w:tcPr>
          <w:p>
            <w:pPr>
              <w:spacing w:after="0"/>
              <w:rPr>
                <w:sz w:val="14"/>
                <w:szCs w:val="14"/>
                <w:color w:val="auto"/>
              </w:rPr>
            </w:pPr>
          </w:p>
        </w:tc>
      </w:tr>
      <w:tr>
        <w:trPr>
          <w:trHeight w:val="155"/>
        </w:trPr>
        <w:tc>
          <w:tcPr>
            <w:tcW w:w="1100" w:type="dxa"/>
            <w:vAlign w:val="bottom"/>
          </w:tcPr>
          <w:p>
            <w:pPr>
              <w:spacing w:after="0"/>
              <w:rPr>
                <w:sz w:val="13"/>
                <w:szCs w:val="13"/>
                <w:color w:val="auto"/>
              </w:rPr>
            </w:pPr>
          </w:p>
        </w:tc>
        <w:tc>
          <w:tcPr>
            <w:tcW w:w="134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8, 2021.)</w:t>
              </w:r>
            </w:hyperlink>
          </w:p>
        </w:tc>
        <w:tc>
          <w:tcPr>
            <w:tcW w:w="4140" w:type="dxa"/>
            <w:vAlign w:val="bottom"/>
            <w:tcBorders>
              <w:top w:val="single" w:sz="8" w:color="0000FF"/>
            </w:tcBorders>
          </w:tcPr>
          <w:p>
            <w:pPr>
              <w:spacing w:after="0"/>
              <w:rPr>
                <w:sz w:val="13"/>
                <w:szCs w:val="13"/>
                <w:color w:val="auto"/>
              </w:rPr>
            </w:pPr>
          </w:p>
        </w:tc>
        <w:tc>
          <w:tcPr>
            <w:tcW w:w="39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 +</w:t>
            </w:r>
          </w:p>
        </w:tc>
        <w:tc>
          <w:tcPr>
            <w:tcW w:w="10180" w:type="dxa"/>
            <w:vAlign w:val="bottom"/>
            <w:gridSpan w:val="2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performance restricted stock unit award agreement and related notice of grant for use in connection with the grant of</w:t>
              </w:r>
            </w:hyperlink>
          </w:p>
        </w:tc>
      </w:tr>
      <w:tr>
        <w:trPr>
          <w:trHeight w:val="155"/>
        </w:trPr>
        <w:tc>
          <w:tcPr>
            <w:tcW w:w="110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performance restricted stock units to Leonard S. Schleifer, M.D., Ph.D. and George D. Yancopoulos, M.D., Ph.D. under the Second</w:t>
              </w:r>
            </w:hyperlink>
          </w:p>
        </w:tc>
        <w:tc>
          <w:tcPr>
            <w:tcW w:w="20" w:type="dxa"/>
            <w:vAlign w:val="bottom"/>
            <w:tcBorders>
              <w:top w:val="single" w:sz="8" w:color="0000FF"/>
            </w:tcBorders>
          </w:tcPr>
          <w:p>
            <w:pPr>
              <w:spacing w:after="0"/>
              <w:rPr>
                <w:sz w:val="13"/>
                <w:szCs w:val="13"/>
                <w:color w:val="auto"/>
              </w:rPr>
            </w:pPr>
          </w:p>
        </w:tc>
        <w:tc>
          <w:tcPr>
            <w:tcW w:w="320" w:type="dxa"/>
            <w:vAlign w:val="bottom"/>
            <w:gridSpan w:val="16"/>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-239395</wp:posOffset>
            </wp:positionV>
            <wp:extent cx="6960870" cy="4883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6960870" cy="488315"/>
                    </a:xfrm>
                    <a:prstGeom prst="rect">
                      <a:avLst/>
                    </a:prstGeom>
                    <a:noFill/>
                  </pic:spPr>
                </pic:pic>
              </a:graphicData>
            </a:graphic>
          </wp:anchor>
        </w:drawing>
      </w:r>
    </w:p>
    <w:p>
      <w:pPr>
        <w:ind w:left="1240" w:right="20"/>
        <w:spacing w:after="0" w:line="226"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Amended and Restated Regeneron Pharmaceuticals, Inc. 2014 Long-Term Incentive Plan. (Incorporated by reference from the Form 10-</w:t>
        </w:r>
      </w:hyperlink>
      <w:hyperlink r:id="rId141">
        <w:r>
          <w:rPr>
            <w:rFonts w:ascii="Times New Roman" w:cs="Times New Roman" w:eastAsia="Times New Roman" w:hAnsi="Times New Roman"/>
            <w:sz w:val="18"/>
            <w:szCs w:val="18"/>
            <w:u w:val="single" w:color="auto"/>
            <w:color w:val="0000FF"/>
          </w:rPr>
          <w:t>K for the Registrant, for the year ended December 31, 2020, filed February 8, 2021.)</w:t>
        </w:r>
      </w:hyperlink>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9"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10.3.6 +</w:t>
            </w:r>
          </w:p>
        </w:tc>
        <w:tc>
          <w:tcPr>
            <w:tcW w:w="10380" w:type="dxa"/>
            <w:vAlign w:val="bottom"/>
            <w:gridSpan w:val="44"/>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1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Registrant's executive officers under the Second Amended and Restated Regeneron Pharmaceuticals, Inc. 2014 Long-Term Incentive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Plan (revised 2023). (Incorporated by reference from the Form 10-K for the Registrant, for the year ended December 31, 2023,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160" w:type="dxa"/>
            <w:vAlign w:val="bottom"/>
            <w:gridSpan w:val="34"/>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February 5, 2024.)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10.3.7 +</w:t>
            </w:r>
          </w:p>
        </w:tc>
        <w:tc>
          <w:tcPr>
            <w:tcW w:w="10360" w:type="dxa"/>
            <w:vAlign w:val="bottom"/>
            <w:tcBorders>
              <w:right w:val="single" w:sz="8" w:color="CCEEFF"/>
            </w:tcBorders>
            <w:gridSpan w:val="43"/>
            <w:shd w:val="clear" w:color="auto" w:fill="CCEEFF"/>
          </w:tcPr>
          <w:p>
            <w:pPr>
              <w:spacing w:after="0" w:line="18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restricted stock award agreement and related notice of grant for use in connection with the grant of restricted stock awards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0200" w:type="dxa"/>
            <w:vAlign w:val="bottom"/>
            <w:tcBorders>
              <w:top w:val="single" w:sz="8" w:color="0000FF"/>
            </w:tcBorders>
            <w:gridSpan w:val="36"/>
            <w:shd w:val="clear" w:color="auto" w:fill="CCEEFF"/>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the Registrant's executive officers under the Second Amended and Restated Regeneron Pharmaceuticals, Inc. 2014 Long-Term Incentive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0000FF"/>
            </w:tcBorders>
            <w:gridSpan w:val="20"/>
            <w:shd w:val="clear" w:color="auto" w:fill="CCEEFF"/>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Plan (revised 2023). (Incorporated by reference from the Form 10-K for the Registrant, for the year ended December 31, 2023, filed</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0160" w:type="dxa"/>
            <w:vAlign w:val="bottom"/>
            <w:tcBorders>
              <w:top w:val="single" w:sz="8" w:color="0000FF"/>
            </w:tcBorders>
            <w:gridSpan w:val="34"/>
            <w:shd w:val="clear" w:color="auto" w:fill="CCEEFF"/>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February 5, 2024.)</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 +</w:t>
            </w:r>
          </w:p>
        </w:tc>
        <w:tc>
          <w:tcPr>
            <w:tcW w:w="10360" w:type="dxa"/>
            <w:vAlign w:val="bottom"/>
            <w:gridSpan w:val="43"/>
          </w:tcPr>
          <w:p>
            <w:pPr>
              <w:spacing w:after="0" w:line="18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Amended and Restated Employment Agreement, dated as of November 14, 2008, between the Registrant and Leonard S. Schleifer,</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M.D., Ph.D. (Incorporated by reference from the Form 10-K for the Registrant, for the year ended December 31, 2008, filed February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gridSpan w:val="2"/>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26, 2009.)</w:t>
              </w:r>
            </w:hyperlink>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10.4.1 +</w:t>
            </w:r>
          </w:p>
        </w:tc>
        <w:tc>
          <w:tcPr>
            <w:tcW w:w="10360" w:type="dxa"/>
            <w:vAlign w:val="bottom"/>
            <w:tcBorders>
              <w:right w:val="single" w:sz="8" w:color="CCEEFF"/>
            </w:tcBorders>
            <w:gridSpan w:val="43"/>
            <w:shd w:val="clear" w:color="auto" w:fill="CCEEFF"/>
          </w:tcPr>
          <w:p>
            <w:pPr>
              <w:spacing w:after="0" w:line="18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Waiver and Consent, dated as of April 14, 2023, pursuant to the Amended and Restated Employment Agreement, dated as of November</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10260" w:type="dxa"/>
            <w:vAlign w:val="bottom"/>
            <w:tcBorders>
              <w:top w:val="single" w:sz="8" w:color="0000FF"/>
              <w:bottom w:val="single" w:sz="8" w:color="0000FF"/>
            </w:tcBorders>
            <w:gridSpan w:val="39"/>
            <w:shd w:val="clear" w:color="auto" w:fill="CCEEFF"/>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14, 2008, between the Registrant and Leonard S. Schleifer, M.D., Ph.D. (Incorporated by reference from the Form 10-Q for the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060" w:type="dxa"/>
            <w:vAlign w:val="bottom"/>
            <w:tcBorders>
              <w:bottom w:val="single" w:sz="8" w:color="0000FF"/>
            </w:tcBorders>
            <w:gridSpan w:val="13"/>
            <w:shd w:val="clear" w:color="auto" w:fill="CCEEFF"/>
          </w:tcPr>
          <w:p>
            <w:pPr>
              <w:spacing w:after="0" w:line="169"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Registrant, for the quarter ended June 30, 2023, filed August 3, 2023.)</w:t>
              </w:r>
            </w:hyperlink>
          </w:p>
        </w:tc>
        <w:tc>
          <w:tcPr>
            <w:tcW w:w="5240" w:type="dxa"/>
            <w:vAlign w:val="bottom"/>
            <w:tcBorders>
              <w:bottom w:val="single" w:sz="8" w:color="CCEEFF"/>
            </w:tcBorders>
            <w:gridSpan w:val="28"/>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10.5 +</w:t>
            </w:r>
          </w:p>
        </w:tc>
        <w:tc>
          <w:tcPr>
            <w:tcW w:w="10360" w:type="dxa"/>
            <w:vAlign w:val="bottom"/>
            <w:gridSpan w:val="43"/>
          </w:tcPr>
          <w:p>
            <w:pPr>
              <w:spacing w:after="0" w:line="18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Regeneron Pharmaceuticals, Inc. Change in Control Severance Plan, amended and restated effective as of November 14, 2008.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1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(Incorporated by reference from the Form 10-K for the Registrant, for the year ended December 31, 2008, filed February 26, 2009.)</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308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10.6 +</w:t>
            </w:r>
          </w:p>
        </w:tc>
        <w:tc>
          <w:tcPr>
            <w:tcW w:w="10360" w:type="dxa"/>
            <w:vAlign w:val="bottom"/>
            <w:tcBorders>
              <w:right w:val="single" w:sz="8" w:color="CCEEFF"/>
            </w:tcBorders>
            <w:gridSpan w:val="43"/>
            <w:shd w:val="clear" w:color="auto" w:fill="CCEEFF"/>
          </w:tcPr>
          <w:p>
            <w:pPr>
              <w:spacing w:after="0" w:line="18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Regeneron Pharmaceuticals, Inc. Cash Incentive Bonus Plan. (Incorporated by reference from the Form 8-K for the Registrant, filed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0000FF"/>
              <w:bottom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June 17, 2015.)</w:t>
              </w:r>
            </w:hyperlink>
          </w:p>
        </w:tc>
        <w:tc>
          <w:tcPr>
            <w:tcW w:w="9200" w:type="dxa"/>
            <w:vAlign w:val="bottom"/>
            <w:tcBorders>
              <w:top w:val="single" w:sz="8" w:color="0000FF"/>
              <w:bottom w:val="single" w:sz="8" w:color="CCEEFF"/>
            </w:tcBorders>
            <w:gridSpan w:val="40"/>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10.6.1 +</w:t>
            </w:r>
          </w:p>
        </w:tc>
        <w:tc>
          <w:tcPr>
            <w:tcW w:w="10360" w:type="dxa"/>
            <w:vAlign w:val="bottom"/>
            <w:gridSpan w:val="43"/>
          </w:tcPr>
          <w:p>
            <w:pPr>
              <w:spacing w:after="0" w:line="18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First Amendment to Cash Incentive Bonus Plan. (Incorporated by reference from the Form 10-Q for the Registrant, for the quarter</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9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ended March 31, 2023, filed May 4, 2023.)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10360" w:type="dxa"/>
            <w:vAlign w:val="bottom"/>
            <w:tcBorders>
              <w:right w:val="single" w:sz="8" w:color="CCEEFF"/>
            </w:tcBorders>
            <w:gridSpan w:val="43"/>
            <w:shd w:val="clear" w:color="auto" w:fill="CCEEFF"/>
          </w:tcPr>
          <w:p>
            <w:pPr>
              <w:spacing w:after="0" w:line="18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IL-1 Antibody Termination Agreement by and between Novartis Pharma AG, Novartis Pharmaceuticals Corporation and the Registrant,</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23"/>
            <w:shd w:val="clear" w:color="auto" w:fill="CCEEFF"/>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dated as of June 8, 2009. (Incorporated by reference from the Form 10-Q for the Registrant, for the quarter ended June 30, 2009, filed</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0000FF"/>
              <w:bottom w:val="single" w:sz="8" w:color="0000FF"/>
            </w:tcBorders>
            <w:gridSpan w:val="3"/>
            <w:shd w:val="clear" w:color="auto" w:fill="CCEEFF"/>
          </w:tcPr>
          <w:p>
            <w:pPr>
              <w:spacing w:after="0" w:line="169"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August 4, 2009.)</w:t>
              </w:r>
            </w:hyperlink>
          </w:p>
        </w:tc>
        <w:tc>
          <w:tcPr>
            <w:tcW w:w="8840" w:type="dxa"/>
            <w:vAlign w:val="bottom"/>
            <w:tcBorders>
              <w:top w:val="single" w:sz="8" w:color="0000FF"/>
              <w:bottom w:val="single" w:sz="8" w:color="CCEEFF"/>
            </w:tcBorders>
            <w:gridSpan w:val="2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bottom w:val="single" w:sz="8" w:color="CCEEFF"/>
              <w:right w:val="single" w:sz="8" w:color="CCEEFF"/>
            </w:tcBorders>
            <w:gridSpan w:val="3"/>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10360" w:type="dxa"/>
            <w:vAlign w:val="bottom"/>
            <w:gridSpan w:val="43"/>
          </w:tcPr>
          <w:p>
            <w:pPr>
              <w:spacing w:after="0" w:line="18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License and Collaboration Agreement, dated as of October 18, 2006, by and between Bayer HealthCare LLC and the Registrant.</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(Incorporated by reference from the Form 10-Q for the Registrant, for the quarter ended September 30, 2006, filed November 6, 2006.)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308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10.8.1**</w:t>
            </w:r>
          </w:p>
        </w:tc>
        <w:tc>
          <w:tcPr>
            <w:tcW w:w="10360" w:type="dxa"/>
            <w:vAlign w:val="bottom"/>
            <w:tcBorders>
              <w:right w:val="single" w:sz="8" w:color="CCEEFF"/>
            </w:tcBorders>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Restated Amendment Agreement, dated December 30, 2014 and entered into effective as of May 7, 2012, by and between Bayer</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2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HealthCare LLC and the Registrant.</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30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10.8.2**</w:t>
            </w:r>
          </w:p>
        </w:tc>
        <w:tc>
          <w:tcPr>
            <w:tcW w:w="10360" w:type="dxa"/>
            <w:vAlign w:val="bottom"/>
            <w:gridSpan w:val="43"/>
          </w:tcPr>
          <w:p>
            <w:pPr>
              <w:spacing w:after="0" w:line="18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Second Amendment Agreement, dated December 19, 2019, by and between Bayer HealthCare LLC and the Registrant.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reference from the Form 10-K for the Registrant, for the year ended December 31, 2019, filed February 7, 2020.)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308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0360" w:type="dxa"/>
            <w:vAlign w:val="bottom"/>
            <w:tcBorders>
              <w:right w:val="single" w:sz="8" w:color="CCEEFF"/>
            </w:tcBorders>
            <w:gridSpan w:val="43"/>
            <w:shd w:val="clear" w:color="auto" w:fill="CCEEFF"/>
          </w:tcPr>
          <w:p>
            <w:pPr>
              <w:spacing w:after="0" w:line="18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Amended and Restated License and Collaboration Agreement, dated as of November 10, 2009, by and among Aventis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Inc., sanofi-aventis Amerique du Nord, and the Registrant. (Incorporated by reference from the Form 10-K/A for the Registrant, for the</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9980" w:type="dxa"/>
            <w:vAlign w:val="bottom"/>
            <w:tcBorders>
              <w:top w:val="single" w:sz="8" w:color="0000FF"/>
            </w:tcBorders>
            <w:gridSpan w:val="25"/>
            <w:shd w:val="clear" w:color="auto" w:fill="CCEEFF"/>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year ended December 31, 2009, filed June 2, 2010.)</w:t>
              </w:r>
            </w:hyperlink>
          </w:p>
        </w:tc>
        <w:tc>
          <w:tcPr>
            <w:tcW w:w="100" w:type="dxa"/>
            <w:vAlign w:val="bottom"/>
            <w:tcBorders>
              <w:top w:val="single" w:sz="8" w:color="CCEEFF"/>
            </w:tcBorders>
            <w:gridSpan w:val="5"/>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right w:val="single" w:sz="8" w:color="CCEEFF"/>
            </w:tcBorders>
            <w:gridSpan w:val="3"/>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10.9.1**</w:t>
            </w:r>
          </w:p>
        </w:tc>
        <w:tc>
          <w:tcPr>
            <w:tcW w:w="10360" w:type="dxa"/>
            <w:vAlign w:val="bottom"/>
            <w:gridSpan w:val="43"/>
          </w:tcPr>
          <w:p>
            <w:pPr>
              <w:spacing w:after="0" w:line="18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First Amendment to Amended and Restated License and Collaboration Agreement by and between the Registrant and Aventis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1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Pharmaceuticals Inc., dated May 1, 2013. (Incorporated by reference from the Form 10-Q for the Registrant, for the quarter ended June</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92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30, 2023, filed August 3, 2023.)</w:t>
              </w:r>
            </w:hyperlink>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10.9.2*</w:t>
            </w:r>
          </w:p>
        </w:tc>
        <w:tc>
          <w:tcPr>
            <w:tcW w:w="10360" w:type="dxa"/>
            <w:vAlign w:val="bottom"/>
            <w:tcBorders>
              <w:right w:val="single" w:sz="8" w:color="CCEEFF"/>
            </w:tcBorders>
            <w:gridSpan w:val="43"/>
            <w:shd w:val="clear" w:color="auto" w:fill="CCEEFF"/>
          </w:tcPr>
          <w:p>
            <w:pPr>
              <w:spacing w:after="0" w:line="18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Amendment No. 2 to Amended and Restated License and Collaboration Agreement, dated July 27, 2015 and entered into effective as of</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0060" w:type="dxa"/>
            <w:vAlign w:val="bottom"/>
            <w:tcBorders>
              <w:top w:val="single" w:sz="8" w:color="0000FF"/>
            </w:tcBorders>
            <w:gridSpan w:val="29"/>
            <w:shd w:val="clear" w:color="auto" w:fill="CCEEFF"/>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July 1, 2015, by and between the Registrant and Sanofi Biotechnology SAS, as successor-in-interest to Aventis Pharmaceuticals, Inc.</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9840" w:type="dxa"/>
            <w:vAlign w:val="bottom"/>
            <w:tcBorders>
              <w:top w:val="single" w:sz="8" w:color="0000FF"/>
            </w:tcBorders>
            <w:gridSpan w:val="18"/>
            <w:shd w:val="clear" w:color="auto" w:fill="CCEEFF"/>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(Incorporated by reference from the Form 10-Q for the Registrant, for the quarter ended September 30, 2015, filed November 4, 2015.)</w:t>
              </w:r>
            </w:hyperlink>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120" w:type="dxa"/>
            <w:vAlign w:val="bottom"/>
            <w:tcBorders>
              <w:top w:val="single" w:sz="8" w:color="CCEEFF"/>
            </w:tcBorders>
            <w:gridSpan w:val="6"/>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right w:val="single" w:sz="8" w:color="CCEEFF"/>
            </w:tcBorders>
            <w:gridSpan w:val="3"/>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30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10.9.3**</w:t>
            </w:r>
          </w:p>
        </w:tc>
        <w:tc>
          <w:tcPr>
            <w:tcW w:w="10360" w:type="dxa"/>
            <w:vAlign w:val="bottom"/>
            <w:gridSpan w:val="43"/>
          </w:tcPr>
          <w:p>
            <w:pPr>
              <w:spacing w:after="0" w:line="18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Third Amendment to Amended and Restated License and Collaboration Agreement, dated as of April 5, 2020, and effective as of April</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60" w:type="dxa"/>
            <w:vAlign w:val="bottom"/>
            <w:tcBorders>
              <w:top w:val="single" w:sz="8" w:color="0000FF"/>
              <w:bottom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1, 2020, by and between the Registrant, Sanofi Biotechnology SAS, and Sanofi. (Incorporated by reference from the Form 10-Q for the</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80" w:type="dxa"/>
            <w:vAlign w:val="bottom"/>
            <w:gridSpan w:val="40"/>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Registrant, for the quarter ended June 30, 2020, filed August 5, 2020.)</w:t>
              </w:r>
            </w:hyperlink>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10.9.4**</w:t>
            </w:r>
          </w:p>
        </w:tc>
        <w:tc>
          <w:tcPr>
            <w:tcW w:w="10360" w:type="dxa"/>
            <w:vAlign w:val="bottom"/>
            <w:tcBorders>
              <w:right w:val="single" w:sz="8" w:color="CCEEFF"/>
            </w:tcBorders>
            <w:gridSpan w:val="43"/>
            <w:shd w:val="clear" w:color="auto" w:fill="CCEEFF"/>
          </w:tcPr>
          <w:p>
            <w:pPr>
              <w:spacing w:after="0" w:line="18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Fourth Amendment to Amended and Restated License and Collaboration Agreement, dated as of October 6, 2021, by and between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10080" w:type="dxa"/>
            <w:vAlign w:val="bottom"/>
            <w:tcBorders>
              <w:top w:val="single" w:sz="8" w:color="0000FF"/>
              <w:bottom w:val="single" w:sz="8" w:color="0000FF"/>
            </w:tcBorders>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Registrant, Sanofi Biotechnology SAS, and Sanofi. (Incorporated by reference from the Form 10-K for the Registrant, for the year</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0000FF"/>
            </w:tcBorders>
            <w:gridSpan w:val="5"/>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gridSpan w:val="5"/>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700" w:type="dxa"/>
            <w:vAlign w:val="bottom"/>
            <w:tcBorders>
              <w:bottom w:val="single" w:sz="8" w:color="0000FF"/>
            </w:tcBorders>
            <w:gridSpan w:val="11"/>
            <w:shd w:val="clear" w:color="auto" w:fill="CCEEFF"/>
          </w:tcPr>
          <w:p>
            <w:pPr>
              <w:spacing w:after="0" w:line="169"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ended December 31, 2021, filed February 7, 2022.)</w:t>
              </w:r>
            </w:hyperlink>
          </w:p>
        </w:tc>
        <w:tc>
          <w:tcPr>
            <w:tcW w:w="6520" w:type="dxa"/>
            <w:vAlign w:val="bottom"/>
            <w:tcBorders>
              <w:bottom w:val="single" w:sz="8" w:color="CCEEFF"/>
            </w:tcBorders>
            <w:gridSpan w:val="26"/>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gridSpan w:val="5"/>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10.9.5**</w:t>
            </w:r>
          </w:p>
        </w:tc>
        <w:tc>
          <w:tcPr>
            <w:tcW w:w="10360" w:type="dxa"/>
            <w:vAlign w:val="bottom"/>
            <w:gridSpan w:val="43"/>
          </w:tcPr>
          <w:p>
            <w:pPr>
              <w:spacing w:after="0" w:line="18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Fifth Amendment to Amended and Restated License and Collaboration Agreement, dated as of June 1, 2022, by and between the</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9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Registrant, Sanofi Biotechnology SAS, and Sanofi. (Incorporated by reference from the Form 10-Q for the Registrant, for the quarter</w:t>
              </w:r>
            </w:hyperlink>
          </w:p>
        </w:tc>
        <w:tc>
          <w:tcPr>
            <w:tcW w:w="16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14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ended June 30, 2022, filed August 3, 2022.)</w:t>
              </w:r>
            </w:hyperlink>
          </w:p>
        </w:tc>
        <w:tc>
          <w:tcPr>
            <w:tcW w:w="100" w:type="dxa"/>
            <w:vAlign w:val="bottom"/>
            <w:gridSpan w:val="5"/>
          </w:tcPr>
          <w:p>
            <w:pPr>
              <w:spacing w:after="0"/>
              <w:rPr>
                <w:sz w:val="14"/>
                <w:szCs w:val="14"/>
                <w:color w:val="auto"/>
              </w:rPr>
            </w:pPr>
          </w:p>
        </w:tc>
        <w:tc>
          <w:tcPr>
            <w:tcW w:w="1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10360" w:type="dxa"/>
            <w:vAlign w:val="bottom"/>
            <w:tcBorders>
              <w:right w:val="single" w:sz="8" w:color="CCEEFF"/>
            </w:tcBorders>
            <w:gridSpan w:val="43"/>
            <w:shd w:val="clear" w:color="auto" w:fill="CCEEFF"/>
          </w:tcPr>
          <w:p>
            <w:pPr>
              <w:spacing w:after="0" w:line="18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Praluent Cross License &amp; Commercialization Agreement, dated as of April 5, 2020, and effective as of April 1, 2020, by and between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0360" w:type="dxa"/>
            <w:vAlign w:val="bottom"/>
            <w:tcBorders>
              <w:top w:val="single" w:sz="8" w:color="0000FF"/>
              <w:right w:val="single" w:sz="8" w:color="CCEEFF"/>
            </w:tcBorders>
            <w:gridSpan w:val="43"/>
            <w:shd w:val="clear" w:color="auto" w:fill="CCEEFF"/>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the Registrant and Sanofi Biotechnology SAS. (Incorporated by reference from the Form 10-Q for the Registrant, for the quarter ended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680" w:type="dxa"/>
            <w:vAlign w:val="bottom"/>
            <w:tcBorders>
              <w:top w:val="single" w:sz="8" w:color="0000FF"/>
              <w:bottom w:val="single" w:sz="8" w:color="0000FF"/>
            </w:tcBorders>
            <w:gridSpan w:val="8"/>
            <w:shd w:val="clear" w:color="auto" w:fill="CCEEFF"/>
          </w:tcPr>
          <w:p>
            <w:pPr>
              <w:spacing w:after="0" w:line="169"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June 30, 2020, filed August 5, 2020.)</w:t>
              </w:r>
            </w:hyperlink>
          </w:p>
        </w:tc>
        <w:tc>
          <w:tcPr>
            <w:tcW w:w="7440" w:type="dxa"/>
            <w:vAlign w:val="bottom"/>
            <w:tcBorders>
              <w:top w:val="single" w:sz="8" w:color="0000FF"/>
              <w:bottom w:val="single" w:sz="8" w:color="CCEEFF"/>
            </w:tcBorders>
            <w:gridSpan w:val="24"/>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gridSpan w:val="5"/>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10360" w:type="dxa"/>
            <w:vAlign w:val="bottom"/>
            <w:gridSpan w:val="43"/>
          </w:tcPr>
          <w:p>
            <w:pPr>
              <w:spacing w:after="0" w:line="18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Amended and Restated Investor Agreement, dated as of January 11, 2014, by and among Sanofi, sanofi-aventis US LLC, Aventis</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9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Pharmaceuticals Inc., sanofi-aventis Amerique du Nord, and the Registrant. (Incorporated by reference from the Form 8-K for the</w:t>
              </w:r>
            </w:hyperlink>
          </w:p>
        </w:tc>
        <w:tc>
          <w:tcPr>
            <w:tcW w:w="320" w:type="dxa"/>
            <w:vAlign w:val="bottom"/>
            <w:gridSpan w:val="16"/>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Registrant, filed January 13, 2014.)</w:t>
              </w:r>
            </w:hyperlink>
          </w:p>
        </w:tc>
        <w:tc>
          <w:tcPr>
            <w:tcW w:w="380" w:type="dxa"/>
            <w:vAlign w:val="bottom"/>
            <w:gridSpan w:val="19"/>
          </w:tcPr>
          <w:p>
            <w:pPr>
              <w:spacing w:after="0"/>
              <w:rPr>
                <w:sz w:val="14"/>
                <w:szCs w:val="14"/>
                <w:color w:val="auto"/>
              </w:rPr>
            </w:pPr>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10.11.1</w:t>
            </w:r>
          </w:p>
        </w:tc>
        <w:tc>
          <w:tcPr>
            <w:tcW w:w="10360" w:type="dxa"/>
            <w:vAlign w:val="bottom"/>
            <w:tcBorders>
              <w:right w:val="single" w:sz="8" w:color="CCEEFF"/>
            </w:tcBorders>
            <w:gridSpan w:val="43"/>
            <w:shd w:val="clear" w:color="auto" w:fill="CCEEFF"/>
          </w:tcPr>
          <w:p>
            <w:pPr>
              <w:spacing w:after="0" w:line="18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Amendment to the Amended and Restated Investor Agreement, dated as of May 25, 2020, by and among the Registrant, Sanofi, Sanofi-</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10240" w:type="dxa"/>
            <w:vAlign w:val="bottom"/>
            <w:tcBorders>
              <w:top w:val="single" w:sz="8" w:color="0000FF"/>
            </w:tcBorders>
            <w:gridSpan w:val="38"/>
            <w:shd w:val="clear" w:color="auto" w:fill="CCEEFF"/>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Aventis US LLC, and Aventisub LLC. (Incorporated by reference from the Form 8-K for the Registrant, filed May 29, 2020.)</w:t>
              </w:r>
            </w:hyperlink>
          </w:p>
        </w:tc>
        <w:tc>
          <w:tcPr>
            <w:tcW w:w="120" w:type="dxa"/>
            <w:vAlign w:val="bottom"/>
            <w:tcBorders>
              <w:top w:val="single" w:sz="8" w:color="CCEEFF"/>
              <w:right w:val="single" w:sz="8" w:color="CCEEFF"/>
            </w:tcBorders>
            <w:gridSpan w:val="5"/>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1"/>
        </w:trPr>
        <w:tc>
          <w:tcPr>
            <w:tcW w:w="140" w:type="dxa"/>
            <w:vAlign w:val="bottom"/>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5060" w:type="dxa"/>
            <w:vAlign w:val="bottom"/>
            <w:tcBorders>
              <w:top w:val="single" w:sz="8" w:color="0000FF"/>
            </w:tcBorders>
            <w:gridSpan w:val="13"/>
          </w:tcPr>
          <w:p>
            <w:pPr>
              <w:ind w:left="4300"/>
              <w:spacing w:after="0"/>
              <w:rPr>
                <w:sz w:val="20"/>
                <w:szCs w:val="20"/>
                <w:color w:val="auto"/>
              </w:rPr>
            </w:pPr>
            <w:r>
              <w:rPr>
                <w:rFonts w:ascii="Times New Roman" w:cs="Times New Roman" w:eastAsia="Times New Roman" w:hAnsi="Times New Roman"/>
                <w:sz w:val="18"/>
                <w:szCs w:val="18"/>
                <w:color w:val="auto"/>
              </w:rPr>
              <w:t>89</w:t>
            </w:r>
          </w:p>
        </w:tc>
        <w:tc>
          <w:tcPr>
            <w:tcW w:w="30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4"/>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1160" w:type="dxa"/>
            <w:vAlign w:val="bottom"/>
            <w:tcBorders>
              <w:top w:val="single" w:sz="8" w:color="0000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24"/>
                <w:szCs w:val="24"/>
                <w:color w:val="auto"/>
              </w:rPr>
            </w:pPr>
          </w:p>
        </w:tc>
        <w:tc>
          <w:tcPr>
            <w:tcW w:w="10120" w:type="dxa"/>
            <w:vAlign w:val="bottom"/>
            <w:gridSpan w:val="32"/>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Credit Agreement, dated as of December 19, 2022, by and among the Registrant, as a borrower and guarantor, certain direct subsidiaries</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9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of the Registrant, as the initial subsidiary borrowers, the lenders and issuing banks party thereto, and JPMorgan Chase Bank, N.A.,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900" w:type="dxa"/>
            <w:vAlign w:val="bottom"/>
            <w:tcBorders>
              <w:top w:val="single" w:sz="8" w:color="0000FF"/>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administrative agent, swingline lender, and an issuing bank. (Incorporated by reference from the Form 8-K for the Registrant,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980" w:type="dxa"/>
            <w:vAlign w:val="bottom"/>
            <w:gridSpan w:val="25"/>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December 20,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80" w:type="dxa"/>
            <w:vAlign w:val="bottom"/>
            <w:shd w:val="clear" w:color="auto" w:fill="CCEEFF"/>
          </w:tcPr>
          <w:p>
            <w:pPr>
              <w:spacing w:after="0"/>
              <w:rPr>
                <w:sz w:val="16"/>
                <w:szCs w:val="16"/>
                <w:color w:val="auto"/>
              </w:rPr>
            </w:pPr>
          </w:p>
        </w:tc>
        <w:tc>
          <w:tcPr>
            <w:tcW w:w="1012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Amended and Restated Immuno-oncology License and Collaboration Agreement, dated as of June 1, 2022, by and between the</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60" w:type="dxa"/>
            <w:vAlign w:val="bottom"/>
            <w:tcBorders>
              <w:top w:val="single" w:sz="8" w:color="0000FF"/>
            </w:tcBorders>
            <w:gridSpan w:val="29"/>
            <w:shd w:val="clear" w:color="auto" w:fill="CCEEFF"/>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Registrant and Sanofi Biotechnology SAS. (Incorporated by reference from the Form 10-Q for the Registrant, for the quarter ended June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40" w:type="dxa"/>
            <w:vAlign w:val="bottom"/>
            <w:tcBorders>
              <w:top w:val="single" w:sz="8" w:color="0000FF"/>
            </w:tcBorders>
            <w:gridSpan w:val="28"/>
            <w:shd w:val="clear" w:color="auto" w:fill="CCEEFF"/>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30, 2022, filed August 3, 2022.)</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6"/>
                <w:szCs w:val="16"/>
                <w:color w:val="auto"/>
              </w:rPr>
            </w:pPr>
          </w:p>
        </w:tc>
        <w:tc>
          <w:tcPr>
            <w:tcW w:w="10120" w:type="dxa"/>
            <w:vAlign w:val="bottom"/>
            <w:gridSpan w:val="32"/>
          </w:tcPr>
          <w:p>
            <w:pPr>
              <w:spacing w:after="0" w:line="18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Purchase Agreement, dated as of December 30, 2016, by and among BMR-Landmark at Eastview LLC and BMR-Landmark at</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Eastview IV LLC and the Registrant. (Incorporated by reference from the Form 10-K for the Registrant, for the year ended December</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8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31, 2016, filed February 9, 2017.)</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80" w:type="dxa"/>
            <w:vAlign w:val="bottom"/>
            <w:shd w:val="clear" w:color="auto" w:fill="CCEEFF"/>
          </w:tcPr>
          <w:p>
            <w:pPr>
              <w:spacing w:after="0"/>
              <w:rPr>
                <w:sz w:val="16"/>
                <w:szCs w:val="16"/>
                <w:color w:val="auto"/>
              </w:rPr>
            </w:pPr>
          </w:p>
        </w:tc>
        <w:tc>
          <w:tcPr>
            <w:tcW w:w="1012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Third Amended and Restated Participation Agreement, dated as of March 27, 2023, by and among Old Saw Mill Holdings LLC, as</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920" w:type="dxa"/>
            <w:vAlign w:val="bottom"/>
            <w:tcBorders>
              <w:top w:val="single" w:sz="8" w:color="0000FF"/>
              <w:bottom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lessee, Bank of America, N.A., as administrative agent, BA Leasing BSC, LLC, as lessor, and the rent assignees party thereto from time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960" w:type="dxa"/>
            <w:vAlign w:val="bottom"/>
            <w:tcBorders>
              <w:bottom w:val="single" w:sz="8" w:color="0000FF"/>
            </w:tcBorders>
            <w:gridSpan w:val="10"/>
            <w:shd w:val="clear" w:color="auto" w:fill="CCEEFF"/>
          </w:tcPr>
          <w:p>
            <w:pPr>
              <w:spacing w:after="0" w:line="169"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to time. (Incorporated by reference from the Form 8-K for the Registrant, filed March 29, 2023.)</w:t>
              </w:r>
            </w:hyperlink>
          </w:p>
        </w:tc>
        <w:tc>
          <w:tcPr>
            <w:tcW w:w="2980" w:type="dxa"/>
            <w:vAlign w:val="bottom"/>
            <w:tcBorders>
              <w:bottom w:val="single" w:sz="8" w:color="CCEEFF"/>
            </w:tcBorders>
            <w:gridSpan w:val="13"/>
            <w:shd w:val="clear" w:color="auto" w:fill="CCEEFF"/>
          </w:tcPr>
          <w:p>
            <w:pPr>
              <w:spacing w:after="0"/>
              <w:rPr>
                <w:sz w:val="16"/>
                <w:szCs w:val="16"/>
                <w:color w:val="auto"/>
              </w:rPr>
            </w:pPr>
          </w:p>
        </w:tc>
        <w:tc>
          <w:tcPr>
            <w:tcW w:w="80" w:type="dxa"/>
            <w:vAlign w:val="bottom"/>
            <w:tcBorders>
              <w:bottom w:val="single" w:sz="8" w:color="CCEEFF"/>
            </w:tcBorders>
            <w:gridSpan w:val="4"/>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6"/>
                <w:szCs w:val="16"/>
                <w:color w:val="auto"/>
              </w:rPr>
            </w:pPr>
          </w:p>
        </w:tc>
        <w:tc>
          <w:tcPr>
            <w:tcW w:w="10120" w:type="dxa"/>
            <w:vAlign w:val="bottom"/>
            <w:gridSpan w:val="32"/>
          </w:tcPr>
          <w:p>
            <w:pPr>
              <w:spacing w:after="0" w:line="18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Third Amended and Restated Lease and Remedies Agreement, dated as of March 27, 2023, between Old Saw Mill Holdings LLC, as</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lessee, and BA Leasing BSC, LLC, as lessor. (Incorporated by reference from the Form 8-K for the Registrant, filed March 29, 2023.)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80" w:type="dxa"/>
            <w:vAlign w:val="bottom"/>
            <w:shd w:val="clear" w:color="auto" w:fill="CCEEFF"/>
          </w:tcPr>
          <w:p>
            <w:pPr>
              <w:spacing w:after="0"/>
              <w:rPr>
                <w:sz w:val="16"/>
                <w:szCs w:val="16"/>
                <w:color w:val="auto"/>
              </w:rPr>
            </w:pPr>
          </w:p>
        </w:tc>
        <w:tc>
          <w:tcPr>
            <w:tcW w:w="1012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Third Amended and Restated Guaranty, dated as of March 27, 2023, made by the Registrant, Regeneron Healthcare Solutions, Inc., and</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80" w:type="dxa"/>
            <w:vAlign w:val="bottom"/>
            <w:tcBorders>
              <w:top w:val="single" w:sz="8" w:color="0000FF"/>
              <w:bottom w:val="single" w:sz="8" w:color="0000FF"/>
            </w:tcBorders>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Regeneron Genetics Center LLC, as guarantors. (Incorporated by reference from the Form 8-K for the Registrant, filed March 29,</w:t>
              </w:r>
            </w:hyperlink>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0000FF"/>
            </w:tcBorders>
            <w:shd w:val="clear" w:color="auto" w:fill="CCEEFF"/>
          </w:tcPr>
          <w:p>
            <w:pPr>
              <w:spacing w:after="0" w:line="169" w:lineRule="exact"/>
              <w:rPr>
                <w:rFonts w:ascii="Times New Roman" w:cs="Times New Roman" w:eastAsia="Times New Roman" w:hAnsi="Times New Roman"/>
                <w:sz w:val="18"/>
                <w:szCs w:val="18"/>
                <w:color w:val="0000FF"/>
                <w:w w:val="94"/>
              </w:rPr>
            </w:pPr>
            <w:hyperlink r:id="rId170">
              <w:r>
                <w:rPr>
                  <w:rFonts w:ascii="Times New Roman" w:cs="Times New Roman" w:eastAsia="Times New Roman" w:hAnsi="Times New Roman"/>
                  <w:sz w:val="18"/>
                  <w:szCs w:val="18"/>
                  <w:color w:val="0000FF"/>
                  <w:w w:val="94"/>
                </w:rPr>
                <w:t>2023.</w:t>
              </w:r>
              <w:r>
                <w:rPr>
                  <w:rFonts w:ascii="Times New Roman" w:cs="Times New Roman" w:eastAsia="Times New Roman" w:hAnsi="Times New Roman"/>
                  <w:sz w:val="18"/>
                  <w:szCs w:val="18"/>
                  <w:u w:val="single" w:color="auto"/>
                  <w:color w:val="0000FF"/>
                  <w:w w:val="94"/>
                </w:rPr>
                <w:t>)</w:t>
              </w:r>
            </w:hyperlink>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80" w:type="dxa"/>
            <w:vAlign w:val="bottom"/>
            <w:tcBorders>
              <w:top w:val="single" w:sz="8" w:color="CCEEFF"/>
            </w:tcBorders>
          </w:tcPr>
          <w:p>
            <w:pPr>
              <w:spacing w:after="0"/>
              <w:rPr>
                <w:sz w:val="16"/>
                <w:szCs w:val="16"/>
                <w:color w:val="auto"/>
              </w:rPr>
            </w:pPr>
          </w:p>
        </w:tc>
        <w:tc>
          <w:tcPr>
            <w:tcW w:w="10120" w:type="dxa"/>
            <w:vAlign w:val="bottom"/>
            <w:tcBorders>
              <w:top w:val="single" w:sz="8" w:color="CCEEFF"/>
            </w:tcBorders>
            <w:gridSpan w:val="32"/>
          </w:tcPr>
          <w:p>
            <w:pPr>
              <w:spacing w:after="0" w:line="18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Master Agreement, dated as of April 8, 2019, by and between the Registrant and Alnylam Pharmaceuticals, Inc. (Incorporated by</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reference from the Form 10-Q for the Registrant, for the quarter ended June 30, 2019, filed August 6, 2019.)</w:t>
              </w:r>
            </w:hyperlink>
          </w:p>
        </w:tc>
        <w:tc>
          <w:tcPr>
            <w:tcW w:w="24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vMerge w:val="continue"/>
          </w:tcPr>
          <w:p>
            <w:pPr>
              <w:spacing w:after="0"/>
              <w:rPr>
                <w:sz w:val="18"/>
                <w:szCs w:val="18"/>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10.18.1**</w:t>
            </w:r>
          </w:p>
        </w:tc>
        <w:tc>
          <w:tcPr>
            <w:tcW w:w="80" w:type="dxa"/>
            <w:vAlign w:val="bottom"/>
            <w:shd w:val="clear" w:color="auto" w:fill="CCEEFF"/>
          </w:tcPr>
          <w:p>
            <w:pPr>
              <w:spacing w:after="0"/>
              <w:rPr>
                <w:sz w:val="18"/>
                <w:szCs w:val="18"/>
                <w:color w:val="auto"/>
              </w:rPr>
            </w:pPr>
          </w:p>
        </w:tc>
        <w:tc>
          <w:tcPr>
            <w:tcW w:w="1012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Co-Co Collaboration Agreement (Exhibit B to Master Agreement contained in Exhibit 10.18).</w:t>
              </w:r>
            </w:hyperlink>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10.18.2**</w:t>
            </w:r>
          </w:p>
        </w:tc>
        <w:tc>
          <w:tcPr>
            <w:tcW w:w="80" w:type="dxa"/>
            <w:vAlign w:val="bottom"/>
            <w:tcBorders>
              <w:top w:val="single" w:sz="8" w:color="CCEEFF"/>
            </w:tcBorders>
          </w:tcPr>
          <w:p>
            <w:pPr>
              <w:spacing w:after="0"/>
              <w:rPr>
                <w:sz w:val="16"/>
                <w:szCs w:val="16"/>
                <w:color w:val="auto"/>
              </w:rPr>
            </w:pPr>
          </w:p>
        </w:tc>
        <w:tc>
          <w:tcPr>
            <w:tcW w:w="7420" w:type="dxa"/>
            <w:vAlign w:val="bottom"/>
            <w:tcBorders>
              <w:top w:val="single" w:sz="8" w:color="0000FF"/>
            </w:tcBorders>
            <w:gridSpan w:val="11"/>
          </w:tcPr>
          <w:p>
            <w:pPr>
              <w:spacing w:after="0" w:line="18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License Agreement (Exhibit C to Master Agreement contained in Exhibit 10.18).</w:t>
              </w:r>
            </w:hyperlink>
          </w:p>
        </w:tc>
        <w:tc>
          <w:tcPr>
            <w:tcW w:w="2700" w:type="dxa"/>
            <w:vAlign w:val="bottom"/>
            <w:tcBorders>
              <w:top w:val="single" w:sz="8" w:color="CCEEFF"/>
            </w:tcBorders>
            <w:gridSpan w:val="21"/>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10.18.3**</w:t>
            </w:r>
          </w:p>
        </w:tc>
        <w:tc>
          <w:tcPr>
            <w:tcW w:w="80" w:type="dxa"/>
            <w:vAlign w:val="bottom"/>
            <w:shd w:val="clear" w:color="auto" w:fill="CCEEFF"/>
          </w:tcPr>
          <w:p>
            <w:pPr>
              <w:spacing w:after="0"/>
              <w:rPr>
                <w:sz w:val="16"/>
                <w:szCs w:val="16"/>
                <w:color w:val="auto"/>
              </w:rPr>
            </w:pPr>
          </w:p>
        </w:tc>
        <w:tc>
          <w:tcPr>
            <w:tcW w:w="1012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Amendment No. 1 to Master Agreement, dated as of April 10, 2023, by and between the Registrant and Alnylam Pharmaceuticals, Inc.</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(Incorporated by reference from the Form 10-Q for the Registrant, for the quarter ended June 30, 2023, filed August 3, 2023.)</w:t>
              </w:r>
            </w:hyperlink>
          </w:p>
        </w:tc>
        <w:tc>
          <w:tcPr>
            <w:tcW w:w="220" w:type="dxa"/>
            <w:vAlign w:val="bottom"/>
            <w:tcBorders>
              <w:top w:val="single" w:sz="8" w:color="CCEEFF"/>
            </w:tcBorders>
            <w:gridSpan w:val="11"/>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10.18.4**</w:t>
            </w:r>
          </w:p>
        </w:tc>
        <w:tc>
          <w:tcPr>
            <w:tcW w:w="80" w:type="dxa"/>
            <w:vAlign w:val="bottom"/>
          </w:tcPr>
          <w:p>
            <w:pPr>
              <w:spacing w:after="0"/>
              <w:rPr>
                <w:sz w:val="16"/>
                <w:szCs w:val="16"/>
                <w:color w:val="auto"/>
              </w:rPr>
            </w:pPr>
          </w:p>
        </w:tc>
        <w:tc>
          <w:tcPr>
            <w:tcW w:w="10120" w:type="dxa"/>
            <w:vAlign w:val="bottom"/>
            <w:gridSpan w:val="32"/>
          </w:tcPr>
          <w:p>
            <w:pPr>
              <w:spacing w:after="0" w:line="18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Amendment No. 2 to Master Agreement, dated as of March 7, 2024, by and between the Registrant and Alnylam Pharmaceuticals, Inc.</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 xml:space="preserve">(Incorporated by reference from the Form 10-Q for the Registrant, for the quarter ended March </w:t>
              </w:r>
            </w:hyperlink>
            <w:r>
              <w:rPr>
                <w:rFonts w:ascii="Times New Roman" w:cs="Times New Roman" w:eastAsia="Times New Roman" w:hAnsi="Times New Roman"/>
                <w:sz w:val="18"/>
                <w:szCs w:val="18"/>
                <w:color w:val="0000FF"/>
              </w:rPr>
              <w:t xml:space="preserve">31, </w:t>
            </w:r>
            <w:hyperlink r:id="rId175">
              <w:r>
                <w:rPr>
                  <w:rFonts w:ascii="Times New Roman" w:cs="Times New Roman" w:eastAsia="Times New Roman" w:hAnsi="Times New Roman"/>
                  <w:sz w:val="18"/>
                  <w:szCs w:val="18"/>
                  <w:color w:val="0000FF"/>
                </w:rPr>
                <w:t xml:space="preserve">2024, filed May 2, </w:t>
              </w:r>
            </w:hyperlink>
            <w:r>
              <w:rPr>
                <w:rFonts w:ascii="Times New Roman" w:cs="Times New Roman" w:eastAsia="Times New Roman" w:hAnsi="Times New Roman"/>
                <w:sz w:val="18"/>
                <w:szCs w:val="18"/>
                <w:color w:val="0000FF"/>
              </w:rPr>
              <w:t>2024.)</w:t>
            </w:r>
          </w:p>
        </w:tc>
        <w:tc>
          <w:tcPr>
            <w:tcW w:w="26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10.18.5**</w:t>
            </w:r>
          </w:p>
        </w:tc>
        <w:tc>
          <w:tcPr>
            <w:tcW w:w="80" w:type="dxa"/>
            <w:vAlign w:val="bottom"/>
            <w:shd w:val="clear" w:color="auto" w:fill="CCEEFF"/>
          </w:tcPr>
          <w:p>
            <w:pPr>
              <w:spacing w:after="0"/>
              <w:rPr>
                <w:sz w:val="16"/>
                <w:szCs w:val="16"/>
                <w:color w:val="auto"/>
              </w:rPr>
            </w:pPr>
          </w:p>
        </w:tc>
        <w:tc>
          <w:tcPr>
            <w:tcW w:w="1012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Amendment No. 3 to Master Agreement, dated as of August 1, 2024, by and between the Registrant and Alnylam Pharmaceuticals, Inc.</w:t>
              </w:r>
            </w:hyperlink>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40" w:type="dxa"/>
            <w:vAlign w:val="bottom"/>
            <w:tcBorders>
              <w:top w:val="single" w:sz="8" w:color="0000FF"/>
              <w:bottom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 xml:space="preserve">(Incorporated by reference from the Form 10-Q for the Registrant, for the quarter ended September 30, 2024, filed October </w:t>
              </w:r>
            </w:hyperlink>
            <w:r>
              <w:rPr>
                <w:rFonts w:ascii="Times New Roman" w:cs="Times New Roman" w:eastAsia="Times New Roman" w:hAnsi="Times New Roman"/>
                <w:sz w:val="18"/>
                <w:szCs w:val="18"/>
                <w:color w:val="0000FF"/>
                <w:w w:val="99"/>
              </w:rPr>
              <w:t>31, 2024.)</w:t>
            </w:r>
          </w:p>
        </w:tc>
        <w:tc>
          <w:tcPr>
            <w:tcW w:w="46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6"/>
                <w:szCs w:val="16"/>
                <w:color w:val="auto"/>
              </w:rPr>
            </w:pPr>
          </w:p>
        </w:tc>
        <w:tc>
          <w:tcPr>
            <w:tcW w:w="1012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Insider Trading Policy.</w:t>
            </w: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6"/>
                <w:szCs w:val="16"/>
                <w:color w:val="auto"/>
              </w:rPr>
            </w:pPr>
          </w:p>
        </w:tc>
        <w:tc>
          <w:tcPr>
            <w:tcW w:w="1012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the Registrant.</w:t>
            </w: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6"/>
                <w:szCs w:val="16"/>
                <w:color w:val="auto"/>
              </w:rPr>
            </w:pPr>
          </w:p>
        </w:tc>
        <w:tc>
          <w:tcPr>
            <w:tcW w:w="1012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vMerge w:val="continue"/>
          </w:tcPr>
          <w:p>
            <w:pPr>
              <w:spacing w:after="0"/>
              <w:rPr>
                <w:sz w:val="18"/>
                <w:szCs w:val="18"/>
                <w:color w:val="auto"/>
              </w:rPr>
            </w:pPr>
          </w:p>
        </w:tc>
        <w:tc>
          <w:tcPr>
            <w:tcW w:w="10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24.1</w:t>
            </w:r>
          </w:p>
        </w:tc>
        <w:tc>
          <w:tcPr>
            <w:tcW w:w="80" w:type="dxa"/>
            <w:vAlign w:val="bottom"/>
            <w:tcBorders>
              <w:bottom w:val="single" w:sz="8" w:color="CCEEFF"/>
            </w:tcBorders>
            <w:shd w:val="clear" w:color="auto" w:fill="CCEEFF"/>
          </w:tcPr>
          <w:p>
            <w:pPr>
              <w:spacing w:after="0"/>
              <w:rPr>
                <w:sz w:val="18"/>
                <w:szCs w:val="18"/>
                <w:color w:val="auto"/>
              </w:rPr>
            </w:pPr>
          </w:p>
        </w:tc>
        <w:tc>
          <w:tcPr>
            <w:tcW w:w="644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Power of Attorney (included on the signature page of this Annual Report on Form 10-K).</w:t>
            </w:r>
          </w:p>
        </w:tc>
        <w:tc>
          <w:tcPr>
            <w:tcW w:w="3680" w:type="dxa"/>
            <w:vAlign w:val="bottom"/>
            <w:tcBorders>
              <w:bottom w:val="single" w:sz="8" w:color="CCEEFF"/>
            </w:tcBorders>
            <w:gridSpan w:val="25"/>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6"/>
                <w:szCs w:val="16"/>
                <w:color w:val="auto"/>
              </w:rPr>
            </w:pPr>
          </w:p>
        </w:tc>
        <w:tc>
          <w:tcPr>
            <w:tcW w:w="1012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 13a-14(a) under the Securities Exchange Act of 1934.</w:t>
            </w: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16"/>
                <w:szCs w:val="16"/>
                <w:color w:val="auto"/>
              </w:rPr>
            </w:pPr>
          </w:p>
        </w:tc>
        <w:tc>
          <w:tcPr>
            <w:tcW w:w="1012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under the Securities Exchange Act of 1934.</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40" w:hanging="1079"/>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wp:posOffset>
            </wp:positionV>
            <wp:extent cx="6960870" cy="2660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7">
                      <a:extLst>
                        <a:ext uri="{28A0092B-C50C-407E-A947-70E740481C1C}"/>
                      </a:extLst>
                    </a:blip>
                    <a:srcRect/>
                    <a:stretch>
                      <a:fillRect/>
                    </a:stretch>
                  </pic:blipFill>
                  <pic:spPr bwMode="auto">
                    <a:xfrm>
                      <a:off x="0" y="0"/>
                      <a:ext cx="6960870" cy="266065"/>
                    </a:xfrm>
                    <a:prstGeom prst="rect">
                      <a:avLst/>
                    </a:prstGeom>
                    <a:noFill/>
                  </pic:spPr>
                </pic:pic>
              </a:graphicData>
            </a:graphic>
          </wp:anchor>
        </w:drawing>
      </w:r>
    </w:p>
    <w:p>
      <w:pPr>
        <w:spacing w:after="0" w:line="3" w:lineRule="exact"/>
        <w:rPr>
          <w:sz w:val="20"/>
          <w:szCs w:val="20"/>
          <w:color w:val="auto"/>
        </w:rPr>
      </w:pPr>
    </w:p>
    <w:p>
      <w:pPr>
        <w:ind w:left="1240" w:right="20" w:hanging="1079"/>
        <w:spacing w:after="0" w:line="234"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97.1</w:t>
      </w:r>
      <w:r>
        <w:rPr>
          <w:sz w:val="20"/>
          <w:szCs w:val="20"/>
          <w:color w:val="auto"/>
        </w:rPr>
        <w:tab/>
      </w:r>
      <w:hyperlink r:id="rId178">
        <w:r>
          <w:rPr>
            <w:rFonts w:ascii="Times New Roman" w:cs="Times New Roman" w:eastAsia="Times New Roman" w:hAnsi="Times New Roman"/>
            <w:sz w:val="18"/>
            <w:szCs w:val="18"/>
            <w:u w:val="single" w:color="auto"/>
            <w:color w:val="0000FF"/>
          </w:rPr>
          <w:t>Clawback Policy. (Incorporated by reference from the Form 10-K for the Registrant, for the year ended December 31, 2023, filed</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February 5, 2024.)</w:t>
        </w:r>
      </w:hyperlink>
    </w:p>
    <w:p>
      <w:pPr>
        <w:spacing w:after="0" w:line="10" w:lineRule="exact"/>
        <w:rPr>
          <w:sz w:val="20"/>
          <w:szCs w:val="20"/>
          <w:color w:val="auto"/>
        </w:rPr>
      </w:pPr>
    </w:p>
    <w:p>
      <w:pPr>
        <w:jc w:val="both"/>
        <w:ind w:left="1240" w:right="20" w:hanging="1079"/>
        <w:spacing w:after="0" w:line="220" w:lineRule="auto"/>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(i) the Registrant's Consolidated Balance Sheets as of December 31, 2024 and 2023; (ii) the Registrant's Consolidated Statements of Operations and Comprehensive Income for the years ended December 31, 2024, 2023, and 2022; (iii) the Registrant's Consolidated Statements of Stockholders’ Equity for the years ended December 31, 2024, 2023, and 2022; (iv) the Registrant's Consolidated Statements of Cash Flows for the years ended December 31, 2024, 2023, and 2022; and (v) the notes to the Registrant's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0</wp:posOffset>
            </wp:positionV>
            <wp:extent cx="696087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9">
                      <a:extLst>
                        <a:ext uri="{28A0092B-C50C-407E-A947-70E740481C1C}"/>
                      </a:extLst>
                    </a:blip>
                    <a:srcRect/>
                    <a:stretch>
                      <a:fillRect/>
                    </a:stretch>
                  </pic:blipFill>
                  <pic:spPr bwMode="auto">
                    <a:xfrm>
                      <a:off x="0" y="0"/>
                      <a:ext cx="6960870" cy="146050"/>
                    </a:xfrm>
                    <a:prstGeom prst="rect">
                      <a:avLst/>
                    </a:prstGeom>
                    <a:noFill/>
                  </pic:spPr>
                </pic:pic>
              </a:graphicData>
            </a:graphic>
          </wp:anchor>
        </w:drawing>
      </w:r>
    </w:p>
    <w:p>
      <w:pPr>
        <w:ind w:left="1240" w:hanging="1079"/>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w:t>
      </w: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1"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920" w:right="59" w:hanging="116"/>
        <w:spacing w:after="0" w:line="228" w:lineRule="auto"/>
        <w:tabs>
          <w:tab w:leader="none" w:pos="1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Portions of this document have been omitted and filed separately with the SEC pursuant to requests for confidential treatment pursuant to Rule 24b-2.</w:t>
      </w:r>
    </w:p>
    <w:p>
      <w:pPr>
        <w:spacing w:after="0" w:line="7" w:lineRule="exact"/>
        <w:rPr>
          <w:sz w:val="20"/>
          <w:szCs w:val="20"/>
          <w:color w:val="auto"/>
        </w:rPr>
      </w:pPr>
    </w:p>
    <w:p>
      <w:pPr>
        <w:jc w:val="both"/>
        <w:ind w:left="1920" w:right="79" w:hanging="206"/>
        <w:spacing w:after="0" w:line="223" w:lineRule="auto"/>
        <w:tabs>
          <w:tab w:leader="none" w:pos="1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Certain confidential portions of this Exhibit were omitted in accordance with Item 601(b)(10) of Regulation S-K. The Registrant agrees to furnish supplementally a copy of all confidential portions of this Exhibit that were omitted to the SEC upon its request.</w:t>
      </w:r>
    </w:p>
    <w:p>
      <w:pPr>
        <w:spacing w:after="0" w:line="5" w:lineRule="exact"/>
        <w:rPr>
          <w:rFonts w:ascii="Times New Roman" w:cs="Times New Roman" w:eastAsia="Times New Roman" w:hAnsi="Times New Roman"/>
          <w:sz w:val="18"/>
          <w:szCs w:val="18"/>
          <w:color w:val="auto"/>
        </w:rPr>
      </w:pPr>
    </w:p>
    <w:p>
      <w:pPr>
        <w:jc w:val="both"/>
        <w:ind w:left="1920" w:right="79" w:hanging="296"/>
        <w:spacing w:after="0" w:line="223" w:lineRule="auto"/>
        <w:tabs>
          <w:tab w:leader="none" w:pos="1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Certain of the exhibits and/or schedules to this Exhibit have been omitted in accordance with Item 601(a)(5) of Regulation S-K. The Registrant agrees to furnish supplementally a copy of all omitted exhibits and schedules of this Exhibit to the SEC upon its request.</w:t>
      </w:r>
    </w:p>
    <w:p>
      <w:pPr>
        <w:spacing w:after="0" w:line="6" w:lineRule="exact"/>
        <w:rPr>
          <w:sz w:val="20"/>
          <w:szCs w:val="20"/>
          <w:color w:val="auto"/>
        </w:rPr>
      </w:pPr>
    </w:p>
    <w:p>
      <w:pPr>
        <w:ind w:left="1920" w:hanging="128"/>
        <w:spacing w:after="0"/>
        <w:tabs>
          <w:tab w:leader="none" w:pos="1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Indicates a management contract or compensatory plan or arrangement.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9"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REGENERON PHARMACEUTICALS, INC.</w:t>
            </w: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5, 2025</w:t>
            </w: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LEONARD S. SCHLEIFER</w:t>
            </w: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5"/>
        </w:trPr>
        <w:tc>
          <w:tcPr>
            <w:tcW w:w="5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Leonard S. Schleifer, M.D., Ph.D.</w:t>
            </w:r>
          </w:p>
        </w:tc>
      </w:tr>
      <w:tr>
        <w:trPr>
          <w:trHeight w:val="234"/>
        </w:trPr>
        <w:tc>
          <w:tcPr>
            <w:tcW w:w="5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Leonard S. Schleifer and Christopher Fenimore, and each of them, his or her true and lawful attorney-in-fact and agent, with the full power of substitution and resubstitution, for him or her and in his or her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3700" w:type="dxa"/>
            <w:vAlign w:val="bottom"/>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0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820" w:type="dxa"/>
            <w:vAlign w:val="bottom"/>
          </w:tcPr>
          <w:p>
            <w:pPr>
              <w:spacing w:after="0"/>
              <w:rPr>
                <w:sz w:val="17"/>
                <w:szCs w:val="17"/>
                <w:color w:val="auto"/>
              </w:rPr>
            </w:pPr>
          </w:p>
        </w:tc>
        <w:tc>
          <w:tcPr>
            <w:tcW w:w="16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0" w:type="dxa"/>
            <w:vAlign w:val="bottom"/>
            <w:gridSpan w:val="3"/>
          </w:tcPr>
          <w:p>
            <w:pPr>
              <w:ind w:left="300"/>
              <w:spacing w:after="0" w:line="196" w:lineRule="exact"/>
              <w:rPr>
                <w:sz w:val="20"/>
                <w:szCs w:val="20"/>
                <w:color w:val="auto"/>
              </w:rPr>
            </w:pPr>
            <w:r>
              <w:rPr>
                <w:rFonts w:ascii="Times New Roman" w:cs="Times New Roman" w:eastAsia="Times New Roman" w:hAnsi="Times New Roman"/>
                <w:sz w:val="18"/>
                <w:szCs w:val="18"/>
                <w:i w:val="1"/>
                <w:iCs w:val="1"/>
                <w:color w:val="auto"/>
              </w:rPr>
              <w:t>Board co-Chair, President and Chief Executive</w:t>
            </w: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LEONARD S. SCHLEIFER</w:t>
            </w:r>
          </w:p>
        </w:tc>
        <w:tc>
          <w:tcPr>
            <w:tcW w:w="4200" w:type="dxa"/>
            <w:vAlign w:val="bottom"/>
            <w:gridSpan w:val="3"/>
          </w:tcPr>
          <w:p>
            <w:pPr>
              <w:ind w:left="300"/>
              <w:spacing w:after="0"/>
              <w:rPr>
                <w:sz w:val="20"/>
                <w:szCs w:val="20"/>
                <w:color w:val="auto"/>
              </w:rPr>
            </w:pPr>
            <w:r>
              <w:rPr>
                <w:rFonts w:ascii="Times New Roman" w:cs="Times New Roman" w:eastAsia="Times New Roman" w:hAnsi="Times New Roman"/>
                <w:sz w:val="18"/>
                <w:szCs w:val="18"/>
                <w:i w:val="1"/>
                <w:iCs w:val="1"/>
                <w:color w:val="auto"/>
              </w:rPr>
              <w:t>Officer (Principal Executive Officer)</w:t>
            </w:r>
          </w:p>
        </w:tc>
        <w:tc>
          <w:tcPr>
            <w:tcW w:w="24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4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Executive Vice President, Finance and Chief</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0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CHRISTOPHER FENIMORE</w:t>
            </w:r>
          </w:p>
        </w:tc>
        <w:tc>
          <w:tcPr>
            <w:tcW w:w="4200" w:type="dxa"/>
            <w:vAlign w:val="bottom"/>
            <w:gridSpan w:val="3"/>
          </w:tcPr>
          <w:p>
            <w:pPr>
              <w:ind w:left="300"/>
              <w:spacing w:after="0"/>
              <w:rPr>
                <w:sz w:val="20"/>
                <w:szCs w:val="20"/>
                <w:color w:val="auto"/>
              </w:rPr>
            </w:pPr>
            <w:r>
              <w:rPr>
                <w:rFonts w:ascii="Times New Roman" w:cs="Times New Roman" w:eastAsia="Times New Roman" w:hAnsi="Times New Roman"/>
                <w:sz w:val="18"/>
                <w:szCs w:val="18"/>
                <w:i w:val="1"/>
                <w:iCs w:val="1"/>
                <w:color w:val="auto"/>
              </w:rPr>
              <w:t>Financial Officer (Principal Financial Officer)</w:t>
            </w:r>
          </w:p>
        </w:tc>
        <w:tc>
          <w:tcPr>
            <w:tcW w:w="24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Christopher Fenimore</w:t>
            </w:r>
          </w:p>
        </w:tc>
        <w:tc>
          <w:tcPr>
            <w:tcW w:w="4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Vice President, Controller (Principal Accounting</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0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JASON PITOFSKY</w:t>
            </w:r>
          </w:p>
        </w:tc>
        <w:tc>
          <w:tcPr>
            <w:tcW w:w="4200" w:type="dxa"/>
            <w:vAlign w:val="bottom"/>
            <w:gridSpan w:val="3"/>
          </w:tcPr>
          <w:p>
            <w:pPr>
              <w:ind w:left="30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24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Jason Pitofsky</w:t>
            </w:r>
          </w:p>
        </w:tc>
        <w:tc>
          <w:tcPr>
            <w:tcW w:w="4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Board co-Chair, President and Chief Scientific</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0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GEORGE D. YANCOPOULOS</w:t>
            </w:r>
          </w:p>
        </w:tc>
        <w:tc>
          <w:tcPr>
            <w:tcW w:w="4200" w:type="dxa"/>
            <w:vAlign w:val="bottom"/>
            <w:gridSpan w:val="3"/>
          </w:tcPr>
          <w:p>
            <w:pPr>
              <w:ind w:left="30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24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George D. Yancopoulos, M.D., Ph.D.</w:t>
            </w:r>
          </w:p>
        </w:tc>
        <w:tc>
          <w:tcPr>
            <w:tcW w:w="4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BONNIE L. BASSLER</w:t>
            </w:r>
          </w:p>
        </w:tc>
        <w:tc>
          <w:tcPr>
            <w:tcW w:w="4200" w:type="dxa"/>
            <w:vAlign w:val="bottom"/>
            <w:gridSpan w:val="3"/>
            <w:vMerge w:val="continue"/>
          </w:tcPr>
          <w:p>
            <w:pPr>
              <w:spacing w:after="0"/>
              <w:rPr>
                <w:sz w:val="20"/>
                <w:szCs w:val="20"/>
                <w:color w:val="auto"/>
              </w:rPr>
            </w:pPr>
          </w:p>
        </w:tc>
        <w:tc>
          <w:tcPr>
            <w:tcW w:w="24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Bonnie L. Bassler, Ph.D.</w:t>
            </w:r>
          </w:p>
        </w:tc>
        <w:tc>
          <w:tcPr>
            <w:tcW w:w="4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MICHAEL S. BROWN</w:t>
            </w:r>
          </w:p>
        </w:tc>
        <w:tc>
          <w:tcPr>
            <w:tcW w:w="4200" w:type="dxa"/>
            <w:vAlign w:val="bottom"/>
            <w:gridSpan w:val="3"/>
            <w:vMerge w:val="continue"/>
          </w:tcPr>
          <w:p>
            <w:pPr>
              <w:spacing w:after="0"/>
              <w:rPr>
                <w:sz w:val="20"/>
                <w:szCs w:val="20"/>
                <w:color w:val="auto"/>
              </w:rPr>
            </w:pPr>
          </w:p>
        </w:tc>
        <w:tc>
          <w:tcPr>
            <w:tcW w:w="24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Michael S. Brown, M.D.</w:t>
            </w:r>
          </w:p>
        </w:tc>
        <w:tc>
          <w:tcPr>
            <w:tcW w:w="4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N. ANTHONY COLES</w:t>
            </w:r>
          </w:p>
        </w:tc>
        <w:tc>
          <w:tcPr>
            <w:tcW w:w="4200" w:type="dxa"/>
            <w:vAlign w:val="bottom"/>
            <w:gridSpan w:val="3"/>
            <w:vMerge w:val="continue"/>
          </w:tcPr>
          <w:p>
            <w:pPr>
              <w:spacing w:after="0"/>
              <w:rPr>
                <w:sz w:val="20"/>
                <w:szCs w:val="20"/>
                <w:color w:val="auto"/>
              </w:rPr>
            </w:pPr>
          </w:p>
        </w:tc>
        <w:tc>
          <w:tcPr>
            <w:tcW w:w="24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 Anthony Coles, M.D.</w:t>
            </w:r>
          </w:p>
        </w:tc>
        <w:tc>
          <w:tcPr>
            <w:tcW w:w="4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JOSEPH L. GOLDSTEIN</w:t>
            </w:r>
          </w:p>
        </w:tc>
        <w:tc>
          <w:tcPr>
            <w:tcW w:w="4200" w:type="dxa"/>
            <w:vAlign w:val="bottom"/>
            <w:gridSpan w:val="3"/>
            <w:vMerge w:val="continue"/>
          </w:tcPr>
          <w:p>
            <w:pPr>
              <w:spacing w:after="0"/>
              <w:rPr>
                <w:sz w:val="20"/>
                <w:szCs w:val="20"/>
                <w:color w:val="auto"/>
              </w:rPr>
            </w:pPr>
          </w:p>
        </w:tc>
        <w:tc>
          <w:tcPr>
            <w:tcW w:w="24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Joseph L. Goldstein, M.D.</w:t>
            </w:r>
          </w:p>
        </w:tc>
        <w:tc>
          <w:tcPr>
            <w:tcW w:w="4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KATHRYN GUARINI</w:t>
            </w:r>
          </w:p>
        </w:tc>
        <w:tc>
          <w:tcPr>
            <w:tcW w:w="4200" w:type="dxa"/>
            <w:vAlign w:val="bottom"/>
            <w:gridSpan w:val="3"/>
            <w:vMerge w:val="continue"/>
          </w:tcPr>
          <w:p>
            <w:pPr>
              <w:spacing w:after="0"/>
              <w:rPr>
                <w:sz w:val="20"/>
                <w:szCs w:val="20"/>
                <w:color w:val="auto"/>
              </w:rPr>
            </w:pPr>
          </w:p>
        </w:tc>
        <w:tc>
          <w:tcPr>
            <w:tcW w:w="24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Kathryn Guarini, Ph.D.</w:t>
            </w:r>
          </w:p>
        </w:tc>
        <w:tc>
          <w:tcPr>
            <w:tcW w:w="4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CHRISTINE A. POON</w:t>
            </w:r>
          </w:p>
        </w:tc>
        <w:tc>
          <w:tcPr>
            <w:tcW w:w="4200" w:type="dxa"/>
            <w:vAlign w:val="bottom"/>
            <w:gridSpan w:val="3"/>
            <w:vMerge w:val="continue"/>
          </w:tcPr>
          <w:p>
            <w:pPr>
              <w:spacing w:after="0"/>
              <w:rPr>
                <w:sz w:val="20"/>
                <w:szCs w:val="20"/>
                <w:color w:val="auto"/>
              </w:rPr>
            </w:pPr>
          </w:p>
        </w:tc>
        <w:tc>
          <w:tcPr>
            <w:tcW w:w="24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Christine A. Poon</w:t>
            </w:r>
          </w:p>
        </w:tc>
        <w:tc>
          <w:tcPr>
            <w:tcW w:w="4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ARTHUR F. RYAN</w:t>
            </w:r>
          </w:p>
        </w:tc>
        <w:tc>
          <w:tcPr>
            <w:tcW w:w="4200" w:type="dxa"/>
            <w:vAlign w:val="bottom"/>
            <w:gridSpan w:val="3"/>
            <w:vMerge w:val="continue"/>
          </w:tcPr>
          <w:p>
            <w:pPr>
              <w:spacing w:after="0"/>
              <w:rPr>
                <w:sz w:val="20"/>
                <w:szCs w:val="20"/>
                <w:color w:val="auto"/>
              </w:rPr>
            </w:pPr>
          </w:p>
        </w:tc>
        <w:tc>
          <w:tcPr>
            <w:tcW w:w="24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Arthur F. Ryan</w:t>
            </w:r>
          </w:p>
        </w:tc>
        <w:tc>
          <w:tcPr>
            <w:tcW w:w="4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DAVID P. SCHENKEIN</w:t>
            </w:r>
          </w:p>
        </w:tc>
        <w:tc>
          <w:tcPr>
            <w:tcW w:w="4200" w:type="dxa"/>
            <w:vAlign w:val="bottom"/>
            <w:gridSpan w:val="3"/>
            <w:vMerge w:val="continue"/>
          </w:tcPr>
          <w:p>
            <w:pPr>
              <w:spacing w:after="0"/>
              <w:rPr>
                <w:sz w:val="20"/>
                <w:szCs w:val="20"/>
                <w:color w:val="auto"/>
              </w:rPr>
            </w:pPr>
          </w:p>
        </w:tc>
        <w:tc>
          <w:tcPr>
            <w:tcW w:w="24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David P. Schenkein, M.D.</w:t>
            </w:r>
          </w:p>
        </w:tc>
        <w:tc>
          <w:tcPr>
            <w:tcW w:w="4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GEORGE L. SING</w:t>
            </w:r>
          </w:p>
        </w:tc>
        <w:tc>
          <w:tcPr>
            <w:tcW w:w="4200" w:type="dxa"/>
            <w:vAlign w:val="bottom"/>
            <w:gridSpan w:val="3"/>
            <w:vMerge w:val="continue"/>
          </w:tcPr>
          <w:p>
            <w:pPr>
              <w:spacing w:after="0"/>
              <w:rPr>
                <w:sz w:val="20"/>
                <w:szCs w:val="20"/>
                <w:color w:val="auto"/>
              </w:rPr>
            </w:pPr>
          </w:p>
        </w:tc>
        <w:tc>
          <w:tcPr>
            <w:tcW w:w="24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George L. Sing</w:t>
            </w:r>
          </w:p>
        </w:tc>
        <w:tc>
          <w:tcPr>
            <w:tcW w:w="4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CRAIG B. THOMPSON</w:t>
            </w:r>
          </w:p>
        </w:tc>
        <w:tc>
          <w:tcPr>
            <w:tcW w:w="4200" w:type="dxa"/>
            <w:vAlign w:val="bottom"/>
            <w:gridSpan w:val="3"/>
            <w:vMerge w:val="continue"/>
          </w:tcPr>
          <w:p>
            <w:pPr>
              <w:spacing w:after="0"/>
              <w:rPr>
                <w:sz w:val="20"/>
                <w:szCs w:val="20"/>
                <w:color w:val="auto"/>
              </w:rPr>
            </w:pPr>
          </w:p>
        </w:tc>
        <w:tc>
          <w:tcPr>
            <w:tcW w:w="24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Craig B. Thompson, M.D.</w:t>
            </w:r>
          </w:p>
        </w:tc>
        <w:tc>
          <w:tcPr>
            <w:tcW w:w="4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HUDA Y. ZOGHBI</w:t>
            </w:r>
          </w:p>
        </w:tc>
        <w:tc>
          <w:tcPr>
            <w:tcW w:w="4200" w:type="dxa"/>
            <w:vAlign w:val="bottom"/>
            <w:gridSpan w:val="3"/>
            <w:vMerge w:val="continue"/>
          </w:tcPr>
          <w:p>
            <w:pPr>
              <w:spacing w:after="0"/>
              <w:rPr>
                <w:sz w:val="20"/>
                <w:szCs w:val="20"/>
                <w:color w:val="auto"/>
              </w:rPr>
            </w:pPr>
          </w:p>
        </w:tc>
        <w:tc>
          <w:tcPr>
            <w:tcW w:w="24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Huda Y. Zoghbi, M.D.</w:t>
            </w:r>
          </w:p>
        </w:tc>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 Numbers</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5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2940" w:type="dxa"/>
            <w:vAlign w:val="bottom"/>
            <w:gridSpan w:val="5"/>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5"/>
            <w:shd w:val="clear" w:color="auto" w:fill="CCEEFF"/>
          </w:tcPr>
          <w:p>
            <w:pPr>
              <w:jc w:val="center"/>
              <w:ind w:right="540"/>
              <w:spacing w:after="0" w:line="189" w:lineRule="exact"/>
              <w:rPr>
                <w:sz w:val="20"/>
                <w:szCs w:val="20"/>
                <w:color w:val="auto"/>
              </w:rPr>
            </w:pPr>
            <w:r>
              <w:rPr>
                <w:rFonts w:ascii="Times New Roman" w:cs="Times New Roman" w:eastAsia="Times New Roman" w:hAnsi="Times New Roman"/>
                <w:sz w:val="18"/>
                <w:szCs w:val="18"/>
                <w:color w:val="0000FF"/>
                <w:w w:val="95"/>
              </w:rPr>
              <w:t>F-2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8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2940" w:type="dxa"/>
            <w:vAlign w:val="bottom"/>
            <w:gridSpan w:val="5"/>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5"/>
          </w:tcPr>
          <w:p>
            <w:pPr>
              <w:jc w:val="center"/>
              <w:ind w:right="540"/>
              <w:spacing w:after="0" w:line="189" w:lineRule="exact"/>
              <w:rPr>
                <w:sz w:val="20"/>
                <w:szCs w:val="20"/>
                <w:color w:val="auto"/>
              </w:rPr>
            </w:pPr>
            <w:r>
              <w:rPr>
                <w:rFonts w:ascii="Times New Roman" w:cs="Times New Roman" w:eastAsia="Times New Roman" w:hAnsi="Times New Roman"/>
                <w:sz w:val="18"/>
                <w:szCs w:val="18"/>
                <w:color w:val="0000FF"/>
                <w:w w:val="95"/>
              </w:rPr>
              <w:t>F-4</w:t>
            </w: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48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Consolidated Statements of Operations and Comprehensive Income for the Years Ended December 31, </w:t>
            </w:r>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0000FF"/>
              </w:rPr>
              <w:t xml:space="preserve"> 2023,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center"/>
              <w:ind w:right="540"/>
              <w:spacing w:after="0" w:line="189" w:lineRule="exact"/>
              <w:rPr>
                <w:sz w:val="20"/>
                <w:szCs w:val="20"/>
                <w:color w:val="auto"/>
              </w:rPr>
            </w:pPr>
            <w:r>
              <w:rPr>
                <w:rFonts w:ascii="Times New Roman" w:cs="Times New Roman" w:eastAsia="Times New Roman" w:hAnsi="Times New Roman"/>
                <w:sz w:val="18"/>
                <w:szCs w:val="18"/>
                <w:color w:val="0000FF"/>
                <w:w w:val="95"/>
              </w:rPr>
              <w:t>F-5</w:t>
            </w:r>
          </w:p>
        </w:tc>
      </w:tr>
      <w:tr>
        <w:trPr>
          <w:trHeight w:val="149"/>
        </w:trPr>
        <w:tc>
          <w:tcPr>
            <w:tcW w:w="20" w:type="dxa"/>
            <w:vAlign w:val="bottom"/>
            <w:tcBorders>
              <w:top w:val="single" w:sz="8" w:color="CCEEFF"/>
            </w:tcBorders>
            <w:shd w:val="clear" w:color="auto" w:fill="CCEEFF"/>
          </w:tcPr>
          <w:p>
            <w:pPr>
              <w:spacing w:after="0"/>
              <w:rPr>
                <w:sz w:val="12"/>
                <w:szCs w:val="12"/>
                <w:color w:val="auto"/>
              </w:rPr>
            </w:pPr>
          </w:p>
        </w:tc>
        <w:tc>
          <w:tcPr>
            <w:tcW w:w="8160" w:type="dxa"/>
            <w:vAlign w:val="bottom"/>
            <w:tcBorders>
              <w:top w:val="single" w:sz="8" w:color="0000FF"/>
            </w:tcBorders>
            <w:gridSpan w:val="7"/>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and 2022</w:t>
            </w:r>
          </w:p>
        </w:tc>
        <w:tc>
          <w:tcPr>
            <w:tcW w:w="14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right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48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2023, and 2022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5"/>
          </w:tcPr>
          <w:p>
            <w:pPr>
              <w:jc w:val="center"/>
              <w:ind w:right="540"/>
              <w:spacing w:after="0" w:line="189" w:lineRule="exact"/>
              <w:rPr>
                <w:sz w:val="20"/>
                <w:szCs w:val="20"/>
                <w:color w:val="auto"/>
              </w:rPr>
            </w:pPr>
            <w:r>
              <w:rPr>
                <w:rFonts w:ascii="Times New Roman" w:cs="Times New Roman" w:eastAsia="Times New Roman" w:hAnsi="Times New Roman"/>
                <w:sz w:val="18"/>
                <w:szCs w:val="18"/>
                <w:color w:val="0000FF"/>
                <w:w w:val="95"/>
              </w:rPr>
              <w:t>F-6</w:t>
            </w: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48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5"/>
            <w:shd w:val="clear" w:color="auto" w:fill="CCEEFF"/>
          </w:tcPr>
          <w:p>
            <w:pPr>
              <w:jc w:val="center"/>
              <w:ind w:right="540"/>
              <w:spacing w:after="0" w:line="189" w:lineRule="exact"/>
              <w:rPr>
                <w:sz w:val="20"/>
                <w:szCs w:val="20"/>
                <w:color w:val="auto"/>
              </w:rPr>
            </w:pPr>
            <w:r>
              <w:rPr>
                <w:rFonts w:ascii="Times New Roman" w:cs="Times New Roman" w:eastAsia="Times New Roman" w:hAnsi="Times New Roman"/>
                <w:sz w:val="18"/>
                <w:szCs w:val="18"/>
                <w:color w:val="0000FF"/>
                <w:w w:val="95"/>
              </w:rPr>
              <w:t>F-8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8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80" w:type="dxa"/>
            <w:vAlign w:val="bottom"/>
            <w:gridSpan w:val="4"/>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6"/>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0000FF"/>
                <w:w w:val="99"/>
              </w:rPr>
              <w:t>F-9 to F-41</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369" w:right="9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Regeneron Pharmaceuticals,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Regeneron Pharmaceuticals, Inc. and its subsidiaries (the "Company") as of December 31, 2024 and 2023, and the related consolidated statements of operations and comprehensive income,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Reserves for Uncertain Tax Positions</w:t>
      </w:r>
    </w:p>
    <w:p>
      <w:pPr>
        <w:spacing w:after="0" w:line="2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described in Notes 1 and 15 to the consolidated financial statements, the Company's reserves for uncertain tax positions were $1,313.7 million as of December 31, 2024. Certain reserves for uncertain tax positions represent a significant portion of the consolidated balance. The Company recognizes the financial statement effects of a tax position when management's assessment is that there is more than a 50% probability that the position will be sustained upon examination by a taxing authority based upon its technical merits. Uncertain tax positions are recorded based upon certain recognition and measurement criteria. Management re-evaluates uncertain tax positions and considers various factors, including, but not limited to, changes in tax law, the measurement of tax positions taken or expected to be taken in tax returns, and changes in facts or circumstances related to a tax position. The Company adjusts the amount of the liability to reflect any subsequent changes in the relevant facts and circumstances surrounding the uncertain tax positions.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certain reserves for uncertain tax positions is a critical audit matter are (i) the significant judgment by management when determining certain reserves for uncertain tax positions; (ii) a high degree of auditor judgment, subjectivity, and effort in performing procedures and evaluating management's determination of certain reserves for uncertain tax positions; (iii) the assessment and evaluation of audit evidence available to support certain reserves for uncertain tax positions is complex; and (iv) the audit effort involved the use of professionals with specialized skill and knowledge.</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recognition of reserves for uncertain tax positions. These procedures also included, among others (i) testing the information used in the calculation of certain reserves for uncertain tax positions, such as international and federal filing positions, and the related final tax returns; (ii) testing the calculation of certain reserves for uncertain tax positions; and (iii) evaluating management's assessment of the technical merits of the tax positions and estimates of the amount of tax benefits expected to be sustained, as well as the likelihood of the possible outcomes, for certain reserves for uncertain tax positions. Professionals with specialized skill and knowledge were used to assist in evaluating the technical merits and the tax benefits expected to be sustained and the application of relevant tax laws.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2025</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80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79"/>
        </w:trPr>
        <w:tc>
          <w:tcPr>
            <w:tcW w:w="1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684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4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4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23"/>
        </w:trPr>
        <w:tc>
          <w:tcPr>
            <w:tcW w:w="120" w:type="dxa"/>
            <w:vAlign w:val="bottom"/>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68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1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40" w:type="dxa"/>
            <w:vAlign w:val="bottom"/>
            <w:shd w:val="clear" w:color="auto" w:fill="CCEEFF"/>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w:t>
            </w: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8,114.8</w:t>
            </w:r>
          </w:p>
        </w:tc>
      </w:tr>
      <w:tr>
        <w:trPr>
          <w:trHeight w:val="229"/>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5,667.3</w:t>
            </w: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2,580.5</w:t>
            </w:r>
          </w:p>
        </w:tc>
      </w:tr>
      <w:tr>
        <w:trPr>
          <w:trHeight w:val="229"/>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23"/>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19,479.2</w:t>
            </w:r>
          </w:p>
        </w:tc>
      </w:tr>
      <w:tr>
        <w:trPr>
          <w:trHeight w:val="216"/>
        </w:trPr>
        <w:tc>
          <w:tcPr>
            <w:tcW w:w="120" w:type="dxa"/>
            <w:vAlign w:val="bottom"/>
          </w:tcPr>
          <w:p>
            <w:pPr>
              <w:spacing w:after="0"/>
              <w:rPr>
                <w:sz w:val="18"/>
                <w:szCs w:val="18"/>
                <w:color w:val="auto"/>
              </w:rPr>
            </w:pPr>
          </w:p>
        </w:tc>
        <w:tc>
          <w:tcPr>
            <w:tcW w:w="78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5,396.5</w:t>
            </w:r>
          </w:p>
        </w:tc>
      </w:tr>
      <w:tr>
        <w:trPr>
          <w:trHeight w:val="229"/>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4,146.4</w:t>
            </w: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1,038.6</w:t>
            </w:r>
          </w:p>
        </w:tc>
      </w:tr>
      <w:tr>
        <w:trPr>
          <w:trHeight w:val="229"/>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2,575.4</w:t>
            </w:r>
          </w:p>
        </w:tc>
      </w:tr>
      <w:tr>
        <w:trPr>
          <w:trHeight w:val="230"/>
        </w:trPr>
        <w:tc>
          <w:tcPr>
            <w:tcW w:w="120" w:type="dxa"/>
            <w:vAlign w:val="bottom"/>
          </w:tcPr>
          <w:p>
            <w:pPr>
              <w:spacing w:after="0"/>
              <w:rPr>
                <w:sz w:val="19"/>
                <w:szCs w:val="19"/>
                <w:color w:val="auto"/>
              </w:rPr>
            </w:pPr>
          </w:p>
        </w:tc>
        <w:tc>
          <w:tcPr>
            <w:tcW w:w="78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w:t>
            </w:r>
          </w:p>
        </w:tc>
      </w:tr>
      <w:tr>
        <w:trPr>
          <w:trHeight w:val="248"/>
        </w:trPr>
        <w:tc>
          <w:tcPr>
            <w:tcW w:w="1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33,080.2</w:t>
            </w:r>
          </w:p>
        </w:tc>
      </w:tr>
      <w:tr>
        <w:trPr>
          <w:trHeight w:val="20"/>
        </w:trPr>
        <w:tc>
          <w:tcPr>
            <w:tcW w:w="1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9"/>
        </w:trPr>
        <w:tc>
          <w:tcPr>
            <w:tcW w:w="1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40" w:type="dxa"/>
            <w:vAlign w:val="bottom"/>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2,357.9</w:t>
            </w:r>
          </w:p>
        </w:tc>
      </w:tr>
      <w:tr>
        <w:trPr>
          <w:trHeight w:val="229"/>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r>
      <w:tr>
        <w:trPr>
          <w:trHeight w:val="223"/>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3,423.4</w:t>
            </w:r>
          </w:p>
        </w:tc>
      </w:tr>
      <w:tr>
        <w:trPr>
          <w:trHeight w:val="216"/>
        </w:trPr>
        <w:tc>
          <w:tcPr>
            <w:tcW w:w="120" w:type="dxa"/>
            <w:vAlign w:val="bottom"/>
          </w:tcPr>
          <w:p>
            <w:pPr>
              <w:spacing w:after="0"/>
              <w:rPr>
                <w:sz w:val="18"/>
                <w:szCs w:val="18"/>
                <w:color w:val="auto"/>
              </w:rPr>
            </w:pPr>
          </w:p>
        </w:tc>
        <w:tc>
          <w:tcPr>
            <w:tcW w:w="78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1,982.9</w:t>
            </w:r>
          </w:p>
        </w:tc>
      </w:tr>
      <w:tr>
        <w:trPr>
          <w:trHeight w:val="229"/>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w:t>
            </w:r>
          </w:p>
        </w:tc>
      </w:tr>
      <w:tr>
        <w:trPr>
          <w:trHeight w:val="223"/>
        </w:trPr>
        <w:tc>
          <w:tcPr>
            <w:tcW w:w="120" w:type="dxa"/>
            <w:vAlign w:val="bottom"/>
          </w:tcPr>
          <w:p>
            <w:pPr>
              <w:spacing w:after="0"/>
              <w:rPr>
                <w:sz w:val="19"/>
                <w:szCs w:val="19"/>
                <w:color w:val="auto"/>
              </w:rPr>
            </w:pPr>
          </w:p>
        </w:tc>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7,107.1</w:t>
            </w: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78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par value $.01 per share; 30.0 shares authorized; shares issued and outstanding - none</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120" w:type="dxa"/>
            <w:vAlign w:val="bottom"/>
          </w:tcPr>
          <w:p>
            <w:pPr>
              <w:spacing w:after="0"/>
              <w:rPr>
                <w:sz w:val="15"/>
                <w:szCs w:val="15"/>
                <w:color w:val="auto"/>
              </w:rPr>
            </w:pPr>
          </w:p>
        </w:tc>
        <w:tc>
          <w:tcPr>
            <w:tcW w:w="788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Stock, convertible, par value $.001 per share; 40.0 shares authorized; shares issued and</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outstanding - 1.8 in 2024 and 2023</w:t>
            </w:r>
          </w:p>
        </w:tc>
        <w:tc>
          <w:tcPr>
            <w:tcW w:w="3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120" w:type="dxa"/>
            <w:vAlign w:val="bottom"/>
          </w:tcPr>
          <w:p>
            <w:pPr>
              <w:spacing w:after="0"/>
              <w:rPr>
                <w:sz w:val="15"/>
                <w:szCs w:val="15"/>
                <w:color w:val="auto"/>
              </w:rPr>
            </w:pPr>
          </w:p>
        </w:tc>
        <w:tc>
          <w:tcPr>
            <w:tcW w:w="788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320.0 shares authorized; shares issued - 136.0 in 2024 and</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133.1 in 2023</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11,354.0</w:t>
            </w: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27,260.3</w:t>
            </w: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at cost; 28.2 shares in 2024 and 25.5 shares in 2023</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(12,560.4)</w:t>
            </w:r>
          </w:p>
        </w:tc>
      </w:tr>
      <w:tr>
        <w:trPr>
          <w:trHeight w:val="223"/>
        </w:trPr>
        <w:tc>
          <w:tcPr>
            <w:tcW w:w="120" w:type="dxa"/>
            <w:vAlign w:val="bottom"/>
          </w:tcPr>
          <w:p>
            <w:pPr>
              <w:spacing w:after="0"/>
              <w:rPr>
                <w:sz w:val="19"/>
                <w:szCs w:val="19"/>
                <w:color w:val="auto"/>
              </w:rPr>
            </w:pPr>
          </w:p>
        </w:tc>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29,353.6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25,973.1</w:t>
            </w:r>
          </w:p>
        </w:tc>
      </w:tr>
      <w:tr>
        <w:trPr>
          <w:trHeight w:val="248"/>
        </w:trPr>
        <w:tc>
          <w:tcPr>
            <w:tcW w:w="1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33,080.2</w:t>
            </w:r>
          </w:p>
        </w:tc>
      </w:tr>
      <w:tr>
        <w:trPr>
          <w:trHeight w:val="20"/>
        </w:trPr>
        <w:tc>
          <w:tcPr>
            <w:tcW w:w="1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19685</wp:posOffset>
            </wp:positionV>
            <wp:extent cx="69862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8">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45720</wp:posOffset>
            </wp:positionV>
            <wp:extent cx="69862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9">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1" w:right="4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4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79"/>
        </w:trPr>
        <w:tc>
          <w:tcPr>
            <w:tcW w:w="1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6720" w:type="dxa"/>
            <w:vAlign w:val="bottom"/>
            <w:gridSpan w:val="5"/>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gridSpan w:val="8"/>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AND COMPREHENSIVE INCOME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78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r>
      <w:tr>
        <w:trPr>
          <w:trHeight w:val="223"/>
        </w:trPr>
        <w:tc>
          <w:tcPr>
            <w:tcW w:w="120" w:type="dxa"/>
            <w:vAlign w:val="bottom"/>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120" w:type="dxa"/>
            <w:vAlign w:val="bottom"/>
          </w:tcPr>
          <w:p>
            <w:pPr>
              <w:spacing w:after="0"/>
              <w:rPr>
                <w:sz w:val="18"/>
                <w:szCs w:val="18"/>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product sales</w:t>
            </w:r>
          </w:p>
        </w:tc>
        <w:tc>
          <w:tcPr>
            <w:tcW w:w="2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6,893.7</w:t>
            </w: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Collaboration revenue</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4,914.1</w:t>
            </w: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revenue</w:t>
            </w:r>
          </w:p>
        </w:tc>
        <w:tc>
          <w:tcPr>
            <w:tcW w:w="2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r>
      <w:tr>
        <w:trPr>
          <w:trHeight w:val="223"/>
        </w:trPr>
        <w:tc>
          <w:tcPr>
            <w:tcW w:w="120" w:type="dxa"/>
            <w:vAlign w:val="bottom"/>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12,172.9</w:t>
            </w: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3,592.5</w:t>
            </w: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2,115.9</w:t>
            </w: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2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r>
      <w:tr>
        <w:trPr>
          <w:trHeight w:val="230"/>
        </w:trPr>
        <w:tc>
          <w:tcPr>
            <w:tcW w:w="120" w:type="dxa"/>
            <w:vAlign w:val="bottom"/>
          </w:tcPr>
          <w:p>
            <w:pPr>
              <w:spacing w:after="0"/>
              <w:rPr>
                <w:sz w:val="19"/>
                <w:szCs w:val="19"/>
                <w:color w:val="auto"/>
              </w:rPr>
            </w:pPr>
          </w:p>
        </w:tc>
        <w:tc>
          <w:tcPr>
            <w:tcW w:w="39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3"/>
        </w:trPr>
        <w:tc>
          <w:tcPr>
            <w:tcW w:w="1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7,434.0</w:t>
            </w:r>
          </w:p>
        </w:tc>
      </w:tr>
      <w:tr>
        <w:trPr>
          <w:trHeight w:val="196"/>
        </w:trPr>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4,738.9</w:t>
            </w:r>
          </w:p>
        </w:tc>
      </w:tr>
      <w:tr>
        <w:trPr>
          <w:trHeight w:val="196"/>
        </w:trPr>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120" w:type="dxa"/>
            <w:vAlign w:val="bottom"/>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4,858.8</w:t>
            </w:r>
          </w:p>
        </w:tc>
      </w:tr>
      <w:tr>
        <w:trPr>
          <w:trHeight w:val="216"/>
        </w:trPr>
        <w:tc>
          <w:tcPr>
            <w:tcW w:w="120" w:type="dxa"/>
            <w:vAlign w:val="bottom"/>
          </w:tcPr>
          <w:p>
            <w:pPr>
              <w:spacing w:after="0"/>
              <w:rPr>
                <w:sz w:val="18"/>
                <w:szCs w:val="18"/>
                <w:color w:val="auto"/>
              </w:rPr>
            </w:pPr>
          </w:p>
        </w:tc>
        <w:tc>
          <w:tcPr>
            <w:tcW w:w="3980" w:type="dxa"/>
            <w:vAlign w:val="bottom"/>
            <w:gridSpan w:val="2"/>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3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w:t>
            </w: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4,338.4</w:t>
            </w:r>
          </w:p>
        </w:tc>
      </w:tr>
      <w:tr>
        <w:trPr>
          <w:trHeight w:val="20"/>
        </w:trPr>
        <w:tc>
          <w:tcPr>
            <w:tcW w:w="120" w:type="dxa"/>
            <w:vAlign w:val="bottom"/>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r>
      <w:tr>
        <w:trPr>
          <w:trHeight w:val="216"/>
        </w:trPr>
        <w:tc>
          <w:tcPr>
            <w:tcW w:w="120" w:type="dxa"/>
            <w:vAlign w:val="bottom"/>
          </w:tcPr>
          <w:p>
            <w:pPr>
              <w:spacing w:after="0"/>
              <w:rPr>
                <w:sz w:val="18"/>
                <w:szCs w:val="18"/>
                <w:color w:val="auto"/>
              </w:rPr>
            </w:pPr>
          </w:p>
        </w:tc>
        <w:tc>
          <w:tcPr>
            <w:tcW w:w="3980" w:type="dxa"/>
            <w:vAlign w:val="bottom"/>
            <w:gridSpan w:val="2"/>
          </w:tcPr>
          <w:p>
            <w:pPr>
              <w:spacing w:after="0"/>
              <w:rPr>
                <w:sz w:val="18"/>
                <w:szCs w:val="18"/>
                <w:color w:val="auto"/>
              </w:rPr>
            </w:pP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16"/>
        </w:trPr>
        <w:tc>
          <w:tcPr>
            <w:tcW w:w="120" w:type="dxa"/>
            <w:vAlign w:val="bottom"/>
          </w:tcPr>
          <w:p>
            <w:pPr>
              <w:spacing w:after="0"/>
              <w:rPr>
                <w:sz w:val="18"/>
                <w:szCs w:val="18"/>
                <w:color w:val="auto"/>
              </w:rPr>
            </w:pPr>
          </w:p>
        </w:tc>
        <w:tc>
          <w:tcPr>
            <w:tcW w:w="3980" w:type="dxa"/>
            <w:vAlign w:val="bottom"/>
            <w:gridSpan w:val="2"/>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on debt securities</w:t>
            </w:r>
          </w:p>
        </w:tc>
        <w:tc>
          <w:tcPr>
            <w:tcW w:w="2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on foreign currency translation</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on cash flow hedges</w:t>
            </w:r>
          </w:p>
        </w:tc>
        <w:tc>
          <w:tcPr>
            <w:tcW w:w="2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4,125.8</w:t>
            </w:r>
          </w:p>
        </w:tc>
      </w:tr>
      <w:tr>
        <w:trPr>
          <w:trHeight w:val="20"/>
        </w:trPr>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19685</wp:posOffset>
            </wp:positionV>
            <wp:extent cx="6978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1">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45720</wp:posOffset>
            </wp:positionV>
            <wp:extent cx="6978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2">
                      <a:extLst>
                        <a:ext uri="{28A0092B-C50C-407E-A947-70E740481C1C}"/>
                      </a:extLst>
                    </a:blip>
                    <a:srcRect/>
                    <a:stretch>
                      <a:fillRect/>
                    </a:stretch>
                  </pic:blipFill>
                  <pic:spPr bwMode="auto">
                    <a:xfrm>
                      <a:off x="0" y="0"/>
                      <a:ext cx="6978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1" w:right="45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25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9"/>
        </w:trPr>
        <w:tc>
          <w:tcPr>
            <w:tcW w:w="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20" w:type="dxa"/>
            <w:vAlign w:val="bottom"/>
            <w:gridSpan w:val="1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20" w:type="dxa"/>
            <w:vAlign w:val="bottom"/>
            <w:gridSpan w:val="15"/>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Class A Stock</w:t>
            </w:r>
          </w:p>
        </w:tc>
        <w:tc>
          <w:tcPr>
            <w:tcW w:w="80" w:type="dxa"/>
            <w:vAlign w:val="bottom"/>
          </w:tcPr>
          <w:p>
            <w:pPr>
              <w:spacing w:after="0"/>
              <w:rPr>
                <w:sz w:val="15"/>
                <w:szCs w:val="15"/>
                <w:color w:val="auto"/>
              </w:rPr>
            </w:pPr>
          </w:p>
        </w:tc>
        <w:tc>
          <w:tcPr>
            <w:tcW w:w="138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48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vMerge w:val="restart"/>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940" w:type="dxa"/>
            <w:vAlign w:val="bottom"/>
            <w:gridSpan w:val="2"/>
            <w:vMerge w:val="restart"/>
          </w:tcPr>
          <w:p>
            <w:pPr>
              <w:ind w:left="140"/>
              <w:spacing w:after="0" w:line="189" w:lineRule="exact"/>
              <w:rPr>
                <w:sz w:val="20"/>
                <w:szCs w:val="20"/>
                <w:color w:val="auto"/>
              </w:rPr>
            </w:pPr>
            <w:r>
              <w:rPr>
                <w:rFonts w:ascii="Times New Roman" w:cs="Times New Roman" w:eastAsia="Times New Roman" w:hAnsi="Times New Roman"/>
                <w:sz w:val="18"/>
                <w:szCs w:val="18"/>
                <w:b w:val="1"/>
                <w:bCs w:val="1"/>
                <w:color w:val="auto"/>
              </w:rPr>
              <w:t>Paid-in</w:t>
            </w:r>
          </w:p>
        </w:tc>
        <w:tc>
          <w:tcPr>
            <w:tcW w:w="920" w:type="dxa"/>
            <w:vAlign w:val="bottom"/>
            <w:gridSpan w:val="2"/>
            <w:vMerge w:val="restart"/>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vMerge w:val="restart"/>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8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0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68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8,087.5</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$ 18,968.3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$(8,260.9)</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18,768.8</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4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equity awards granted under</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incentive plans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tendered upon</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42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exercise of stock options and</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42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vesting of restricted stock for</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tax obligations</w:t>
            </w:r>
          </w:p>
        </w:tc>
        <w:tc>
          <w:tcPr>
            <w:tcW w:w="62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Issuance/distribution of</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4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Common Stock for 401(k)</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Savings Plan</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(2,099.8)</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charges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loss, net</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tax</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8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9,949.3</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23,306.7</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(10,353.3)</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22,664.0</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4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equity awards granted under</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incentive plans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4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tendered upon</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42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exercise of stock options and</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42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vesting of restricted stock for</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tax obligations</w:t>
            </w:r>
          </w:p>
        </w:tc>
        <w:tc>
          <w:tcPr>
            <w:tcW w:w="62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Issuance/distribution of</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4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Common Stock for 401(k)</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Savings Plan</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charges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11,354.0</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27,260.3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(12,560.4)</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24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2"/>
        </w:trPr>
        <w:tc>
          <w:tcPr>
            <w:tcW w:w="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6680" w:type="dxa"/>
            <w:vAlign w:val="bottom"/>
            <w:gridSpan w:val="17"/>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STOCKHOLDERS' EQUITY </w:t>
            </w:r>
            <w:r>
              <w:rPr>
                <w:rFonts w:ascii="Times New Roman" w:cs="Times New Roman" w:eastAsia="Times New Roman" w:hAnsi="Times New Roman"/>
                <w:sz w:val="18"/>
                <w:szCs w:val="18"/>
                <w:b w:val="1"/>
                <w:bCs w:val="1"/>
                <w:i w:val="1"/>
                <w:iCs w:val="1"/>
                <w:color w:val="auto"/>
              </w:rPr>
              <w:t>(continued)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Class A Stock</w:t>
            </w:r>
          </w:p>
        </w:tc>
        <w:tc>
          <w:tcPr>
            <w:tcW w:w="80" w:type="dxa"/>
            <w:vAlign w:val="bottom"/>
            <w:vMerge w:val="restart"/>
          </w:tcPr>
          <w:p>
            <w:pPr>
              <w:spacing w:after="0"/>
              <w:rPr>
                <w:sz w:val="15"/>
                <w:szCs w:val="15"/>
                <w:color w:val="auto"/>
              </w:rPr>
            </w:pPr>
          </w:p>
        </w:tc>
        <w:tc>
          <w:tcPr>
            <w:tcW w:w="13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56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vMerge w:val="restart"/>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38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4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8"/>
                <w:szCs w:val="18"/>
                <w:b w:val="1"/>
                <w:bCs w:val="1"/>
                <w:color w:val="auto"/>
              </w:rPr>
              <w:t>Paid-in</w:t>
            </w:r>
          </w:p>
        </w:tc>
        <w:tc>
          <w:tcPr>
            <w:tcW w:w="90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56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34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Issuance of Common Stock</w:t>
            </w: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34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for equity awards granted</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34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under long-term incentive</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1,454.6</w:t>
            </w:r>
          </w:p>
        </w:tc>
        <w:tc>
          <w:tcPr>
            <w:tcW w:w="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plans</w:t>
            </w:r>
          </w:p>
        </w:tc>
        <w:tc>
          <w:tcPr>
            <w:tcW w:w="640" w:type="dxa"/>
            <w:vAlign w:val="bottom"/>
            <w:gridSpan w:val="2"/>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Common Stock tendered upon</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34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34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and vesting of restricted</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stock for employee tax</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(1,021.3)</w:t>
            </w:r>
          </w:p>
        </w:tc>
        <w:tc>
          <w:tcPr>
            <w:tcW w:w="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Issuance/distribution of</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34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Common Stock for 401(k)</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Savings Plan</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Repurchases of Common</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charges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0.</w:t>
            </w:r>
            <w:r>
              <w:rPr>
                <w:rFonts w:ascii="Times New Roman" w:cs="Times New Roman" w:eastAsia="Times New Roman" w:hAnsi="Times New Roman"/>
                <w:sz w:val="18"/>
                <w:szCs w:val="18"/>
                <w:u w:val="single" w:color="auto"/>
                <w:color w:val="auto"/>
              </w:rPr>
              <w:t>1</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$ 12,855.9</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31,672.9</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(15,167.4)</w:t>
            </w:r>
          </w:p>
        </w:tc>
        <w:tc>
          <w:tcPr>
            <w:tcW w:w="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29,353.6</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19685</wp:posOffset>
            </wp:positionV>
            <wp:extent cx="70548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5">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45720</wp:posOffset>
            </wp:positionV>
            <wp:extent cx="70548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579"/>
        </w:trPr>
        <w:tc>
          <w:tcPr>
            <w:tcW w:w="1160" w:type="dxa"/>
            <w:vAlign w:val="bottom"/>
            <w:tcBorders>
              <w:top w:val="single" w:sz="8" w:color="0000FF"/>
            </w:tcBorders>
          </w:tcPr>
          <w:p>
            <w:pPr>
              <w:spacing w:after="0"/>
              <w:rPr>
                <w:sz w:val="24"/>
                <w:szCs w:val="24"/>
                <w:color w:val="auto"/>
              </w:rPr>
            </w:pPr>
          </w:p>
        </w:tc>
        <w:tc>
          <w:tcPr>
            <w:tcW w:w="6380" w:type="dxa"/>
            <w:vAlign w:val="bottom"/>
            <w:gridSpan w:val="2"/>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744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608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51"/>
        </w:trPr>
        <w:tc>
          <w:tcPr>
            <w:tcW w:w="11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60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4,338.4</w:t>
            </w:r>
          </w:p>
        </w:tc>
      </w:tr>
      <w:tr>
        <w:trPr>
          <w:trHeight w:val="230"/>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r>
      <w:tr>
        <w:trPr>
          <w:trHeight w:val="229"/>
        </w:trPr>
        <w:tc>
          <w:tcPr>
            <w:tcW w:w="7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r>
      <w:tr>
        <w:trPr>
          <w:trHeight w:val="230"/>
        </w:trPr>
        <w:tc>
          <w:tcPr>
            <w:tcW w:w="7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(Gains) losses on marketable and other securities,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9"/>
        </w:trPr>
        <w:tc>
          <w:tcPr>
            <w:tcW w:w="7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non-cash items,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r>
      <w:tr>
        <w:trPr>
          <w:trHeight w:val="229"/>
        </w:trPr>
        <w:tc>
          <w:tcPr>
            <w:tcW w:w="7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w:t>
            </w:r>
          </w:p>
        </w:tc>
      </w:tr>
      <w:tr>
        <w:trPr>
          <w:trHeight w:val="230"/>
        </w:trPr>
        <w:tc>
          <w:tcPr>
            <w:tcW w:w="7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Acquired in-process research and development in connection with asset acquisition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29"/>
        </w:trPr>
        <w:tc>
          <w:tcPr>
            <w:tcW w:w="7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w:t>
            </w:r>
          </w:p>
        </w:tc>
      </w:tr>
      <w:tr>
        <w:trPr>
          <w:trHeight w:val="229"/>
        </w:trPr>
        <w:tc>
          <w:tcPr>
            <w:tcW w:w="7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Increase in inventories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r>
      <w:tr>
        <w:trPr>
          <w:trHeight w:val="229"/>
        </w:trPr>
        <w:tc>
          <w:tcPr>
            <w:tcW w:w="7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30"/>
        </w:trPr>
        <w:tc>
          <w:tcPr>
            <w:tcW w:w="7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Increase in deferred revenue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7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23"/>
        </w:trPr>
        <w:tc>
          <w:tcPr>
            <w:tcW w:w="7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adjustments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w:t>
            </w:r>
          </w:p>
        </w:tc>
      </w:tr>
      <w:tr>
        <w:trPr>
          <w:trHeight w:val="223"/>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5,014.9</w:t>
            </w:r>
          </w:p>
        </w:tc>
      </w:tr>
      <w:tr>
        <w:trPr>
          <w:trHeight w:val="196"/>
        </w:trPr>
        <w:tc>
          <w:tcPr>
            <w:tcW w:w="116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(7,487.9)</w:t>
            </w:r>
          </w:p>
        </w:tc>
      </w:tr>
      <w:tr>
        <w:trPr>
          <w:trHeight w:val="230"/>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or maturities of marketable and other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5,550.5</w:t>
            </w:r>
          </w:p>
        </w:tc>
      </w:tr>
      <w:tr>
        <w:trPr>
          <w:trHeight w:val="230"/>
        </w:trPr>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w:t>
            </w:r>
          </w:p>
        </w:tc>
      </w:tr>
      <w:tr>
        <w:trPr>
          <w:trHeight w:val="230"/>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Payments for Libtayo intangible asset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w:t>
            </w:r>
          </w:p>
        </w:tc>
      </w:tr>
      <w:tr>
        <w:trPr>
          <w:trHeight w:val="229"/>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r>
      <w:tr>
        <w:trPr>
          <w:trHeight w:val="223"/>
        </w:trPr>
        <w:tc>
          <w:tcPr>
            <w:tcW w:w="7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(3,784.6)</w:t>
            </w:r>
          </w:p>
        </w:tc>
      </w:tr>
      <w:tr>
        <w:trPr>
          <w:trHeight w:val="196"/>
        </w:trPr>
        <w:tc>
          <w:tcPr>
            <w:tcW w:w="1160" w:type="dxa"/>
            <w:vAlign w:val="bottom"/>
            <w:shd w:val="clear" w:color="auto" w:fill="CCEEFF"/>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1,519.5</w:t>
            </w:r>
          </w:p>
        </w:tc>
      </w:tr>
      <w:tr>
        <w:trPr>
          <w:trHeight w:val="230"/>
        </w:trPr>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r>
      <w:tr>
        <w:trPr>
          <w:trHeight w:val="230"/>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(2,082.8)</w:t>
            </w:r>
          </w:p>
        </w:tc>
      </w:tr>
      <w:tr>
        <w:trPr>
          <w:trHeight w:val="230"/>
        </w:trPr>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w:t>
            </w:r>
          </w:p>
        </w:tc>
      </w:tr>
      <w:tr>
        <w:trPr>
          <w:trHeight w:val="196"/>
        </w:trPr>
        <w:tc>
          <w:tcPr>
            <w:tcW w:w="116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r>
      <w:tr>
        <w:trPr>
          <w:trHeight w:val="216"/>
        </w:trPr>
        <w:tc>
          <w:tcPr>
            <w:tcW w:w="72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2,898.1</w:t>
            </w:r>
          </w:p>
        </w:tc>
      </w:tr>
      <w:tr>
        <w:trPr>
          <w:trHeight w:val="196"/>
        </w:trPr>
        <w:tc>
          <w:tcPr>
            <w:tcW w:w="116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5"/>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3,119.4</w:t>
            </w:r>
          </w:p>
        </w:tc>
      </w:tr>
      <w:tr>
        <w:trPr>
          <w:trHeight w:val="20"/>
        </w:trPr>
        <w:tc>
          <w:tcPr>
            <w:tcW w:w="72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9"/>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1,502.4</w:t>
            </w: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Overview and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Regeneron Pharmaceuticals, Inc. and its subsidiaries ("Regeneron," "Company," "we," "us," and "our") is a fully integrated biotechnology company that invents, develops, manufactures, and commercializes medicines for people with serious diseases. The Company's products and product candidates in development are designed to help patients with eye diseases, allergic and inflammatory diseases, cancer, cardiovascular and metabolic diseases, neurological diseases, hematologic conditions, infectious diseases, and rare diseases. The Company's research and development efforts have led to numerous products that have received marketing approval. The Company is a party to collaboration and license agreements to develop and commercialize, as applicable, certain products and product candidates (see Note 3).</w:t>
      </w:r>
    </w:p>
    <w:p>
      <w:pPr>
        <w:spacing w:after="0" w:line="10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Company's business is subject to certain risks including, but not limited to, uncertainties relating to conducting research activities, product development, obtaining regulatory approvals, competition, and obtaining and enforcing patents.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one business segment, which includes all activities related to the discovery, development, and commercialization of medicines for serious diseases. The determination of a single business segment is consistent with the consolidated financial information regularly provided to the Company’s chief operating decision maker (“CODM”). The Company’s CODM is its Chief Executive Officer, who reviews and evaluates consolidated net income for purposes of assessing performance, making operating decisions, allocating resources, and planning and forecasting for future periods.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significant expense categories included within consolidated net income presented on the Company's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see below for disaggregated amounts that comprise research and development expenses:</w:t>
      </w:r>
    </w:p>
    <w:p>
      <w:pPr>
        <w:spacing w:after="0" w:line="176"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2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Direct research and development expenses</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r>
      <w:tr>
        <w:trPr>
          <w:trHeight w:val="95"/>
        </w:trPr>
        <w:tc>
          <w:tcPr>
            <w:tcW w:w="4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w:t>
            </w:r>
          </w:p>
        </w:tc>
      </w:tr>
      <w:tr>
        <w:trPr>
          <w:trHeight w:val="175"/>
        </w:trPr>
        <w:tc>
          <w:tcPr>
            <w:tcW w:w="4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Lab supplies and other research and development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4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costs</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230"/>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w:t>
            </w:r>
          </w:p>
        </w:tc>
      </w:tr>
      <w:tr>
        <w:trPr>
          <w:trHeight w:val="142"/>
        </w:trPr>
        <w:tc>
          <w:tcPr>
            <w:tcW w:w="4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w:t>
            </w:r>
          </w:p>
        </w:tc>
      </w:tr>
      <w:tr>
        <w:trPr>
          <w:trHeight w:val="94"/>
        </w:trPr>
        <w:tc>
          <w:tcPr>
            <w:tcW w:w="4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75"/>
        </w:trPr>
        <w:tc>
          <w:tcPr>
            <w:tcW w:w="4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 expenses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collaborators</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r>
      <w:tr>
        <w:trPr>
          <w:trHeight w:val="94"/>
        </w:trPr>
        <w:tc>
          <w:tcPr>
            <w:tcW w:w="42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600" w:right="1720" w:hanging="8"/>
        <w:spacing w:after="0" w:line="202" w:lineRule="auto"/>
        <w:tabs>
          <w:tab w:leader="none" w:pos="1770"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Direct research and development expenses are comprised primarily of costs paid to third parties for clinical and product development activities, and the portion of research and development expenses incurred by our collaborators that we are obligated to reimburse.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Regeneron and its wholly-owned subsidiaries. Intercompany balances and transactions are eliminated in consolidation.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with the current period's presentation.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Actual results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differ from those estimates.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expose the Company to concentrations of credit risk consist of cash, cash equivalents, certain investments, and accounts receivable. In accordance with the Company's policies, the Company mandates asset diversification and monitors exposure with its counterparties.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Concentrations of credit risk with respect to receivables from collaborators (see Note 3) are significant. In addition, concentrations of credit risk with respect to customer accounts receivable are also significant. As of December 31, 2024 and 2023, two individual customers accounted for 79% and 83% of the Company's net trade accounts receivable balances, respectively. The Company has contractual payment terms with each of its collaborators and customers, and the Company monitors their financial performance and credit worthiness so that it can properly assess and respond to any changes in their credit profile. As of and for the years ended December 31, 2024 and 2023, there were no write-offs and allowances of accounts receivable related to credit risk for the Company's collaborators or customers.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debt instruments with a maturity of three months or less when purchased to be cash equivalents. The carrying amount reported in the Consolidated Balance Sheet for cash and cash equivalents approximates its fair value.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Equity Securities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an investment policy that includes guidelines on acceptable investment securities, minimum credit quality, maturity parameters, and diversification. The Company invests its cash primarily in debt securities. The Company considers its investments in debt securities to be "available-for-sale," as defined by authoritative guidance issued by the Financial Accounting Standards Board ("FASB"). These assets are carried at fair value and the unrealized gains and losses are included in accumulated other comprehensive income (loss). Realized gains and losses on available-for-sale debt securities are included in other income (expense), net. The Company reviews its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has investments in equity securities that are carried at fair value with changes in fair value recognized within other income (expense), net. The Company has elected to measure certain equity investments it holds that do not have readily determinable fair values at cost less impairment, if any, and adjusts for observable price changes in orderly transactions for identical or similar investments of the same issuer within other income (expense), net.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Company's trade accounts receivable arise from product sales and represent amounts due from its customers. In addition, the Company records accounts receivable arising from its collaboration and licensing agreements. The Company monitors the financial performance and credit worthiness of its counterparties so that it can properly assess and respond to changes in their credit profile. The Company provides allowances against receivables for estimated losses, if any, that may result from a counterparty's inability to pay. Amounts determined to be uncollectible are written-off against the allowance.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Company determines the cost of inventory using the first-in, first-out, or FIFO, method.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prior to regulatory approval when, based on management's judgment, future commercialization is considered probable and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analyzes its inventory levels to identify inventory that may expire prior to expected sale or has a cost basis in excess of its estimated realizable value.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write down such inventory to its estimated realizable value.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plant, and equipment are stated at cost, net of accumulated depreciation. Depreciation is calculated on a straight-line basis over the estimated useful lives of the assets. Leasehold improvements are amortized over the shorter of the estimated useful lives of the assets or the remaining lease term. Costs of construction of certain long-lived assets include capitalized interest, which is amortized over the estimated useful life of the related asset.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within income from operations. The estimated useful lives of property, plant, and equipment are as follows:</w:t>
      </w:r>
    </w:p>
    <w:p>
      <w:pPr>
        <w:spacing w:after="0" w:line="246" w:lineRule="exact"/>
        <w:rPr>
          <w:sz w:val="20"/>
          <w:szCs w:val="20"/>
          <w:color w:val="auto"/>
        </w:rPr>
      </w:pPr>
    </w:p>
    <w:tbl>
      <w:tblPr>
        <w:tblLayout w:type="fixed"/>
        <w:tblInd w:w="3520" w:type="dxa"/>
        <w:tblCellMar>
          <w:top w:w="0" w:type="dxa"/>
          <w:left w:w="0" w:type="dxa"/>
          <w:bottom w:w="0" w:type="dxa"/>
          <w:right w:w="0" w:type="dxa"/>
        </w:tblCellMar>
      </w:tblP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10–50 years</w:t>
            </w: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Laboratory and other equipment</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3–10 years</w:t>
            </w: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considering whether there is an identified asset and the contract conveys the right to control its use. Leases with an initial term of 12 months or less are not recorded on the balance sheet. The Company may include options to extend or terminate a lease within the lease term when it is reasonably certain that it will exercise that option. The Company accounts for lease components (e.g., rental payments) separately from non-lease components (e.g., common area maintenance costs).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liabilities are recognized at the lease commencement date based on the present value of the remaining lease payments, discounted using the rate implicit in the lease. For leases where an implicit rate is not readily determinable, the Company uses its incremental borrowing rate based on information available at the lease commencement date to determine the present value of future lease payments. Lease expense for operating leases is recognized on a straight-line basis over the expected lease term.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makes a determination whether a transaction should be accounted for as a business combination or as an asset acquisition.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 business combination, the acquisition method of accounting generally requires that the assets acquired and liabilities assumed be recorded as of the date of the acquisition at their respective fair values. Amounts allocated to acquired in-process research and development are capitalized as indefinite-lived intangible assets. Any excess of the purchase price (consideration transferred) over the fair values of net assets acquired is recorded as goodwill. Contingent consideration obligations are recorded at fair value as of the acquisition date and remeasured each subsequent reporting period until the contingencies have been resolved, with any changes in fair value recorded in Other operating (income) expense, net.</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it is determined that the assets acquired do not meet the definition of a business, or if substantially all of the fair value of the assets acquired are concentrated in a single identifiable asset, then the transaction is accounted for as an asset acquisition rather than a business combination. In an asset acquisition, assets acquired are recorded at cost, goodwill is not recognized, and acquired in-process research and development with no alternative future use is charged to expense.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acquired in a business combination are recorded at fair value, while intangible assets acquired in connection with an asset acquisition are recorded at cost.</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Payments to acquire intangible assets in an asset acquisition may include up-front payments and contingent consideration. With regard to contingent consideration in an asset acquisition, the Company recognizes regulatory milestones upon achievement, royalties in the period in which the underlying sales occur, and sales-based milestones when the milestone is deemed probable by the Company of being achieved. If contingent consideration is recognized subsequent to the acquisition date in an asset acquisition, the amount of such consideration is recorded as an addition to the cost basis of the intangible asset with a cumulative catch-up adjustment for amortization expense as if the additional amount of consideration had been accrued from the outset of the acquisition.</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are subject to impairment testing until completion or abandonment of the associated research and development efforts. Definite-lived intangible assets are amortized to Cost of goods sold over the estimated useful lives of the assets based on the pattern in which the economic benefits of the intangible assets are consumed; if that pattern cannot be reliably determined, a straight-line basis is used.</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are reviewed for recoverability whenever events or changes in circumstances indicate that the carrying amount of the asset may not be recoverable. If an indicator of impairment exists, the Company compares the projected undiscounted cash flows to be generated by the asset to the intangible asset's carrying amount. If the projected undiscounted cash flows of the intangible asset are less than the carrying amount, an impairment loss is recognized within operating expenses and the intangible asset is written down to its fair value in the period in which the impairment occurs.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Company's customer is deemed to have obtained control of the product, which generally occurs upon receipt or acceptance by its customer.</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 of revenue the Company recognizes from product sales may vary due to rebates, chargebacks, and discounts provided under governmental and other programs, distribution-related fees, and other sales-related deductions. In order to determine the transaction price, the Company estimates, utilizing the expected value method, the amount of variable consideration to which the Company will be entitled. This estimate is based upon contracts with customers, healthcare providers, payors, and government agencies, statutorily-defined discounts applicable to government-funded programs, historical experience, estimated payor mix, and other relevant factors. The Company reviews its estimates of rebates, chargebacks, and other applicable provisions each period and records any necessary adjustments in the current period's net product sales.</w:t>
      </w:r>
    </w:p>
    <w:p>
      <w:pPr>
        <w:spacing w:after="0" w:line="118" w:lineRule="exact"/>
        <w:rPr>
          <w:sz w:val="20"/>
          <w:szCs w:val="20"/>
          <w:color w:val="auto"/>
        </w:rPr>
      </w:pPr>
    </w:p>
    <w:p>
      <w:pPr>
        <w:jc w:val="both"/>
        <w:ind w:left="660" w:hanging="328"/>
        <w:spacing w:after="0" w:line="255"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Rebates: </w:t>
      </w:r>
      <w:r>
        <w:rPr>
          <w:rFonts w:ascii="Times New Roman" w:cs="Times New Roman" w:eastAsia="Times New Roman" w:hAnsi="Times New Roman"/>
          <w:sz w:val="18"/>
          <w:szCs w:val="18"/>
          <w:color w:val="auto"/>
        </w:rPr>
        <w:t>The Company's rebates include amounts paid to managed care organizations, group purchasing organizations, state Medicaid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rebate programs. The Company estimates reductions to product sales for each type of rebate and records an allowance for rebates in the same period in which the related product sales are recognized. The Company's liability for rebates consists of estimates for claims related to the current and prior periods that have not been paid and estimates for claims that will be made related to product that exists in the distribution channel at the end of the period.</w:t>
      </w:r>
    </w:p>
    <w:p>
      <w:pPr>
        <w:jc w:val="both"/>
        <w:ind w:left="660" w:hanging="328"/>
        <w:spacing w:after="0" w:line="250"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Chargebacks and Discounts: </w:t>
      </w:r>
      <w:r>
        <w:rPr>
          <w:rFonts w:ascii="Times New Roman" w:cs="Times New Roman" w:eastAsia="Times New Roman" w:hAnsi="Times New Roman"/>
          <w:sz w:val="18"/>
          <w:szCs w:val="18"/>
          <w:color w:val="auto"/>
        </w:rPr>
        <w:t>The Company's reserves related to discounted pricing to eligible physicians, Veterans' Administration ("VA"),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Services, and others (collectively, "qualified healthcare providers") represent the Company's estimated obligations resulting from contractual commitments to sell products to qualified healthcare providers at prices lower than the list prices the Company charges to its customers (i.e., distributors and specialty pharmacies). The Company's customers charge the Company for the difference between what they pay for the products and the discounted selling price to the qualified healthcare providers. The Company estimates reductions to product sales for each type of chargeback and records an allowance for chargebacks in the same period that the related product sales are recognized. The Company's reserve for chargebacks consists of amounts for which it expects to issue credit based on expected sales by its customers to qualified healthcare providers and chargebacks that customers have claimed but for which the Company has not yet issued credit.</w:t>
      </w:r>
    </w:p>
    <w:p>
      <w:pPr>
        <w:spacing w:after="0" w:line="3"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Distribution-Related Fees: </w:t>
      </w:r>
      <w:r>
        <w:rPr>
          <w:rFonts w:ascii="Times New Roman" w:cs="Times New Roman" w:eastAsia="Times New Roman" w:hAnsi="Times New Roman"/>
          <w:sz w:val="18"/>
          <w:szCs w:val="18"/>
          <w:color w:val="auto"/>
        </w:rPr>
        <w:t>The Company has written contracts with its customers that include terms for distribution-related fees.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records distribution and related fees due to its customers generally based on gross sales.</w:t>
      </w:r>
    </w:p>
    <w:p>
      <w:pPr>
        <w:jc w:val="both"/>
        <w:ind w:left="660" w:hanging="328"/>
        <w:spacing w:after="0" w:line="253" w:lineRule="auto"/>
        <w:tabs>
          <w:tab w:leader="none" w:pos="6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Sales-Related Deductions</w:t>
      </w:r>
      <w:r>
        <w:rPr>
          <w:rFonts w:ascii="Times New Roman" w:cs="Times New Roman" w:eastAsia="Times New Roman" w:hAnsi="Times New Roman"/>
          <w:sz w:val="18"/>
          <w:szCs w:val="18"/>
          <w:color w:val="auto"/>
        </w:rPr>
        <w:t>: The Company's other sales-related deductions include co-pay assistance programs and product returns.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estimates and records other sales-related deductions generally based on gross sales, written contracts, and other relevant factors. Consistent with industry practice, the Company generally offers its customers a limited right to return product purchased directly from the Company, which is principally based upon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product's expiration date. Product returned is generally not resalable given the nature of the Company's products and method of administration. The Company develops estimates for product returns based upon historical experience, shelf life of the product, and other relevant factors. The Company monitors product supply levels in the distribution channel, as well as sales by its customers, using product-specific data provided by its customers. If necessary, the Company's estimates of product returns may be adjusted in the future based on actual returns experience, known or expected changes in the marketplace, or other factors.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Arrangements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collaborative arrangements to research, develop, manufacture, and commercialize products and/or product candidates. Although each of these arrangements is unique in nature, such arrangements involve a joint operating activity where both parties are active participants in the activities of the collaboration and exposed to significant risks and rewards dependent on the commercial success of the activities.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arrangements where the Company does not deem its collaborator to be its customer, payments to and from its collaborator are presented in the Company's statement of operations based on the nature of our business operations, the nature of the arrangement, including the contractual terms, and the nature of the payments. In general, the presentation of such amounts is summarized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Nature/Type of Payment</w:t>
            </w:r>
          </w:p>
        </w:tc>
        <w:tc>
          <w:tcPr>
            <w:tcW w:w="44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Statement of Operations Presentation</w:t>
            </w:r>
          </w:p>
        </w:tc>
      </w:tr>
      <w:tr>
        <w:trPr>
          <w:trHeight w:val="169"/>
        </w:trPr>
        <w:tc>
          <w:tcPr>
            <w:tcW w:w="54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Regeneron's share of profits or losses in connection with</w:t>
            </w:r>
          </w:p>
        </w:tc>
        <w:tc>
          <w:tcPr>
            <w:tcW w:w="100" w:type="dxa"/>
            <w:vAlign w:val="bottom"/>
            <w:tcBorders>
              <w:top w:val="single" w:sz="8" w:color="CCEEFF"/>
            </w:tcBorders>
            <w:shd w:val="clear" w:color="auto" w:fill="CCEEFF"/>
          </w:tcPr>
          <w:p>
            <w:pPr>
              <w:spacing w:after="0"/>
              <w:rPr>
                <w:sz w:val="14"/>
                <w:szCs w:val="14"/>
                <w:color w:val="auto"/>
              </w:rPr>
            </w:pPr>
          </w:p>
        </w:tc>
        <w:tc>
          <w:tcPr>
            <w:tcW w:w="44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Collaboration revenue</w:t>
            </w:r>
          </w:p>
        </w:tc>
      </w:tr>
      <w:tr>
        <w:trPr>
          <w:trHeight w:val="243"/>
        </w:trPr>
        <w:tc>
          <w:tcPr>
            <w:tcW w:w="5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commercialization of products</w:t>
            </w:r>
          </w:p>
        </w:tc>
        <w:tc>
          <w:tcPr>
            <w:tcW w:w="4440" w:type="dxa"/>
            <w:vAlign w:val="bottom"/>
            <w:shd w:val="clear" w:color="auto" w:fill="CCEEFF"/>
          </w:tcPr>
          <w:p>
            <w:pPr>
              <w:spacing w:after="0"/>
              <w:rPr>
                <w:sz w:val="21"/>
                <w:szCs w:val="21"/>
                <w:color w:val="auto"/>
              </w:rPr>
            </w:pPr>
          </w:p>
        </w:tc>
      </w:tr>
      <w:tr>
        <w:trPr>
          <w:trHeight w:val="22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r>
      <w:tr>
        <w:trPr>
          <w:trHeight w:val="22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 and/or sales-based milestones earned</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r>
      <w:tr>
        <w:trPr>
          <w:trHeight w:val="23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Reimbursement of Regeneron's research and development expenses</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 to Research and development expense</w:t>
            </w:r>
          </w:p>
        </w:tc>
      </w:tr>
      <w:tr>
        <w:trPr>
          <w:trHeight w:val="175"/>
        </w:trPr>
        <w:tc>
          <w:tcPr>
            <w:tcW w:w="5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collaborator's research and</w:t>
            </w:r>
          </w:p>
        </w:tc>
        <w:tc>
          <w:tcPr>
            <w:tcW w:w="4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Research and development expense</w:t>
            </w:r>
          </w:p>
        </w:tc>
      </w:tr>
      <w:tr>
        <w:trPr>
          <w:trHeight w:val="243"/>
        </w:trPr>
        <w:tc>
          <w:tcPr>
            <w:tcW w:w="5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 expenses</w:t>
            </w:r>
          </w:p>
        </w:tc>
        <w:tc>
          <w:tcPr>
            <w:tcW w:w="4440" w:type="dxa"/>
            <w:vAlign w:val="bottom"/>
            <w:shd w:val="clear" w:color="auto" w:fill="CCEEFF"/>
          </w:tcPr>
          <w:p>
            <w:pPr>
              <w:spacing w:after="0"/>
              <w:rPr>
                <w:sz w:val="21"/>
                <w:szCs w:val="21"/>
                <w:color w:val="auto"/>
              </w:rPr>
            </w:pPr>
          </w:p>
        </w:tc>
      </w:tr>
      <w:tr>
        <w:trPr>
          <w:trHeight w:val="175"/>
        </w:trPr>
        <w:tc>
          <w:tcPr>
            <w:tcW w:w="5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Up-front, opt-in, and development milestone payments; and premiums paid</w:t>
            </w:r>
          </w:p>
        </w:tc>
        <w:tc>
          <w:tcPr>
            <w:tcW w:w="4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Acquired in-process research and development expense</w:t>
            </w:r>
          </w:p>
        </w:tc>
      </w:tr>
      <w:tr>
        <w:trPr>
          <w:trHeight w:val="239"/>
        </w:trPr>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on equity securities</w:t>
            </w:r>
          </w:p>
        </w:tc>
        <w:tc>
          <w:tcPr>
            <w:tcW w:w="4440" w:type="dxa"/>
            <w:vAlign w:val="bottom"/>
          </w:tcPr>
          <w:p>
            <w:pPr>
              <w:spacing w:after="0"/>
              <w:rPr>
                <w:sz w:val="20"/>
                <w:szCs w:val="20"/>
                <w:color w:val="auto"/>
              </w:rPr>
            </w:pPr>
          </w:p>
        </w:tc>
      </w:tr>
      <w:tr>
        <w:trPr>
          <w:trHeight w:val="234"/>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Reimbursement of Regeneron's commercialization-related expenses</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to Selling, general, and administrative expense</w:t>
            </w:r>
          </w:p>
        </w:tc>
      </w:tr>
      <w:tr>
        <w:trPr>
          <w:trHeight w:val="175"/>
        </w:trPr>
        <w:tc>
          <w:tcPr>
            <w:tcW w:w="5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collaborator's commercialization-</w:t>
            </w:r>
          </w:p>
        </w:tc>
        <w:tc>
          <w:tcPr>
            <w:tcW w:w="4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expense</w:t>
            </w:r>
          </w:p>
        </w:tc>
      </w:tr>
      <w:tr>
        <w:trPr>
          <w:trHeight w:val="239"/>
        </w:trPr>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expenses</w:t>
            </w:r>
          </w:p>
        </w:tc>
        <w:tc>
          <w:tcPr>
            <w:tcW w:w="4440" w:type="dxa"/>
            <w:vAlign w:val="bottom"/>
          </w:tcPr>
          <w:p>
            <w:pPr>
              <w:spacing w:after="0"/>
              <w:rPr>
                <w:sz w:val="20"/>
                <w:szCs w:val="20"/>
                <w:color w:val="auto"/>
              </w:rPr>
            </w:pPr>
          </w:p>
        </w:tc>
      </w:tr>
      <w:tr>
        <w:trPr>
          <w:trHeight w:val="180"/>
        </w:trPr>
        <w:tc>
          <w:tcPr>
            <w:tcW w:w="55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Regeneron's obligation to pay collaborator for its share of gross profits</w:t>
            </w:r>
          </w:p>
        </w:tc>
        <w:tc>
          <w:tcPr>
            <w:tcW w:w="44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Cost of goods sold</w:t>
            </w:r>
          </w:p>
        </w:tc>
      </w:tr>
      <w:tr>
        <w:trPr>
          <w:trHeight w:val="243"/>
        </w:trPr>
        <w:tc>
          <w:tcPr>
            <w:tcW w:w="5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when Regeneron is deemed to be the principal</w:t>
            </w:r>
          </w:p>
        </w:tc>
        <w:tc>
          <w:tcPr>
            <w:tcW w:w="4440" w:type="dxa"/>
            <w:vAlign w:val="bottom"/>
            <w:shd w:val="clear" w:color="auto" w:fill="CCEEFF"/>
          </w:tcPr>
          <w:p>
            <w:pPr>
              <w:spacing w:after="0"/>
              <w:rPr>
                <w:sz w:val="21"/>
                <w:szCs w:val="21"/>
                <w:color w:val="auto"/>
              </w:rPr>
            </w:pPr>
          </w:p>
        </w:tc>
      </w:tr>
      <w:tr>
        <w:trPr>
          <w:trHeight w:val="176"/>
        </w:trPr>
        <w:tc>
          <w:tcPr>
            <w:tcW w:w="5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Up-front and development milestones earned (when there is a combined</w:t>
            </w:r>
          </w:p>
        </w:tc>
        <w:tc>
          <w:tcPr>
            <w:tcW w:w="4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operating income</w:t>
            </w:r>
          </w:p>
        </w:tc>
      </w:tr>
      <w:tr>
        <w:trPr>
          <w:trHeight w:val="175"/>
        </w:trPr>
        <w:tc>
          <w:tcPr>
            <w:tcW w:w="55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unit of account which includes a license and providing research and</w:t>
            </w:r>
          </w:p>
        </w:tc>
        <w:tc>
          <w:tcPr>
            <w:tcW w:w="4440" w:type="dxa"/>
            <w:vAlign w:val="bottom"/>
          </w:tcPr>
          <w:p>
            <w:pPr>
              <w:spacing w:after="0"/>
              <w:rPr>
                <w:sz w:val="15"/>
                <w:szCs w:val="15"/>
                <w:color w:val="auto"/>
              </w:rPr>
            </w:pPr>
          </w:p>
        </w:tc>
      </w:tr>
      <w:tr>
        <w:trPr>
          <w:trHeight w:val="234"/>
        </w:trPr>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development services)</w:t>
            </w:r>
          </w:p>
        </w:tc>
        <w:tc>
          <w:tcPr>
            <w:tcW w:w="4440" w:type="dxa"/>
            <w:vAlign w:val="bottom"/>
          </w:tcPr>
          <w:p>
            <w:pPr>
              <w:spacing w:after="0"/>
              <w:rPr>
                <w:sz w:val="20"/>
                <w:szCs w:val="20"/>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agreements involving multiple goods or services promised to be transferred to the Company's collaborator, the Company assesses, at the inception of the contract, whether each promise represents a separate obligation (i.e., is "distinct"), or whether such promises should be combined as a single unit of account. When the Company has a combined unit of account which includes a license and providing research and development services to its collaborator, recognition of up-front payments and development milestones earned from its collaborator is deferred (as a liability) and recognized over the development period (i.e., over time) typically using an input method on the basis of the Company's research and development costs incurred relative to the total expected cost which determines the extent of the Company's progress toward completion. The Company reviews its estimates each period and makes revisions to such estimates as necessary.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the Company is entitled to reimbursement of all or a portion of the expenses (e.g., research and development expenses) that it incurs under a collaboration, it records those reimbursable amounts in the period in which such costs are incurred.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When the Company enters into an arrangement with another party to fund its research and development costs, the Company considers whether the costs that it may be obligated to repay represent a liability within the scope of Accounting Standards Codification ("ASC") 730-20,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If the Company concludes that such funding does not represent a substantive and genuine transfer of risk, a liability is recorded.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Company's collaborator performs research and development work or commercialization-related activities and the parties share the related costs, the Company also recognizes, as expense (e.g., research and development expense or selling, general, and administrative expense, as applicable) in the period when its collaborator incurs such expenses, the portion of the collaborator's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expenses that the Company is obligated to reimburse. The Company's collaborators provide the Company with estimated expenses for the most recent fiscal quarter. The estimates are revised, if necessary, in subsequent periods if actual expenses differ from those estimates.</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certain of the Company's collaboration agreements, product sales and cost of sales may be recorded by the Company's collaborators as they are deemed to be the principal in the transaction. In arrangements where the Company:</w:t>
      </w:r>
    </w:p>
    <w:p>
      <w:pPr>
        <w:spacing w:after="0" w:line="94" w:lineRule="exact"/>
        <w:rPr>
          <w:sz w:val="20"/>
          <w:szCs w:val="20"/>
          <w:color w:val="auto"/>
        </w:rPr>
      </w:pPr>
    </w:p>
    <w:p>
      <w:pPr>
        <w:jc w:val="both"/>
        <w:ind w:left="660" w:hanging="328"/>
        <w:spacing w:after="0" w:line="25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commercial product to its collaborator, the Company may be reimbursed for its manufacturing costs as commercial product is shipped to the collaborator (however, recognition of such cost reimbursements may be deferred until the product is sold by the Company's collaborator to third-party customers);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in any profits or losses arising from the commercialization of such products, the Company records its share of the variable consideration, representing net product sales less cost of goods sold and shared commercialization and other expenses, in the period in which such underlying sales occur and costs are incurred by the collaborator;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royalties and/or sales-based milestone payments from its collaborator, the Company recognizes such amounts in the period earned.</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collaborators provide it with estimates of product sales and the Company's share of profits or losses, as applicable, for each quarter. The estimates are revised, if necessary, in subsequent periods if the Company's actual share of profits or losses differ from those estimates.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costs attributable to the conduct of research and development programs, including the cost of salaries, payroll taxes, employee benefits, materials, supplies, depreciation on and maintenance of research equipment, costs related to research collaboration and licensing agreements, clinical trial expenses, the cost of services provided by outside contractors, including services related to the Company's clinical trials, the cost of manufacturing drug for use in research and development, amounts that the Company is obligated to reimburse to collaborators for research and development expenses that they incur, and the allocable portions of facility costs. Costs associated with research and development are expensed.</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each clinical trial that the Company conducts, certain clinical trial costs are expensed immediately, while others are expensed over time based on the expected total number of patients in the trial, the rate at which patients enter and remain in the trial, and/or the period over which clinical investigators, contract research organizations ("CROs"), or other third-party service providers are expected to provide services. In the event of early termination of a clinical trial, the Company accrues and recognizes expenses in an amount based on its estimate of the remaining noncancelable obligations associated with the winding-down of the clinical trial, including any applicable penalties.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equity grants under the Company's long-term incentive plans (including stock options, restricted stock awards, and restricted stock units (both time-based and performance-based)) to employees and non-employee members of the Company's board of directors (as applicable) based on the grant-date fair value of those awards. The grant-date fair value of an award is generally recognized as compensation expense over the award's requisite service period. Stock-based compensation expense also includes an estimate, which is made at the time of grant, of the number of awards that are expected to be forfeited. The forfeiture rate estimate is calculated by considering both historical forfeiture experience and an estimate of expected future forfeitures for currently outstanding unvested awards. This estimate is reviewed at least annually and revised, if necessary, in subsequent periods if actual forfeitures differ from those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model to compute the estimated fair value of stock option awards. Additionally, the Company uses a Monte Carlo simulation to compute the estimated fair value of performance-based restricted stock units that are subject to vesting based on the Company’s attainment of pre-established criteria that include a market condition.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performance-based restricted stock units that contain a performance condition, the Company recognizes stock-based compensation expense if and when the Company determines that it is probable the performance condition will be achieved (based on the number of shares expected to be vested and issued). The Company reassesses the probability of achievement at each reporting period and adjusts compensation cost, as necessary. If there are any changes in the Company's probability assessment, the Company recognizes a cumulative catch-up adjustment in the period of the change in estimate, with the remaining unrecognized expense recognized prospectively over the remaining requisite service period. If the Company subsequently determines that the performance criteria are not met or are not expected to be met, any amounts previously recognized as compensation expense are reversed in the period when such determination is made.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provision for income taxes includes U.S. federal, state, local, and foreign taxes. Income taxes are accounted for under the liability method. Deferred tax assets and liabilities are recognized for the expected future tax consequences of events that have been included in the financial statements or tax returns, including deferred tax assets and liabilities for expected amounts of global intangible low-taxed income ("GILTI") inclusions. Deferred tax assets and liabilities are determined as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the financial statement effects of a tax position when management's assessment is that there is more than a 50% probability that the position will be sustained upon examination by a taxing authority based upon its technical merits. Uncertain tax positions are recorded based upon certain recognition and measurement criteria. The Company re-evaluates uncertain tax positions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 The Company adjusts the amount of the liability to reflect any subsequent changes in the relevant facts and circumstances surrounding the uncertain tax positions. The Company recognizes interest and penalties related to income tax matters in income tax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 Share Data</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Basic net income per share excludes restricted stock until vested. Diluted net income per share includes the potential dilutive effect of common stock equivalents as if such securities were converted or exercised during the period, when the effect is dilutive. Common stock equivalents include outstanding stock options and unvested restricted stock under the Company's long-term incentive plans, which are included under the treasury stock method when dilutive.</w:t>
      </w:r>
    </w:p>
    <w:p>
      <w:pPr>
        <w:sectPr>
          <w:pgSz w:w="11900" w:h="16838" w:orient="portrait"/>
          <w:cols w:equalWidth="0" w:num="1">
            <w:col w:w="11240"/>
          </w:cols>
          <w:pgMar w:left="320" w:top="369" w:right="339" w:bottom="1440" w:gutter="0" w:footer="0" w:header="0"/>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387"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Standard/Description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6172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7">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0" w:lineRule="exact"/>
        <w:rPr>
          <w:sz w:val="20"/>
          <w:szCs w:val="20"/>
          <w:color w:val="auto"/>
        </w:rPr>
      </w:pPr>
    </w:p>
    <w:p>
      <w:pPr>
        <w:ind w:left="180" w:right="320" w:hanging="161"/>
        <w:spacing w:after="0" w:line="216" w:lineRule="auto"/>
        <w:rPr>
          <w:sz w:val="20"/>
          <w:szCs w:val="20"/>
          <w:color w:val="auto"/>
        </w:rPr>
      </w:pPr>
      <w:r>
        <w:rPr>
          <w:rFonts w:ascii="Times New Roman" w:cs="Times New Roman" w:eastAsia="Times New Roman" w:hAnsi="Times New Roman"/>
          <w:sz w:val="18"/>
          <w:szCs w:val="18"/>
          <w:color w:val="auto"/>
        </w:rPr>
        <w:t xml:space="preserve">ASU 2023-09: In December 2023, the FASB issued amended guidance related to improvements to </w:t>
      </w:r>
      <w:r>
        <w:rPr>
          <w:rFonts w:ascii="Times New Roman" w:cs="Times New Roman" w:eastAsia="Times New Roman" w:hAnsi="Times New Roman"/>
          <w:sz w:val="18"/>
          <w:szCs w:val="18"/>
          <w:b w:val="1"/>
          <w:bCs w:val="1"/>
          <w:color w:val="auto"/>
        </w:rPr>
        <w:t>income tax disclosures</w:t>
      </w:r>
      <w:r>
        <w:rPr>
          <w:rFonts w:ascii="Times New Roman" w:cs="Times New Roman" w:eastAsia="Times New Roman" w:hAnsi="Times New Roman"/>
          <w:sz w:val="18"/>
          <w:szCs w:val="18"/>
          <w:color w:val="auto"/>
        </w:rPr>
        <w:t>. The amendments require annually (i) enhanced disclosures in connection with an entity's</w:t>
      </w:r>
    </w:p>
    <w:p>
      <w:pPr>
        <w:spacing w:after="0" w:line="1" w:lineRule="exact"/>
        <w:rPr>
          <w:sz w:val="20"/>
          <w:szCs w:val="20"/>
          <w:color w:val="auto"/>
        </w:rPr>
      </w:pPr>
    </w:p>
    <w:p>
      <w:pPr>
        <w:ind w:left="180"/>
        <w:spacing w:after="0" w:line="226" w:lineRule="auto"/>
        <w:rPr>
          <w:sz w:val="20"/>
          <w:szCs w:val="20"/>
          <w:color w:val="auto"/>
        </w:rPr>
      </w:pPr>
      <w:r>
        <w:rPr>
          <w:rFonts w:ascii="Times New Roman" w:cs="Times New Roman" w:eastAsia="Times New Roman" w:hAnsi="Times New Roman"/>
          <w:sz w:val="18"/>
          <w:szCs w:val="18"/>
          <w:color w:val="auto"/>
        </w:rPr>
        <w:t>effective tax rate reconciliation and (ii) income taxes paid disaggregated by jurisdiction.</w:t>
      </w:r>
    </w:p>
    <w:p>
      <w:pPr>
        <w:spacing w:after="0" w:line="9" w:lineRule="exact"/>
        <w:rPr>
          <w:sz w:val="20"/>
          <w:szCs w:val="20"/>
          <w:color w:val="auto"/>
        </w:rPr>
      </w:pPr>
    </w:p>
    <w:p>
      <w:pPr>
        <w:ind w:left="180" w:right="260" w:hanging="161"/>
        <w:spacing w:after="0" w:line="229" w:lineRule="auto"/>
        <w:rPr>
          <w:sz w:val="20"/>
          <w:szCs w:val="20"/>
          <w:color w:val="auto"/>
        </w:rPr>
      </w:pPr>
      <w:r>
        <w:rPr>
          <w:rFonts w:ascii="Times New Roman" w:cs="Times New Roman" w:eastAsia="Times New Roman" w:hAnsi="Times New Roman"/>
          <w:sz w:val="17"/>
          <w:szCs w:val="17"/>
          <w:color w:val="auto"/>
        </w:rPr>
        <w:t xml:space="preserve">ASU 2024-03: In November 2024, the FASB issued new guidance which requires disclosure of </w:t>
      </w:r>
      <w:r>
        <w:rPr>
          <w:rFonts w:ascii="Times New Roman" w:cs="Times New Roman" w:eastAsia="Times New Roman" w:hAnsi="Times New Roman"/>
          <w:sz w:val="17"/>
          <w:szCs w:val="17"/>
          <w:b w:val="1"/>
          <w:bCs w:val="1"/>
          <w:color w:val="auto"/>
        </w:rPr>
        <w:t>disaggregated income statement expense</w:t>
      </w:r>
      <w:r>
        <w:rPr>
          <w:rFonts w:ascii="Times New Roman" w:cs="Times New Roman" w:eastAsia="Times New Roman" w:hAnsi="Times New Roman"/>
          <w:sz w:val="17"/>
          <w:szCs w:val="17"/>
          <w:color w:val="auto"/>
        </w:rPr>
        <w:t xml:space="preserve"> information about specific categories (including purchases of inventory,</w:t>
      </w:r>
    </w:p>
    <w:p>
      <w:pPr>
        <w:ind w:left="180"/>
        <w:spacing w:after="0" w:line="226" w:lineRule="auto"/>
        <w:rPr>
          <w:sz w:val="20"/>
          <w:szCs w:val="20"/>
          <w:color w:val="auto"/>
        </w:rPr>
      </w:pPr>
      <w:r>
        <w:rPr>
          <w:rFonts w:ascii="Times New Roman" w:cs="Times New Roman" w:eastAsia="Times New Roman" w:hAnsi="Times New Roman"/>
          <w:sz w:val="18"/>
          <w:szCs w:val="18"/>
          <w:color w:val="auto"/>
        </w:rPr>
        <w:t>employee compensation, depreciation, and intangible asset amortization) in the notes to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Impact of Adoption on the Company's</w:t>
            </w:r>
          </w:p>
        </w:tc>
        <w:tc>
          <w:tcPr>
            <w:tcW w:w="0" w:type="dxa"/>
            <w:vAlign w:val="bottom"/>
          </w:tcPr>
          <w:p>
            <w:pPr>
              <w:spacing w:after="0"/>
              <w:rPr>
                <w:sz w:val="1"/>
                <w:szCs w:val="1"/>
                <w:color w:val="auto"/>
              </w:rPr>
            </w:pPr>
          </w:p>
        </w:tc>
      </w:tr>
      <w:tr>
        <w:trPr>
          <w:trHeight w:val="243"/>
        </w:trPr>
        <w:tc>
          <w:tcPr>
            <w:tcW w:w="2340" w:type="dxa"/>
            <w:vAlign w:val="bottom"/>
            <w:gridSpan w:val="2"/>
            <w:vMerge w:val="continue"/>
          </w:tcPr>
          <w:p>
            <w:pPr>
              <w:spacing w:after="0"/>
              <w:rPr>
                <w:sz w:val="21"/>
                <w:szCs w:val="21"/>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0" w:type="dxa"/>
            <w:vAlign w:val="bottom"/>
          </w:tcPr>
          <w:p>
            <w:pPr>
              <w:spacing w:after="0"/>
              <w:rPr>
                <w:sz w:val="1"/>
                <w:szCs w:val="1"/>
                <w:color w:val="auto"/>
              </w:rPr>
            </w:pPr>
          </w:p>
        </w:tc>
      </w:tr>
      <w:tr>
        <w:trPr>
          <w:trHeight w:val="228"/>
        </w:trPr>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January 1, 2025</w:t>
            </w:r>
          </w:p>
        </w:tc>
        <w:tc>
          <w:tcPr>
            <w:tcW w:w="100" w:type="dxa"/>
            <w:vAlign w:val="bottom"/>
          </w:tcPr>
          <w:p>
            <w:pPr>
              <w:spacing w:after="0"/>
              <w:rPr>
                <w:sz w:val="19"/>
                <w:szCs w:val="19"/>
                <w:color w:val="auto"/>
              </w:rPr>
            </w:pPr>
          </w:p>
        </w:tc>
        <w:tc>
          <w:tcPr>
            <w:tcW w:w="3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 significant impact expected</w:t>
            </w:r>
          </w:p>
        </w:tc>
        <w:tc>
          <w:tcPr>
            <w:tcW w:w="0" w:type="dxa"/>
            <w:vAlign w:val="bottom"/>
          </w:tcPr>
          <w:p>
            <w:pPr>
              <w:spacing w:after="0"/>
              <w:rPr>
                <w:sz w:val="1"/>
                <w:szCs w:val="1"/>
                <w:color w:val="auto"/>
              </w:rPr>
            </w:pPr>
          </w:p>
        </w:tc>
      </w:tr>
      <w:tr>
        <w:trPr>
          <w:trHeight w:val="90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 2027 for annual</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Currently evaluating impact</w:t>
            </w:r>
          </w:p>
        </w:tc>
        <w:tc>
          <w:tcPr>
            <w:tcW w:w="0" w:type="dxa"/>
            <w:vAlign w:val="bottom"/>
          </w:tcPr>
          <w:p>
            <w:pPr>
              <w:spacing w:after="0"/>
              <w:rPr>
                <w:sz w:val="1"/>
                <w:szCs w:val="1"/>
                <w:color w:val="auto"/>
              </w:rPr>
            </w:pPr>
          </w:p>
        </w:tc>
      </w:tr>
      <w:tr>
        <w:trPr>
          <w:trHeight w:val="175"/>
        </w:trPr>
        <w:tc>
          <w:tcPr>
            <w:tcW w:w="23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reporting periods and January</w:t>
            </w:r>
          </w:p>
        </w:tc>
        <w:tc>
          <w:tcPr>
            <w:tcW w:w="3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 2028 for interim reporting</w:t>
            </w: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periods</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sectPr>
          <w:pgSz w:w="11900" w:h="16838" w:orient="portrait"/>
          <w:cols w:equalWidth="0" w:num="2">
            <w:col w:w="5620" w:space="140"/>
            <w:col w:w="5480"/>
          </w:cols>
          <w:pgMar w:left="320" w:top="3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p>
      <w:pPr>
        <w:spacing w:after="0" w:line="289"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2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w:t>
            </w:r>
          </w:p>
        </w:tc>
        <w:tc>
          <w:tcPr>
            <w:tcW w:w="1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p>
        </w:tc>
        <w:tc>
          <w:tcPr>
            <w:tcW w:w="1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6,264.6</w:t>
            </w:r>
          </w:p>
        </w:tc>
      </w:tr>
      <w:tr>
        <w:trPr>
          <w:trHeight w:val="223"/>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EYLEA HD and EYLEA</w:t>
            </w:r>
          </w:p>
        </w:tc>
        <w:tc>
          <w:tcPr>
            <w:tcW w:w="1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6,264.6</w:t>
            </w:r>
          </w:p>
        </w:tc>
      </w:tr>
      <w:tr>
        <w:trPr>
          <w:trHeight w:val="230"/>
        </w:trPr>
        <w:tc>
          <w:tcPr>
            <w:tcW w:w="2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r>
      <w:tr>
        <w:trPr>
          <w:trHeight w:val="229"/>
        </w:trPr>
        <w:tc>
          <w:tcPr>
            <w:tcW w:w="2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(a)</w:t>
            </w:r>
          </w:p>
        </w:tc>
        <w:tc>
          <w:tcPr>
            <w:tcW w:w="1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3"/>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Libtayo</w:t>
            </w: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Global</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r>
      <w:tr>
        <w:trPr>
          <w:trHeight w:val="229"/>
        </w:trPr>
        <w:tc>
          <w:tcPr>
            <w:tcW w:w="2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w:t>
            </w:r>
          </w:p>
        </w:tc>
        <w:tc>
          <w:tcPr>
            <w:tcW w:w="1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2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9"/>
        </w:trPr>
        <w:tc>
          <w:tcPr>
            <w:tcW w:w="2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Inmazeb</w:t>
            </w:r>
            <w:r>
              <w:rPr>
                <w:rFonts w:ascii="Times New Roman" w:cs="Times New Roman" w:eastAsia="Times New Roman" w:hAnsi="Times New Roman"/>
                <w:sz w:val="23"/>
                <w:szCs w:val="23"/>
                <w:color w:val="auto"/>
                <w:vertAlign w:val="superscript"/>
              </w:rPr>
              <w:t>®</w:t>
            </w:r>
          </w:p>
        </w:tc>
        <w:tc>
          <w:tcPr>
            <w:tcW w:w="1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26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6,893.7</w:t>
            </w:r>
          </w:p>
        </w:tc>
      </w:tr>
      <w:tr>
        <w:trPr>
          <w:trHeight w:val="20"/>
        </w:trPr>
        <w:tc>
          <w:tcPr>
            <w:tcW w:w="2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1600" w:right="1800" w:hanging="8"/>
        <w:spacing w:after="0" w:line="202" w:lineRule="auto"/>
        <w:tabs>
          <w:tab w:leader="none" w:pos="1770"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July 1, 2022, the Company obtained the exclusive right to develop, commercialize, and manufacture Libtayo worldwide and, as a result, began recording net product sales of Libtayo outside the United States. See Note 3 for further details.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$4.278 billion and $3.888 billion, respectively, of trade accounts receivable that were recorded within Accounts receivable, net.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product sales to certain customers that each accounted for more than 10% of total gross product revenue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 Sales to each of these customers as a percentage of the Company's total gross product revenue are as follows:</w:t>
      </w:r>
    </w:p>
    <w:p>
      <w:pPr>
        <w:spacing w:after="0" w:line="25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860" w:type="dxa"/>
        <w:tblCellMar>
          <w:top w:w="0" w:type="dxa"/>
          <w:left w:w="0" w:type="dxa"/>
          <w:bottom w:w="0" w:type="dxa"/>
          <w:right w:w="0" w:type="dxa"/>
        </w:tblCellMar>
      </w:tblPr>
      <w:tr>
        <w:trPr>
          <w:trHeight w:val="223"/>
        </w:trPr>
        <w:tc>
          <w:tcPr>
            <w:tcW w:w="55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Besse Medical, a subsidiary of Cencora, Inc.</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4"/>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bl>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chargebacks, and discounts, distribution-related fees, and other sales-related deductions. Accruals for chargebacks and discounts are recorded as a direct reduction to accounts receivable. Accruals for rebates, distribution-related fees, and other sales-related deductions are recorded within accrued liabilities. The following table summarizes the provisions, and credits/payments, for sales-related deductions:</w:t>
      </w: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80" w:type="dxa"/>
            <w:vAlign w:val="bottom"/>
          </w:tcPr>
          <w:p>
            <w:pPr>
              <w:spacing w:after="0"/>
              <w:rPr>
                <w:sz w:val="18"/>
                <w:szCs w:val="18"/>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Other Sales-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5"/>
                <w:szCs w:val="15"/>
                <w:color w:val="auto"/>
              </w:rPr>
            </w:pPr>
          </w:p>
        </w:tc>
        <w:tc>
          <w:tcPr>
            <w:tcW w:w="14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rPr>
              <w:t>Chargebacks,</w:t>
            </w:r>
          </w:p>
        </w:tc>
        <w:tc>
          <w:tcPr>
            <w:tcW w:w="1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Related</w:t>
            </w:r>
          </w:p>
        </w:tc>
        <w:tc>
          <w:tcPr>
            <w:tcW w:w="320" w:type="dxa"/>
            <w:vAlign w:val="bottom"/>
          </w:tcPr>
          <w:p>
            <w:pPr>
              <w:spacing w:after="0"/>
              <w:rPr>
                <w:sz w:val="15"/>
                <w:szCs w:val="15"/>
                <w:color w:val="auto"/>
              </w:rPr>
            </w:pP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8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and Discounts</w:t>
            </w:r>
          </w:p>
        </w:tc>
        <w:tc>
          <w:tcPr>
            <w:tcW w:w="18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Related Fees</w:t>
            </w:r>
          </w:p>
        </w:tc>
        <w:tc>
          <w:tcPr>
            <w:tcW w:w="200" w:type="dxa"/>
            <w:vAlign w:val="bottom"/>
          </w:tcPr>
          <w:p>
            <w:pPr>
              <w:spacing w:after="0"/>
              <w:rPr>
                <w:sz w:val="21"/>
                <w:szCs w:val="21"/>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2,669.0</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(2,518.5)</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3,053.0</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(2,989.9)</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License, and Other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collaborations with Sanofi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7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r>
      <w:tr>
        <w:trPr>
          <w:trHeight w:val="237"/>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7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2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29"/>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2,082.0 *</w:t>
            </w:r>
          </w:p>
        </w:tc>
      </w:tr>
      <w:tr>
        <w:trPr>
          <w:trHeight w:val="230"/>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Sales-based milestones earned</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r>
      <w:tr>
        <w:trPr>
          <w:trHeight w:val="175"/>
        </w:trPr>
        <w:tc>
          <w:tcPr>
            <w:tcW w:w="39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2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3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supplies</w:t>
            </w:r>
          </w:p>
        </w:tc>
        <w:tc>
          <w:tcPr>
            <w:tcW w:w="2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633.7</w:t>
            </w:r>
          </w:p>
        </w:tc>
      </w:tr>
      <w:tr>
        <w:trPr>
          <w:trHeight w:val="229"/>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28.7</w:t>
            </w:r>
          </w:p>
        </w:tc>
      </w:tr>
      <w:tr>
        <w:trPr>
          <w:trHeight w:val="176"/>
        </w:trPr>
        <w:tc>
          <w:tcPr>
            <w:tcW w:w="39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Sanofi</w:t>
            </w:r>
          </w:p>
        </w:tc>
        <w:tc>
          <w:tcPr>
            <w:tcW w:w="2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(R&amp;D expense)/Reduction of R&amp;D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96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R&amp;D expenses, net of reimbursement of R&amp;D</w:t>
            </w:r>
          </w:p>
        </w:tc>
        <w:tc>
          <w:tcPr>
            <w:tcW w:w="27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expense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3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43.0</w:t>
            </w:r>
          </w:p>
        </w:tc>
      </w:tr>
      <w:tr>
        <w:trPr>
          <w:trHeight w:val="176"/>
        </w:trPr>
        <w:tc>
          <w:tcPr>
            <w:tcW w:w="39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Reduction of SG&amp;A expense</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3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437.4</w:t>
            </w:r>
          </w:p>
        </w:tc>
      </w:tr>
      <w:tr>
        <w:trPr>
          <w:trHeight w:val="270"/>
        </w:trPr>
        <w:tc>
          <w:tcPr>
            <w:tcW w:w="39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3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Immuno-oncology</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w:t>
            </w:r>
          </w:p>
        </w:tc>
        <w:tc>
          <w:tcPr>
            <w:tcW w:w="2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76"/>
        </w:trPr>
        <w:tc>
          <w:tcPr>
            <w:tcW w:w="39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96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commercialization of Libtayo outside the</w:t>
            </w: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3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c>
          <w:tcPr>
            <w:tcW w:w="2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r>
      <w:tr>
        <w:trPr>
          <w:trHeight w:val="176"/>
        </w:trPr>
        <w:tc>
          <w:tcPr>
            <w:tcW w:w="39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ex-U.S.</w:t>
            </w:r>
          </w:p>
        </w:tc>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3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supplies</w:t>
            </w:r>
          </w:p>
        </w:tc>
        <w:tc>
          <w:tcPr>
            <w:tcW w:w="2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Reimbursement of R&amp;D expenses</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Reduction of R&amp;D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42.7</w:t>
            </w:r>
          </w:p>
        </w:tc>
      </w:tr>
      <w:tr>
        <w:trPr>
          <w:trHeight w:val="176"/>
        </w:trPr>
        <w:tc>
          <w:tcPr>
            <w:tcW w:w="39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Reduction of SG&amp;A expense</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5"/>
        </w:trPr>
        <w:tc>
          <w:tcPr>
            <w:tcW w:w="396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expenses, net of Regeneron's obligation for its</w:t>
            </w:r>
          </w:p>
        </w:tc>
        <w:tc>
          <w:tcPr>
            <w:tcW w:w="2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4"/>
        </w:trPr>
        <w:tc>
          <w:tcPr>
            <w:tcW w:w="3960" w:type="dxa"/>
            <w:vAlign w:val="bottom"/>
            <w:shd w:val="clear" w:color="auto" w:fill="CCEEFF"/>
          </w:tcPr>
          <w:p>
            <w:pPr>
              <w:ind w:left="380"/>
              <w:spacing w:after="0" w:line="184" w:lineRule="exact"/>
              <w:rPr>
                <w:sz w:val="20"/>
                <w:szCs w:val="20"/>
                <w:color w:val="auto"/>
              </w:rPr>
            </w:pPr>
            <w:r>
              <w:rPr>
                <w:rFonts w:ascii="Times New Roman" w:cs="Times New Roman" w:eastAsia="Times New Roman" w:hAnsi="Times New Roman"/>
                <w:sz w:val="18"/>
                <w:szCs w:val="18"/>
                <w:color w:val="auto"/>
              </w:rPr>
              <w:t>share of Sanofi commercialization-related</w:t>
            </w:r>
          </w:p>
        </w:tc>
        <w:tc>
          <w:tcPr>
            <w:tcW w:w="2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34"/>
        </w:trPr>
        <w:tc>
          <w:tcPr>
            <w:tcW w:w="3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21.5</w:t>
            </w:r>
          </w:p>
        </w:tc>
      </w:tr>
      <w:tr>
        <w:trPr>
          <w:trHeight w:val="175"/>
        </w:trPr>
        <w:tc>
          <w:tcPr>
            <w:tcW w:w="39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Regeneron's obligation for Sanofi's share of</w:t>
            </w:r>
          </w:p>
        </w:tc>
        <w:tc>
          <w:tcPr>
            <w:tcW w:w="2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3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Libtayo U.S. gross profits</w:t>
            </w:r>
          </w:p>
        </w:tc>
        <w:tc>
          <w:tcPr>
            <w:tcW w:w="2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r>
      <w:tr>
        <w:trPr>
          <w:trHeight w:val="176"/>
        </w:trPr>
        <w:tc>
          <w:tcPr>
            <w:tcW w:w="39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recognized in connection with up-front</w:t>
            </w:r>
          </w:p>
        </w:tc>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operating income</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3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received</w:t>
            </w:r>
          </w:p>
        </w:tc>
        <w:tc>
          <w:tcPr>
            <w:tcW w:w="2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35.1</w:t>
            </w:r>
          </w:p>
        </w:tc>
      </w:tr>
    </w:tbl>
    <w:p>
      <w:pPr>
        <w:spacing w:after="0" w:line="36" w:lineRule="exact"/>
        <w:rPr>
          <w:sz w:val="20"/>
          <w:szCs w:val="20"/>
          <w:color w:val="auto"/>
        </w:rPr>
      </w:pPr>
    </w:p>
    <w:p>
      <w:pPr>
        <w:ind w:left="620" w:hanging="95"/>
        <w:spacing w:after="0"/>
        <w:tabs>
          <w:tab w:leader="none" w:pos="62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of one-time payment of $56.9 million to Sanofi in connection with the amendment to the Antibody License and Collaboration Agreement</w:t>
      </w:r>
    </w:p>
    <w:p>
      <w:pPr>
        <w:spacing w:after="0" w:line="7" w:lineRule="exact"/>
        <w:rPr>
          <w:sz w:val="20"/>
          <w:szCs w:val="20"/>
          <w:color w:val="auto"/>
        </w:rPr>
      </w:pPr>
    </w:p>
    <w:p>
      <w:pPr>
        <w:ind w:left="520" w:right="380" w:firstLine="5"/>
        <w:spacing w:after="0" w:line="229" w:lineRule="auto"/>
        <w:tabs>
          <w:tab w:leader="none" w:pos="676" w:val="left"/>
        </w:tabs>
        <w:numPr>
          <w:ilvl w:val="0"/>
          <w:numId w:val="5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As described within the "</w:t>
      </w:r>
      <w:r>
        <w:rPr>
          <w:rFonts w:ascii="Times New Roman" w:cs="Times New Roman" w:eastAsia="Times New Roman" w:hAnsi="Times New Roman"/>
          <w:sz w:val="14"/>
          <w:szCs w:val="14"/>
          <w:i w:val="1"/>
          <w:iCs w:val="1"/>
          <w:color w:val="auto"/>
        </w:rPr>
        <w:t>Immuno-Oncology</w:t>
      </w:r>
      <w:r>
        <w:rPr>
          <w:rFonts w:ascii="Times New Roman" w:cs="Times New Roman" w:eastAsia="Times New Roman" w:hAnsi="Times New Roman"/>
          <w:sz w:val="14"/>
          <w:szCs w:val="14"/>
          <w:color w:val="auto"/>
        </w:rPr>
        <w:t>" section below, effective July 1, 2022, the Company obtained the exclusive right to develop, commercialize, and manufacture Libtayo worldwide.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16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 is party to a global, strategic collaboration with Sanofi to research, develop, and commercialize fully human monoclonal antibodies (the "Antibody Collaboration"), which currently consists of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(dupilumab), 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and itepekimab</w:t>
      </w:r>
      <w:r>
        <w:rPr>
          <w:rFonts w:ascii="Times New Roman" w:cs="Times New Roman" w:eastAsia="Times New Roman" w:hAnsi="Times New Roman"/>
          <w:sz w:val="21"/>
          <w:szCs w:val="21"/>
          <w:i w:val="1"/>
          <w:iCs w:val="1"/>
          <w:color w:val="auto"/>
        </w:rPr>
        <w:t>.</w:t>
      </w:r>
    </w:p>
    <w:p>
      <w:pPr>
        <w:spacing w:after="0" w:line="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Antibody License and Collaboration Agreement (the "LCA"), Sanofi is generally responsible for funding 80% to 100% of agreed-upon development costs. The Company is obligated to reimburse Sanofi for 30% to 50% of worldwide development expenses that were funded by Sanofi based on the Company's share of collaboration profits from commercialization of collaboration products. Under the terms of the LCA, the Company was required to apply 10% of its share of the profits from the Antibody Collaboration in any calendar quarter to reimburse Sanofi for these development costs. On July 1, 2022, an amendment to the LCA became effective, which had been entered into in connection with our acquisition of exclusive worldwide rights to Libtayo (cemiplimab). Pursuant to this amendment, the percentage of the Company's share of profits used to reimburse Sanofi for such development costs has increased from 10% to 20%. The estimated net present value differential between the 10% repayment rate and the 20% repayment rate was deemed to be contingent consideration attributable to the Company's acquisition of the Libtayo rights described within the "</w:t>
      </w:r>
      <w:r>
        <w:rPr>
          <w:rFonts w:ascii="Times New Roman" w:cs="Times New Roman" w:eastAsia="Times New Roman" w:hAnsi="Times New Roman"/>
          <w:sz w:val="18"/>
          <w:szCs w:val="18"/>
          <w:i w:val="1"/>
          <w:iCs w:val="1"/>
          <w:color w:val="auto"/>
        </w:rPr>
        <w:t>Immuno-Oncology</w:t>
      </w:r>
      <w:r>
        <w:rPr>
          <w:rFonts w:ascii="Times New Roman" w:cs="Times New Roman" w:eastAsia="Times New Roman" w:hAnsi="Times New Roman"/>
          <w:sz w:val="18"/>
          <w:szCs w:val="18"/>
          <w:color w:val="auto"/>
        </w:rPr>
        <w:t>" section below; this portion is recorded as an increase to the Libtayo intangible asset over time as the Company repays such development costs to Sanofi. The Company's contingent reimbursement obligation (i.e., "development balance") to Sanofi under the Antibody Collaboration was approximately $1.635 billion as of December 31, 2024.</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Sanofi leads commercialization activities for products under the Antibody Collaboration, subject to the Company's right to co-commercialize such products. The Company co-commercializes Dupixent in the United States and in certain countries outside the United States. The parties equally share profits from sales within the United States. The parties share profits outside the United States on a sliding scale based on sales starting at 65% (Sanofi)/35% (Regeneron) and ending at 55% (Sanofi)/45% (Regeneron).</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profit sharing, the Company was entitled to receive sales milestone payments from Sanofi. In 2023, the Company earned the final $50.0 million sales-based milestone from Sanofi upon aggregate annual sales of antibodies outside the United States exceeding $3.0 billion on a rolling twelve-month basis. In 2022, the Company earned two $50.0 million sales-based milestones from Sanofi, upon aggregate annual sales of antibodies outside the United States exceeding $2.0 billion and $2.5 billion, respectively, on a rolling twelve-month basis.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significant promised goods and services in connection with the Antibody Collaboration consist of providing research and development services, including the manufacturing of clinical supplies, and providing commercial-related services, including the manufacturing of commercial supplies. The Company recognizes amounts in connection with the Antibody Collaboration based on the amount it has the right to invoice and such amount corresponds directly with the Company's performance to date.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Antibody Collaboration with Sanofi:</w:t>
      </w:r>
    </w:p>
    <w:p>
      <w:pPr>
        <w:spacing w:after="0" w:line="181" w:lineRule="exact"/>
        <w:rPr>
          <w:sz w:val="20"/>
          <w:szCs w:val="20"/>
          <w:color w:val="auto"/>
        </w:rPr>
      </w:pPr>
    </w:p>
    <w:tbl>
      <w:tblPr>
        <w:tblLayout w:type="fixed"/>
        <w:tblInd w:w="200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was previously a party to a collaboration with Sanofi for antibody-based cancer treatments in the field of immuno-oncology, including for the co-development and co-commercialization of Libtayo. The parties shared equally, on an ongoing basis, development and commercialization expenses for Libtayo. The Company had principal control over the development of Libtayo and led commercialization activities in the United States, while Sanofi led commercialization activities outside the United States. The parties shared equally in profits and losses in connection with the commercialization of Libtayo.</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July 1, 2022, the Company obtained the exclusive right to develop, commercialize, and manufacture Libtayo worldwide. In connection with this agreement, in 2022, the Company made a $900.0 million up-front payment to Sanofi, as well as a $100.0 million regulatory milestone payment. In addition, Sanofi was eligible to earn an aggregate of $100.0 million in Libtayo sales-based milestones, of which it earned $65.0 million in 2022 and $35.0 million in 2023. The Company also pays Sanofi an 11% royalty on net product sales of Libtayo through March 31, 2034. The transaction was accounted for as an asset acquisition and amounts paid to Sanofi in connection with obtaining the worldwide rights to Libtayo, including the up-front payment and any contingent consideration, are recorded as an intangible asset. See Note 8 for additional information related to the intangible asset.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8 mg (aflibercept 8 mg) and EYLEA (aflibercept) outside the United States. Agreed-upon development expenses incurred by the Company and Bayer are generally shared equally. The Company is also obligated to use commercially reasonable efforts to supply clinical and commercial bulk product.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Bayer is responsible for commercialization activities outside the United States, and the companies share equally in profits from such sales. Within the United States, the Company is responsible for commercialization and retains profits from such sales. The Company is obligated to reimburse Bayer out of the Company's share of the collaboration profits for 50% of the agreed-upon development expenses that Bayer has incurred in accordance with a formula based on the amount of development expenses that Bayer has incurred and the Company's share of the collaboration profits, or at a faster rate at the Company's option. The Company's contingent reimbursement obligation to Bayer was approximately $315 million as of December 31, 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Bayer collaboration are as follows: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5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r>
      <w:tr>
        <w:trPr>
          <w:trHeight w:val="23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5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w:t>
            </w:r>
          </w:p>
        </w:tc>
      </w:tr>
      <w:tr>
        <w:trPr>
          <w:trHeight w:val="175"/>
        </w:trPr>
        <w:tc>
          <w:tcPr>
            <w:tcW w:w="4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ex-U.S.</w:t>
            </w:r>
          </w:p>
        </w:tc>
        <w:tc>
          <w:tcPr>
            <w:tcW w:w="25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supplies</w:t>
            </w:r>
          </w:p>
        </w:tc>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One-time payment in connection with change in</w:t>
            </w:r>
          </w:p>
        </w:tc>
        <w:tc>
          <w:tcPr>
            <w:tcW w:w="2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 arrangement</w:t>
            </w:r>
          </w:p>
        </w:tc>
        <w:tc>
          <w:tcPr>
            <w:tcW w:w="2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175"/>
        </w:trPr>
        <w:tc>
          <w:tcPr>
            <w:tcW w:w="4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Bayer R&amp;D</w:t>
            </w:r>
          </w:p>
        </w:tc>
        <w:tc>
          <w:tcPr>
            <w:tcW w:w="25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(R&amp;D expense)/Reduction of</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net of reimbursement of R&amp;D expenses</w:t>
            </w:r>
          </w:p>
        </w:tc>
        <w:tc>
          <w:tcPr>
            <w:tcW w:w="2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R&amp;D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Bayer collaboration:</w:t>
      </w:r>
    </w:p>
    <w:p>
      <w:pPr>
        <w:spacing w:after="0" w:line="194" w:lineRule="exact"/>
        <w:rPr>
          <w:sz w:val="20"/>
          <w:szCs w:val="20"/>
          <w:color w:val="auto"/>
        </w:rPr>
      </w:pPr>
    </w:p>
    <w:tbl>
      <w:tblPr>
        <w:tblLayout w:type="fixed"/>
        <w:tblInd w:w="242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40" w:type="dxa"/>
            <w:vAlign w:val="bottom"/>
            <w:tcBorders>
              <w:bottom w:val="single" w:sz="8" w:color="auto"/>
            </w:tcBorders>
          </w:tcPr>
          <w:p>
            <w:pPr>
              <w:spacing w:after="0"/>
              <w:rPr>
                <w:sz w:val="20"/>
                <w:szCs w:val="20"/>
                <w:color w:val="auto"/>
              </w:rPr>
            </w:pPr>
          </w:p>
        </w:tc>
      </w:tr>
      <w:tr>
        <w:trPr>
          <w:trHeight w:val="223"/>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r>
      <w:tr>
        <w:trPr>
          <w:trHeight w:val="22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40" w:type="dxa"/>
            <w:vAlign w:val="bottom"/>
          </w:tcPr>
          <w:p>
            <w:pPr>
              <w:spacing w:after="0"/>
              <w:rPr>
                <w:sz w:val="20"/>
                <w:szCs w:val="20"/>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Roche</w:t>
      </w:r>
    </w:p>
    <w:p>
      <w:pPr>
        <w:spacing w:after="0" w:line="162"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18"/>
          <w:szCs w:val="18"/>
          <w:color w:val="auto"/>
        </w:rPr>
        <w:t>The Company is a party to a collaboration agreement with Roche to develop, manufacture, and distribute the casirivimab and imdevimab antibody cocktail (known as REGEN-COV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United States and Ronapreve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other countries). Under the terms of the collaboration agreement, the Company has the right to distribute the product in the United States while Roche has the right to distribute the product outside the United States. The parties share gross profits from worldwide sales based on a pre-specified formula.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Roche collaboration are as follows:</w:t>
      </w:r>
    </w:p>
    <w:p>
      <w:pPr>
        <w:spacing w:after="0" w:line="302"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3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Borders>
              <w:bottom w:val="single" w:sz="8" w:color="auto"/>
            </w:tcBorders>
          </w:tcPr>
          <w:p>
            <w:pPr>
              <w:spacing w:after="0"/>
              <w:rPr>
                <w:sz w:val="20"/>
                <w:szCs w:val="20"/>
                <w:color w:val="auto"/>
              </w:rPr>
            </w:pPr>
          </w:p>
        </w:tc>
      </w:tr>
      <w:tr>
        <w:trPr>
          <w:trHeight w:val="236"/>
        </w:trPr>
        <w:tc>
          <w:tcPr>
            <w:tcW w:w="3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ind w:right="540"/>
        <w:spacing w:after="0" w:line="417" w:lineRule="auto"/>
        <w:rPr>
          <w:sz w:val="20"/>
          <w:szCs w:val="20"/>
          <w:color w:val="auto"/>
        </w:rPr>
      </w:pPr>
      <w:r>
        <w:rPr>
          <w:rFonts w:ascii="Times New Roman" w:cs="Times New Roman" w:eastAsia="Times New Roman" w:hAnsi="Times New Roman"/>
          <w:sz w:val="18"/>
          <w:szCs w:val="18"/>
          <w:color w:val="auto"/>
        </w:rPr>
        <w:t xml:space="preserve">Reimbursement of research and development expenses from Roche was not material for the years ended December 31, 2024, 2023, and 2022. Contract balances in the Company's Balance Sheets in connection with the Roche collaboration were not material as of December 31, 2024 and 2023. </w:t>
      </w:r>
      <w:r>
        <w:rPr>
          <w:rFonts w:ascii="Times New Roman" w:cs="Times New Roman" w:eastAsia="Times New Roman" w:hAnsi="Times New Roman"/>
          <w:sz w:val="18"/>
          <w:szCs w:val="18"/>
          <w:b w:val="1"/>
          <w:bCs w:val="1"/>
          <w:i w:val="1"/>
          <w:iCs w:val="1"/>
          <w:color w:val="auto"/>
        </w:rPr>
        <w:t>d. Other</w:t>
      </w:r>
    </w:p>
    <w:p>
      <w:pPr>
        <w:spacing w:after="0" w:line="1"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In addition to the collaboration and license agreements discussed above, the Company has various other collaboration and license agreements that are not individually significant to its operating results or financial condition at this time. Pursuant to the terms of those agreements, the Company may be required to pay, or it may receive, additional amounts contingent upon the occurrence of various future events (e.g., upon the achievement of various development and commercial milestones), which in the aggregate could be significant. The Company may also incur, or get reimbursed for, research and development costs.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69" w:right="2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Acquired In-process Research and Development ("IPR&amp;D") Expenses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as Acquired IPR&amp;D expense a $45.0 million development milestone in connection with the Company's collaboration agreement with Sonoma Biotherapeutics, Inc.</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as Acquired IPR&amp;D expense a $100.0 million development milestone in connection with its collaboration agreement with Alnylam Pharmaceuticals, Inc., a $45.0 million up-front payment in connection with its collaboration agreement with Sonoma, and a $30.0 million extension payment under its collaboration agreement with Intellia Therapeutics, Inc.</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as Acquired IPR&amp;D expense a $195.0 million charge related to its acquisition of Checkmate Pharmaceuticals, Inc.</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Royalties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also in-licensed patent and/or technology pursuant to agreements which contain provisions that require the Company to pay royalties, as defined, at rates that range from 0.5% to 12.0%, in the event the Company sells or licenses any proprietary products developed under the respective agreements.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above, as a result of obtaining worldwide rights to Libtayo, the Company pays Sanofi a royalty on net product sales of Libtayo. In addition, in 2018, the Company and Sanofi entered into a license agreement with Bristol-Myers Squibb Company, E. R. Squibb &amp; Sons, L.L.C., and Ono Pharmaceutical Co., Ltd. to obtain a license under certain patents owned and/or exclusively licensed by one or more of those parties that includes the right to develop and sell Libtayo. Under the agreement, the Company paid royalties of 8.0% on worldwide sales of Libtayo through December 31, 2023, and is obligated to pay royalties of 2.5% from January 1, 2024 through December 31, 2026.</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recorded royalty expense (net of reimbursements from collaborators, as applicable) of $82.9 million, $117.6 million, and $84.5 million, respectively, based on product sales under various licensing agreements.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Marketable securities as of December 31, 2024 and 2023 consist of both available-for-sale debt securities of investment grade issuers (see below and Note 5) as well as equity securities of publicly traded companies (see Note 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194"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40" w:type="dxa"/>
            <w:vAlign w:val="bottom"/>
          </w:tcPr>
          <w:p>
            <w:pPr>
              <w:spacing w:after="0"/>
              <w:rPr>
                <w:sz w:val="20"/>
                <w:szCs w:val="20"/>
                <w:color w:val="auto"/>
              </w:rPr>
            </w:pPr>
          </w:p>
        </w:tc>
        <w:tc>
          <w:tcPr>
            <w:tcW w:w="23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183"/>
        </w:trPr>
        <w:tc>
          <w:tcPr>
            <w:tcW w:w="20" w:type="dxa"/>
            <w:vAlign w:val="bottom"/>
          </w:tcPr>
          <w:p>
            <w:pPr>
              <w:spacing w:after="0"/>
              <w:rPr>
                <w:sz w:val="15"/>
                <w:szCs w:val="15"/>
                <w:color w:val="auto"/>
              </w:rPr>
            </w:pPr>
          </w:p>
        </w:tc>
        <w:tc>
          <w:tcPr>
            <w:tcW w:w="5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40" w:type="dxa"/>
            <w:vAlign w:val="bottom"/>
          </w:tcPr>
          <w:p>
            <w:pPr>
              <w:spacing w:after="0"/>
              <w:rPr>
                <w:sz w:val="15"/>
                <w:szCs w:val="15"/>
                <w:color w:val="auto"/>
              </w:rPr>
            </w:pPr>
          </w:p>
        </w:tc>
        <w:tc>
          <w:tcPr>
            <w:tcW w:w="11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8,220.6</w:t>
            </w:r>
          </w:p>
        </w:tc>
      </w:tr>
      <w:tr>
        <w:trPr>
          <w:trHeight w:val="229"/>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4,817.0</w:t>
            </w:r>
          </w:p>
        </w:tc>
      </w:tr>
      <w:tr>
        <w:trPr>
          <w:trHeight w:val="23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r>
      <w:tr>
        <w:trPr>
          <w:trHeight w:val="229"/>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r>
      <w:tr>
        <w:trPr>
          <w:trHeight w:val="229"/>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30"/>
        </w:trPr>
        <w:tc>
          <w:tcPr>
            <w:tcW w:w="20" w:type="dxa"/>
            <w:vAlign w:val="bottom"/>
            <w:tcBorders>
              <w:bottom w:val="single" w:sz="8" w:color="CCEEFF"/>
            </w:tcBorders>
          </w:tcPr>
          <w:p>
            <w:pPr>
              <w:spacing w:after="0"/>
              <w:rPr>
                <w:sz w:val="19"/>
                <w:szCs w:val="19"/>
                <w:color w:val="auto"/>
              </w:rPr>
            </w:pPr>
          </w:p>
        </w:tc>
        <w:tc>
          <w:tcPr>
            <w:tcW w:w="5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3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6,398.0</w:t>
            </w:r>
          </w:p>
        </w:tc>
      </w:tr>
      <w:tr>
        <w:trPr>
          <w:trHeight w:val="23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4,833.4</w:t>
            </w:r>
          </w:p>
        </w:tc>
      </w:tr>
      <w:tr>
        <w:trPr>
          <w:trHeight w:val="229"/>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r>
      <w:tr>
        <w:trPr>
          <w:trHeight w:val="23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r>
      <w:tr>
        <w:trPr>
          <w:trHeight w:val="229"/>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9"/>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12,636.0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12,533.9</w:t>
            </w: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as of December 31, 2024 mature at various dates through December 2029. The fair values of available-for-sale debt securities by contractual maturity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1920" w:type="dxa"/>
            <w:vAlign w:val="bottom"/>
          </w:tcPr>
          <w:p>
            <w:pPr>
              <w:spacing w:after="0"/>
              <w:rPr>
                <w:sz w:val="19"/>
                <w:szCs w:val="19"/>
                <w:color w:val="auto"/>
              </w:rPr>
            </w:pPr>
          </w:p>
        </w:tc>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5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00" w:type="dxa"/>
            <w:vAlign w:val="bottom"/>
          </w:tcPr>
          <w:p>
            <w:pPr>
              <w:spacing w:after="0"/>
              <w:rPr>
                <w:sz w:val="19"/>
                <w:szCs w:val="19"/>
                <w:color w:val="auto"/>
              </w:rPr>
            </w:pPr>
          </w:p>
        </w:tc>
      </w:tr>
      <w:tr>
        <w:trPr>
          <w:trHeight w:val="223"/>
        </w:trPr>
        <w:tc>
          <w:tcPr>
            <w:tcW w:w="19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8,114.8</w:t>
            </w:r>
          </w:p>
        </w:tc>
        <w:tc>
          <w:tcPr>
            <w:tcW w:w="1900" w:type="dxa"/>
            <w:vAlign w:val="bottom"/>
          </w:tcPr>
          <w:p>
            <w:pPr>
              <w:spacing w:after="0"/>
              <w:rPr>
                <w:sz w:val="19"/>
                <w:szCs w:val="19"/>
                <w:color w:val="auto"/>
              </w:rPr>
            </w:pPr>
          </w:p>
        </w:tc>
      </w:tr>
      <w:tr>
        <w:trPr>
          <w:trHeight w:val="230"/>
        </w:trPr>
        <w:tc>
          <w:tcPr>
            <w:tcW w:w="19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4,414.5</w:t>
            </w:r>
          </w:p>
        </w:tc>
        <w:tc>
          <w:tcPr>
            <w:tcW w:w="1900" w:type="dxa"/>
            <w:vAlign w:val="bottom"/>
          </w:tcPr>
          <w:p>
            <w:pPr>
              <w:spacing w:after="0"/>
              <w:rPr>
                <w:sz w:val="19"/>
                <w:szCs w:val="19"/>
                <w:color w:val="auto"/>
              </w:rPr>
            </w:pPr>
          </w:p>
        </w:tc>
      </w:tr>
      <w:tr>
        <w:trPr>
          <w:trHeight w:val="230"/>
        </w:trPr>
        <w:tc>
          <w:tcPr>
            <w:tcW w:w="19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after five years</w:t>
            </w: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900" w:type="dxa"/>
            <w:vAlign w:val="bottom"/>
          </w:tcPr>
          <w:p>
            <w:pPr>
              <w:spacing w:after="0"/>
              <w:rPr>
                <w:sz w:val="19"/>
                <w:szCs w:val="19"/>
                <w:color w:val="auto"/>
              </w:rPr>
            </w:pPr>
          </w:p>
        </w:tc>
      </w:tr>
      <w:tr>
        <w:trPr>
          <w:trHeight w:val="223"/>
        </w:trPr>
        <w:tc>
          <w:tcPr>
            <w:tcW w:w="19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12,533.9</w:t>
            </w:r>
          </w:p>
        </w:tc>
        <w:tc>
          <w:tcPr>
            <w:tcW w:w="190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885"/>
        </w:trPr>
        <w:tc>
          <w:tcPr>
            <w:tcW w:w="1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2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F-21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and gross unrealized losses by category and disaggregated by the length of time that the Company's available-for-sale debt securities have been in a continuous unrealized loss position.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0"/>
                <w:szCs w:val="20"/>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1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unrealized losses on corporate bonds were primarily driven by changes in interest rates. The Company has reviewed its portfolio of available-for-sale debt securities and determined that the decline in fair value below cost did not result from credit-related factors. In addition, the Company does not intend to sell, and it is not more likely than not that the Company will be required to sell, such securities before recovery of their amortized cost bases.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marketable securities, for the years ended December 31, 2024, 2023, and 2022, amounts reclassified from Accumulated other comprehensive loss into Other income (expense), net were related to realized gains/losses on sales of available-for-sale debt securities. For the years ended December 31, 2024, 2023, and 2022, realized gains/losses on sales of marketable securities were not material.</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interest income of $711.4 million, $495.9 million, and $160.1 million for the years ended December 31, 2024, 2023, and 2022, respectively, in Other income (expense), net.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assets and liabilities which are measured at fair value on a recurring basis. The following fair value hierarchy is used to classify assets and liabilities, based on inputs to valuation techniques utilized to measure fair value:</w:t>
      </w:r>
    </w:p>
    <w:p>
      <w:pPr>
        <w:spacing w:after="0" w:line="94"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other unobservable inputs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Reporting Date</w:t>
            </w:r>
          </w:p>
        </w:tc>
      </w:tr>
      <w:tr>
        <w:trPr>
          <w:trHeight w:val="183"/>
        </w:trPr>
        <w:tc>
          <w:tcPr>
            <w:tcW w:w="20" w:type="dxa"/>
            <w:vAlign w:val="bottom"/>
          </w:tcPr>
          <w:p>
            <w:pPr>
              <w:spacing w:after="0"/>
              <w:rPr>
                <w:sz w:val="15"/>
                <w:szCs w:val="15"/>
                <w:color w:val="auto"/>
              </w:rPr>
            </w:pPr>
          </w:p>
        </w:tc>
        <w:tc>
          <w:tcPr>
            <w:tcW w:w="48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Pr>
          <w:p>
            <w:pPr>
              <w:spacing w:after="0"/>
              <w:rPr>
                <w:sz w:val="15"/>
                <w:szCs w:val="15"/>
                <w:color w:val="auto"/>
              </w:rPr>
            </w:pPr>
          </w:p>
        </w:tc>
        <w:tc>
          <w:tcPr>
            <w:tcW w:w="140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Pr>
          <w:p>
            <w:pPr>
              <w:spacing w:after="0"/>
              <w:rPr>
                <w:sz w:val="15"/>
                <w:szCs w:val="15"/>
                <w:color w:val="auto"/>
              </w:rPr>
            </w:pPr>
          </w:p>
        </w:tc>
        <w:tc>
          <w:tcPr>
            <w:tcW w:w="134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5"/>
                <w:szCs w:val="15"/>
                <w:color w:val="auto"/>
              </w:rPr>
            </w:pPr>
          </w:p>
        </w:tc>
        <w:tc>
          <w:tcPr>
            <w:tcW w:w="1320" w:type="dxa"/>
            <w:vAlign w:val="bottom"/>
            <w:gridSpan w:val="2"/>
          </w:tcPr>
          <w:p>
            <w:pPr>
              <w:jc w:val="center"/>
              <w:ind w:right="400"/>
              <w:spacing w:after="0" w:line="182" w:lineRule="exact"/>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5"/>
                <w:szCs w:val="15"/>
                <w:color w:val="auto"/>
              </w:rPr>
            </w:pPr>
          </w:p>
        </w:tc>
        <w:tc>
          <w:tcPr>
            <w:tcW w:w="122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Sovereign bonds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Equity securities (restricted)</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16,876.6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14,517.1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70"/>
        </w:trPr>
        <w:tc>
          <w:tcPr>
            <w:tcW w:w="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2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Sovereign bonds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bl>
    <w:p>
      <w:pPr>
        <w:spacing w:after="0" w:line="29" w:lineRule="exact"/>
        <w:rPr>
          <w:sz w:val="20"/>
          <w:szCs w:val="20"/>
          <w:color w:val="auto"/>
        </w:rPr>
      </w:pPr>
    </w:p>
    <w:p>
      <w:pPr>
        <w:ind w:left="180" w:hanging="154"/>
        <w:spacing w:after="0"/>
        <w:tabs>
          <w:tab w:leader="none" w:pos="180" w:val="left"/>
        </w:tabs>
        <w:numPr>
          <w:ilvl w:val="0"/>
          <w:numId w:val="5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equity securities which are subject to transfer restrictions that expire in April 2026</w:t>
      </w: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investments summarized in the table above, as of December 31, 2024 and 2023, the Company had $159.8 million and $74.3 million, respectively, in equity investments that do not have a readily determinable fair value. These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are recorded within Other noncurrent assets. Also recorded within Other noncurrent assets as of December 31, 2024 were equity investments of $52.0 million which are measured at fair value based on Level 3 inputs; no such investments were held by the Company as of December 31, 2023.</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$117.7 million of net unrealized gains on equity securities in Other income (expense), net. During the years ended December 31, 2023 and 2022, the Company recorded $237.8 million and $39.8 million, respectively, of net unrealized losses on equity securities in Other income (expense), net. In addition, during the year ended December 31, 2023, the Company recorded a write-down of $29.0 million in Other income (expense), net related to the Company's investments in private companies.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(see Note 10), which was determined based on Level 2 inputs, was estimated to be $1.484 billion and $1.528 billion as of December 31, 2024 and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60" w:type="dxa"/>
            <w:vAlign w:val="bottom"/>
            <w:tcBorders>
              <w:bottom w:val="single" w:sz="8" w:color="auto"/>
            </w:tcBorders>
          </w:tcPr>
          <w:p>
            <w:pPr>
              <w:spacing w:after="0"/>
              <w:rPr>
                <w:sz w:val="20"/>
                <w:szCs w:val="20"/>
                <w:color w:val="auto"/>
              </w:rPr>
            </w:pPr>
          </w:p>
        </w:tc>
      </w:tr>
      <w:tr>
        <w:trPr>
          <w:trHeight w:val="22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w:t>
            </w: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w:t>
            </w: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29"/>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w:t>
            </w:r>
          </w:p>
        </w:tc>
      </w:tr>
      <w:tr>
        <w:trPr>
          <w:trHeight w:val="248"/>
        </w:trPr>
        <w:tc>
          <w:tcPr>
            <w:tcW w:w="3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2,580.5</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 For the years ended December 31, 2024, 2023, and 2022, Cost of goods sold included inventory write-offs and reserves of $126.3 million, $102.3 million, and $258.7 million, respectively. Inventory write-offs and reserves for the year ended December 31, 2022 primarily related to REGEN-COV.</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65"/>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1"/>
        </w:trPr>
        <w:tc>
          <w:tcPr>
            <w:tcW w:w="2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4"/>
                <w:szCs w:val="24"/>
                <w:color w:val="auto"/>
              </w:rPr>
            </w:pPr>
          </w:p>
        </w:tc>
      </w:tr>
      <w:tr>
        <w:trPr>
          <w:trHeight w:val="223"/>
        </w:trPr>
        <w:tc>
          <w:tcPr>
            <w:tcW w:w="2200" w:type="dxa"/>
            <w:vAlign w:val="bottom"/>
          </w:tcPr>
          <w:p>
            <w:pPr>
              <w:spacing w:after="0"/>
              <w:rPr>
                <w:sz w:val="19"/>
                <w:szCs w:val="19"/>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3"/>
        </w:trPr>
        <w:tc>
          <w:tcPr>
            <w:tcW w:w="220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2,423.1</w:t>
            </w:r>
          </w:p>
        </w:tc>
      </w:tr>
      <w:tr>
        <w:trPr>
          <w:trHeight w:val="230"/>
        </w:trPr>
        <w:tc>
          <w:tcPr>
            <w:tcW w:w="220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30"/>
        </w:trPr>
        <w:tc>
          <w:tcPr>
            <w:tcW w:w="220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w:t>
            </w:r>
          </w:p>
        </w:tc>
      </w:tr>
      <w:tr>
        <w:trPr>
          <w:trHeight w:val="229"/>
        </w:trPr>
        <w:tc>
          <w:tcPr>
            <w:tcW w:w="220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30"/>
        </w:trPr>
        <w:tc>
          <w:tcPr>
            <w:tcW w:w="220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office equipment, and other</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30"/>
        </w:trPr>
        <w:tc>
          <w:tcPr>
            <w:tcW w:w="220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r>
      <w:tr>
        <w:trPr>
          <w:trHeight w:val="230"/>
        </w:trPr>
        <w:tc>
          <w:tcPr>
            <w:tcW w:w="220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w:t>
            </w:r>
          </w:p>
        </w:tc>
      </w:tr>
      <w:tr>
        <w:trPr>
          <w:trHeight w:val="223"/>
        </w:trPr>
        <w:tc>
          <w:tcPr>
            <w:tcW w:w="22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6,125.2</w:t>
            </w:r>
          </w:p>
        </w:tc>
      </w:tr>
      <w:tr>
        <w:trPr>
          <w:trHeight w:val="184"/>
        </w:trPr>
        <w:tc>
          <w:tcPr>
            <w:tcW w:w="2200" w:type="dxa"/>
            <w:vAlign w:val="bottom"/>
          </w:tcPr>
          <w:p>
            <w:pPr>
              <w:spacing w:after="0"/>
              <w:rPr>
                <w:sz w:val="16"/>
                <w:szCs w:val="16"/>
                <w:color w:val="auto"/>
              </w:rPr>
            </w:pPr>
          </w:p>
        </w:tc>
        <w:tc>
          <w:tcPr>
            <w:tcW w:w="3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Accumulated depreciation and</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4"/>
        </w:trPr>
        <w:tc>
          <w:tcPr>
            <w:tcW w:w="2200" w:type="dxa"/>
            <w:vAlign w:val="bottom"/>
          </w:tcPr>
          <w:p>
            <w:pPr>
              <w:spacing w:after="0"/>
              <w:rPr>
                <w:sz w:val="20"/>
                <w:szCs w:val="20"/>
                <w:color w:val="auto"/>
              </w:rPr>
            </w:pP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12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(1,978.8)</w:t>
            </w:r>
          </w:p>
        </w:tc>
      </w:tr>
      <w:tr>
        <w:trPr>
          <w:trHeight w:val="223"/>
        </w:trPr>
        <w:tc>
          <w:tcPr>
            <w:tcW w:w="22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4,599.7</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4,146.4</w:t>
            </w:r>
          </w:p>
        </w:tc>
      </w:tr>
      <w:tr>
        <w:trPr>
          <w:trHeight w:val="20"/>
        </w:trPr>
        <w:tc>
          <w:tcPr>
            <w:tcW w:w="2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Property, plant, and equipment in the table above includes leased property under the Company's finance lease at its Tarrytown, New York corporate headquarters. See Note 11.</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plant, and equipment was $354.1 million, $328.8 million, and $303.9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$3.884 billion and $3.375 billion, respectively, of the Company's net property, plant, and equipment was located in the United States and $715.9 million and $771.4 million, respectively, was located outside the United States (primarily in Ireland).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4"/>
                <w:szCs w:val="14"/>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180" w:type="dxa"/>
            <w:vAlign w:val="bottom"/>
          </w:tcPr>
          <w:p>
            <w:pPr>
              <w:spacing w:after="0"/>
              <w:rPr>
                <w:sz w:val="14"/>
                <w:szCs w:val="14"/>
                <w:color w:val="auto"/>
              </w:rPr>
            </w:pPr>
          </w:p>
        </w:tc>
        <w:tc>
          <w:tcPr>
            <w:tcW w:w="10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4"/>
                <w:szCs w:val="14"/>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176"/>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carrying</w:t>
            </w: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vMerge w:val="continue"/>
          </w:tcPr>
          <w:p>
            <w:pPr>
              <w:spacing w:after="0"/>
              <w:rPr>
                <w:sz w:val="21"/>
                <w:szCs w:val="21"/>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6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156"/>
        </w:trPr>
        <w:tc>
          <w:tcPr>
            <w:tcW w:w="21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Acquired product rights -</w:t>
            </w: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Libtayo</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13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8 years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Acquired in-process</w:t>
            </w: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research and</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recorded additions to the Libtayo intangible asset related to contingent consideration due to Sanofi (see Note 3). In addition, during the years ended December 31, 2024 and 2023, the Company recorded indefinite-lived intangible assets in connection with the acquisition of in-process and research and development programs.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on intangible assets was $128.9 million, $92.2 million, and $37.6 million for the years ended December 31, 2024, 2023, and 2022, respectively.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assuming no changes in the gross carrying amount of intangible assets, amortization expense is estimated to be approximately $102 million for each of the years ending December 31, 2025 through December 31, 2029.</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75" w:lineRule="exact"/>
        <w:rPr>
          <w:sz w:val="20"/>
          <w:szCs w:val="20"/>
          <w:color w:val="auto"/>
        </w:rPr>
      </w:pPr>
    </w:p>
    <w:tbl>
      <w:tblPr>
        <w:tblLayout w:type="fixed"/>
        <w:tblInd w:w="212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sales-related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tax-related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r>
      <w:tr>
        <w:trPr>
          <w:trHeight w:val="223"/>
        </w:trPr>
        <w:tc>
          <w:tcPr>
            <w:tcW w:w="37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2,357.9</w:t>
            </w:r>
          </w:p>
        </w:tc>
      </w:tr>
      <w:tr>
        <w:trPr>
          <w:trHeight w:val="21"/>
        </w:trPr>
        <w:tc>
          <w:tcPr>
            <w:tcW w:w="3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Senior Notes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Long-term debt, net of underwriting discounts and offering expenses (which are being amortized as additional interest expense over the period of issuance through maturity), consists of the following:</w:t>
      </w:r>
    </w:p>
    <w:p>
      <w:pPr>
        <w:spacing w:after="0" w:line="131" w:lineRule="exact"/>
        <w:rPr>
          <w:sz w:val="20"/>
          <w:szCs w:val="20"/>
          <w:color w:val="auto"/>
        </w:rPr>
      </w:pPr>
    </w:p>
    <w:tbl>
      <w:tblPr>
        <w:tblLayout w:type="fixed"/>
        <w:tblInd w:w="24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1.750% Senior Notes due September 2030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r>
      <w:tr>
        <w:trPr>
          <w:trHeight w:val="230"/>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2.800% Senior Notes due September 2050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740.7</w:t>
            </w:r>
          </w:p>
        </w:tc>
      </w:tr>
      <w:tr>
        <w:trPr>
          <w:trHeight w:val="248"/>
        </w:trPr>
        <w:tc>
          <w:tcPr>
            <w:tcW w:w="3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each series of senior notes is payable semi-annually until the applicable maturity dates. Interest expense related to the debt was $44.4 million in each of the years ended December 31, 2024, 2023, and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Credit Facility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an agreement with a syndicate of lenders (the "Credit Agreement") which provides for a $750.0 million senior unsecured five-year revolving credit facility (the "Credit Facility"). The Credit Agreement includes an option for the Company to elect to increase the commitments under the Credit Facility and/or to enter into one or more tranches of term loans in the aggregate principal amount of up to $500.0 million, subject to the consent of the lenders providing the additional commitments or term loans, as applicable, and certain other conditions. The Credit Agreement also provides a $50.0 million sublimit for letters of credit.</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Proceeds of the loans under the Credit Facility may be used to finance working capital needs, and for general corporate or other lawful purposes, of Regeneron and its subsidiaries. Regeneron Pharmaceuticals, Inc. has guaranteed all obligations under the Credit Facility. The Credit Agreement includes an option for the Company to elect to extend the maturity date of the Credit Facility beyond December 2027, subject to the consent of the extending lenders and certain other conditions.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borrowings outstanding under the Credit Facility as of December 31, 2024.</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contains operating covenants and a maximum total leverage ratio financial covenant. The Company was in compliance with all covenants of the Credit Agreement as of December 31,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conducts certain of its research, development, and administrative activities at leased facilities. The Company also leases vehicles and other assets.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Tarrytown, New York Corporate Headquarters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leases laboratory and office facilities for its corporate headquarters in Tarrytown, New York (the "Facility") under the Third Amended and Restated Lease and Remedies Agreement (the "Lease") with BA Leasing BSC, LLC, an affiliate of Banc of America Leasing &amp; Capital, LLC ("BAL"), as lessor, and the Third Amended and Restated Participation Agreement (the "Participation Agreement") with Bank of America, N.A., as administrative agent, and a syndicate of lenders (collectively with BAL, the "Participants"), as rent assignees. The Lease, Participation Agreement, and certain related agreements provide for $720.0 million of lease financing (previously advanced by the Participants in March 2017 in connection with the acquisition by BAL of the Facility and the Company's lease of the Facility from BAL), which matures when the term of the Lease expires in March 2027, at which time all amounts outstanding thereunder will become payable in full. The Company has the option to further extend the maturity date of the Participation Agreement and the term of the Lease for an additional five-year period, subject to the consent of the Participants and certain other conditions. The Company also has the option to (a) purchase the Facility by paying an amount equal to the outstanding principal amount of the Participants' advances under the Participation Agreement, all accrued and unpaid yield thereon, and all other outstanding amounts under the Participation Agreement, Lease, and certain related documents or (b) sell the Facility to a third party on behalf of BAL.</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Lease, the Company pays all maintenance, insurance, taxes, and other costs arising out of the use of the Facility. The Company is also required to make monthly payments of basic rent to satisfy the yield payable to the Participants on their outstanding advances under the Participation Agreement. Such advances accrue yield at a variable rate per annum based on the one-month forward-looking Secured Overnight Financing Rate ("SOFR") term rate, plus a spread adjustment, plus an applicable margin that varies with the Company's debt rating and total leverage ratio.</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Lease is classified as a finance lease as the Company has the option to purchase the Facility under terms that make it reasonably certain to be exercised. The agreements governing the Lease financing contain financial and operating covenants. Such financial covenants and certain of the operating covenants are substantially similar to the covenants set forth in the Credit Agreement. The Company was in compliance with all such covenants as of December 31, 2024.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Lease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Consolidated Balance Sheet related to the Company's leases are included in the table below.</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12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Property, plant, and equipment, net</w:t>
            </w:r>
            <w:r>
              <w:rPr>
                <w:rFonts w:ascii="Times New Roman" w:cs="Times New Roman" w:eastAsia="Times New Roman" w:hAnsi="Times New Roman"/>
                <w:sz w:val="23"/>
                <w:szCs w:val="23"/>
                <w:color w:val="auto"/>
                <w:vertAlign w:val="superscript"/>
              </w:rPr>
              <w:t>(a)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w:t>
            </w:r>
          </w:p>
        </w:tc>
      </w:tr>
      <w:tr>
        <w:trPr>
          <w:trHeight w:val="22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noncurrent assets</w:t>
            </w:r>
            <w:r>
              <w:rPr>
                <w:rFonts w:ascii="Times New Roman" w:cs="Times New Roman" w:eastAsia="Times New Roman" w:hAnsi="Times New Roman"/>
                <w:sz w:val="23"/>
                <w:szCs w:val="23"/>
                <w:color w:val="auto"/>
                <w:vertAlign w:val="superscript"/>
              </w:rPr>
              <w:t>(b)</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23"/>
        </w:trPr>
        <w:tc>
          <w:tcPr>
            <w:tcW w:w="37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2"/>
        </w:trPr>
        <w:tc>
          <w:tcPr>
            <w:tcW w:w="3740" w:type="dxa"/>
            <w:vAlign w:val="bottom"/>
            <w:shd w:val="clear" w:color="auto" w:fill="CCEEFF"/>
          </w:tcPr>
          <w:p>
            <w:pPr>
              <w:spacing w:after="0"/>
              <w:rPr>
                <w:sz w:val="5"/>
                <w:szCs w:val="5"/>
                <w:color w:val="auto"/>
              </w:rPr>
            </w:pPr>
          </w:p>
        </w:tc>
        <w:tc>
          <w:tcPr>
            <w:tcW w:w="4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liabilities - noncurrent</w:t>
            </w: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29"/>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23"/>
        </w:trPr>
        <w:tc>
          <w:tcPr>
            <w:tcW w:w="37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w:t>
            </w:r>
          </w:p>
        </w:tc>
      </w:tr>
      <w:tr>
        <w:trPr>
          <w:trHeight w:val="20"/>
        </w:trPr>
        <w:tc>
          <w:tcPr>
            <w:tcW w:w="37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820" w:hanging="5"/>
        <w:spacing w:after="0" w:line="199" w:lineRule="auto"/>
        <w:tabs>
          <w:tab w:leader="none" w:pos="430"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Finance lease right-of-use assets were recorded net of accumulated amortization of $148.4 million and $133.9 million as of December 31, 2024 and 2023, respectively.</w:t>
      </w:r>
    </w:p>
    <w:p>
      <w:pPr>
        <w:spacing w:after="0" w:line="46" w:lineRule="exact"/>
        <w:rPr>
          <w:rFonts w:ascii="Times New Roman" w:cs="Times New Roman" w:eastAsia="Times New Roman" w:hAnsi="Times New Roman"/>
          <w:sz w:val="23"/>
          <w:szCs w:val="23"/>
          <w:color w:val="auto"/>
          <w:vertAlign w:val="superscript"/>
        </w:rPr>
      </w:pPr>
    </w:p>
    <w:p>
      <w:pPr>
        <w:ind w:left="260" w:right="840" w:hanging="5"/>
        <w:spacing w:after="0" w:line="199" w:lineRule="auto"/>
        <w:tabs>
          <w:tab w:leader="none" w:pos="437"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Operating lease right-of-use assets were recorded net of accumulated amortization of $78.4 million and $44.6 million as of December 31, 2024 and 2023, respectively.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costs consist of the following:</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1"/>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19"/>
                <w:szCs w:val="19"/>
                <w:color w:val="auto"/>
              </w:rPr>
            </w:pPr>
          </w:p>
        </w:tc>
        <w:tc>
          <w:tcPr>
            <w:tcW w:w="1020" w:type="dxa"/>
            <w:vAlign w:val="bottom"/>
            <w:gridSpan w:val="5"/>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60" w:type="dxa"/>
            <w:vAlign w:val="bottom"/>
          </w:tcPr>
          <w:p>
            <w:pPr>
              <w:spacing w:after="0"/>
              <w:rPr>
                <w:sz w:val="19"/>
                <w:szCs w:val="19"/>
                <w:color w:val="auto"/>
              </w:rPr>
            </w:pP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5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costs</w:t>
            </w: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95"/>
        </w:trPr>
        <w:tc>
          <w:tcPr>
            <w:tcW w:w="1300" w:type="dxa"/>
            <w:vAlign w:val="bottom"/>
          </w:tcPr>
          <w:p>
            <w:pPr>
              <w:spacing w:after="0"/>
              <w:rPr>
                <w:sz w:val="8"/>
                <w:szCs w:val="8"/>
                <w:color w:val="auto"/>
              </w:rPr>
            </w:pPr>
          </w:p>
        </w:tc>
        <w:tc>
          <w:tcPr>
            <w:tcW w:w="500" w:type="dxa"/>
            <w:vAlign w:val="bottom"/>
            <w:tcBorders>
              <w:bottom w:val="single" w:sz="8" w:color="CCEEFF"/>
            </w:tcBorders>
          </w:tcPr>
          <w:p>
            <w:pPr>
              <w:spacing w:after="0"/>
              <w:rPr>
                <w:sz w:val="8"/>
                <w:szCs w:val="8"/>
                <w:color w:val="auto"/>
              </w:rPr>
            </w:pPr>
          </w:p>
        </w:tc>
        <w:tc>
          <w:tcPr>
            <w:tcW w:w="406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includes the following:</w:t>
            </w: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86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gridSpan w:val="10"/>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leases includes the following:</w:t>
      </w:r>
    </w:p>
    <w:p>
      <w:pPr>
        <w:spacing w:after="0" w:line="275"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56"/>
        </w:trPr>
        <w:tc>
          <w:tcPr>
            <w:tcW w:w="53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43"/>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(included within cash flows from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maturity analysis of the Company's lease liabilities as of December 31, 2024:</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Pr>
          <w:p>
            <w:pPr>
              <w:spacing w:after="0"/>
              <w:rPr>
                <w:sz w:val="20"/>
                <w:szCs w:val="20"/>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4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80" w:type="dxa"/>
            <w:vAlign w:val="bottom"/>
          </w:tcPr>
          <w:p>
            <w:pPr>
              <w:spacing w:after="0"/>
              <w:rPr>
                <w:sz w:val="20"/>
                <w:szCs w:val="20"/>
                <w:color w:val="auto"/>
              </w:rPr>
            </w:pPr>
          </w:p>
        </w:tc>
        <w:tc>
          <w:tcPr>
            <w:tcW w:w="16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3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w:t>
            </w: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23"/>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8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w:t>
            </w:r>
          </w:p>
        </w:tc>
      </w:tr>
      <w:tr>
        <w:trPr>
          <w:trHeight w:val="230"/>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48"/>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Restated Certificate of Incorporation, as amended, provides for the issuance of up to 40 million shares of Class A Stock, par value $0.001 per share, and 320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Share Repurchase Programs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2021, the Company's board of directors authorized a share repurchase program to repurchase up to $3.0 billion of the Company's Common Stock. As of June 30, 2023, the Company had repurchased the entire $3.0 billion of its Common Stock it was authorized to repurchase under the program.</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the Company's board of directors authorized a share repurchase program to repurchase up to an additional $3.0 billion of the Company's Common Stock. As of September 30, 2024, the Company had repurchased the entire $3.0 billion of its Common Stock that it was authorized to repurchase under the program.</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2024, the Company's board of directors authorized a share repurchase program to repurchase up to an additional $3.0 billion of the Company's Common Stock. The share repurchase program permits the Company to make repurchases through a variety of methods, including open-market transactions (including pursuant to a trading plan adopted in accordance with Rule 10b5-1 of the Securities Exchange Act of 1934, as amended (the "Exchange Act")), privately negotiated transactions, accelerated share repurchases, block trades, and other transactions in compliance with Rule 10b-18 of the Exchange Act.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shares of the Company's Common Stock that the Company repurchased and the cost of such shares, which were recorded as Treasury Stock.</w:t>
      </w:r>
    </w:p>
    <w:p>
      <w:pPr>
        <w:spacing w:after="0" w:line="117" w:lineRule="exact"/>
        <w:rPr>
          <w:sz w:val="20"/>
          <w:szCs w:val="20"/>
          <w:color w:val="auto"/>
        </w:rPr>
      </w:pPr>
    </w:p>
    <w:tbl>
      <w:tblPr>
        <w:tblLayout w:type="fixed"/>
        <w:tblInd w:w="154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$1.917 billion remained available for share repurchases under the April 2024 program.</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2025, the Company's board of directors authorized a share repurchase program to repurchase up to an additional $3.0 billion of the Company's Common Stock. The share repurchase program was approved under terms substantially similar to the repurchase programs described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Dividend</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2025, the Company's board of directors declared the Company's first quarterly cash dividend, in the amount of $0.88 per share on its Common Stock and Class A Stock. The cash dividend will be payable on March 20, 2025 to shareholders of record as of February 20,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Long-Term Incentive Plans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used long-term incentive plans for the purpose of granting equity awards to employees of the Company, including officers, and non-employee members of the Company's board of directors (collectively, "Participants"). The Participants may receive awards as determined by a committee of independent members of the Company's board of directors or, to the extent authorized by such committee with respect to certain Participants, a duly authorized employee (collectively, the "Committee"). The incentive plan currently used by the Company is the Second Amended and Restated Regeneron Pharmaceuticals, Inc. 2014 Long-Term Incentive Plan (the "Second Amended and Restated 2014 Incentive Plan"). It was most recently adopted and approved by the Company's shareholders in 2020. As of the most recent shareholder approval date, the Second Amended and Restated 2014 Incentive Plan provided for the issuance of up to 22.3 million shares of Common Stock in respect of awards. In addition, upon expiration, forfeiture, surrender, exchange, cancellation, or termination of any award previously granted under the Amended and Restated Regeneron Pharmaceuticals, Inc. 2014 Long-Term Incentive Plan (the "Amended and Restated 2014 Incentive Plan"), the Regeneron Pharmaceuticals, Inc. 2014 Long-Term Incentive Plan (the "Original 2014 Incentive Plan"), or the Second Amended and Restated 2000 Long-Term Incentive Plan (the "2000 Incentive Plan"), any shares subject to such award are added to the pool of shares available for grant under the Second Amended and Restated 2014 Incentive Plan.</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awards that may be made under the Second Amended and Restated 2014 Incentive Plan include: (a) non-qualified stock options and incentive stock options, (b) restricted stock awards, (c) shares of phantom stock (also referred to as restricted stock units, which may be time- or performance-based), and</w:t>
      </w:r>
    </w:p>
    <w:p>
      <w:pPr>
        <w:ind w:firstLine="8"/>
        <w:spacing w:after="0" w:line="260" w:lineRule="auto"/>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awards. Any award granted may (but is not required to) be subject to vesting based on the attainment by the Company of performance goals pre-established by the Committee.</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 option awards grant Participants the right to purchase shares of Common Stock at prices determined by the Committee, with exercise prices that are equal to or greater than the average of the high and low market prices of the Company's Common Stock on the date of grant (the "Market Price"). Options vest over a period of time determined by the Committee, generally on a pro rata basis over a four-year period. The Committee also determines the expiration date of each option. The maximum term of options that have been awarded under the 2000 Incentive Plan, the Original 2014 Incentive Plan, the Amended and Restated 2014 Incentive Plan, and the Second Amended and Restated 2014 Incentive Plan (collectively, the "Incentive Plans") is ten years.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awards grant Participants shares of restricted Common Stock. Such shares are nontransferable for a period determined by the Committee ("vesting period"). Should employment terminate, as specified in the Incentive Plans, except as determined by the Committee in its discretion and subject to the applicable Incentive Plan documents, the ownership of any unvested restricted stock awards will be transferred to the Company.</w:t>
      </w:r>
    </w:p>
    <w:p>
      <w:pPr>
        <w:spacing w:after="0" w:line="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Phantom stock awards provide the Participant the right to receive Common Stock or an amount of cash based on the value of the Common Stock at a future date. The award is subject to such restrictions, if any, as the Committee may impose at the date of grant or thereafter, including a specified period of employment or the achievement of performance goals. Time-based restricted stock units and performance-based restricted stock units are each a type of phantom stock award permitted under the Second Amended and Restated 2014 Incentive Plan.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Incentive Plans contain provisions that allow for the Committee to provide for the immediate vesting of awards upon a change in control of the Company, as defined in the Incentive Plans.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there were 13.1 million shares available for future grants under the Second Amended and Restated 2014 Incentive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activity related to stock option awards under the Company's Incentive Plans during 2024.</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0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6"/>
                <w:szCs w:val="16"/>
                <w:color w:val="auto"/>
              </w:rPr>
            </w:pPr>
          </w:p>
        </w:tc>
        <w:tc>
          <w:tcPr>
            <w:tcW w:w="14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3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80" w:type="dxa"/>
            <w:vAlign w:val="bottom"/>
          </w:tcPr>
          <w:p>
            <w:pPr>
              <w:spacing w:after="0"/>
              <w:rPr>
                <w:sz w:val="19"/>
                <w:szCs w:val="19"/>
                <w:color w:val="auto"/>
              </w:rPr>
            </w:pP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534.13</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2024:  </w:t>
            </w: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786.79</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454.70</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6.1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8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3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Vested and expected to vest as of December 31,</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582.36</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6.0 years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1,888.5</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495.19</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4.7 years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satisfies stock option exercises with newly issued shares of the Company's Common Stock. The total intrinsic value of stock options exercised during 2024, 2023, and 2022 was $1.682 billion, $1.096 billion, and $1.214 billion, respectively. The intrinsic value represents the amount by which the market price of the underlying stock exceeds the exercise price of an option.</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weighted-average exercise prices and weighted-average grant-date fair values of options issued during the years ended December 31, 2024, 2023, and 2022.</w:t>
      </w:r>
    </w:p>
    <w:p>
      <w:pPr>
        <w:spacing w:after="0" w:line="108"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368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0" w:type="dxa"/>
            <w:vAlign w:val="bottom"/>
          </w:tcPr>
          <w:p>
            <w:pPr>
              <w:spacing w:after="0"/>
              <w:rPr>
                <w:sz w:val="18"/>
                <w:szCs w:val="18"/>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0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3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3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Granted</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1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Average Fair</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19"/>
                <w:szCs w:val="19"/>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0" w:type="dxa"/>
            <w:vAlign w:val="bottom"/>
          </w:tcPr>
          <w:p>
            <w:pPr>
              <w:spacing w:after="0"/>
              <w:rPr>
                <w:sz w:val="19"/>
                <w:szCs w:val="19"/>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jc w:val="right"/>
              <w:ind w:right="3150"/>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235.32</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jc w:val="right"/>
              <w:ind w:right="315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264.37</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jc w:val="right"/>
              <w:ind w:right="315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220.88</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recognized $376.0 million, $357.1 million, and $341.9 million, respectively, of stock-based compensation expense related to stock option awards (net of amounts capitalized as inventory, which were not material for each of the three years). As of December 31, 2024, there was $626.7 million of stock-based compensation cost related to unvested stock options, net of estimated forfeitures, which had not yet been recognized. The Company expects to recognize this compensation cost over a weighted-average period of 1.9 years.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Assumptions: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 average values of the assumptions used in computing the fair value of option grants during 2024, 2023, and 2022.</w:t>
      </w:r>
    </w:p>
    <w:p>
      <w:pPr>
        <w:spacing w:after="0" w:line="131" w:lineRule="exact"/>
        <w:rPr>
          <w:sz w:val="20"/>
          <w:szCs w:val="20"/>
          <w:color w:val="auto"/>
        </w:rPr>
      </w:pPr>
    </w:p>
    <w:tbl>
      <w:tblPr>
        <w:tblLayout w:type="fixed"/>
        <w:tblInd w:w="2280" w:type="dxa"/>
        <w:tblCellMar>
          <w:top w:w="0" w:type="dxa"/>
          <w:left w:w="0" w:type="dxa"/>
          <w:bottom w:w="0" w:type="dxa"/>
          <w:right w:w="0" w:type="dxa"/>
        </w:tblCellMar>
      </w:tblPr>
      <w:tr>
        <w:trPr>
          <w:trHeight w:val="238"/>
        </w:trPr>
        <w:tc>
          <w:tcPr>
            <w:tcW w:w="3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Expected lives from grant date</w:t>
            </w: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5.0 years</w:t>
            </w: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5.1 years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years</w:t>
            </w:r>
          </w:p>
        </w:tc>
      </w:tr>
      <w:tr>
        <w:trPr>
          <w:trHeight w:val="22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r>
    </w:tbl>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During 2024, 2023, and 2022, the expected dividend yield was zero as the Company had not paid dividends nor did it expect to at the time of option grants. The risk-free interest rates are based on quoted U.S. Treasury rates for securities with maturities approximating the options' expected lives.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Restricted Stock Awards and Time-Based Restricted Stock Units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Company's activity related to restricted stock awards and time-based restricted stock units (excluding performance-based restricted stock units, which are detailed further below) (collectively, "restricted stock") during 2024 is summarized below.</w:t>
      </w:r>
    </w:p>
    <w:p>
      <w:pPr>
        <w:spacing w:after="0" w:line="189"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180"/>
        </w:trPr>
        <w:tc>
          <w:tcPr>
            <w:tcW w:w="3480" w:type="dxa"/>
            <w:vAlign w:val="bottom"/>
          </w:tcPr>
          <w:p>
            <w:pPr>
              <w:spacing w:after="0"/>
              <w:rPr>
                <w:sz w:val="15"/>
                <w:szCs w:val="15"/>
                <w:color w:val="auto"/>
              </w:rPr>
            </w:pPr>
          </w:p>
        </w:tc>
        <w:tc>
          <w:tcPr>
            <w:tcW w:w="15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Shares/Units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7"/>
              </w:rPr>
              <w:t>Grant</w:t>
            </w:r>
          </w:p>
        </w:tc>
      </w:tr>
      <w:tr>
        <w:trPr>
          <w:trHeight w:val="238"/>
        </w:trPr>
        <w:tc>
          <w:tcPr>
            <w:tcW w:w="348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54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705.37</w:t>
            </w: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2024:  </w:t>
            </w:r>
            <w:r>
              <w:rPr>
                <w:rFonts w:ascii="Times New Roman" w:cs="Times New Roman" w:eastAsia="Times New Roman" w:hAnsi="Times New Roman"/>
                <w:sz w:val="18"/>
                <w:szCs w:val="18"/>
                <w:color w:val="auto"/>
              </w:rPr>
              <w:t>Granted</w:t>
            </w:r>
          </w:p>
        </w:tc>
        <w:tc>
          <w:tcPr>
            <w:tcW w:w="154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787.15</w:t>
            </w:r>
          </w:p>
        </w:tc>
      </w:tr>
      <w:tr>
        <w:trPr>
          <w:trHeight w:val="230"/>
        </w:trPr>
        <w:tc>
          <w:tcPr>
            <w:tcW w:w="3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8"/>
              </w:rPr>
              <w:t>(0.7)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617.50</w:t>
            </w:r>
          </w:p>
        </w:tc>
      </w:tr>
      <w:tr>
        <w:trPr>
          <w:trHeight w:val="230"/>
        </w:trPr>
        <w:tc>
          <w:tcPr>
            <w:tcW w:w="34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8"/>
              </w:rPr>
              <w:t>(0.1)</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704.57</w:t>
            </w:r>
          </w:p>
        </w:tc>
      </w:tr>
      <w:tr>
        <w:trPr>
          <w:trHeight w:val="248"/>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54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760.35</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recognized $554.7 million, $475.9 million, and $331.1 million, respectively, of stock-based compensation expense related to restricted stock (net of amounts capitalized as inventory, which were not material for each of the three years). As of December 31, 2024, there was $1.219 billion of stock-based compensation cost related to unvested restricted stock which had not yet been recognized. The Company expects to recognize this compensation cost over a weighted-average period of 2.3 years.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Performance-based Restricted Stock Units</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Performance-based restricted stock units ("PSUs") have been granted to certain members of senior management of the Company. PSUs may be earned based upon the attainment of pre-established performance criteria, which may include a market and/or performance condition. Depending on the terms of the PSUs and the outcome of the pre-established performance criteria, a recipient may ultimately earn the target number of PSUs granted or a specified multiple thereof at the end of a 4–6 year vesting period, as applicable. As of December 31, 2024 and 2023, 1.4 million PSUs were unvested with a weighted-average grant date fair value of $247.91 per unit. The number of unvested PSUs represents the maximum number of units that are eligible to be earned. During the year ended December 31, 2024, the Company did not grant new PSUs and no PSUs were vested, forfeited, or cancelled.</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each of the years ended December 31, 2024, 2023, and 2022 the Company recognized $52.1 million of stock-based compensation expense related to PSUs. As of December 31, 2024, there was $52.0 million of stock-based compensation cost related to unvested PSUs which had not yet been recognized. The Company expects to recognize this compensation cost on a straight-line basis over a weighted average period of 1.0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Assumptions: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weighted average values of the assumptions used in computing the fair value of PSUs that were granted during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grant PSUs during 2024 and 2023.</w:t>
      </w:r>
    </w:p>
    <w:p>
      <w:pPr>
        <w:spacing w:after="0" w:line="176" w:lineRule="exact"/>
        <w:rPr>
          <w:sz w:val="20"/>
          <w:szCs w:val="20"/>
          <w:color w:val="auto"/>
        </w:rPr>
      </w:pPr>
    </w:p>
    <w:tbl>
      <w:tblPr>
        <w:tblLayout w:type="fixed"/>
        <w:tblInd w:w="3380" w:type="dxa"/>
        <w:tblCellMar>
          <w:top w:w="0" w:type="dxa"/>
          <w:left w:w="0" w:type="dxa"/>
          <w:bottom w:w="0" w:type="dxa"/>
          <w:right w:w="0" w:type="dxa"/>
        </w:tblCellMar>
      </w:tblPr>
      <w:tr>
        <w:trPr>
          <w:trHeight w:val="238"/>
        </w:trPr>
        <w:tc>
          <w:tcPr>
            <w:tcW w:w="34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Savings Plans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the Regeneron Pharmaceuticals, Inc. 401(k) Savings Plan, as amended and restated (the "Savings Plan"). The terms of the Savings Plan allow U.S. employees (as defined by the Savings Plan) to contribute to the Savings Plan a percentage of their compensation. In addition, the Company may make discretionary contributions, as defined, to the accounts of participants under the Savings Plan. The Company also maintains additional employee savings plans outside the United States, which cover eligible employees.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recognized by the Company related to contributions to such plans were $90.2 million, $84.7 million, and $67.6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U.S. federal, state, and foreign income taxes. Components of income before income taxes consist of the following:</w:t>
      </w:r>
    </w:p>
    <w:p>
      <w:pPr>
        <w:spacing w:after="0" w:line="289" w:lineRule="exact"/>
        <w:rPr>
          <w:sz w:val="20"/>
          <w:szCs w:val="20"/>
          <w:color w:val="auto"/>
        </w:rPr>
      </w:pPr>
    </w:p>
    <w:tbl>
      <w:tblPr>
        <w:tblLayout w:type="fixed"/>
        <w:tblInd w:w="258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w:t>
            </w:r>
          </w:p>
        </w:tc>
      </w:tr>
      <w:tr>
        <w:trPr>
          <w:trHeight w:val="229"/>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4,018.9</w:t>
            </w:r>
          </w:p>
        </w:tc>
      </w:tr>
      <w:tr>
        <w:trPr>
          <w:trHeight w:val="248"/>
        </w:trPr>
        <w:tc>
          <w:tcPr>
            <w:tcW w:w="1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4,858.8</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income tax expense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10"/>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1300" w:type="dxa"/>
            <w:vAlign w:val="bottom"/>
          </w:tcPr>
          <w:p>
            <w:pPr>
              <w:spacing w:after="0"/>
              <w:rPr>
                <w:sz w:val="19"/>
                <w:szCs w:val="19"/>
                <w:color w:val="auto"/>
              </w:rPr>
            </w:pPr>
          </w:p>
        </w:tc>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9"/>
        </w:trPr>
        <w:tc>
          <w:tcPr>
            <w:tcW w:w="1300" w:type="dxa"/>
            <w:vAlign w:val="bottom"/>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Federal</w:t>
            </w:r>
          </w:p>
        </w:tc>
        <w:tc>
          <w:tcPr>
            <w:tcW w:w="8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Foreign</w:t>
            </w:r>
          </w:p>
        </w:tc>
        <w:tc>
          <w:tcPr>
            <w:tcW w:w="4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0"/>
        </w:trPr>
        <w:tc>
          <w:tcPr>
            <w:tcW w:w="1300" w:type="dxa"/>
            <w:vAlign w:val="bottom"/>
          </w:tcPr>
          <w:p>
            <w:pPr>
              <w:spacing w:after="0"/>
              <w:rPr>
                <w:sz w:val="18"/>
                <w:szCs w:val="18"/>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13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Federal</w:t>
            </w: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w:t>
            </w: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4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8"/>
        </w:trPr>
        <w:tc>
          <w:tcPr>
            <w:tcW w:w="1300" w:type="dxa"/>
            <w:vAlign w:val="bottom"/>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3"/>
        </w:trPr>
        <w:tc>
          <w:tcPr>
            <w:tcW w:w="8560" w:type="dxa"/>
            <w:vAlign w:val="bottom"/>
            <w:gridSpan w:val="14"/>
          </w:tcPr>
          <w:p>
            <w:pPr>
              <w:jc w:val="right"/>
              <w:ind w:right="620"/>
              <w:spacing w:after="0"/>
              <w:rPr>
                <w:sz w:val="20"/>
                <w:szCs w:val="20"/>
                <w:color w:val="auto"/>
              </w:rPr>
            </w:pPr>
            <w:r>
              <w:rPr>
                <w:rFonts w:ascii="Times New Roman" w:cs="Times New Roman" w:eastAsia="Times New Roman" w:hAnsi="Times New Roman"/>
                <w:sz w:val="18"/>
                <w:szCs w:val="18"/>
                <w:color w:val="auto"/>
                <w:w w:val="99"/>
              </w:rPr>
              <w:t>A reconciliation of the U.S. statutory income tax rate to the Company's effective income tax rate is as follows: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1"/>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0"/>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116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Taxation of non-U.S. operations</w:t>
            </w: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credits</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 deduction</w:t>
            </w: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4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auto"/>
            </w:tcBorders>
          </w:tcPr>
          <w:p>
            <w:pPr>
              <w:spacing w:after="0"/>
              <w:rPr>
                <w:sz w:val="19"/>
                <w:szCs w:val="19"/>
                <w:color w:val="auto"/>
              </w:rPr>
            </w:pPr>
          </w:p>
        </w:tc>
        <w:tc>
          <w:tcPr>
            <w:tcW w:w="1160" w:type="dxa"/>
            <w:vAlign w:val="bottom"/>
          </w:tcPr>
          <w:p>
            <w:pPr>
              <w:spacing w:after="0"/>
              <w:rPr>
                <w:sz w:val="19"/>
                <w:szCs w:val="19"/>
                <w:color w:val="auto"/>
              </w:rPr>
            </w:pPr>
          </w:p>
        </w:tc>
      </w:tr>
      <w:tr>
        <w:trPr>
          <w:trHeight w:val="248"/>
        </w:trPr>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10.7 %</w:t>
            </w:r>
          </w:p>
        </w:tc>
        <w:tc>
          <w:tcPr>
            <w:tcW w:w="11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78"/>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F-33</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17" w:lineRule="exact"/>
        <w:rPr>
          <w:sz w:val="20"/>
          <w:szCs w:val="20"/>
          <w:color w:val="auto"/>
        </w:rPr>
      </w:pPr>
    </w:p>
    <w:tbl>
      <w:tblPr>
        <w:tblLayout w:type="fixed"/>
        <w:tblInd w:w="184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1,728.2</w:t>
            </w:r>
          </w:p>
        </w:tc>
      </w:tr>
      <w:tr>
        <w:trPr>
          <w:trHeight w:val="229"/>
        </w:trPr>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r>
      <w:tr>
        <w:trPr>
          <w:trHeight w:val="229"/>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30"/>
        </w:trPr>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29"/>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attribute carryforwards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30"/>
        </w:trPr>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2,625.8</w:t>
            </w:r>
          </w:p>
        </w:tc>
      </w:tr>
      <w:tr>
        <w:trPr>
          <w:trHeight w:val="270"/>
        </w:trPr>
        <w:tc>
          <w:tcPr>
            <w:tcW w:w="4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2,575.4</w:t>
            </w:r>
          </w:p>
        </w:tc>
      </w:tr>
      <w:tr>
        <w:trPr>
          <w:trHeight w:val="21"/>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Company's federal income tax returns for 2017 through 2023 remain open to examination by the IRS. The Company's 2017 and 2018 federal income tax returns are currently under audit by the IRS. In general, the Company's state income tax returns from 2020 to 2023 remain open to examination. The Company's income tax returns outside the United States remain open to examination from 2019 to 2023. The United States and many states generally have statutes of limitation ranging from 3 to 5 years; however, those statutes could be extended due to the Company's tax credit carryforward position. In general, tax authorities have the ability to review income tax returns in which the statute of limitation has previously expired to adjust the tax credits generated in those years.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beginning and ending amounts of unrecognized tax benefits: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increases related to current year tax positions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176"/>
        </w:trPr>
        <w:tc>
          <w:tcPr>
            <w:tcW w:w="46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Gross increases (decreases) related to prior year tax</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positions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175"/>
        </w:trPr>
        <w:tc>
          <w:tcPr>
            <w:tcW w:w="46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Gross decreases due to settlements and lapse of statutes of</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4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limitations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2024, 2023, and 2022, the increases in unrecognized tax benefits primarily related to the Company's calculation of certain tax credits and other items related to the Company's international operations. Interest expense related to unrecognized tax benefits was $165.4 million, $77.2 million, and $38.0 million in 2024, 2023, and 2022, respectively. The Company expects the IRS to conclude its examination of the Company's 2017 and 2018 federal income tax returns within the next twelve months, and, as a result, the Company may be required to make a payment of approximately $120 million. The Company's unrecognized tax benefits for the years under examination exceed the expected payment amount, which would result in the Company recognizing a net tax benefit within the next twelve months.</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amount of net unrecognized tax benefits that, if settled, would impact the effective tax rate is $635.4 million, $442.5 million, and $373.7 million as of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Legal Matters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The outcome of any such proceedings, regardless of the merits, is inherently uncertain. If the Company is unable to prevail in one or more of such proceedings, its consolidated financial position, results of operations, and future cash flows may be materially adversely impacted. Costs associated with the Company's involvement in legal proceedings are expensed as incurred. The Company recognizes accruals for loss contingencies associated with such proceedings when it is probable that a liability will be incurred and the amount of loss can be reasonably estimated. As of December 31, 2024 and 2023, the Company's accruals for loss contingencies were not material. There are certain loss contingencies that the Company deems reasonably possible for which the possible loss or range of possible loss is not estimable at this time.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patents pertaining to EYLEA are subject to post-grant proceedings before the United States Patent and Trademark Office ("USPTO"), the European Patent Office (the "EPO"), or other comparable foreign authorities, including those described in greater detail below. In addition, the Company has filed patent infringement lawsuits in several jurisdictions alleging infringement of certain Company patents pertaining to EYLEA, including those described in greater detail below.</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Patent Litigation</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 2022, the Company filed a patent infringement lawsuit against Mylan, a wholly-owned subsidiary of Viatris Inc., in the United States District Court for the Northern District of West Virginia alleging that Mylan's filing for U.S. Food and Drug Administration ("FDA") approval of an aflibercept 2 mg biosimilar infringes certain Company patents. On June 5, 2023, Biocon, as successor-in-interest to the aflibercept 2 mg biosimilar, was joined as a defendant to the lawsuit. A trial was held from June 12, 2023 through June 23, 2023 concerning certain claims of the '601 Patent, the '572 Patent, and the Company's U.S. Patent No. 11,084,865 (the "'865 Patent"). On December 27, 2023, the court issued a decision finding that (i) the asserted claims of the '865 Patent were valid and infringed by Mylan and Biocon and (ii) the asserted claims of the '601 and '572 Patents were infringed by Mylan and Biocon but were invalid as obvious. On June 11, 2024, the court granted the Company's motion for a permanent injunction, enjoining Mylan and Biocon from selling in the United States their aflibercept 2 mg biosimilar until the expiration of the '865 Patent. On June 21, 2024, Mylan and Biocon filed a notice of appeal of the court's December 27, 2023 and June 11, 2024 decisions to the Federal Circuit. An oral hearing concerning Mylan and Biocon's appeal has been scheduled for February 7, 2025.</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8, November 22, and November 29, 2023, respectively, the Company filed patent infringement lawsuits against Celltrion, Samsung Bioepis, and Formycon AG in the United States District Court for the Northern District of West Virginia following service on Regeneron of each company's notice of commercial marketing. The lawsuits allege that each company has infringed certain Company patents, including based on each company's filing for FDA approval of an aflibercept 2 mg biosimilar. On December 27, 2023, the Company filed a second patent infringement lawsuit against Samsung Bioepis in the United States District Court for the Northern District of West Virginia alleging that Samsung's filing for FDA approval of an aflibercept 2 mg biosimilar infringes certain Company patents. On June 14, June 21, and June 28, 2024, respectively, the court granted the Company's motions for preliminary injunctions against Samsung Bioepis, Formycon, and Celltrion. On June 14, June 25, and July 8, 2024, respectively, Samsung Bioepis, Formycon, and Celltrion filed notices of appeal of the court's preliminary injunction decisions to the Federal Circuit. An oral hearing concerning the respective appeals of Samsung Bioepis and Formycon was held on December 5, 2024. On January 29, 2025, the Federal Circuit affirmed the lower court's preliminary injunction decisions against Samsung Bioepis and Formycon. An oral hearing concerning Celltrion's appeal has been scheduled for February 7, 2025.</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10, 2024, the Company filed a patent infringement lawsuit against Amgen in the United States District Court for the Central District of California alleging that Amgen's filing for FDA approval of an aflibercept 2 mg biosimilar infringes certain Company patents. On April 11, 2024, the United States Judicial Panel on Multidistrict Litigation granted the Company's motion to transfer this lawsuit to the United States District Court for the Northern District of West Virginia for coordinated and consolidated pretrial proceedings with the lawsuits described in the preceding paragraph. On June 7, 2024, the Company filed a motion for a preliminary injunction against Amgen. On September 23, 2024, the court denied the Company's motion for a preliminary injunction, and the Company filed (i) a notice of appeal of such decision to the Federal Circuit, (ii) a motion for an immediate administrative stay, and (iii) a motion for a temporary injunction preventing Amgen from launching its aflibercept 2 mg biosimilar during the pendency of such appeal. On September 25, 2024, the Federal Circuit issued an administrative stay pending its review of the Company's temporary injunction motion. On October 22, 2024, the Federal Circuit denied the Company's temporary injunction motion and lifted the administrative stay. An expedited oral hearing concerning the Company's appeal of the court's preliminary injunction decision was held on January 14, 2025.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26, 2024, the Company filed a patent infringement lawsuit against Sandoz Inc. in the United States District Court for the District of New Jersey alleging that Sandoz's filing for FDA approval of an aflibercept 2 mg biosimilar infringes certain Company patents. On September 12, 2024, the United States Judicial Panel on Multidistrict Litigation granted the Company's motion to transfer this lawsuit to the United States District Court for the Northern District of West Virginia for coordinated and consolidated pretrial proceedings with the lawsuits described in the preceding paragraphs.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Post-Grant Proceedings Before the USPTO</w:t>
      </w:r>
    </w:p>
    <w:p>
      <w:pPr>
        <w:spacing w:after="0" w:line="144"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 xml:space="preserve">On November 20, 2024, November 29, 2024, and January 15, 2025, Samsung Bioepis Co., Ltd., Formycon AG, and Celltrion Inc., respectively, filed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("IPR") petitions in the USPTO against the Company's U.S. Patent No. 11,084,865 (the "'865 Patent"), each seeking a declaration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'865 Patent is invalid.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EPO Post-Grant Proceedings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Various parties, including Amgen and other anonymous parties, are seeking revocation of the Company's European Patent Nos. 2,944,306 (the "'306 Patent"), 3,716,992 (the "'992 Patent"), and 3,384,049 (the "'049 Patent") before the Opposition Division of the EPO. On November 26, 2024, following an oral hearing, the Opposition Division ("OD") of the EPO announced its decision to revoke the '306 Patent. The Company plans to appeal the OD's decision. Oral proceedings concerning the '992 Patent are scheduled for October 2025.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Country-Specific Proceedings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parties, including Amgen, Samsung Bioepis, and Formycon and/or their affiliated entities, are seeking revocation of the '306 Patent, the '992 Patent, and the Company's European Patent No. 2,364,691 (the "'691 Patent") and/or a declaration that its aflibercept 2 mg biosimilar would not infringe these patents in several European national courts (including those in France, Germany, Italy, the Netherlands, and the United Kingdom). In the United Kingdom, the Company has filed a preemptive counterclaim against Formycon AG and Klinge Biopharma GmbH, Samsung Bioepis UK Limited, and Amgen Inc. for infringement of the '306 Patent and the '691 Patent. In Germany, a trial concerning the '691 Patent has been scheduled to begin in June 2025. In the United Kingdom, trials concerning the '691 and '306 Patents have been scheduled to begin in June 2025, and the '992 Patent proceedings are stayed pending resolution of the EPO proceedings concerning this patent. In the Netherlands, a trial concerning the '691 and '306 Patents has been scheduled to begin in July 2025.</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commenced proceedings in Belgium against various parties, including Amgen Inc., Celltrion Inc., Sterigenics (Petit-Rechain) NV, and Sandoz GmbH, for infringement of the Company's European Patent No. 1,183,353 (as extended by Supplementary Protection Certificate 2013C/029).</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Amgen Canada</w:t>
      </w:r>
    </w:p>
    <w:p>
      <w:pPr>
        <w:spacing w:after="0" w:line="1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On May 9, 2023, Amgen Canada Inc. ("Amgen Canada") filed invalidation proceedings against the Company in the Federal Court of Canada seeking revocation of the Company's Canadian Patent Nos. 2,654,510 (the "'510 Patent") and 3,007,276 (the "'276 Patent"). On September 14, 2023, the Company, Bayer Inc., and Bayer Healthcare LLC filed patent infringement lawsuits against Amgen Canada in the Federal Court of Canada seeking a declaration that the making, constructing, using, or selling of an aflibercept 2 mg biosimilar would directly or indirectly infringe one or more claims of Bayer Healthcare LLC's Canadian Patent No. 2,970,315 (the "'315 Patent"). On September 14, 2023, the Company and Bayer Inc. filed three separate patent infringement lawsuits against Amgen Canada in the Federal Court of Canada seeking a declaration that the making, constructing, using, or selling of an aflibercept 2 mg biosimilar would directly or indirectly infringe one or more claims of the Company's Canadian Patent Nos. 3,129,193 (the "'193 Patent"), 2,965,495 (the "'495 Patent"), and 2,906,768 (the "'768 Patent"), respectively. On October 11, 2023, the Company, Bayer Inc., and Bayer Healthcare LLC filed two separate patent infringement lawsuits against Amgen Canada in the Federal Court of Canada seeking a declaration that the making, constructing, using, or selling of an aflibercept 2 mg biosimilar would directly or indirectly infringe one or more claims of the Company's '510 Patent and '276 Patent, respectively. On May 7, 2024 and June 28, 2024, respectively, Amgen filed a summary trial motion with respect to the '510 Patent and a motion to delist the '276 Patent from the Canada Patent Register. On November 20, 2024, the court granted Amgen's motion to delist the '276 Patent from the Canada Patent Register, which decision has been appealed by the Company and Bayer. A trial for the lawsuits concerning the '510 Patent and the '276 Patent has been scheduled for May–June 2025; and a trial for the lawsuits concerning the '315 Patent and the '193 Patent has been scheduled for August–September 2025.</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Sandoz</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24, 2025, the Company, Bayer Inc., and Bayer Healthcare LLC filed patent infringement lawsuits against Sandoz Canada Inc. in the Federal Court of Canada seeking a declaration that the making, constructing, using, or selling of an aflibercept 2 mg biosimilar would directly or indirectly infringe one or more claims of the '510 Patent, the '276 Patent, the '495 Patent, the '768 Patent, the '193 Patent, the '315 Patent, and Canadian Patent No. 3,137,326 (the "'326 Patent").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 Korea</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31, 2022 and December 13, 2022, Samsung Bioepis Co., Ltd. initiated invalidation proceedings before the Intellectual Property Trial and Appeal Board of the Korean Intellectual Property Office ("KIPO") against the Company's Korean Patent Nos. 1131429 (the "'429 Patent") and 1406811 (the "'811 Patent"), respectively, seeking revocation of each such patent in its entirety. On October 23, 2024, the KIPO maintained the '811 Patent as valid, and Samsung appealed this decision on November 6, 2024. On November 20, 2024, the KIPO maintained the '429 Patent as valid in an amended form that no longer contains claims to aflibercept.</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as applicable, Bayer Consumer Care AG, have also filed patent infringement lawsuits in the Seoul Central District Court against various parties including Samsung Bioepis Co., Ltd. and its parent company Samsung Biologics Co., Ltd., Sam Chun Dang Pharm. Co., Ltd. and OPTUS Pharmaceutical Co., Ltd, and Celltrion Inc. These lawsuits seek damages and/or injunctive relief and allege that the making, constructing, using, or selling of an aflibercept 2 mg biosimilar by the relevant defendant(s) would infringe one or more claims of the '811 Patent and/or the Company's Korean Patent Nos. 659477 (the "'477 Patent") and 2519234 (the "'234 Patent").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 Pre-filled Syringe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19, 2020, Novartis Pharma AG, Novartis Pharmaceuticals Corporation, and Novartis Technology LLC (collectively, "Novartis") filed a patent infringement lawsuit (as amended on August 2, 2021) in the U.S. District Court for the Northern District of New York asserting claims of Novartis's U.S. Patent No. 9,220,631 (the "'631 Patent"). On November 13, 2024, this lawsuit was dismissed in light of the final resolution of the IPR proceeding discussed below.</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16, 2020, the Company initiated two IPR petitions in the USPTO seeking a declaration that the '631 Patent is invalid on two separate grounds. On October 25, 2022, the Patent Trial and Appeal Board ("PTAB") of the USPTO issued a final written decision invalidating all claims of the '631 Patent; and on September 23, 2024, the Federal Circuit affirmed the PTAB's decision invalidating all claims of the '631 Patent.</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17, 2020, the Company filed an antitrust lawsuit against Novartis and Vetter Pharma International Gmbh ("Vetter") in the United States District Court for the Southern District of New York seeking a declaration that the '631 Patent is unenforceable and a judgment that the defendants' conduct violates Sections 1 and 2 of the Sherman Antitrust Act of 1890, as amended (the "Sherman Antitrust Act"). The Company is also seeking injunctive relief and treble damages. On September 21, 2021, this lawsuit was transferred to the Northern District of New York. On June 10, 2022, the Company filed an appeal of the District Court's decision to dismiss the amended complaint with the U.S. Court of Appeals for the Second Circuit (the "Second Circuit"). On March 18, 2024, the Second Circuit reversed the District Court's decision to dismiss the amended complaint and remanded the lawsuit to the District Court for further proceedings consistent with the Second Circuit's opinion. On November 19, 2024, the Company moved to transfer the lawsuit back to the Southern District of New York, which motion was granted on December 5,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27, 2022, the Company filed a lawsuit against Amgen Inc. in the United States District Court for the District of Delaware, alleging that, beginning in 2020, Amgen engaged in an anticompetitive bundling scheme which was designed to exclude Praluent from the market in violation of federal and state laws. The lawsuit seeks damages for harm caused by the alleged scheme, as well as injunctive relief restraining Amgen from continuing its alleged anticompetitive conduct. On August 1 and 11, 2022, Amgen filed a motion to dismiss the complaint and a motion to stay these proceedings, respectively. On February 10, 2023, the court denied Amgen's motion to stay; and on March 21, 2023, the court denied Amgen's motion to dismiss. On August 28, 2023, the Company filed an amended complaint in this matter; and, as part of its response, on September 20, 2023, Amgen filed a counterclaim alleging that the Company engaged in unfair business practices in violation of state law. On May 22, 2024, Amgen filed a motion for summary judgment. An oral hearing on Amgen's motion for summary judgment was held on November 20, 2024. A trial has been scheduled to begin in May 2025.</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 2023, Sanofi filed an action in the Munich Central Division of the Unified Patent Court (the "UPC") seeking revocation of Amgen's European Patent No. 3,666,797 (the "'797 Patent"). The '797 Patent is a divisional patent of European Patent No. 2,215,124 (the "'124 Patent") (i.e., a patent that shares the same priority date, disclosure, and patent term of the parent '124 Patent), which was previously invalidated by the Technical Board of Appeal of the EPO. On July 16, 2024, following a trial, the Munich Central Division of the UPC issued a decision revoking the '797 Patent in its entirety. On September 16, 2024, Amgen appealed the decision of the Munich Central Division of the UPC to the Court of Appeal of the UPC. An oral hearing before the Court of Appeal of the UPC has been scheduled for May 2025.</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June 1, 2023, Amgen filed a lawsuit against the Company and certain of Sanofi's affiliated entities in the Munich Local Division of the UPC alleging infringement of the '797 Patent. The lawsuit seeks, among other things, a permanent injunction in several countries in Europe and monetary damages. On July 29, 2024, the Munich Local Division of the UPC ordered a stay of the infringement lawsuit in light of the decision of the Munich Central Division of the UPC to revoke the '797 Patent in its entirety (discussed above).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REGEN-COV (casirivimab and imdevimab)</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5, 2020, Allele Biotechnology and Pharmaceuticals, Inc. ("Allele") filed a lawsuit (as amended on April 8, 2021 and December 12, 2022) against the Company in the United States District Court for the Southern District of New York, asserting infringement of U.S. Patent No. 10,221,221. Effective December 5, 2024, the parties entered into a settlement agreement, pursuant to which this lawsuit has been dismissed.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Matters</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ZALTRAP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(the "June 2020 Civil Complaint"). On August 24, 2020, the Company filed a motion to dismiss the June 2020 Civil Complaint in its entirety. On December 4, 2020, the court denied the motion to dismiss. On December 28, 2022, the U.S. Attorney's Office for the District of Massachusetts filed a motion for partial summary judgment. On January 31, 2023, the Company filed a motion for summary judgment. An oral hearing on the parties' respective motions for summary judgment was held on July 21, 2023. On September 27, 2023, the court (i) denied in part and granted in part the Company's motion for summary judgment and (ii) denied in its entirety the motion for partial summary judgment filed by the U.S. Attorney's Office for the District of Massachusetts. On October 25, 2023, the court certified for interlocutory appeal a portion of the court's September 27, 2023 order that addressed the causation standard applicable to the alleged violations of the federal Anti-Kickback Statute and federal False Claims Act; and on December 11, 2023, the U.S. Court of Appeals for the First Circuit certified for appeal (i.e., accepted for review) the court's September 27, 2023 order. An oral hearing concerning the appeal to the U.S. Court of Appeals for the First Circuit was held on July 22, 2024.</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On June 3, 2021, the United States District Court for the Central District of California unsealed a qui tam complaint filed against the Company, Regeneron Healthcare Solutions, Inc., and Sanofi-Aventis U.S. LLC by two qui tam plaintiffs (known as relators) purportedly on behalf of the United States and various states (the "State Plaintiffs"), asserting causes of action under the federal False Claims Act and state law. Also on June 3, 2021, the United States and the State Plaintiffs notified the court of their decision to decline to intervene in the case. On October 29, 2021, the qui tam plaintiffs filed an amended complaint in this matter. On January 14, 2022, the Company filed a motion to dismiss the amended complaint in its entirety. On July 25, 2023, the court granted in part and denied in part the Company's motion to dismiss. On September 1, 2023, the Company filed a second motion to dismiss the amended complaint or, in the alternative, a motion for judgment on the pleadings. On July 31, 2024 and August 15, 2024, respectively, the District Court granted the Company's second motion to dismiss the amended complaint with respect to the remaining causes of action under federal law and declined to exercise supplemental jurisdiction over the remaining causes of action under state law. On August 26, 2024, the qui tam plaintiffs filed a notice of appeal.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2021, the Company received a CID from the U.S. Department of Justice pursuant to the federal False Claims Act. The CID states that the investigation concerns allegations that the Company (i) violated the False Claims Act by paying kickbacks to distributors and ophthalmology practices to induce purchase of EYLEA, including through discounts, rebates, credit card fees, free units of EYLEA, and inventory management systems; and (ii) inflated reimbursement rates for EYLEA by excluding applicable discounts, rebates, and benefits from the average sales price reported to the Centers for Medicare &amp; Medicaid Services. The CID covers the period from January 2011 through June 2021. On November 29, 2023, the U.S. Department of Justice informed the Company that it had filed a notice of partial intervention in this matter. On March 28, 2024, the Department of Justice and the U.S. Attorney's Office for the District of Massachusetts filed a civil complaint intervention (the "March 2024 Civil Complaint") in the U.S. District Court for the District of Massachusetts asserting causes of action under the federal False Claims Act and a claim for unjust enrichment. Also on March 28, 2024, the U.S. District Court of the District of Massachusetts unsealed a qui tam complaint against the Company, AmerisourceBergen, and Besse Medical by two qui tam plaintiffs (known as relators) purportedly on behalf of the United States and various states and municipalities, asserting causes of action under the federal False Claims Act and state and local laws, and alleging violations of the federal Anti-Kickback statute. On June 25, 2024, the States of Colorado, Georgia, Michigan, North Carolina, Texas, and Washington filed a civil complaint in partial intervention (the "June 2024 Civil Complaint") in the U.S. District Court for the District of Massachusetts asserting causes of action under various state laws. On July 18, 2024, the Company filed a motion to dismiss the March 2024 Civil Complaint and the June 2024 Civil Complaint. An oral hearing on the Company's motion to dismiss was held on December 16,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Initiated by Other Payors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party to several lawsuits relating to the conduct alleged in the June 2020 Civil Complaint discussed under "Department of Justice Matters" above. These lawsuits were filed by UnitedHealthcare Insurance Company and United Healthcare Services, Inc. (collectively, "UHC") and Humana Inc. ("Humana") in the United States District Court for the Southern District of New York on December 17, 2020 and July 22, 2021, respectively; and by Blue Cross and Blue Shield of Massachusetts, Inc. and Blue Cross and Blue Shield of Massachusetts HMO Blue, Inc. (collectively, "BCBS"), Medical Mutual of Ohio ("MMO"), Horizon Healthcare Services, Inc. d/b/a Horizon Blue Cross Blue Shield of New Jersey ("Horizon"), and Local 464A United Food and Commercial Workers Union Welfare Service Benefit Fund ("Local 464A") in the U.S. District Court for the District of Massachusetts on December 20, 2021, February 23, 2022, April 4, 2022, and June 17, 2022, respectively. These lawsuits allege causes of action under state law and the federal Racketeer Influenced and Corrupt Organizations Act ("RICO") and seek monetary damages and equitable relief. The MMO and Local 464A lawsuits are putative class action lawsuits. On December 29, 2021, the lawsuits filed by UHC and Humana were stayed by the United States District Court for the Southern District of New York pending resolution of the proceedings before the U.S. District Court for the District of Massachusetts concerning the allegations in the June 2020 Civil Complaint. On September 27, 2022, the lawsuits filed by BCBS, MMO, and Horizon were stayed by the U.S. District Court for the District of Massachusetts pending resolution of the proceedings before the same court concerning the allegations in the June 2020 Civil Complaint; and, in light of these stays, the parties to the Local 464A action have also agreed to stay that matter.</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24, 2024, a group of plaintiffs purporting to be assignees of claims by various Medicare Advantage plans and related entities filed a putative class action complaint in the U.S. District Court for the District of Columbia on behalf of Medicare Advantage plans and other payors. The lawsuit relates to the conduct alleged in the June 2020 Civil Complaint, March 2024 Civil Complaint, and June 2024 Civil Complaint discussed under "Department of Justice Matters" above. The lawsuit alleges causes of action under state law and RICO and seeks monetary damages and equitable relief. On October 22, 2024, the Company filed a motion to transfer the proceedings to the U.S. District Court for the District of Massachusetts or, in the alternative, to stay the proceedings or dismiss the proceedings. On January 28, 2025, pursuant to a stipulation among the parties, the proceedings were transferred to the U.S. District Court for the District of Massachusetts.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Shareholder Derivative Complaint</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29, 2021, an alleged shareholder filed a shareholder derivative complaint in the New York Supreme Court, naming the then-current and certain former members of the Company's board of directors and certain then-current and former executive officers of the Company as defendants and Regeneron as a nominal defendant. The complaint asserts that the individual defendants breached their fiduciary duties in relation to the allegations in the June 2020 Civil Complaint discussed under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23, 2021, the plaintiff moved to remand the case to the New York Supreme Court. Also on September 23, 2021, the individual defendants moved to dismiss the complaint in its entirety. On December 19, 2022, the U.S. District Court for the Southern District of New York denied the plaintiff's motion to remand the case and granted a motion to stay the case pending resolution of the proceedings before the U.S. District Court for the District of Massachusetts concerning the allegations in the June 2020 Civil Complaint. As a result of the stay, the court also terminated the Company's motion to dismiss the complaint without prejudice. The Company can therefore renew the motion to dismiss upon conclusion of the stay.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 Civil Complaint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7, 2025, a purported shareholder filed a putative class action civil complaint, on behalf of himself and all others similarly situated, in the U.S. District Court for the Southern District of New York against the Company and certain current and former executive officers of the Company. The complaint asserts violations of federal securities laws in connection with statements or disclosures purportedly related to the conduct alleged in the March 2024 Civil Complaint discussed under "Department of Justice Matters" above.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Shareholder Derivative Complaints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16 and January 22, 2025, purported shareholders filed two separate shareholder derivative complaints in the U.S. District Court for the Southern District of New York against members of the Company's board of directors and certain current and former executive officers of the Company as defendants and Regeneron as a nominal defendant. The complaints each allege that the individual defendants, among other things, breached their fiduciary duties to the Company by failing to properly manage and oversee the Company in connection with the conduct alleged in the March 2024 Civil Complaint discussed under "Department of Justice Matters" above. The complaints also each allege that the individual defendants breached the federal securities laws, wasted corporate assets, and unjustly enriched themselves at the expense of the Company. The complaints each seek, among other things, an award of damages allegedly sustained by the Company as a result of the alleged misconduct of the individual defendants; an order requiring the individual defendants to take all necessary actions to reform and improve the Company’s corporate governance and internal procedures; and costs and disbursements of the applicable action, including attorneys' fees.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Litigation</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18, 2024, the Company filed a lawsuit (as amended on December 20, 2024) in the United States District Court for the Southern District of New York against Sanofi and certain of its affiliated entities. The lawsuit alleges that the defendants breached certain provisions of the parties' Amended and Restated License and Collaboration Agreement, dated as of November 10, 2009 (as amended, the "Collaboration Agreement"), concerning Sanofi's obligation to provide Regeneron with full access to material information relating to the commercialization of Dupixent or other products commercialized pursuant to the Collaboration Agreement and Regeneron's audit rights under the Collaboration Agreement. The lawsuit seeks a declaratory judgment, injunctive relief, damages, and other relief.</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17. Net Income Per Share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calculations of basic and diluted net income per share are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05"/>
        </w:trPr>
        <w:tc>
          <w:tcPr>
            <w:tcW w:w="1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r>
      <w:tr>
        <w:trPr>
          <w:trHeight w:val="223"/>
        </w:trPr>
        <w:tc>
          <w:tcPr>
            <w:tcW w:w="1300" w:type="dxa"/>
            <w:vAlign w:val="bottom"/>
          </w:tcPr>
          <w:p>
            <w:pPr>
              <w:spacing w:after="0"/>
              <w:rPr>
                <w:sz w:val="19"/>
                <w:szCs w:val="19"/>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130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r>
      <w:tr>
        <w:trPr>
          <w:trHeight w:val="270"/>
        </w:trPr>
        <w:tc>
          <w:tcPr>
            <w:tcW w:w="13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9"/>
        </w:trPr>
        <w:tc>
          <w:tcPr>
            <w:tcW w:w="130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30"/>
        </w:trPr>
        <w:tc>
          <w:tcPr>
            <w:tcW w:w="13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1300" w:type="dxa"/>
            <w:vAlign w:val="bottom"/>
          </w:tcPr>
          <w:p>
            <w:pPr>
              <w:spacing w:after="0"/>
              <w:rPr>
                <w:sz w:val="19"/>
                <w:szCs w:val="19"/>
                <w:color w:val="auto"/>
              </w:rPr>
            </w:pPr>
          </w:p>
        </w:tc>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130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0"/>
        </w:trPr>
        <w:tc>
          <w:tcPr>
            <w:tcW w:w="130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130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29"/>
        </w:trPr>
        <w:tc>
          <w:tcPr>
            <w:tcW w:w="130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r>
      <w:tr>
        <w:trPr>
          <w:trHeight w:val="234"/>
        </w:trPr>
        <w:tc>
          <w:tcPr>
            <w:tcW w:w="130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194" w:lineRule="exact"/>
        <w:rPr>
          <w:sz w:val="20"/>
          <w:szCs w:val="20"/>
          <w:color w:val="auto"/>
        </w:rPr>
      </w:pPr>
    </w:p>
    <w:tbl>
      <w:tblPr>
        <w:tblLayout w:type="fixed"/>
        <w:tblInd w:w="176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3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Statement of Cash Flows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Consolidated Balance Sheets to the total of the same such amounts shown in the Consolidated Statements of Cash Flows:</w:t>
      </w:r>
    </w:p>
    <w:p>
      <w:pPr>
        <w:spacing w:after="0" w:line="212" w:lineRule="exact"/>
        <w:rPr>
          <w:sz w:val="20"/>
          <w:szCs w:val="20"/>
          <w:color w:val="auto"/>
        </w:rPr>
      </w:pPr>
    </w:p>
    <w:tbl>
      <w:tblPr>
        <w:tblLayout w:type="fixed"/>
        <w:tblInd w:w="178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3,105.9</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64"/>
        </w:trPr>
        <w:tc>
          <w:tcPr>
            <w:tcW w:w="392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shown in the Consolidated Statements of Cash</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2,737.8</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3,119.4</w:t>
            </w:r>
          </w:p>
        </w:tc>
        <w:tc>
          <w:tcPr>
            <w:tcW w:w="0" w:type="dxa"/>
            <w:vAlign w:val="bottom"/>
          </w:tcPr>
          <w:p>
            <w:pPr>
              <w:spacing w:after="0"/>
              <w:rPr>
                <w:sz w:val="1"/>
                <w:szCs w:val="1"/>
                <w:color w:val="auto"/>
              </w:rPr>
            </w:pPr>
          </w:p>
        </w:tc>
      </w:tr>
      <w:tr>
        <w:trPr>
          <w:trHeight w:val="208"/>
        </w:trPr>
        <w:tc>
          <w:tcPr>
            <w:tcW w:w="39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Flows</w:t>
            </w:r>
          </w:p>
        </w:tc>
        <w:tc>
          <w:tcPr>
            <w:tcW w:w="2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of amounts held by financial institutions pursuant to contractual arrangements.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disclosure of non-cash investing and financing activities</w:t>
      </w:r>
    </w:p>
    <w:p>
      <w:pPr>
        <w:spacing w:after="0" w:line="196"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175"/>
        </w:trPr>
        <w:tc>
          <w:tcPr>
            <w:tcW w:w="3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contingent consideration in</w:t>
            </w: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connection with acquisitions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369"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5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97"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8"/>
          <w:szCs w:val="18"/>
          <w:color w:val="auto"/>
        </w:rPr>
        <w:t>The following is a description of the common stock, par value $0.001 per share (the “Common Stock”), of Regeneron Pharmaceuticals, Inc. (the “Company”) which is the only security of the Company registered pursuant to Section 12 of the Securities Exchange Act of 1934, as amended (the “Exchange Act”). The following also contains a description of the Class A Stock, par value $0.001 per share (the “Class A Stock”; Common Stock and Class A Stock are referred to herein, collectively, as the “Common Shares”), of the Company, which is not registered pursuant to Section 12 of the Exchange Act but is convertible into shares of Common Stock at any time at the option of the holder. The description of the Class A Stock is necessary to understand the material terms of the Common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8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The Company is authorized to issue 320,000,000 shares of Common Stock, par value $0.001 per share, and 40,000,000 shares of Class A Stock, par value $0.001 per share. The following description summarizes selected information regarding the Common Stock and the Class A Stock, as well as relevant provisions of: (i) the Company’s Restated Certificate of Incorporation, as amended, as currently in effect (the “Articles”), (ii) the Company’s Amended and Restated By-Laws, as amended, as currently in effect (the “By-Laws”), and (iii) the New York Business Corporation Law (the “NYBCL”). The following summary description of the Common Stock and the Class A Stock is qualified in its entirety by, and should be read in conjunction with, the Articles and the By-Laws, copies of which have been filed as exhibits to the Company’s periodic reports under the Exchange Act, and the applicable provisions of the NYBCL.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Class A Stock</w:t>
      </w:r>
    </w:p>
    <w:p>
      <w:pPr>
        <w:spacing w:after="0" w:line="295" w:lineRule="exact"/>
        <w:rPr>
          <w:sz w:val="20"/>
          <w:szCs w:val="20"/>
          <w:color w:val="auto"/>
        </w:rPr>
      </w:pPr>
    </w:p>
    <w:p>
      <w:pPr>
        <w:ind w:right="140"/>
        <w:spacing w:after="0" w:line="315"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rights of holders of Common Stock and holders of Class A Stock are identical except for voting rights, conversion rights, and restrictions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transferability.</w:t>
      </w:r>
    </w:p>
    <w:p>
      <w:pPr>
        <w:spacing w:after="0" w:line="199"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Common Stock are entitled to one vote per share and the holders of Class A Stock are entitled to ten votes per share.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otherwise expressly provided by law, holders of Common Shares have exclusive voting rights on all matters requiring a vote of shareholders. Except as provided by law, the holders of Common Stock and the holders of Class A Stock will vote together as a single class on all matters presented to the shareholders for their vote or approval, including the election of directors. Shareholders are not entitled to vote cumulatively for the election of directors and no class of outstanding Common Shares acting alone is entitled to elect any directors.</w:t>
      </w:r>
    </w:p>
    <w:p>
      <w:pPr>
        <w:spacing w:after="0" w:line="20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i w:val="1"/>
          <w:iCs w:val="1"/>
          <w:color w:val="auto"/>
        </w:rPr>
        <w:t>Dividends and Liquidation</w:t>
      </w:r>
      <w:r>
        <w:rPr>
          <w:rFonts w:ascii="Times New Roman" w:cs="Times New Roman" w:eastAsia="Times New Roman" w:hAnsi="Times New Roman"/>
          <w:sz w:val="18"/>
          <w:szCs w:val="18"/>
          <w:color w:val="auto"/>
        </w:rPr>
        <w:t>. Except as described in this paragraph, holders of Common Stock and holders of Class A Stock have an equal right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when and if declared by the Company’s board of directors out of funds legally available therefor. If a dividend or distribution payable in Class A Stock is made on the Class A Stock, the Company must also make a pro rata and simultaneous dividend or distribution on the Common Stock payable in shares of Common Stock. Conversely, if a dividend or distribution payable in Common Stock is made on the Common Stock, the Company must also make a pro rata and simultaneous dividend or distribution on the Class A Stock payable in shares of Class A Stock. In the event of the Company’s liquidation, dissolution, or winding up, holders of Common Stock and Class A Stock are entitled to share equally, share-for-share, in the assets available for distribution after payment of all creditors and the liquidation preferences of any preferred stock.</w:t>
      </w:r>
    </w:p>
    <w:p>
      <w:pPr>
        <w:sectPr>
          <w:pgSz w:w="11900" w:h="16838" w:orient="portrait"/>
          <w:cols w:equalWidth="0" w:num="1">
            <w:col w:w="11240"/>
          </w:cols>
          <w:pgMar w:left="320" w:top="108" w:right="339" w:bottom="1440" w:gutter="0" w:footer="0" w:header="0"/>
        </w:sectPr>
      </w:pPr>
    </w:p>
    <w:bookmarkStart w:id="136" w:name="page137"/>
    <w:bookmarkEnd w:id="136"/>
    <w:p>
      <w:pPr>
        <w:ind w:right="60"/>
        <w:spacing w:after="0" w:line="303" w:lineRule="auto"/>
        <w:rPr>
          <w:sz w:val="20"/>
          <w:szCs w:val="20"/>
          <w:color w:val="auto"/>
        </w:rPr>
      </w:pPr>
      <w:r>
        <w:rPr>
          <w:rFonts w:ascii="Times New Roman" w:cs="Times New Roman" w:eastAsia="Times New Roman" w:hAnsi="Times New Roman"/>
          <w:sz w:val="18"/>
          <w:szCs w:val="18"/>
          <w:i w:val="1"/>
          <w:iCs w:val="1"/>
          <w:color w:val="auto"/>
        </w:rPr>
        <w:t>Optional Conversion Rights</w:t>
      </w:r>
      <w:r>
        <w:rPr>
          <w:rFonts w:ascii="Times New Roman" w:cs="Times New Roman" w:eastAsia="Times New Roman" w:hAnsi="Times New Roman"/>
          <w:sz w:val="18"/>
          <w:szCs w:val="18"/>
          <w:color w:val="auto"/>
        </w:rPr>
        <w:t>. Each share of Class A Stock may, at any time and at the option of the holder, be converted into one fully paid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nonassessable share of Common Stock. Upon conversion, such shares of Common Stock would not be subject to restrictions on transfer that applied to the shares of Class A Stock prior to conversion except to the extent such restrictions are imposed under applicable securities laws. The shares of Common Stock are not convertible into or exchangeable for shares of Class A Stock or any other of the Company’s shares or securities.</w:t>
      </w:r>
    </w:p>
    <w:p>
      <w:pPr>
        <w:spacing w:after="0" w:line="197" w:lineRule="exact"/>
        <w:rPr>
          <w:sz w:val="20"/>
          <w:szCs w:val="20"/>
          <w:color w:val="auto"/>
        </w:rPr>
      </w:pPr>
    </w:p>
    <w:p>
      <w:pPr>
        <w:ind w:right="40"/>
        <w:spacing w:after="0" w:line="306" w:lineRule="auto"/>
        <w:rPr>
          <w:sz w:val="20"/>
          <w:szCs w:val="20"/>
          <w:color w:val="auto"/>
        </w:rPr>
      </w:pPr>
      <w:r>
        <w:rPr>
          <w:rFonts w:ascii="Times New Roman" w:cs="Times New Roman" w:eastAsia="Times New Roman" w:hAnsi="Times New Roman"/>
          <w:sz w:val="18"/>
          <w:szCs w:val="18"/>
          <w:i w:val="1"/>
          <w:iCs w:val="1"/>
          <w:color w:val="auto"/>
        </w:rPr>
        <w:t>Other Provisions</w:t>
      </w:r>
      <w:r>
        <w:rPr>
          <w:rFonts w:ascii="Times New Roman" w:cs="Times New Roman" w:eastAsia="Times New Roman" w:hAnsi="Times New Roman"/>
          <w:sz w:val="18"/>
          <w:szCs w:val="18"/>
          <w:color w:val="auto"/>
        </w:rPr>
        <w:t>. Holders of Common Stock and holders of Class A Stock have no preemptive rights to subscribe for any additional securities of any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Company may issue and there are no redemption provisions or sinking fund provisions applicable to either such class, nor are the shares of Common Stock or Class A Stock subject to calls or assessments.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The Class A Stock is subject to certain limitations on transfer that do not apply to the Common Stock.</w:t>
      </w:r>
    </w:p>
    <w:p>
      <w:pPr>
        <w:spacing w:after="0" w:line="279" w:lineRule="exact"/>
        <w:rPr>
          <w:sz w:val="20"/>
          <w:szCs w:val="20"/>
          <w:color w:val="auto"/>
        </w:rPr>
      </w:pPr>
    </w:p>
    <w:p>
      <w:pPr>
        <w:ind w:right="460"/>
        <w:spacing w:after="0" w:line="331" w:lineRule="auto"/>
        <w:rPr>
          <w:sz w:val="20"/>
          <w:szCs w:val="20"/>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Common Stock is listed on The Nasdaq Global Select Market under the symbol “REGN.” The Class A Stock is not listed on a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the Common Stock is Equiniti Trust Company, LLC.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the Articles, the By-Laws and the NYBCL</w:t>
      </w:r>
    </w:p>
    <w:p>
      <w:pPr>
        <w:spacing w:after="0" w:line="28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Under certain circumstances, certain provisions of the Company’s Articles, the Company’s By-Laws, and certain provisions of the NYBCL could have the effect of delaying or preventing a change in control of the Company or the Company’s management that shareholders may consider favorable or beneficial. Some of these provisions could discourage proxy contests and make it more difficult for shareholders to elect directors and take other corporate 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could also limit the price that investors might be willing to pay in the future for shares of the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the Articles and the By-Laws provide:</w:t>
      </w:r>
    </w:p>
    <w:p>
      <w:pPr>
        <w:spacing w:after="0" w:line="252" w:lineRule="exact"/>
        <w:rPr>
          <w:sz w:val="20"/>
          <w:szCs w:val="20"/>
          <w:color w:val="auto"/>
        </w:rPr>
      </w:pPr>
    </w:p>
    <w:p>
      <w:pPr>
        <w:ind w:left="540" w:right="500" w:hanging="307"/>
        <w:spacing w:after="0" w:line="32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the Common Stock and Class A Stock;</w:t>
      </w:r>
    </w:p>
    <w:p>
      <w:pPr>
        <w:spacing w:after="0" w:line="1" w:lineRule="exact"/>
        <w:rPr>
          <w:rFonts w:ascii="Times New Roman" w:cs="Times New Roman" w:eastAsia="Times New Roman" w:hAnsi="Times New Roman"/>
          <w:sz w:val="18"/>
          <w:szCs w:val="18"/>
          <w:color w:val="auto"/>
        </w:rPr>
      </w:pPr>
    </w:p>
    <w:p>
      <w:pPr>
        <w:ind w:left="540" w:hanging="307"/>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shareholder meetings to replace all of the Company’s directors;</w:t>
      </w:r>
    </w:p>
    <w:p>
      <w:pPr>
        <w:spacing w:after="0" w:line="103" w:lineRule="exact"/>
        <w:rPr>
          <w:rFonts w:ascii="Times New Roman" w:cs="Times New Roman" w:eastAsia="Times New Roman" w:hAnsi="Times New Roman"/>
          <w:sz w:val="18"/>
          <w:szCs w:val="18"/>
          <w:color w:val="auto"/>
        </w:rPr>
      </w:pPr>
    </w:p>
    <w:p>
      <w:pPr>
        <w:ind w:left="540" w:hanging="307"/>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w:t>
      </w:r>
    </w:p>
    <w:p>
      <w:pPr>
        <w:spacing w:after="0" w:line="49" w:lineRule="exact"/>
        <w:rPr>
          <w:rFonts w:ascii="Times New Roman" w:cs="Times New Roman" w:eastAsia="Times New Roman" w:hAnsi="Times New Roman"/>
          <w:sz w:val="18"/>
          <w:szCs w:val="18"/>
          <w:color w:val="auto"/>
        </w:rPr>
      </w:pPr>
    </w:p>
    <w:p>
      <w:pPr>
        <w:ind w:left="540" w:right="5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entitled to vote for directors, as well as a requirement that any vacancy on the board of directors may be filled only by the remaining directors;</w:t>
      </w:r>
    </w:p>
    <w:p>
      <w:pPr>
        <w:spacing w:after="0" w:line="13" w:lineRule="exact"/>
        <w:rPr>
          <w:rFonts w:ascii="Times New Roman" w:cs="Times New Roman" w:eastAsia="Times New Roman" w:hAnsi="Times New Roman"/>
          <w:sz w:val="18"/>
          <w:szCs w:val="18"/>
          <w:color w:val="auto"/>
        </w:rPr>
      </w:pPr>
    </w:p>
    <w:p>
      <w:pPr>
        <w:ind w:left="540" w:hanging="307"/>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whereby any action required or permitted to be taken at any meeting of shareholders may be taken without a meeting, only if, prior</w:t>
      </w:r>
    </w:p>
    <w:p>
      <w:pPr>
        <w:spacing w:after="0" w:line="49" w:lineRule="exact"/>
        <w:rPr>
          <w:rFonts w:ascii="Times New Roman" w:cs="Times New Roman" w:eastAsia="Times New Roman" w:hAnsi="Times New Roman"/>
          <w:sz w:val="18"/>
          <w:szCs w:val="18"/>
          <w:color w:val="auto"/>
        </w:rPr>
      </w:pPr>
    </w:p>
    <w:p>
      <w:pPr>
        <w:ind w:left="540" w:right="4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action, all of the Company’s shareholders consent, the effect of which is to require that shareholder action may only be taken at a duly convened meeting; and</w:t>
      </w:r>
    </w:p>
    <w:p>
      <w:pPr>
        <w:spacing w:after="0" w:line="13" w:lineRule="exact"/>
        <w:rPr>
          <w:rFonts w:ascii="Times New Roman" w:cs="Times New Roman" w:eastAsia="Times New Roman" w:hAnsi="Times New Roman"/>
          <w:sz w:val="18"/>
          <w:szCs w:val="18"/>
          <w:color w:val="auto"/>
        </w:rPr>
      </w:pPr>
    </w:p>
    <w:p>
      <w:pPr>
        <w:ind w:left="540" w:right="800" w:hanging="307"/>
        <w:spacing w:after="0" w:line="329"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the NYBCL, in addition to certain restrictions which may apply to “business combinations” involving the Company and an “interested shareholder,” a plan of merger or consolidation of the Company must be approved by two-thirds of the votes of all outstanding shares entitled to vote thereon.</w:t>
      </w:r>
    </w:p>
    <w:p>
      <w:pPr>
        <w:sectPr>
          <w:pgSz w:w="11900" w:h="16838" w:orient="portrait"/>
          <w:cols w:equalWidth="0" w:num="1">
            <w:col w:w="11200"/>
          </w:cols>
          <w:pgMar w:left="320" w:top="1024" w:right="37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color w:val="auto"/>
        </w:rPr>
        <w:t>Exhibit 10.8.1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22"/>
          <w:szCs w:val="22"/>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RESTATED AMENDMENT AGREEMENT</w:t>
      </w:r>
    </w:p>
    <w:p>
      <w:pPr>
        <w:spacing w:after="0" w:line="224" w:lineRule="exact"/>
        <w:rPr>
          <w:sz w:val="20"/>
          <w:szCs w:val="20"/>
          <w:color w:val="auto"/>
        </w:rPr>
      </w:pPr>
    </w:p>
    <w:p>
      <w:pPr>
        <w:ind w:right="440" w:firstLine="648"/>
        <w:spacing w:after="0" w:line="268" w:lineRule="auto"/>
        <w:rPr>
          <w:sz w:val="20"/>
          <w:szCs w:val="20"/>
          <w:color w:val="auto"/>
        </w:rPr>
      </w:pPr>
      <w:r>
        <w:rPr>
          <w:rFonts w:ascii="Times New Roman" w:cs="Times New Roman" w:eastAsia="Times New Roman" w:hAnsi="Times New Roman"/>
          <w:sz w:val="21"/>
          <w:szCs w:val="21"/>
          <w:color w:val="auto"/>
        </w:rPr>
        <w:t>This Amendment Agreement (this “Amendment Agreement”) dated as of May 7, 2012, is by and between Regeneron Pharmaceuticals, Inc., a corporation organized and existing under the laws of the State of New York and having its principal office at 777 Old Saw Mill River Road, Tarrytown, New York 10591 (“Regeneron”), and Bayer Healthcare LLC, a limited liability company having a principal place of business at 511 Benedict Avenue, Tarrytown, NY 10591 (“Company”).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51" w:lineRule="exact"/>
        <w:rPr>
          <w:sz w:val="20"/>
          <w:szCs w:val="20"/>
          <w:color w:val="auto"/>
        </w:rPr>
      </w:pPr>
    </w:p>
    <w:p>
      <w:pPr>
        <w:ind w:right="240" w:firstLine="212"/>
        <w:spacing w:after="0" w:line="271" w:lineRule="auto"/>
        <w:rPr>
          <w:sz w:val="20"/>
          <w:szCs w:val="20"/>
          <w:color w:val="auto"/>
        </w:rPr>
      </w:pPr>
      <w:r>
        <w:rPr>
          <w:rFonts w:ascii="Times New Roman" w:cs="Times New Roman" w:eastAsia="Times New Roman" w:hAnsi="Times New Roman"/>
          <w:sz w:val="22"/>
          <w:szCs w:val="22"/>
          <w:color w:val="auto"/>
        </w:rPr>
        <w:t>WHEREAS, Regeneron and BHC are Parties to a License and Collaboration Agreement, having an effective date of October 18, 2006, as amended on May 7, 2012 (the “LCA”); and</w:t>
      </w:r>
    </w:p>
    <w:p>
      <w:pPr>
        <w:spacing w:after="0" w:line="185" w:lineRule="exact"/>
        <w:rPr>
          <w:sz w:val="20"/>
          <w:szCs w:val="20"/>
          <w:color w:val="auto"/>
        </w:rPr>
      </w:pPr>
    </w:p>
    <w:p>
      <w:pPr>
        <w:ind w:right="60" w:firstLine="212"/>
        <w:spacing w:after="0" w:line="253" w:lineRule="auto"/>
        <w:rPr>
          <w:sz w:val="20"/>
          <w:szCs w:val="20"/>
          <w:color w:val="auto"/>
        </w:rPr>
      </w:pPr>
      <w:r>
        <w:rPr>
          <w:rFonts w:ascii="Times New Roman" w:cs="Times New Roman" w:eastAsia="Times New Roman" w:hAnsi="Times New Roman"/>
          <w:sz w:val="22"/>
          <w:szCs w:val="22"/>
          <w:color w:val="auto"/>
        </w:rPr>
        <w:t>WHEREAS, Regeneron and BHC have mutually determined that, during the term of the Co-Promotion and Distribution Agreement, by and between Bayer Yakuhin, Ltd. (“BYL”), an Affiliate of BHC, and Santen Pharmaceutical Co., Ltd. (“Santen”), dated of even date herewith (the “Santen Co-Promotion Agreement”) which is being executed and delivered concurrently with the execution and delivery of this Amendment, Licensed Products will be Commercialized in Japan pursuant to the Santen Co-Promotion Agreement.</w:t>
      </w:r>
    </w:p>
    <w:p>
      <w:pPr>
        <w:spacing w:after="0" w:line="20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WHEREAS, in connection with, and as a condition to Regeneron consenting to the Commercialization of Licensed Products in Japan pursuant to, the Santen Co-Promotion Agreement, this Amendment Agreement is being entered into to amend and supplement the LCA to (a) convert the financial arrangements with respect to the Commercialization of Licensed Products in Japan from a profit split as provided in the LCA to a purchase price adjustment payable by Bayer to Regeneron (subject to reversion to a profit split under certain circumstances), and (b) reflect the agreements among Company, BYL and Regeneron regarding the Commercialization of Licensed Products in Japan , including, in particular, the financial, governance and reporting provisions of the LCA with respect to Japan.</w:t>
      </w:r>
    </w:p>
    <w:p>
      <w:pPr>
        <w:spacing w:after="0" w:line="207" w:lineRule="exact"/>
        <w:rPr>
          <w:sz w:val="20"/>
          <w:szCs w:val="20"/>
          <w:color w:val="auto"/>
        </w:rPr>
      </w:pPr>
    </w:p>
    <w:p>
      <w:pPr>
        <w:ind w:right="40" w:firstLine="216"/>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foregoing, and the mutual promises and obligations set forth herein, and for other good and valuable consideration, the receipt and sufficiency of which are hereby acknowledged, the Parties, intending to be legally bound, hereby agree as follows:</w:t>
      </w:r>
    </w:p>
    <w:p>
      <w:pPr>
        <w:spacing w:after="0" w:line="163" w:lineRule="exact"/>
        <w:rPr>
          <w:sz w:val="20"/>
          <w:szCs w:val="20"/>
          <w:color w:val="auto"/>
        </w:rPr>
      </w:pPr>
    </w:p>
    <w:p>
      <w:pPr>
        <w:ind w:left="660" w:right="60" w:hanging="328"/>
        <w:spacing w:after="0" w:line="259" w:lineRule="auto"/>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Existing Definitions. </w:t>
      </w:r>
      <w:r>
        <w:rPr>
          <w:rFonts w:ascii="Times New Roman" w:cs="Times New Roman" w:eastAsia="Times New Roman" w:hAnsi="Times New Roman"/>
          <w:sz w:val="22"/>
          <w:szCs w:val="22"/>
          <w:color w:val="auto"/>
        </w:rPr>
        <w:t>Capitalized terms used in this Amendment Agreement which are not defined herein and are defined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LCA shall have the meanings ascribed to them in the LCA. Capitalized terms used in this Amendment Agreement which are not defined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8" w:right="339" w:bottom="1440" w:gutter="0" w:footer="0" w:header="0"/>
        </w:sectPr>
      </w:pPr>
    </w:p>
    <w:bookmarkStart w:id="138" w:name="page139"/>
    <w:bookmarkEnd w:id="138"/>
    <w:p>
      <w:pPr>
        <w:spacing w:after="0" w:line="198" w:lineRule="exact"/>
        <w:rPr>
          <w:sz w:val="20"/>
          <w:szCs w:val="20"/>
          <w:color w:val="auto"/>
        </w:rPr>
      </w:pPr>
    </w:p>
    <w:p>
      <w:pPr>
        <w:ind w:left="328" w:right="200"/>
        <w:spacing w:after="0" w:line="271" w:lineRule="auto"/>
        <w:rPr>
          <w:sz w:val="20"/>
          <w:szCs w:val="20"/>
          <w:color w:val="auto"/>
        </w:rPr>
      </w:pPr>
      <w:r>
        <w:rPr>
          <w:rFonts w:ascii="Times New Roman" w:cs="Times New Roman" w:eastAsia="Times New Roman" w:hAnsi="Times New Roman"/>
          <w:sz w:val="22"/>
          <w:szCs w:val="22"/>
          <w:color w:val="auto"/>
        </w:rPr>
        <w:t>herein and are not defined in the LCA shall have the meanings ascribed to them in the Santen Co-Promotion Agreement and such definitions are hereby deemed incorporated by reference into Article I of the LCA.</w:t>
      </w:r>
    </w:p>
    <w:p>
      <w:pPr>
        <w:spacing w:after="0" w:line="154" w:lineRule="exact"/>
        <w:rPr>
          <w:sz w:val="20"/>
          <w:szCs w:val="20"/>
          <w:color w:val="auto"/>
        </w:rPr>
      </w:pPr>
    </w:p>
    <w:p>
      <w:pPr>
        <w:ind w:left="328" w:hanging="328"/>
        <w:spacing w:after="0"/>
        <w:tabs>
          <w:tab w:leader="none" w:pos="32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New Definitions. </w:t>
      </w:r>
      <w:r>
        <w:rPr>
          <w:rFonts w:ascii="Times New Roman" w:cs="Times New Roman" w:eastAsia="Times New Roman" w:hAnsi="Times New Roman"/>
          <w:sz w:val="22"/>
          <w:szCs w:val="22"/>
          <w:color w:val="auto"/>
        </w:rPr>
        <w:t>Article 1 of the LCA is hereby amended to add the following definitions:</w:t>
      </w:r>
    </w:p>
    <w:p>
      <w:pPr>
        <w:spacing w:after="0" w:line="210" w:lineRule="exact"/>
        <w:rPr>
          <w:rFonts w:ascii="Times New Roman" w:cs="Times New Roman" w:eastAsia="Times New Roman" w:hAnsi="Times New Roman"/>
          <w:sz w:val="22"/>
          <w:szCs w:val="22"/>
          <w:color w:val="auto"/>
        </w:rPr>
      </w:pPr>
    </w:p>
    <w:p>
      <w:pPr>
        <w:ind w:left="968" w:hanging="644"/>
        <w:spacing w:after="0"/>
        <w:tabs>
          <w:tab w:leader="none" w:pos="968"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shall mean [****].</w:t>
      </w:r>
    </w:p>
    <w:p>
      <w:pPr>
        <w:spacing w:after="0" w:line="179" w:lineRule="exact"/>
        <w:rPr>
          <w:rFonts w:ascii="Times New Roman" w:cs="Times New Roman" w:eastAsia="Times New Roman" w:hAnsi="Times New Roman"/>
          <w:sz w:val="22"/>
          <w:szCs w:val="22"/>
          <w:color w:val="auto"/>
        </w:rPr>
      </w:pPr>
    </w:p>
    <w:p>
      <w:pPr>
        <w:ind w:left="968" w:hanging="644"/>
        <w:spacing w:after="0"/>
        <w:tabs>
          <w:tab w:leader="none" w:pos="968"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Agreement</w:t>
      </w:r>
      <w:r>
        <w:rPr>
          <w:rFonts w:ascii="Times New Roman" w:cs="Times New Roman" w:eastAsia="Times New Roman" w:hAnsi="Times New Roman"/>
          <w:sz w:val="22"/>
          <w:szCs w:val="22"/>
          <w:color w:val="auto"/>
        </w:rPr>
        <w:t>” shall mean this Amendment Agreement, as it may be amended from time to time.</w:t>
      </w:r>
    </w:p>
    <w:p>
      <w:pPr>
        <w:spacing w:after="0" w:line="179" w:lineRule="exact"/>
        <w:rPr>
          <w:rFonts w:ascii="Times New Roman" w:cs="Times New Roman" w:eastAsia="Times New Roman" w:hAnsi="Times New Roman"/>
          <w:sz w:val="22"/>
          <w:szCs w:val="22"/>
          <w:color w:val="auto"/>
        </w:rPr>
      </w:pPr>
    </w:p>
    <w:p>
      <w:pPr>
        <w:ind w:left="968" w:right="100" w:hanging="644"/>
        <w:spacing w:after="0" w:line="236" w:lineRule="auto"/>
        <w:tabs>
          <w:tab w:leader="none" w:pos="965"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Bayer Market Net Sales</w:t>
      </w:r>
      <w:r>
        <w:rPr>
          <w:rFonts w:ascii="Times New Roman" w:cs="Times New Roman" w:eastAsia="Times New Roman" w:hAnsi="Times New Roman"/>
          <w:sz w:val="22"/>
          <w:szCs w:val="22"/>
          <w:color w:val="auto"/>
        </w:rPr>
        <w:t>” shall mean Net Sales in Japan calculated in accordance with the definition of Net Sales set forth in Article I of the LCA.</w:t>
      </w:r>
    </w:p>
    <w:p>
      <w:pPr>
        <w:spacing w:after="0" w:line="150" w:lineRule="exact"/>
        <w:rPr>
          <w:rFonts w:ascii="Times New Roman" w:cs="Times New Roman" w:eastAsia="Times New Roman" w:hAnsi="Times New Roman"/>
          <w:sz w:val="22"/>
          <w:szCs w:val="22"/>
          <w:color w:val="auto"/>
        </w:rPr>
      </w:pPr>
    </w:p>
    <w:p>
      <w:pPr>
        <w:ind w:left="968" w:right="200" w:hanging="644"/>
        <w:spacing w:after="0" w:line="236" w:lineRule="auto"/>
        <w:tabs>
          <w:tab w:leader="none" w:pos="963"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Bayer Sales</w:t>
      </w:r>
      <w:r>
        <w:rPr>
          <w:rFonts w:ascii="Times New Roman" w:cs="Times New Roman" w:eastAsia="Times New Roman" w:hAnsi="Times New Roman"/>
          <w:sz w:val="22"/>
          <w:szCs w:val="22"/>
          <w:color w:val="auto"/>
        </w:rPr>
        <w:t>” shall mean the number of units of Licensed Product sold by Bayer to Santen during the respective Quarter multiplied by [****] and multiplied by [****].</w:t>
      </w:r>
    </w:p>
    <w:p>
      <w:pPr>
        <w:spacing w:after="0" w:line="150" w:lineRule="exact"/>
        <w:rPr>
          <w:rFonts w:ascii="Times New Roman" w:cs="Times New Roman" w:eastAsia="Times New Roman" w:hAnsi="Times New Roman"/>
          <w:sz w:val="22"/>
          <w:szCs w:val="22"/>
          <w:color w:val="auto"/>
        </w:rPr>
      </w:pPr>
    </w:p>
    <w:p>
      <w:pPr>
        <w:ind w:left="968" w:hanging="644"/>
        <w:spacing w:after="0"/>
        <w:tabs>
          <w:tab w:leader="none" w:pos="968"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BYL</w:t>
      </w:r>
      <w:r>
        <w:rPr>
          <w:rFonts w:ascii="Times New Roman" w:cs="Times New Roman" w:eastAsia="Times New Roman" w:hAnsi="Times New Roman"/>
          <w:sz w:val="22"/>
          <w:szCs w:val="22"/>
          <w:color w:val="auto"/>
        </w:rPr>
        <w:t>” shall mean Bayer Yakuhin Ltd., an Affiliate of Company.</w:t>
      </w:r>
    </w:p>
    <w:p>
      <w:pPr>
        <w:spacing w:after="0" w:line="179" w:lineRule="exact"/>
        <w:rPr>
          <w:rFonts w:ascii="Times New Roman" w:cs="Times New Roman" w:eastAsia="Times New Roman" w:hAnsi="Times New Roman"/>
          <w:sz w:val="22"/>
          <w:szCs w:val="22"/>
          <w:color w:val="auto"/>
        </w:rPr>
      </w:pPr>
    </w:p>
    <w:p>
      <w:pPr>
        <w:ind w:left="968" w:hanging="644"/>
        <w:spacing w:after="0"/>
        <w:tabs>
          <w:tab w:leader="none" w:pos="968"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Japan Profit Share</w:t>
      </w:r>
      <w:r>
        <w:rPr>
          <w:rFonts w:ascii="Times New Roman" w:cs="Times New Roman" w:eastAsia="Times New Roman" w:hAnsi="Times New Roman"/>
          <w:sz w:val="22"/>
          <w:szCs w:val="22"/>
          <w:color w:val="auto"/>
        </w:rPr>
        <w:t>” shall have the meaning, and shall be calculated as, set forth in Schedule 2, Section I.B.</w:t>
      </w:r>
    </w:p>
    <w:p>
      <w:pPr>
        <w:spacing w:after="0" w:line="179" w:lineRule="exact"/>
        <w:rPr>
          <w:rFonts w:ascii="Times New Roman" w:cs="Times New Roman" w:eastAsia="Times New Roman" w:hAnsi="Times New Roman"/>
          <w:sz w:val="22"/>
          <w:szCs w:val="22"/>
          <w:color w:val="auto"/>
        </w:rPr>
      </w:pPr>
    </w:p>
    <w:p>
      <w:pPr>
        <w:ind w:left="968" w:right="400" w:hanging="644"/>
        <w:spacing w:after="0" w:line="236" w:lineRule="auto"/>
        <w:tabs>
          <w:tab w:leader="none" w:pos="963"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Japan Purchase Price Adjustment</w:t>
      </w:r>
      <w:r>
        <w:rPr>
          <w:rFonts w:ascii="Times New Roman" w:cs="Times New Roman" w:eastAsia="Times New Roman" w:hAnsi="Times New Roman"/>
          <w:sz w:val="22"/>
          <w:szCs w:val="22"/>
          <w:color w:val="auto"/>
        </w:rPr>
        <w:t>” shall have the meaning, and shall be calculated as, set forth in Schedule 2, Section I.A.</w:t>
      </w:r>
    </w:p>
    <w:p>
      <w:pPr>
        <w:spacing w:after="0" w:line="150" w:lineRule="exact"/>
        <w:rPr>
          <w:rFonts w:ascii="Times New Roman" w:cs="Times New Roman" w:eastAsia="Times New Roman" w:hAnsi="Times New Roman"/>
          <w:sz w:val="22"/>
          <w:szCs w:val="22"/>
          <w:color w:val="auto"/>
        </w:rPr>
      </w:pPr>
    </w:p>
    <w:p>
      <w:pPr>
        <w:ind w:left="968" w:hanging="644"/>
        <w:spacing w:after="0"/>
        <w:tabs>
          <w:tab w:leader="none" w:pos="968"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Japan Shared Promotion Expenses</w:t>
      </w:r>
      <w:r>
        <w:rPr>
          <w:rFonts w:ascii="Times New Roman" w:cs="Times New Roman" w:eastAsia="Times New Roman" w:hAnsi="Times New Roman"/>
          <w:sz w:val="22"/>
          <w:szCs w:val="22"/>
          <w:color w:val="auto"/>
        </w:rPr>
        <w:t>” shall have the meaning set forth in Schedule 2, Section I.B.(i).</w:t>
      </w:r>
    </w:p>
    <w:p>
      <w:pPr>
        <w:spacing w:after="0" w:line="179" w:lineRule="exact"/>
        <w:rPr>
          <w:rFonts w:ascii="Times New Roman" w:cs="Times New Roman" w:eastAsia="Times New Roman" w:hAnsi="Times New Roman"/>
          <w:sz w:val="22"/>
          <w:szCs w:val="22"/>
          <w:color w:val="auto"/>
        </w:rPr>
      </w:pPr>
    </w:p>
    <w:p>
      <w:pPr>
        <w:ind w:left="968" w:right="780" w:hanging="644"/>
        <w:spacing w:after="0" w:line="236" w:lineRule="auto"/>
        <w:tabs>
          <w:tab w:leader="none" w:pos="95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Santen</w:t>
      </w:r>
      <w:r>
        <w:rPr>
          <w:rFonts w:ascii="Times New Roman" w:cs="Times New Roman" w:eastAsia="Times New Roman" w:hAnsi="Times New Roman"/>
          <w:sz w:val="22"/>
          <w:szCs w:val="22"/>
          <w:color w:val="auto"/>
        </w:rPr>
        <w:t>” shall mean Santen Pharmaceutical Co., Ltd., a Japanese corporation having its principal place of business at 3-9-19, Shimoshinjo, Higashiyodogawa-ku, Osaka 533-8651, Japan.</w:t>
      </w:r>
    </w:p>
    <w:p>
      <w:pPr>
        <w:spacing w:after="0" w:line="150" w:lineRule="exact"/>
        <w:rPr>
          <w:rFonts w:ascii="Times New Roman" w:cs="Times New Roman" w:eastAsia="Times New Roman" w:hAnsi="Times New Roman"/>
          <w:sz w:val="22"/>
          <w:szCs w:val="22"/>
          <w:color w:val="auto"/>
        </w:rPr>
      </w:pPr>
    </w:p>
    <w:p>
      <w:pPr>
        <w:ind w:left="968" w:right="80" w:hanging="644"/>
        <w:spacing w:after="0" w:line="215" w:lineRule="auto"/>
        <w:tabs>
          <w:tab w:leader="none" w:pos="95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Santen Change of Control</w:t>
      </w:r>
      <w:r>
        <w:rPr>
          <w:rFonts w:ascii="Times New Roman" w:cs="Times New Roman" w:eastAsia="Times New Roman" w:hAnsi="Times New Roman"/>
          <w:sz w:val="22"/>
          <w:szCs w:val="22"/>
          <w:color w:val="auto"/>
        </w:rPr>
        <w:t>” shall mean any of the following events: (a) Company or any of its Affiliates, alone or together, acquire(s) shares of capital stock of Santen representing a majority of the total voting power represented by all classes of capital stock then outstanding of Santen normally entitled to vote in the election of members of the board of directors (or analogous governing body) of Santen; (b) Santen consolidates with or merges with or into Company or any of its Affiliates; or (c) Santen conveys, transfers or leases all or substantially all of its assets to Company or any of its Affiliates.</w:t>
      </w:r>
    </w:p>
    <w:p>
      <w:pPr>
        <w:spacing w:after="0" w:line="152" w:lineRule="exact"/>
        <w:rPr>
          <w:rFonts w:ascii="Times New Roman" w:cs="Times New Roman" w:eastAsia="Times New Roman" w:hAnsi="Times New Roman"/>
          <w:sz w:val="22"/>
          <w:szCs w:val="22"/>
          <w:color w:val="auto"/>
        </w:rPr>
      </w:pPr>
    </w:p>
    <w:p>
      <w:pPr>
        <w:ind w:left="968" w:hanging="644"/>
        <w:spacing w:after="0" w:line="225" w:lineRule="auto"/>
        <w:tabs>
          <w:tab w:leader="none" w:pos="963"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Santen Co-Promotion Agreement</w:t>
      </w:r>
      <w:r>
        <w:rPr>
          <w:rFonts w:ascii="Times New Roman" w:cs="Times New Roman" w:eastAsia="Times New Roman" w:hAnsi="Times New Roman"/>
          <w:sz w:val="22"/>
          <w:szCs w:val="22"/>
          <w:color w:val="auto"/>
        </w:rPr>
        <w:t>” shall mean the Co-Promotion and Distribution Agreement dated of even date herewith by and between BYL and Santen, as amended from time to time in accordance with the terms thereof and with the consent of Regeneron if required pursuant to the Amendment Agreement.</w:t>
      </w:r>
    </w:p>
    <w:p>
      <w:pPr>
        <w:spacing w:after="0" w:line="152" w:lineRule="exact"/>
        <w:rPr>
          <w:rFonts w:ascii="Times New Roman" w:cs="Times New Roman" w:eastAsia="Times New Roman" w:hAnsi="Times New Roman"/>
          <w:sz w:val="22"/>
          <w:szCs w:val="22"/>
          <w:color w:val="auto"/>
        </w:rPr>
      </w:pPr>
    </w:p>
    <w:p>
      <w:pPr>
        <w:ind w:left="968" w:right="220" w:hanging="644"/>
        <w:spacing w:after="0" w:line="236" w:lineRule="auto"/>
        <w:tabs>
          <w:tab w:leader="none" w:pos="95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Santen Market Net Sales</w:t>
      </w:r>
      <w:r>
        <w:rPr>
          <w:rFonts w:ascii="Times New Roman" w:cs="Times New Roman" w:eastAsia="Times New Roman" w:hAnsi="Times New Roman"/>
          <w:sz w:val="22"/>
          <w:szCs w:val="22"/>
          <w:color w:val="auto"/>
        </w:rPr>
        <w:t>” shall mean the number of units of Licensed Product sold by Santen to wholesalers or other Third Parties during the respective Quarter multiplied by [****] and multiplied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888"/>
          </w:cols>
          <w:pgMar w:left="652" w:top="1440" w:right="359" w:bottom="1440" w:gutter="0" w:footer="0" w:header="0"/>
        </w:sectPr>
      </w:pPr>
    </w:p>
    <w:bookmarkStart w:id="139" w:name="page140"/>
    <w:bookmarkEnd w:id="139"/>
    <w:p>
      <w:pPr>
        <w:spacing w:after="0" w:line="194" w:lineRule="exact"/>
        <w:rPr>
          <w:sz w:val="20"/>
          <w:szCs w:val="20"/>
          <w:color w:val="auto"/>
        </w:rPr>
      </w:pPr>
    </w:p>
    <w:p>
      <w:pPr>
        <w:ind w:left="328" w:hanging="328"/>
        <w:spacing w:after="0"/>
        <w:tabs>
          <w:tab w:leader="none" w:pos="32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Amended Definitions. </w:t>
      </w:r>
      <w:r>
        <w:rPr>
          <w:rFonts w:ascii="Times New Roman" w:cs="Times New Roman" w:eastAsia="Times New Roman" w:hAnsi="Times New Roman"/>
          <w:sz w:val="21"/>
          <w:szCs w:val="21"/>
          <w:color w:val="auto"/>
        </w:rPr>
        <w:t>The following definitions in Article I of or elsewhere in the LCA are hereby amended as follows:</w:t>
      </w:r>
    </w:p>
    <w:p>
      <w:pPr>
        <w:spacing w:after="0" w:line="235" w:lineRule="exact"/>
        <w:rPr>
          <w:rFonts w:ascii="Times New Roman" w:cs="Times New Roman" w:eastAsia="Times New Roman" w:hAnsi="Times New Roman"/>
          <w:sz w:val="21"/>
          <w:szCs w:val="21"/>
          <w:color w:val="auto"/>
        </w:rPr>
      </w:pPr>
    </w:p>
    <w:p>
      <w:pPr>
        <w:ind w:left="728" w:hanging="323"/>
        <w:spacing w:after="0"/>
        <w:tabs>
          <w:tab w:leader="none" w:pos="72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in the LCA to “Agreement” shall mean the LCA, as amended by this Amendment Agreement.</w:t>
      </w:r>
    </w:p>
    <w:p>
      <w:pPr>
        <w:spacing w:after="0" w:line="219" w:lineRule="exact"/>
        <w:rPr>
          <w:rFonts w:ascii="Times New Roman" w:cs="Times New Roman" w:eastAsia="Times New Roman" w:hAnsi="Times New Roman"/>
          <w:sz w:val="22"/>
          <w:szCs w:val="22"/>
          <w:color w:val="auto"/>
        </w:rPr>
      </w:pPr>
    </w:p>
    <w:p>
      <w:pPr>
        <w:ind w:left="728" w:right="60" w:hanging="323"/>
        <w:spacing w:after="0" w:line="249" w:lineRule="auto"/>
        <w:tabs>
          <w:tab w:leader="none" w:pos="723"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Payment Report</w:t>
      </w:r>
      <w:r>
        <w:rPr>
          <w:rFonts w:ascii="Times New Roman" w:cs="Times New Roman" w:eastAsia="Times New Roman" w:hAnsi="Times New Roman"/>
          <w:sz w:val="22"/>
          <w:szCs w:val="22"/>
          <w:color w:val="auto"/>
        </w:rPr>
        <w:t>”. The definition of “Consolidated Payment Report” set forth in Article I of the LCA is amended by adding the following sentence at the end thereof: "In addition, the Consolidated Payment Report shall also include for such Quarter (i) if the Santen Co-Promotion Agreement is in effect and the Japan Purchase Price Adjustment is applicable for such Quarter and, in accordance with Schedule 2, is calculated based on Santen Market Net Sales, (A) Santen Market Net Sales, (B) the applicable NHI Price and (C) unit sales of the Licensed Product in Japan, (ii) if the Japan Purchase Price Adjustment is applicable for such Quarter and is calculated based on Bayer Market Net Sales in accordance with Schedule 2, Bayer Market Net Sales, and (iii) if the Santen Co-Promotion Agreement is in effect and the Japan Profit Share is applicable for such Quarter, (A) Bayer Sales, (B) COGS applicable to Bayer Sales and (C) Japan Shared Promotion Expenses incurred by BYL (following reconciliation with Santen) and by Regeneron, if any."</w:t>
      </w:r>
    </w:p>
    <w:p>
      <w:pPr>
        <w:spacing w:after="0" w:line="183" w:lineRule="exact"/>
        <w:rPr>
          <w:rFonts w:ascii="Times New Roman" w:cs="Times New Roman" w:eastAsia="Times New Roman" w:hAnsi="Times New Roman"/>
          <w:sz w:val="22"/>
          <w:szCs w:val="22"/>
          <w:color w:val="auto"/>
        </w:rPr>
      </w:pPr>
    </w:p>
    <w:p>
      <w:pPr>
        <w:ind w:left="728" w:right="240" w:hanging="323"/>
        <w:spacing w:after="0" w:line="263" w:lineRule="auto"/>
        <w:tabs>
          <w:tab w:leader="none" w:pos="725"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The definition of “Net Sales” set forth in Article I of the LCA is amended by adding the following sentence at the end thereof: “So long as the Santen Co-Promotion Agreement remains in effect, Net Sales excludes sales of Licensed Products in the Field in Japan.”</w:t>
      </w:r>
    </w:p>
    <w:p>
      <w:pPr>
        <w:spacing w:after="0" w:line="167" w:lineRule="exact"/>
        <w:rPr>
          <w:rFonts w:ascii="Times New Roman" w:cs="Times New Roman" w:eastAsia="Times New Roman" w:hAnsi="Times New Roman"/>
          <w:sz w:val="22"/>
          <w:szCs w:val="22"/>
          <w:color w:val="auto"/>
        </w:rPr>
      </w:pPr>
    </w:p>
    <w:p>
      <w:pPr>
        <w:ind w:left="728" w:right="220" w:hanging="323"/>
        <w:spacing w:after="0" w:line="252" w:lineRule="auto"/>
        <w:tabs>
          <w:tab w:leader="none" w:pos="723"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Promotion Expenses</w:t>
      </w:r>
      <w:r>
        <w:rPr>
          <w:rFonts w:ascii="Times New Roman" w:cs="Times New Roman" w:eastAsia="Times New Roman" w:hAnsi="Times New Roman"/>
          <w:sz w:val="22"/>
          <w:szCs w:val="22"/>
          <w:color w:val="auto"/>
        </w:rPr>
        <w:t>”. The definition of “Shared Promotion Expenses” in Article I of the LCA is amended by adding the following sentence at the end thereof: “So long as the Santen Co-Promotion Agreement is in effect, Shared Promotion Expenses excludes any of the items listed in this definition to the extent related to the Commercialization of Licensed Products in Japan.”</w:t>
      </w:r>
    </w:p>
    <w:p>
      <w:pPr>
        <w:spacing w:after="0" w:line="188" w:lineRule="exact"/>
        <w:rPr>
          <w:rFonts w:ascii="Times New Roman" w:cs="Times New Roman" w:eastAsia="Times New Roman" w:hAnsi="Times New Roman"/>
          <w:sz w:val="22"/>
          <w:szCs w:val="22"/>
          <w:color w:val="auto"/>
        </w:rPr>
      </w:pPr>
    </w:p>
    <w:p>
      <w:pPr>
        <w:ind w:left="328" w:right="220" w:hanging="328"/>
        <w:spacing w:after="0" w:line="259" w:lineRule="auto"/>
        <w:tabs>
          <w:tab w:leader="none" w:pos="32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Schedule 2. </w:t>
      </w:r>
      <w:r>
        <w:rPr>
          <w:rFonts w:ascii="Times New Roman" w:cs="Times New Roman" w:eastAsia="Times New Roman" w:hAnsi="Times New Roman"/>
          <w:sz w:val="22"/>
          <w:szCs w:val="22"/>
          <w:color w:val="auto"/>
        </w:rPr>
        <w:t>Schedule 2 of the LCA is deleted in its entirety and replaced with the Amended and Restated Schedule 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to this Amendment Agreement, and all references to Schedule 2 in this Amendment Agreement, or in the LCA from and after the date of this Amendment Agreement, refer to such Amended and Restated Schedule 2.</w:t>
      </w:r>
    </w:p>
    <w:p>
      <w:pPr>
        <w:spacing w:after="0" w:line="166" w:lineRule="exact"/>
        <w:rPr>
          <w:rFonts w:ascii="Times New Roman" w:cs="Times New Roman" w:eastAsia="Times New Roman" w:hAnsi="Times New Roman"/>
          <w:sz w:val="22"/>
          <w:szCs w:val="22"/>
          <w:color w:val="auto"/>
        </w:rPr>
      </w:pPr>
    </w:p>
    <w:p>
      <w:pPr>
        <w:ind w:left="328" w:hanging="328"/>
        <w:spacing w:after="0" w:line="250" w:lineRule="auto"/>
        <w:tabs>
          <w:tab w:leader="none" w:pos="32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Regeneron Consent to Sublicense Grant</w:t>
      </w:r>
      <w:r>
        <w:rPr>
          <w:rFonts w:ascii="Times New Roman" w:cs="Times New Roman" w:eastAsia="Times New Roman" w:hAnsi="Times New Roman"/>
          <w:sz w:val="22"/>
          <w:szCs w:val="22"/>
          <w:color w:val="auto"/>
        </w:rPr>
        <w:t>. Regeneron hereby expressly agrees and consents for the Initial Term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sublicense by BHC to BYL of BHC’s rights under the Regeneron Intellectual Property granted by Regeneron to BHC pursuant to the LCA, provided such sublicense is in compliance with Section 4.3 of the LCA unless agreed in writing by Regeneron with BHC, and to BYL’s further sublicense of such rights to Santen, to the extent that they comprise Licensed Intellectual Property, pursuant to the terms of the Santen Co-Promotion Agreement, provided that such agreement and consent shall not alter or affect in any manner BHC’s obligations or Regeneron’s rights under the LCA which shall remain in full force and effect, including without limitation under such Section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888"/>
          </w:cols>
          <w:pgMar w:left="652" w:top="1440" w:right="359" w:bottom="1440" w:gutter="0" w:footer="0" w:header="0"/>
        </w:sectPr>
      </w:pPr>
    </w:p>
    <w:bookmarkStart w:id="140" w:name="page141"/>
    <w:bookmarkEnd w:id="140"/>
    <w:p>
      <w:pPr>
        <w:spacing w:after="0" w:line="194" w:lineRule="exact"/>
        <w:rPr>
          <w:sz w:val="20"/>
          <w:szCs w:val="20"/>
          <w:color w:val="auto"/>
        </w:rPr>
      </w:pPr>
    </w:p>
    <w:p>
      <w:pPr>
        <w:ind w:left="328" w:hanging="328"/>
        <w:spacing w:after="0" w:line="260" w:lineRule="auto"/>
        <w:tabs>
          <w:tab w:leader="none" w:pos="32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Commercialization Governance</w:t>
      </w:r>
      <w:r>
        <w:rPr>
          <w:rFonts w:ascii="Times New Roman" w:cs="Times New Roman" w:eastAsia="Times New Roman" w:hAnsi="Times New Roman"/>
          <w:sz w:val="21"/>
          <w:szCs w:val="21"/>
          <w:color w:val="auto"/>
        </w:rPr>
        <w:t>. For so long as the Santen Co-Promotion Agreement remains in effect, all management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governance of the Commercialization efforts for the Licensed Product in Japan shall be determined under the LCA as if such efforts were conducted by Company alone (it being understood that for so long as the Santen Co-Promotion Agreement remains in effect, Company may fulfill its obligations under the first two sentences of Section 6.6 and Section 6.7 of the LCA through Santen), except that Regeneron shall not participate in the Joint Steering Committee (as defined in the Santen Co-Promotion Agreement) for Japan. For the avoidance of doubt, Company must still prepare and present to the JCC the Country Commercialization Plan for Japan in accordance with Section 6.3 of the LCA. If the Santen Co-Promotion Agreement is no longer in effect, this Section 6 of this Amendment shall have no further force or effect and the management and governance of the Commercialization efforts for the Licensed Product in Japan shall again be governed by and subject to the LCA in all respects. Company shall provide to Regeneron, within ten (10) Business Days of receipt, all reports and information provided to BYL or Company under Section 3.3 of the Santen Co-Promotion Agreement. Notwithstanding anything to the contrary in this Section 6, Company shall provide, or shall cause BYL to provide, to Regeneron such other reports and information required to be provided under the LCA in the form required by the LCA.</w:t>
      </w:r>
    </w:p>
    <w:p>
      <w:pPr>
        <w:spacing w:after="0" w:line="176" w:lineRule="exact"/>
        <w:rPr>
          <w:rFonts w:ascii="Times New Roman" w:cs="Times New Roman" w:eastAsia="Times New Roman" w:hAnsi="Times New Roman"/>
          <w:sz w:val="21"/>
          <w:szCs w:val="21"/>
          <w:color w:val="auto"/>
        </w:rPr>
      </w:pPr>
    </w:p>
    <w:p>
      <w:pPr>
        <w:ind w:left="328" w:right="140" w:hanging="328"/>
        <w:spacing w:after="0" w:line="252" w:lineRule="auto"/>
        <w:tabs>
          <w:tab w:leader="none" w:pos="32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9.3(f)</w:t>
      </w:r>
      <w:r>
        <w:rPr>
          <w:rFonts w:ascii="Times New Roman" w:cs="Times New Roman" w:eastAsia="Times New Roman" w:hAnsi="Times New Roman"/>
          <w:sz w:val="22"/>
          <w:szCs w:val="22"/>
          <w:color w:val="auto"/>
        </w:rPr>
        <w:t>. Section 9.3(f) of the LCA is amended by adding the following at the end thereof: “provided, that if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Santen Co-Promotion Agreement is in effect and the Japan Profit Share is applicable, within forty-five (45) days following the end of each Quarter commencing after the First Commercial Sale in Japan (or such earlier agreed upon calendar Quarter, if appropriate), each Party that has (or whose Affiliate has) incurred Japan Shared Promotion Expenses in that Quarter shall deliver electronically to the other Party a written report setting forth in reasonable detail the Japan Shared Promotion Expenses incurred by that Party or its Affiliates in such Quarter”.</w:t>
      </w:r>
    </w:p>
    <w:p>
      <w:pPr>
        <w:spacing w:after="0" w:line="188" w:lineRule="exact"/>
        <w:rPr>
          <w:rFonts w:ascii="Times New Roman" w:cs="Times New Roman" w:eastAsia="Times New Roman" w:hAnsi="Times New Roman"/>
          <w:sz w:val="22"/>
          <w:szCs w:val="22"/>
          <w:color w:val="auto"/>
        </w:rPr>
      </w:pPr>
    </w:p>
    <w:p>
      <w:pPr>
        <w:ind w:left="328" w:right="140" w:hanging="328"/>
        <w:spacing w:after="0" w:line="253" w:lineRule="auto"/>
        <w:tabs>
          <w:tab w:leader="none" w:pos="32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9.3(g)</w:t>
      </w:r>
      <w:r>
        <w:rPr>
          <w:rFonts w:ascii="Times New Roman" w:cs="Times New Roman" w:eastAsia="Times New Roman" w:hAnsi="Times New Roman"/>
          <w:sz w:val="22"/>
          <w:szCs w:val="22"/>
          <w:color w:val="auto"/>
        </w:rPr>
        <w:t>. Section 9.3(g) of the LCA is amended by adding immediately after the words “for such Quarter”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“and, if the Santen Co-Promotion Agreement is in effect and the Japan Profit Share is applicable, Company shall deliver electronically to Regeneron a written report setting forth (i) COGS applicable to Bayer Sales and (ii) COGS incurred by Company or its Affiliates applicable to Net Sales in the Territory excluding Japan”.</w:t>
      </w:r>
    </w:p>
    <w:p>
      <w:pPr>
        <w:spacing w:after="0" w:line="175" w:lineRule="exact"/>
        <w:rPr>
          <w:rFonts w:ascii="Times New Roman" w:cs="Times New Roman" w:eastAsia="Times New Roman" w:hAnsi="Times New Roman"/>
          <w:sz w:val="22"/>
          <w:szCs w:val="22"/>
          <w:color w:val="auto"/>
        </w:rPr>
      </w:pPr>
    </w:p>
    <w:p>
      <w:pPr>
        <w:ind w:left="328" w:right="80" w:hanging="328"/>
        <w:spacing w:after="0" w:line="252" w:lineRule="auto"/>
        <w:tabs>
          <w:tab w:leader="none" w:pos="32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Section 11.6. </w:t>
      </w:r>
      <w:r>
        <w:rPr>
          <w:rFonts w:ascii="Times New Roman" w:cs="Times New Roman" w:eastAsia="Times New Roman" w:hAnsi="Times New Roman"/>
          <w:sz w:val="22"/>
          <w:szCs w:val="22"/>
          <w:color w:val="auto"/>
        </w:rPr>
        <w:t>Section 11.6 of the LCA is amended by adding the following at the end of the first sentence of such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the word “materials” and before the period): “;and provided further that if including Regeneron’s name with equal prominence on materials exclusively related to each Licensed Product in the Field as provided above is prohibited under applicable Laws, Company will use Commercially Reasonable Efforts to include, to the extent permitted by applicable Laws, a reference to Regeneron and its contribution to such Licensed Product (e.g., ‘EYLEA was jointly developed by Regeneron and Bayer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908"/>
          </w:cols>
          <w:pgMar w:left="652" w:top="1440" w:right="339" w:bottom="1440" w:gutter="0" w:footer="0" w:header="0"/>
        </w:sectPr>
      </w:pPr>
    </w:p>
    <w:bookmarkStart w:id="141" w:name="page142"/>
    <w:bookmarkEnd w:id="141"/>
    <w:p>
      <w:pPr>
        <w:spacing w:after="0" w:line="194" w:lineRule="exact"/>
        <w:rPr>
          <w:sz w:val="20"/>
          <w:szCs w:val="20"/>
          <w:color w:val="auto"/>
        </w:rPr>
      </w:pPr>
    </w:p>
    <w:p>
      <w:pPr>
        <w:ind w:left="328" w:hanging="328"/>
        <w:spacing w:after="0" w:line="259" w:lineRule="auto"/>
        <w:tabs>
          <w:tab w:leader="none" w:pos="32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Calculation of the Japan Profit Split</w:t>
      </w:r>
      <w:r>
        <w:rPr>
          <w:rFonts w:ascii="Times New Roman" w:cs="Times New Roman" w:eastAsia="Times New Roman" w:hAnsi="Times New Roman"/>
          <w:sz w:val="22"/>
          <w:szCs w:val="22"/>
          <w:color w:val="auto"/>
        </w:rPr>
        <w:t>. Unless the Japan Profit Share is applicable as provided in Section 11 or Section 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Amendment Agreement, the Japan Profit Split (as defined in Schedule 2, Section I.) shall be calculated as the Japan Purchase Price Adjustment, as defined in and in accordance with Schedule 2, Section I.A.</w:t>
      </w:r>
    </w:p>
    <w:p>
      <w:pPr>
        <w:spacing w:after="0" w:line="179" w:lineRule="exact"/>
        <w:rPr>
          <w:rFonts w:ascii="Times New Roman" w:cs="Times New Roman" w:eastAsia="Times New Roman" w:hAnsi="Times New Roman"/>
          <w:sz w:val="22"/>
          <w:szCs w:val="22"/>
          <w:color w:val="auto"/>
        </w:rPr>
      </w:pPr>
    </w:p>
    <w:p>
      <w:pPr>
        <w:ind w:left="328" w:hanging="328"/>
        <w:spacing w:after="0" w:line="248" w:lineRule="auto"/>
        <w:tabs>
          <w:tab w:leader="none" w:pos="3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Bayer Renegotiation Option</w:t>
      </w:r>
      <w:r>
        <w:rPr>
          <w:rFonts w:ascii="Times New Roman" w:cs="Times New Roman" w:eastAsia="Times New Roman" w:hAnsi="Times New Roman"/>
          <w:sz w:val="22"/>
          <w:szCs w:val="22"/>
          <w:color w:val="auto"/>
        </w:rPr>
        <w:t>. If the actual [****] in a given calendar year is less than [****] of the Assumed [****]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calendar year as set forth in the table in Schedule 2A attached to this Amendment Agreement, either Party may request in writing that the Japan Purchase Price Adjustment set forth in Schedule 2, Section I.A., be renegotiated to reflect the changed circumstances and to restore the economic basis of such financial arrangements. The Parties agree to renegotiate in good faith for thirty (30) days following the written request by a Party for renegotiation of such Japan Purchase Price Adjustment pursuant to this Section 11. If the Parties do not reach written agreement on adjustments to the Japan Purchase Price Adjustment within such thirty (30)- day period, the Japan Profit Split (as defined in Schedule 2, Section I.) shall thereafter be the Japan Profit Share, as defined in and calculated in accordance with Schedule 2, Section I.B., beginning in the next calendar Quarter commencing on or after the expiration of the thirty (30)-day period referenced above in this Section 11.</w:t>
      </w:r>
    </w:p>
    <w:p>
      <w:pPr>
        <w:spacing w:after="0" w:line="180" w:lineRule="exact"/>
        <w:rPr>
          <w:rFonts w:ascii="Times New Roman" w:cs="Times New Roman" w:eastAsia="Times New Roman" w:hAnsi="Times New Roman"/>
          <w:sz w:val="22"/>
          <w:szCs w:val="22"/>
          <w:color w:val="auto"/>
        </w:rPr>
      </w:pPr>
    </w:p>
    <w:p>
      <w:pPr>
        <w:ind w:left="328" w:right="40" w:hanging="328"/>
        <w:spacing w:after="0" w:line="262" w:lineRule="auto"/>
        <w:tabs>
          <w:tab w:leader="none" w:pos="32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Launch Delay Option</w:t>
      </w:r>
      <w:r>
        <w:rPr>
          <w:rFonts w:ascii="Times New Roman" w:cs="Times New Roman" w:eastAsia="Times New Roman" w:hAnsi="Times New Roman"/>
          <w:sz w:val="21"/>
          <w:szCs w:val="21"/>
          <w:color w:val="auto"/>
        </w:rPr>
        <w:t>. In the event that the First Commercial Sale of a Licensed Product in Japan occurs after [****],</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either Party may request in writing that the schedule of annual Baseline A Santen Market Net Sales forth in Schedule 2, Section I.A., and, if the delay materially adversely affects the economic basis of the financial arrangements regarding the Commercialization of Licensed Products in Japan provided for in this Amendment Agreement (including Schedule 2), the Japan Purchase Price Adjustment, be renegotiated to reflect the delayed launch date and to restore the economic basis of such financial arrangements. The Parties agree to renegotiate in good faith for thirty (30) days following such a written request. If the Parties do not reach written agreement on a revised schedule of Baseline A Santen Market Net Sales and, if applicable, revised Japan Purchase Price Adjustment, within such thirty (30)-day period, the Japan Profit Split (as defined in Schedule 2, Section I.) shall thereafter be the Japan Profit Share, as defined in and calculated in accordance with Schedule 2, Section I.B., beginning in the next calendar Quarter commencing on or after the expiration of the thirty (30)-day period referenced above in this Section 12. If the schedule of Baseline A Santen Market Net Sales is adjusted, the schedule of Baseline B and Baseline C Santen Market Net Sales will also be adjusted proportionately.</w:t>
      </w:r>
    </w:p>
    <w:p>
      <w:pPr>
        <w:spacing w:after="0" w:line="175" w:lineRule="exact"/>
        <w:rPr>
          <w:rFonts w:ascii="Times New Roman" w:cs="Times New Roman" w:eastAsia="Times New Roman" w:hAnsi="Times New Roman"/>
          <w:sz w:val="21"/>
          <w:szCs w:val="21"/>
          <w:color w:val="auto"/>
        </w:rPr>
      </w:pPr>
    </w:p>
    <w:p>
      <w:pPr>
        <w:ind w:left="328" w:hanging="328"/>
        <w:spacing w:after="0"/>
        <w:tabs>
          <w:tab w:leader="none" w:pos="32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328" w:right="16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Beginning with the first commercial sale in Japan of [****], Company shall pay to Regeneron a royalty of [****] of Net Sales [****] in Japan (calculated consistent with Section 1.65 of the LCA) until the earlier of: (i) the expiration or termination of the Santen Co-Promotion Agreement, or (ii) a Santen Change of Control. [****].</w:t>
      </w:r>
    </w:p>
    <w:p>
      <w:pPr>
        <w:spacing w:after="0" w:line="168" w:lineRule="exact"/>
        <w:rPr>
          <w:rFonts w:ascii="Times New Roman" w:cs="Times New Roman" w:eastAsia="Times New Roman" w:hAnsi="Times New Roman"/>
          <w:sz w:val="22"/>
          <w:szCs w:val="22"/>
          <w:color w:val="auto"/>
        </w:rPr>
      </w:pPr>
    </w:p>
    <w:p>
      <w:pPr>
        <w:ind w:left="328" w:right="520" w:hanging="328"/>
        <w:spacing w:after="0" w:line="287" w:lineRule="auto"/>
        <w:tabs>
          <w:tab w:leader="none" w:pos="32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Calculation of Sales Milestones Payments</w:t>
      </w:r>
      <w:r>
        <w:rPr>
          <w:rFonts w:ascii="Times New Roman" w:cs="Times New Roman" w:eastAsia="Times New Roman" w:hAnsi="Times New Roman"/>
          <w:sz w:val="22"/>
          <w:szCs w:val="22"/>
          <w:color w:val="auto"/>
        </w:rPr>
        <w:t>. For so long as the Santen Co-Promotion Agreement is in effect, Santen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 Net Sales shall be added to Net Sales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908"/>
          </w:cols>
          <w:pgMar w:left="652" w:top="1440" w:right="339" w:bottom="1440" w:gutter="0" w:footer="0" w:header="0"/>
        </w:sectPr>
      </w:pPr>
    </w:p>
    <w:bookmarkStart w:id="142" w:name="page143"/>
    <w:bookmarkEnd w:id="142"/>
    <w:p>
      <w:pPr>
        <w:spacing w:after="0" w:line="198" w:lineRule="exact"/>
        <w:rPr>
          <w:sz w:val="20"/>
          <w:szCs w:val="20"/>
          <w:color w:val="auto"/>
        </w:rPr>
      </w:pPr>
    </w:p>
    <w:p>
      <w:pPr>
        <w:jc w:val="both"/>
        <w:ind w:left="328" w:right="220"/>
        <w:spacing w:after="0" w:line="257" w:lineRule="auto"/>
        <w:rPr>
          <w:sz w:val="20"/>
          <w:szCs w:val="20"/>
          <w:color w:val="auto"/>
        </w:rPr>
      </w:pPr>
      <w:r>
        <w:rPr>
          <w:rFonts w:ascii="Times New Roman" w:cs="Times New Roman" w:eastAsia="Times New Roman" w:hAnsi="Times New Roman"/>
          <w:sz w:val="22"/>
          <w:szCs w:val="22"/>
          <w:color w:val="auto"/>
        </w:rPr>
        <w:t>calculating aggregate Net Sales for purposes of determining the achievement of the sales milestone events described on Schedule 3 to the LCA. If the Santen Co-Promotion Agreement is no longer in effect, Bayer Market Net Sales shall be utilized in calculating aggregate Net Sales for such purposes.</w:t>
      </w:r>
    </w:p>
    <w:p>
      <w:pPr>
        <w:spacing w:after="0" w:line="182" w:lineRule="exact"/>
        <w:rPr>
          <w:sz w:val="20"/>
          <w:szCs w:val="20"/>
          <w:color w:val="auto"/>
        </w:rPr>
      </w:pPr>
    </w:p>
    <w:p>
      <w:pPr>
        <w:ind w:left="328" w:hanging="328"/>
        <w:spacing w:after="0"/>
        <w:tabs>
          <w:tab w:leader="none" w:pos="32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 on BYL Actions under Santen Co-Promotion Agreement</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ind w:left="968" w:right="300" w:hanging="644"/>
        <w:spacing w:after="0" w:line="255" w:lineRule="auto"/>
        <w:tabs>
          <w:tab w:leader="none" w:pos="965"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will not, and will ensure that BYL does not, without Regeneron's prior written consent (such consent regarding subparagraphs (ii) and (iv) below not to be unreasonably withheld, delayed or conditioned):</w:t>
      </w:r>
    </w:p>
    <w:p>
      <w:pPr>
        <w:spacing w:after="0" w:line="134" w:lineRule="exact"/>
        <w:rPr>
          <w:rFonts w:ascii="Times New Roman" w:cs="Times New Roman" w:eastAsia="Times New Roman" w:hAnsi="Times New Roman"/>
          <w:sz w:val="21"/>
          <w:szCs w:val="21"/>
          <w:color w:val="auto"/>
        </w:rPr>
      </w:pPr>
    </w:p>
    <w:p>
      <w:pPr>
        <w:ind w:left="1628" w:right="160" w:hanging="656"/>
        <w:spacing w:after="0" w:line="220" w:lineRule="auto"/>
        <w:tabs>
          <w:tab w:leader="none" w:pos="1616"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to any amendment or modification of, waive or fail to enforce any material rights or grant any consent or approval under (including without limitation to permit Santen to conduct any Non-Approval Trial related to the Licensed Product in Japan), extend the Initial Term of, or terminate in part, the Santen Co-Promotion Agreement;</w:t>
      </w:r>
    </w:p>
    <w:p>
      <w:pPr>
        <w:spacing w:after="0" w:line="152" w:lineRule="exact"/>
        <w:rPr>
          <w:rFonts w:ascii="Times New Roman" w:cs="Times New Roman" w:eastAsia="Times New Roman" w:hAnsi="Times New Roman"/>
          <w:sz w:val="22"/>
          <w:szCs w:val="22"/>
          <w:color w:val="auto"/>
        </w:rPr>
      </w:pPr>
    </w:p>
    <w:p>
      <w:pPr>
        <w:ind w:left="1608" w:hanging="636"/>
        <w:spacing w:after="0"/>
        <w:tabs>
          <w:tab w:leader="none" w:pos="1608"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to or permit any Public Relations Activity related to the Licensed Product in Japan;</w:t>
      </w:r>
    </w:p>
    <w:p>
      <w:pPr>
        <w:spacing w:after="0" w:line="179" w:lineRule="exact"/>
        <w:rPr>
          <w:rFonts w:ascii="Times New Roman" w:cs="Times New Roman" w:eastAsia="Times New Roman" w:hAnsi="Times New Roman"/>
          <w:sz w:val="22"/>
          <w:szCs w:val="22"/>
          <w:color w:val="auto"/>
        </w:rPr>
      </w:pPr>
    </w:p>
    <w:p>
      <w:pPr>
        <w:ind w:left="1628" w:right="40" w:hanging="656"/>
        <w:spacing w:after="0" w:line="236" w:lineRule="auto"/>
        <w:tabs>
          <w:tab w:leader="none" w:pos="1628"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to or permit any reduction in the Minimum Audited Detail, or any downward revision in the Market Share Target percentage;</w:t>
      </w:r>
    </w:p>
    <w:p>
      <w:pPr>
        <w:spacing w:after="0" w:line="150" w:lineRule="exact"/>
        <w:rPr>
          <w:rFonts w:ascii="Times New Roman" w:cs="Times New Roman" w:eastAsia="Times New Roman" w:hAnsi="Times New Roman"/>
          <w:sz w:val="22"/>
          <w:szCs w:val="22"/>
          <w:color w:val="auto"/>
        </w:rPr>
      </w:pPr>
    </w:p>
    <w:p>
      <w:pPr>
        <w:ind w:left="1628" w:right="260" w:hanging="656"/>
        <w:spacing w:after="0" w:line="236" w:lineRule="auto"/>
        <w:tabs>
          <w:tab w:leader="none" w:pos="1616"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or thereafter amend any of the agreements referred to in Section 6.2 or 7.13 of the Santen Co-Promotion Agreement;</w:t>
      </w:r>
    </w:p>
    <w:p>
      <w:pPr>
        <w:spacing w:after="0" w:line="150" w:lineRule="exact"/>
        <w:rPr>
          <w:rFonts w:ascii="Times New Roman" w:cs="Times New Roman" w:eastAsia="Times New Roman" w:hAnsi="Times New Roman"/>
          <w:sz w:val="22"/>
          <w:szCs w:val="22"/>
          <w:color w:val="auto"/>
        </w:rPr>
      </w:pPr>
    </w:p>
    <w:p>
      <w:pPr>
        <w:ind w:left="1628" w:hanging="656"/>
        <w:spacing w:after="0" w:line="217" w:lineRule="auto"/>
        <w:tabs>
          <w:tab w:leader="none" w:pos="1623"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 Santen's rejection of any delivery of Licensed Product if such rejection is based on actions or omissions of Regeneron in connection with the Manufacture of such Licensed Product, unless Regeneron has confirmed in writing the basis for such rejection in its reasonable judgment prior to such acceptance. For the avoidance of doubt, neither Santen nor BYL shall be required to introduce to the market or keep on the market any Licensed Product that they have tendered for rejection;</w:t>
      </w:r>
    </w:p>
    <w:p>
      <w:pPr>
        <w:spacing w:after="0" w:line="152" w:lineRule="exact"/>
        <w:rPr>
          <w:rFonts w:ascii="Times New Roman" w:cs="Times New Roman" w:eastAsia="Times New Roman" w:hAnsi="Times New Roman"/>
          <w:sz w:val="22"/>
          <w:szCs w:val="22"/>
          <w:color w:val="auto"/>
        </w:rPr>
      </w:pPr>
    </w:p>
    <w:p>
      <w:pPr>
        <w:ind w:left="1628" w:right="20" w:hanging="656"/>
        <w:spacing w:after="0" w:line="220" w:lineRule="auto"/>
        <w:tabs>
          <w:tab w:leader="none" w:pos="1616"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Resolve or agree to resolve any dispute under the Santen Co-Promotion Agreement if such resolution would diminish the economic benefit reasonably expected to accrue to Regeneron pursuant to the Japan Purchase Price Adjustment or Japan Profit Split, as applicable, or would adversely affect the Collaboration in the Territory outside Japan; or</w:t>
      </w:r>
    </w:p>
    <w:p>
      <w:pPr>
        <w:spacing w:after="0" w:line="152" w:lineRule="exact"/>
        <w:rPr>
          <w:rFonts w:ascii="Times New Roman" w:cs="Times New Roman" w:eastAsia="Times New Roman" w:hAnsi="Times New Roman"/>
          <w:sz w:val="22"/>
          <w:szCs w:val="22"/>
          <w:color w:val="auto"/>
        </w:rPr>
      </w:pPr>
    </w:p>
    <w:p>
      <w:pPr>
        <w:ind w:left="1628" w:right="100" w:hanging="656"/>
        <w:spacing w:after="0" w:line="236" w:lineRule="auto"/>
        <w:tabs>
          <w:tab w:leader="none" w:pos="1622"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pursuant to Section 7.11 of the Santen Co-Promotion Agreement, on an extension of the Minimum Remaining Shelf-Life of the Licensed Product to be delivered to Santen.</w:t>
      </w:r>
    </w:p>
    <w:p>
      <w:pPr>
        <w:spacing w:after="0" w:line="150" w:lineRule="exact"/>
        <w:rPr>
          <w:rFonts w:ascii="Times New Roman" w:cs="Times New Roman" w:eastAsia="Times New Roman" w:hAnsi="Times New Roman"/>
          <w:sz w:val="22"/>
          <w:szCs w:val="22"/>
          <w:color w:val="auto"/>
        </w:rPr>
      </w:pPr>
    </w:p>
    <w:p>
      <w:pPr>
        <w:ind w:left="968" w:right="140" w:hanging="644"/>
        <w:spacing w:after="0" w:line="220" w:lineRule="auto"/>
        <w:tabs>
          <w:tab w:leader="none" w:pos="963"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BYL is entitled to terminate the Santen Co-Promotion Agreement, Company and BYL will consult with Regeneron regarding the advisability of such termination, but BYL will have the ultimate decision on whether to terminate. Upon such termination, the Existing LCA, as amended by this Amendment Agreement, will govern Commercialization of the Licensed Product in Japan.</w:t>
      </w:r>
    </w:p>
    <w:p>
      <w:pPr>
        <w:spacing w:after="0" w:line="152" w:lineRule="exact"/>
        <w:rPr>
          <w:rFonts w:ascii="Times New Roman" w:cs="Times New Roman" w:eastAsia="Times New Roman" w:hAnsi="Times New Roman"/>
          <w:sz w:val="22"/>
          <w:szCs w:val="22"/>
          <w:color w:val="auto"/>
        </w:rPr>
      </w:pPr>
    </w:p>
    <w:p>
      <w:pPr>
        <w:ind w:left="968" w:right="100" w:hanging="644"/>
        <w:spacing w:after="0" w:line="225" w:lineRule="auto"/>
        <w:tabs>
          <w:tab w:leader="none" w:pos="965"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Santen Co-Promotion Agreement is in effect, Company will not and will ensure that BYL does not make any sales of Licensed Products in Japan. The foregoing does not apply to sales of Licensed Product by Company or BYL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868"/>
          </w:cols>
          <w:pgMar w:left="652" w:top="1440" w:right="379" w:bottom="1440" w:gutter="0" w:footer="0" w:header="0"/>
        </w:sectPr>
      </w:pPr>
    </w:p>
    <w:bookmarkStart w:id="143" w:name="page144"/>
    <w:bookmarkEnd w:id="143"/>
    <w:p>
      <w:pPr>
        <w:spacing w:after="0" w:line="171" w:lineRule="exact"/>
        <w:rPr>
          <w:sz w:val="20"/>
          <w:szCs w:val="20"/>
          <w:color w:val="auto"/>
        </w:rPr>
      </w:pPr>
    </w:p>
    <w:p>
      <w:pPr>
        <w:ind w:left="968" w:right="440"/>
        <w:spacing w:after="0" w:line="255" w:lineRule="auto"/>
        <w:rPr>
          <w:sz w:val="20"/>
          <w:szCs w:val="20"/>
          <w:color w:val="auto"/>
        </w:rPr>
      </w:pPr>
      <w:r>
        <w:rPr>
          <w:rFonts w:ascii="Times New Roman" w:cs="Times New Roman" w:eastAsia="Times New Roman" w:hAnsi="Times New Roman"/>
          <w:sz w:val="21"/>
          <w:szCs w:val="21"/>
          <w:color w:val="auto"/>
        </w:rPr>
        <w:t>to Santen as contemplated by the Santen Co-Promotion Agreement, or any other Commercialization activities expressly provided in the Santen Co-Promotion Agreement to be performed by Company or BYL.</w:t>
      </w:r>
    </w:p>
    <w:p>
      <w:pPr>
        <w:spacing w:after="0" w:line="158" w:lineRule="exact"/>
        <w:rPr>
          <w:sz w:val="20"/>
          <w:szCs w:val="20"/>
          <w:color w:val="auto"/>
        </w:rPr>
      </w:pPr>
    </w:p>
    <w:p>
      <w:pPr>
        <w:ind w:left="328" w:hanging="328"/>
        <w:spacing w:after="0" w:line="264" w:lineRule="auto"/>
        <w:tabs>
          <w:tab w:leader="none" w:pos="32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Supply Chain</w:t>
      </w:r>
      <w:r>
        <w:rPr>
          <w:rFonts w:ascii="Times New Roman" w:cs="Times New Roman" w:eastAsia="Times New Roman" w:hAnsi="Times New Roman"/>
          <w:sz w:val="21"/>
          <w:szCs w:val="21"/>
          <w:color w:val="auto"/>
        </w:rPr>
        <w:t>. Notwithstanding the obligations set forth in the Santen Co-Promotion Agreement, Company and BYL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maintain a minimum inventory of [****] of work-in-process inventory of Licensed Product allocated for Japan for the first [****] following the First Commercial Sale in Japan, and thereafter, a minimum inventory of [****] of work-in-process inventory of Licensed Product allocated for Japan. The foregoing requirements shall be reviewed by the parties in good faith if [****]. For purposes of this paragraph 16, “work in progress inventory” shall mean Licensed Product in vials or syringes prior to labeling or blistering, filled vials or syringes of Licensed Product that are labeled or blistered prior to sterilization, or sterilized and filled vials or blisters of Licensed Product that are labeled or blistered prior to packaging.</w:t>
      </w:r>
    </w:p>
    <w:p>
      <w:pPr>
        <w:spacing w:after="0" w:line="165" w:lineRule="exact"/>
        <w:rPr>
          <w:rFonts w:ascii="Times New Roman" w:cs="Times New Roman" w:eastAsia="Times New Roman" w:hAnsi="Times New Roman"/>
          <w:sz w:val="21"/>
          <w:szCs w:val="21"/>
          <w:color w:val="auto"/>
        </w:rPr>
      </w:pPr>
    </w:p>
    <w:p>
      <w:pPr>
        <w:ind w:left="328" w:right="180" w:hanging="328"/>
        <w:spacing w:after="0" w:line="252" w:lineRule="auto"/>
        <w:tabs>
          <w:tab w:leader="none" w:pos="32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Public Announcement</w:t>
      </w:r>
      <w:r>
        <w:rPr>
          <w:rFonts w:ascii="Times New Roman" w:cs="Times New Roman" w:eastAsia="Times New Roman" w:hAnsi="Times New Roman"/>
          <w:sz w:val="22"/>
          <w:szCs w:val="22"/>
          <w:color w:val="auto"/>
        </w:rPr>
        <w:t>. The Company and Regeneron will mutually agree upon the contents of any press release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regarding the Santen Co-Promotion Agreement and this Amendment Agreement. Any other press release or public announcement concerning the Santen Co-Promotion Agreement or this Amendment Agreement shall be governed by Section 16.4 of the LCA. To the extent that a Party concludes in good faith that it is or may be required to file or register this Amendment Agreement or a notification thereof with any Governmental Authority in accordance with applicable Laws, such Party may do so subject to the provisions of Sections 16.4 and 20.8 of the LCA.</w:t>
      </w:r>
    </w:p>
    <w:p>
      <w:pPr>
        <w:spacing w:after="0" w:line="174" w:lineRule="exact"/>
        <w:rPr>
          <w:rFonts w:ascii="Times New Roman" w:cs="Times New Roman" w:eastAsia="Times New Roman" w:hAnsi="Times New Roman"/>
          <w:sz w:val="22"/>
          <w:szCs w:val="22"/>
          <w:color w:val="auto"/>
        </w:rPr>
      </w:pPr>
    </w:p>
    <w:p>
      <w:pPr>
        <w:ind w:left="328" w:right="160" w:hanging="328"/>
        <w:spacing w:after="0" w:line="287" w:lineRule="auto"/>
        <w:tabs>
          <w:tab w:leader="none" w:pos="32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Continuing Effect. </w:t>
      </w:r>
      <w:r>
        <w:rPr>
          <w:rFonts w:ascii="Times New Roman" w:cs="Times New Roman" w:eastAsia="Times New Roman" w:hAnsi="Times New Roman"/>
          <w:sz w:val="22"/>
          <w:szCs w:val="22"/>
          <w:color w:val="auto"/>
        </w:rPr>
        <w:t>Except as specifically modified by this Amendment Agreement, all of the provisions of the LCA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ratified and confirmed to be in full force and effect, and shall remain in full force and effect.</w:t>
      </w:r>
    </w:p>
    <w:p>
      <w:pPr>
        <w:spacing w:after="0" w:line="137" w:lineRule="exact"/>
        <w:rPr>
          <w:rFonts w:ascii="Times New Roman" w:cs="Times New Roman" w:eastAsia="Times New Roman" w:hAnsi="Times New Roman"/>
          <w:sz w:val="22"/>
          <w:szCs w:val="22"/>
          <w:color w:val="auto"/>
        </w:rPr>
      </w:pPr>
    </w:p>
    <w:p>
      <w:pPr>
        <w:ind w:left="328" w:right="60" w:hanging="328"/>
        <w:spacing w:after="0" w:line="248" w:lineRule="auto"/>
        <w:tabs>
          <w:tab w:leader="none" w:pos="32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Company Representation; Performance by BYL. </w:t>
      </w:r>
      <w:r>
        <w:rPr>
          <w:rFonts w:ascii="Times New Roman" w:cs="Times New Roman" w:eastAsia="Times New Roman" w:hAnsi="Times New Roman"/>
          <w:sz w:val="22"/>
          <w:szCs w:val="22"/>
          <w:color w:val="auto"/>
        </w:rPr>
        <w:t>Company hereby represents and warrants to Regeneron that neither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BYL nor any of their Affiliates doing business principally in Japan has any current or planned agreement, arrangement or understanding with Santen or any of its Affiliates, other than the Santen Co-Promotion Agreement. Company shall cause BYL to perform all its obligations under the Santen Co-Promotion Agreement and will notify Regeneron if it or any of its Affiliates enters into any such agreement, arrangement or understanding with Santen or any of its Affiliates, other than the Santen Co-Promotion Agreement. For the avoidance of doubt, the foregoing representation and warranty, and the requirement to notify Regeneron, does not apply to agreements, such as routine Confidentiality Agreements, Material Transfer Agreements or the like, that do not relate to new business opportunities that have not been disclosed to Regeneron.</w:t>
      </w:r>
    </w:p>
    <w:p>
      <w:pPr>
        <w:spacing w:after="0" w:line="198" w:lineRule="exact"/>
        <w:rPr>
          <w:rFonts w:ascii="Times New Roman" w:cs="Times New Roman" w:eastAsia="Times New Roman" w:hAnsi="Times New Roman"/>
          <w:sz w:val="22"/>
          <w:szCs w:val="22"/>
          <w:color w:val="auto"/>
        </w:rPr>
      </w:pPr>
    </w:p>
    <w:p>
      <w:pPr>
        <w:ind w:left="328" w:right="20" w:hanging="328"/>
        <w:spacing w:after="0" w:line="299" w:lineRule="auto"/>
        <w:tabs>
          <w:tab w:leader="none" w:pos="32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 Offset. </w:t>
      </w:r>
      <w:r>
        <w:rPr>
          <w:rFonts w:ascii="Times New Roman" w:cs="Times New Roman" w:eastAsia="Times New Roman" w:hAnsi="Times New Roman"/>
          <w:sz w:val="21"/>
          <w:szCs w:val="21"/>
          <w:color w:val="auto"/>
        </w:rPr>
        <w:t>For the avoidance of doubt, Bayer will have no right to offset the Japan Purchase Price Adjustment with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Bayer COGS, Shared Promotion Expenses or Japan Shared Promotion Expenses, as defined in Schedule 2, Section I.B.(i).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908"/>
          </w:cols>
          <w:pgMar w:left="652" w:top="1440" w:right="339" w:bottom="1440" w:gutter="0" w:footer="0" w:header="0"/>
        </w:sectPr>
      </w:pPr>
    </w:p>
    <w:bookmarkStart w:id="144" w:name="page145"/>
    <w:bookmarkEnd w:id="144"/>
    <w:p>
      <w:pPr>
        <w:spacing w:after="0" w:line="194" w:lineRule="exact"/>
        <w:rPr>
          <w:sz w:val="20"/>
          <w:szCs w:val="20"/>
          <w:color w:val="auto"/>
        </w:rPr>
      </w:pPr>
    </w:p>
    <w:p>
      <w:pPr>
        <w:ind w:left="328" w:right="60" w:hanging="328"/>
        <w:spacing w:after="0" w:line="252" w:lineRule="auto"/>
        <w:tabs>
          <w:tab w:leader="none" w:pos="32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Entire Agreement; Successors and Assigns. </w:t>
      </w:r>
      <w:r>
        <w:rPr>
          <w:rFonts w:ascii="Times New Roman" w:cs="Times New Roman" w:eastAsia="Times New Roman" w:hAnsi="Times New Roman"/>
          <w:sz w:val="22"/>
          <w:szCs w:val="22"/>
          <w:color w:val="auto"/>
        </w:rPr>
        <w:t>The LCA, this Amendment Agreement, and any written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by both Parties pertaining to the subject matter therein or herein, contain the complete understanding and entire agreement of the Parties hereto with respect to subject matter hereof and thereof and said documents supersede all prior understandings and agreements, whether written or oral, relating to the subject matter hereof and thereof. This Amendment Agreement shall be binding upon and inure to the benefit of the Parties and their respective successors and permitted assigns.</w:t>
      </w:r>
    </w:p>
    <w:p>
      <w:pPr>
        <w:spacing w:after="0" w:line="174" w:lineRule="exact"/>
        <w:rPr>
          <w:rFonts w:ascii="Times New Roman" w:cs="Times New Roman" w:eastAsia="Times New Roman" w:hAnsi="Times New Roman"/>
          <w:sz w:val="22"/>
          <w:szCs w:val="22"/>
          <w:color w:val="auto"/>
        </w:rPr>
      </w:pPr>
    </w:p>
    <w:p>
      <w:pPr>
        <w:ind w:left="328" w:right="80" w:hanging="328"/>
        <w:spacing w:after="0" w:line="275" w:lineRule="auto"/>
        <w:tabs>
          <w:tab w:leader="none" w:pos="32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Headings. </w:t>
      </w:r>
      <w:r>
        <w:rPr>
          <w:rFonts w:ascii="Times New Roman" w:cs="Times New Roman" w:eastAsia="Times New Roman" w:hAnsi="Times New Roman"/>
          <w:sz w:val="22"/>
          <w:szCs w:val="22"/>
          <w:color w:val="auto"/>
        </w:rPr>
        <w:t>Headings in this Amendment Agreement are for convenience of reference only and shall not be considered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construing this Amendment Agreement.</w:t>
      </w:r>
    </w:p>
    <w:p>
      <w:pPr>
        <w:spacing w:after="0" w:line="162" w:lineRule="exact"/>
        <w:rPr>
          <w:rFonts w:ascii="Times New Roman" w:cs="Times New Roman" w:eastAsia="Times New Roman" w:hAnsi="Times New Roman"/>
          <w:sz w:val="22"/>
          <w:szCs w:val="22"/>
          <w:color w:val="auto"/>
        </w:rPr>
      </w:pPr>
    </w:p>
    <w:p>
      <w:pPr>
        <w:ind w:left="328" w:right="40" w:hanging="328"/>
        <w:spacing w:after="0" w:line="259" w:lineRule="auto"/>
        <w:tabs>
          <w:tab w:leader="none" w:pos="32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Counterparts. </w:t>
      </w:r>
      <w:r>
        <w:rPr>
          <w:rFonts w:ascii="Times New Roman" w:cs="Times New Roman" w:eastAsia="Times New Roman" w:hAnsi="Times New Roman"/>
          <w:sz w:val="22"/>
          <w:szCs w:val="22"/>
          <w:color w:val="auto"/>
        </w:rPr>
        <w:t>This Amendment Agreement may be executed in counterparts and by facsimile signatures, each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an original, and shall become a binding agreement when one or more counterparts have been signed by each Party and delivered to the other Party.</w:t>
      </w:r>
    </w:p>
    <w:p>
      <w:pPr>
        <w:spacing w:after="0" w:line="166" w:lineRule="exact"/>
        <w:rPr>
          <w:rFonts w:ascii="Times New Roman" w:cs="Times New Roman" w:eastAsia="Times New Roman" w:hAnsi="Times New Roman"/>
          <w:sz w:val="22"/>
          <w:szCs w:val="22"/>
          <w:color w:val="auto"/>
        </w:rPr>
      </w:pPr>
    </w:p>
    <w:p>
      <w:pPr>
        <w:ind w:left="328" w:hanging="328"/>
        <w:spacing w:after="0" w:line="258" w:lineRule="auto"/>
        <w:tabs>
          <w:tab w:leader="none" w:pos="32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Miscellaneous. </w:t>
      </w:r>
      <w:r>
        <w:rPr>
          <w:rFonts w:ascii="Times New Roman" w:cs="Times New Roman" w:eastAsia="Times New Roman" w:hAnsi="Times New Roman"/>
          <w:sz w:val="22"/>
          <w:szCs w:val="22"/>
          <w:color w:val="auto"/>
        </w:rPr>
        <w:t>The provisions of Section 20.1 of the LCA shall apply, mutatis mutandis, to this Amendment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there is a direct conflict between the provisions of the LCA and this Amendment Agreement, this Amendment Agreement shall govern. This Amendment Agreement may be amended only by a writing executed by an authorized representative of each of the Parties.</w:t>
      </w:r>
    </w:p>
    <w:p>
      <w:pPr>
        <w:spacing w:after="0" w:line="200" w:lineRule="exact"/>
        <w:rPr>
          <w:sz w:val="20"/>
          <w:szCs w:val="20"/>
          <w:color w:val="auto"/>
        </w:rPr>
      </w:pPr>
    </w:p>
    <w:p>
      <w:pPr>
        <w:spacing w:after="0" w:line="211"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22"/>
          <w:szCs w:val="22"/>
          <w:b w:val="1"/>
          <w:bCs w:val="1"/>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828"/>
          </w:cols>
          <w:pgMar w:left="652" w:top="1440" w:right="419" w:bottom="1440" w:gutter="0" w:footer="0" w:header="0"/>
        </w:sectPr>
      </w:pPr>
    </w:p>
    <w:bookmarkStart w:id="145" w:name="page146"/>
    <w:bookmarkEnd w:id="14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has caused this Amendment to be executed as of the date hereof by a duly authorized corporate officer.</w:t>
      </w: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BAYER HEALTHCARE LLC</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R. Scott Meece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15544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6">
                      <a:extLst>
                        <a:ext uri="{28A0092B-C50C-407E-A947-70E740481C1C}"/>
                      </a:extLst>
                    </a:blip>
                    <a:srcRect/>
                    <a:stretch>
                      <a:fillRect/>
                    </a:stretch>
                  </pic:blipFill>
                  <pic:spPr bwMode="auto">
                    <a:xfrm>
                      <a:off x="0" y="0"/>
                      <a:ext cx="1554480" cy="8890"/>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720" w:val="left"/>
        </w:tabs>
        <w:rPr>
          <w:sz w:val="20"/>
          <w:szCs w:val="20"/>
          <w:color w:val="auto"/>
        </w:rPr>
      </w:pPr>
      <w:r>
        <w:rPr>
          <w:rFonts w:ascii="Times New Roman" w:cs="Times New Roman" w:eastAsia="Times New Roman" w:hAnsi="Times New Roman"/>
          <w:sz w:val="22"/>
          <w:szCs w:val="22"/>
          <w:color w:val="auto"/>
        </w:rPr>
        <w:t>Name:</w:t>
        <w:tab/>
        <w:t>R. Scott Meece</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General Counsel, Senior Vice President and Secretary</w:t>
      </w:r>
    </w:p>
    <w:p>
      <w:pPr>
        <w:spacing w:after="0" w:line="223"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December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00" w:lineRule="exact"/>
        <w:rPr>
          <w:sz w:val="20"/>
          <w:szCs w:val="20"/>
          <w:color w:val="auto"/>
        </w:rPr>
      </w:pPr>
    </w:p>
    <w:p>
      <w:pPr>
        <w:spacing w:after="0" w:line="303"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7043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7">
                      <a:extLst>
                        <a:ext uri="{28A0092B-C50C-407E-A947-70E740481C1C}"/>
                      </a:extLst>
                    </a:blip>
                    <a:srcRect/>
                    <a:stretch>
                      <a:fillRect/>
                    </a:stretch>
                  </pic:blipFill>
                  <pic:spPr bwMode="auto">
                    <a:xfrm>
                      <a:off x="0" y="0"/>
                      <a:ext cx="1704340" cy="8890"/>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Murray A. Goldberg</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23"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December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80"/>
          </w:cols>
          <w:pgMar w:left="320" w:top="1421" w:right="49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2"/>
          <w:szCs w:val="22"/>
          <w:color w:val="auto"/>
        </w:rPr>
        <w:t>AMENDED AND RESTATED SCHEDULE 2</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Quarterly True-Up</w:t>
      </w:r>
    </w:p>
    <w:p>
      <w:pPr>
        <w:spacing w:after="0" w:line="2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At the end of each Quarter, the Parties will calculate the net payment one Party shall be required to make to the other Party (the “</w:t>
      </w:r>
      <w:r>
        <w:rPr>
          <w:rFonts w:ascii="Times New Roman" w:cs="Times New Roman" w:eastAsia="Times New Roman" w:hAnsi="Times New Roman"/>
          <w:sz w:val="22"/>
          <w:szCs w:val="22"/>
          <w:u w:val="single" w:color="auto"/>
          <w:color w:val="auto"/>
        </w:rPr>
        <w:t>Quarterly True-Up</w:t>
      </w:r>
      <w:r>
        <w:rPr>
          <w:rFonts w:ascii="Times New Roman" w:cs="Times New Roman" w:eastAsia="Times New Roman" w:hAnsi="Times New Roman"/>
          <w:sz w:val="22"/>
          <w:szCs w:val="22"/>
          <w:color w:val="auto"/>
        </w:rPr>
        <w:t>”) equal to (a) the Territory Profit Split for such Quarter (as set forth in Part I), plus (b) the Regeneron Reimbursement Amount for such Quarter (as set forth in Part II), plus or minus (c) the Global True-Up (as set forth in Part III), minus (d) the Global Development Balance Payment (commencing in the Quarter of the First Commercial Sale in a Major Market Country) (as set forth in Part IV). In the event that the Quarterly True-Up is an amount greater than zero, such amount shall be payable by Company to Regeneron in accordance with the terms set forth in Article 9. In the event that the Quarterly True-Up is an amount less than zero, the absolute value of such amount shall be payable by Regeneron to Company in accordance with the terms set forth in Article 9. An example of the Quarterly True-Up is shown in Part V.</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 TERRITORY PROFIT SPLIT</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Territory Profit Split</w:t>
      </w:r>
      <w:r>
        <w:rPr>
          <w:rFonts w:ascii="Times New Roman" w:cs="Times New Roman" w:eastAsia="Times New Roman" w:hAnsi="Times New Roman"/>
          <w:sz w:val="22"/>
          <w:szCs w:val="22"/>
          <w:color w:val="auto"/>
        </w:rPr>
        <w:t>” shall mean the sum of fifty percent (50%) of Territory Profits in the Quarter plus the Japan Profit Split in the Quarter. “</w:t>
      </w:r>
      <w:r>
        <w:rPr>
          <w:rFonts w:ascii="Times New Roman" w:cs="Times New Roman" w:eastAsia="Times New Roman" w:hAnsi="Times New Roman"/>
          <w:sz w:val="22"/>
          <w:szCs w:val="22"/>
          <w:u w:val="single" w:color="auto"/>
          <w:color w:val="auto"/>
        </w:rPr>
        <w:t>Territory Profits</w:t>
      </w:r>
      <w:r>
        <w:rPr>
          <w:rFonts w:ascii="Times New Roman" w:cs="Times New Roman" w:eastAsia="Times New Roman" w:hAnsi="Times New Roman"/>
          <w:sz w:val="22"/>
          <w:szCs w:val="22"/>
          <w:color w:val="auto"/>
        </w:rPr>
        <w:t>” shall mean aggregate Net Sales in the Territory, excluding Japan, in the Quarter less the sum of aggregate COGS and aggregate Shared Promotion Expenses incurred by both Parties in the Territory, excluding Japan, in the Quarter.</w:t>
      </w:r>
    </w:p>
    <w:p>
      <w:pPr>
        <w:spacing w:after="0" w:line="203"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2"/>
          <w:szCs w:val="22"/>
          <w:color w:val="auto"/>
        </w:rPr>
        <w:t>The “Japan Profit Split” shall equal the US Dollar equivalent (calculated in accordance with Section 9.6) of (a) either (i) the Japan Purchase Price Adjustment, as defined below, or (ii) the Japan Profit Share, as defined below, as applicable for such Quarter, plus (b) the Regeneron Detail Default Payment, if any. The “Regeneron Detail Default Payment” shall equal [****] of the Detail Default Payment paid by Santen to the BYL in a Quarter,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2"/>
          <w:szCs w:val="22"/>
          <w:color w:val="auto"/>
        </w:rPr>
        <w:t>An example of a calculation of the Territory Profit Split in a Quarter would be: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8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Aggregate</w:t>
            </w:r>
          </w:p>
        </w:tc>
        <w:tc>
          <w:tcPr>
            <w:tcW w:w="1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Company</w:t>
            </w:r>
          </w:p>
        </w:tc>
        <w:tc>
          <w:tcPr>
            <w:tcW w:w="38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Regeneron</w:t>
            </w:r>
          </w:p>
        </w:tc>
      </w:tr>
      <w:tr>
        <w:trPr>
          <w:trHeight w:val="518"/>
        </w:trPr>
        <w:tc>
          <w:tcPr>
            <w:tcW w:w="38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Net Sales in the Territory*</w:t>
            </w:r>
          </w:p>
        </w:tc>
        <w:tc>
          <w:tcPr>
            <w:tcW w:w="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1000</w:t>
            </w:r>
          </w:p>
        </w:tc>
        <w:tc>
          <w:tcPr>
            <w:tcW w:w="780" w:type="dxa"/>
            <w:vAlign w:val="bottom"/>
          </w:tcPr>
          <w:p>
            <w:pPr>
              <w:spacing w:after="0"/>
              <w:rPr>
                <w:sz w:val="24"/>
                <w:szCs w:val="24"/>
                <w:color w:val="auto"/>
              </w:rPr>
            </w:pP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1000</w:t>
            </w:r>
          </w:p>
        </w:tc>
        <w:tc>
          <w:tcPr>
            <w:tcW w:w="3880" w:type="dxa"/>
            <w:vAlign w:val="bottom"/>
          </w:tcPr>
          <w:p>
            <w:pPr>
              <w:spacing w:after="0"/>
              <w:rPr>
                <w:sz w:val="24"/>
                <w:szCs w:val="24"/>
                <w:color w:val="auto"/>
              </w:rPr>
            </w:pPr>
          </w:p>
        </w:tc>
      </w:tr>
      <w:tr>
        <w:trPr>
          <w:trHeight w:val="514"/>
        </w:trPr>
        <w:tc>
          <w:tcPr>
            <w:tcW w:w="38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COGS*</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2"/>
              </w:rPr>
              <w:t>(50)</w:t>
            </w:r>
          </w:p>
        </w:tc>
        <w:tc>
          <w:tcPr>
            <w:tcW w:w="780" w:type="dxa"/>
            <w:vAlign w:val="bottom"/>
          </w:tcPr>
          <w:p>
            <w:pPr>
              <w:spacing w:after="0"/>
              <w:rPr>
                <w:sz w:val="24"/>
                <w:szCs w:val="24"/>
                <w:color w:val="auto"/>
              </w:rPr>
            </w:pPr>
          </w:p>
        </w:tc>
        <w:tc>
          <w:tcPr>
            <w:tcW w:w="16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(50)</w:t>
            </w:r>
          </w:p>
        </w:tc>
        <w:tc>
          <w:tcPr>
            <w:tcW w:w="3880" w:type="dxa"/>
            <w:vAlign w:val="bottom"/>
          </w:tcPr>
          <w:p>
            <w:pPr>
              <w:jc w:val="right"/>
              <w:ind w:right="3012"/>
              <w:spacing w:after="0"/>
              <w:rPr>
                <w:sz w:val="20"/>
                <w:szCs w:val="20"/>
                <w:color w:val="auto"/>
              </w:rPr>
            </w:pPr>
            <w:r>
              <w:rPr>
                <w:rFonts w:ascii="Times New Roman" w:cs="Times New Roman" w:eastAsia="Times New Roman" w:hAnsi="Times New Roman"/>
                <w:sz w:val="22"/>
                <w:szCs w:val="22"/>
                <w:color w:val="auto"/>
              </w:rPr>
              <w:t>0</w:t>
            </w:r>
          </w:p>
        </w:tc>
      </w:tr>
      <w:tr>
        <w:trPr>
          <w:trHeight w:val="257"/>
        </w:trPr>
        <w:tc>
          <w:tcPr>
            <w:tcW w:w="38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Promotion Expenses*</w:t>
            </w:r>
          </w:p>
        </w:tc>
        <w:tc>
          <w:tcPr>
            <w:tcW w:w="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6"/>
              </w:rPr>
              <w:t>(350)</w:t>
            </w:r>
          </w:p>
        </w:tc>
        <w:tc>
          <w:tcPr>
            <w:tcW w:w="780" w:type="dxa"/>
            <w:vAlign w:val="bottom"/>
          </w:tcPr>
          <w:p>
            <w:pPr>
              <w:spacing w:after="0"/>
              <w:rPr>
                <w:sz w:val="22"/>
                <w:szCs w:val="22"/>
                <w:color w:val="auto"/>
              </w:rPr>
            </w:pPr>
          </w:p>
        </w:tc>
        <w:tc>
          <w:tcPr>
            <w:tcW w:w="16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(300)</w:t>
            </w:r>
          </w:p>
        </w:tc>
        <w:tc>
          <w:tcPr>
            <w:tcW w:w="38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(50)</w:t>
            </w:r>
          </w:p>
        </w:tc>
      </w:tr>
      <w:tr>
        <w:trPr>
          <w:trHeight w:val="829"/>
        </w:trPr>
        <w:tc>
          <w:tcPr>
            <w:tcW w:w="38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Territory Profits</w:t>
            </w:r>
          </w:p>
        </w:tc>
        <w:tc>
          <w:tcPr>
            <w:tcW w:w="340" w:type="dxa"/>
            <w:vAlign w:val="bottom"/>
          </w:tcPr>
          <w:p>
            <w:pPr>
              <w:spacing w:after="0"/>
              <w:rPr>
                <w:sz w:val="20"/>
                <w:szCs w:val="20"/>
                <w:color w:val="auto"/>
              </w:rPr>
            </w:pPr>
            <w:r>
              <w:rPr>
                <w:rFonts w:ascii="Times New Roman" w:cs="Times New Roman" w:eastAsia="Times New Roman" w:hAnsi="Times New Roman"/>
                <w:sz w:val="22"/>
                <w:szCs w:val="22"/>
                <w:color w:val="auto"/>
                <w:w w:val="96"/>
              </w:rPr>
              <w:t>600</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40"/>
        </w:trPr>
        <w:tc>
          <w:tcPr>
            <w:tcW w:w="38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50% of Territory Profits</w:t>
            </w:r>
          </w:p>
        </w:tc>
        <w:tc>
          <w:tcPr>
            <w:tcW w:w="340" w:type="dxa"/>
            <w:vAlign w:val="bottom"/>
          </w:tcPr>
          <w:p>
            <w:pPr>
              <w:spacing w:after="0"/>
              <w:rPr>
                <w:sz w:val="20"/>
                <w:szCs w:val="20"/>
                <w:color w:val="auto"/>
              </w:rPr>
            </w:pPr>
            <w:r>
              <w:rPr>
                <w:rFonts w:ascii="Times New Roman" w:cs="Times New Roman" w:eastAsia="Times New Roman" w:hAnsi="Times New Roman"/>
                <w:sz w:val="22"/>
                <w:szCs w:val="22"/>
                <w:color w:val="auto"/>
                <w:w w:val="96"/>
              </w:rPr>
              <w:t>300</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31"/>
        </w:trPr>
        <w:tc>
          <w:tcPr>
            <w:tcW w:w="3880" w:type="dxa"/>
            <w:vAlign w:val="bottom"/>
          </w:tcPr>
          <w:p>
            <w:pPr>
              <w:ind w:left="80"/>
              <w:spacing w:after="0" w:line="231" w:lineRule="exact"/>
              <w:rPr>
                <w:sz w:val="20"/>
                <w:szCs w:val="20"/>
                <w:color w:val="auto"/>
              </w:rPr>
            </w:pPr>
            <w:r>
              <w:rPr>
                <w:rFonts w:ascii="Times New Roman" w:cs="Times New Roman" w:eastAsia="Times New Roman" w:hAnsi="Times New Roman"/>
                <w:sz w:val="22"/>
                <w:szCs w:val="22"/>
                <w:color w:val="auto"/>
              </w:rPr>
              <w:t>Japan Profit Split</w:t>
            </w:r>
          </w:p>
        </w:tc>
        <w:tc>
          <w:tcPr>
            <w:tcW w:w="340" w:type="dxa"/>
            <w:vAlign w:val="bottom"/>
            <w:tcBorders>
              <w:bottom w:val="single" w:sz="8" w:color="auto"/>
            </w:tcBorders>
          </w:tcPr>
          <w:p>
            <w:pPr>
              <w:spacing w:after="0" w:line="231" w:lineRule="exact"/>
              <w:rPr>
                <w:sz w:val="20"/>
                <w:szCs w:val="20"/>
                <w:color w:val="auto"/>
              </w:rPr>
            </w:pPr>
            <w:r>
              <w:rPr>
                <w:rFonts w:ascii="Times New Roman" w:cs="Times New Roman" w:eastAsia="Times New Roman" w:hAnsi="Times New Roman"/>
                <w:sz w:val="22"/>
                <w:szCs w:val="22"/>
                <w:color w:val="auto"/>
                <w:w w:val="96"/>
              </w:rPr>
              <w:t>100</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303"/>
        </w:trPr>
        <w:tc>
          <w:tcPr>
            <w:tcW w:w="3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Territory Profit Split</w:t>
            </w:r>
          </w:p>
        </w:tc>
        <w:tc>
          <w:tcPr>
            <w:tcW w:w="340" w:type="dxa"/>
            <w:vAlign w:val="bottom"/>
          </w:tcPr>
          <w:p>
            <w:pPr>
              <w:spacing w:after="0"/>
              <w:rPr>
                <w:sz w:val="20"/>
                <w:szCs w:val="20"/>
                <w:color w:val="auto"/>
              </w:rPr>
            </w:pPr>
            <w:r>
              <w:rPr>
                <w:rFonts w:ascii="Times New Roman" w:cs="Times New Roman" w:eastAsia="Times New Roman" w:hAnsi="Times New Roman"/>
                <w:sz w:val="22"/>
                <w:szCs w:val="22"/>
                <w:color w:val="auto"/>
                <w:w w:val="96"/>
              </w:rPr>
              <w:t>400</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80" w:type="dxa"/>
            <w:vAlign w:val="bottom"/>
          </w:tcPr>
          <w:p>
            <w:pPr>
              <w:spacing w:after="0"/>
              <w:rPr>
                <w:sz w:val="24"/>
                <w:szCs w:val="24"/>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Excluding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620"/>
          </w:cols>
          <w:pgMar w:left="320" w:top="1421" w:right="959" w:bottom="1440" w:gutter="0" w:footer="0" w:header="0"/>
        </w:sectPr>
      </w:pPr>
    </w:p>
    <w:bookmarkStart w:id="148" w:name="page149"/>
    <w:bookmarkEnd w:id="148"/>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u w:val="single" w:color="auto"/>
          <w:color w:val="auto"/>
        </w:rPr>
        <w:t>A. JAPAN PURCHASE PRICE ADJUSTMENT</w:t>
      </w:r>
    </w:p>
    <w:p>
      <w:pPr>
        <w:spacing w:after="0" w:line="22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The Japan Purchase Price Adjustment mechanism shall always apply unless the Parties cannot reach agreement for adjustments pursuant to paragraphs 9 and 10, in which case the Japan Profit Share will apply.</w:t>
      </w:r>
    </w:p>
    <w:p>
      <w:pPr>
        <w:spacing w:after="0" w:line="171"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2"/>
          <w:szCs w:val="22"/>
          <w:color w:val="auto"/>
        </w:rPr>
        <w:t>For each calendar year through December 31, 2021 that the Santen Co-Promotion Agreement is in effect, the “Japan Purchase Price Adjustment” shall equal the sum of (i) 33.5% of Santen Market Net Sales up to Baseline A Santen Market Net Sales for such year, (ii) [****] of Santen Market Net Sales in excess of Baseline A Santen Market Net Sales up to Baseline B Santen Market Net Sales for such year, (iii) [****] of Santen Market Net Sales in excess of Baseline B Santen Market Net Sales up to Baseline C Santen Market Net Sales for such year, and (iv) 40.0% of Santen Market Net Sales in excess of Baseline C Santen Market Net Sales.</w:t>
      </w:r>
    </w:p>
    <w:p>
      <w:pPr>
        <w:spacing w:after="0" w:line="181"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22"/>
          <w:szCs w:val="22"/>
          <w:color w:val="auto"/>
        </w:rPr>
        <w:t>For each calendar year through [****] that the Santen Co-Promotion Agreement is not in effect, the Japan Purchase Price Adjustment shall equal [****] of Bayer Market Net Sales.</w:t>
      </w:r>
    </w:p>
    <w:p>
      <w:pPr>
        <w:spacing w:after="0" w:line="158"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22"/>
          <w:szCs w:val="22"/>
          <w:color w:val="auto"/>
        </w:rPr>
        <w:t>From and after a Santen Change of Control, and in any event after [****], the Japan Purchase Price Adjustment shall equal [****] of Bayer Market Net Sales.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Baseline A Santen Market Net Sales, Baseline B Santen Market Net Sales, and Baseline C Santen Market Net Sales are set forth below:</w:t>
      </w:r>
    </w:p>
    <w:p>
      <w:pPr>
        <w:spacing w:after="0" w:line="165" w:lineRule="exact"/>
        <w:rPr>
          <w:sz w:val="20"/>
          <w:szCs w:val="20"/>
          <w:color w:val="auto"/>
        </w:rPr>
      </w:pPr>
    </w:p>
    <w:tbl>
      <w:tblPr>
        <w:tblLayout w:type="fixed"/>
        <w:tblInd w:w="3450" w:type="dxa"/>
        <w:tblCellMar>
          <w:top w:w="0" w:type="dxa"/>
          <w:left w:w="0" w:type="dxa"/>
          <w:bottom w:w="0" w:type="dxa"/>
          <w:right w:w="0" w:type="dxa"/>
        </w:tblCellMar>
      </w:tblPr>
      <w:tr>
        <w:trPr>
          <w:trHeight w:val="229"/>
        </w:trPr>
        <w:tc>
          <w:tcPr>
            <w:tcW w:w="340" w:type="dxa"/>
            <w:vAlign w:val="bottom"/>
            <w:tcBorders>
              <w:top w:val="single" w:sz="8" w:color="auto"/>
              <w:left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righ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140" w:type="dxa"/>
            <w:vAlign w:val="bottom"/>
            <w:tcBorders>
              <w:top w:val="single" w:sz="8" w:color="auto"/>
              <w:right w:val="single" w:sz="8" w:color="auto"/>
            </w:tcBorders>
            <w:gridSpan w:val="17"/>
          </w:tcPr>
          <w:p>
            <w:pPr>
              <w:jc w:val="center"/>
              <w:ind w:right="920"/>
              <w:spacing w:after="0" w:line="229" w:lineRule="exact"/>
              <w:rPr>
                <w:sz w:val="20"/>
                <w:szCs w:val="20"/>
                <w:color w:val="auto"/>
              </w:rPr>
            </w:pPr>
            <w:r>
              <w:rPr>
                <w:rFonts w:ascii="Times New Roman" w:cs="Times New Roman" w:eastAsia="Times New Roman" w:hAnsi="Times New Roman"/>
                <w:sz w:val="22"/>
                <w:szCs w:val="22"/>
                <w:color w:val="auto"/>
                <w:w w:val="98"/>
              </w:rPr>
              <w:t>Santen Market Net Sales</w:t>
            </w:r>
          </w:p>
        </w:tc>
        <w:tc>
          <w:tcPr>
            <w:tcW w:w="0" w:type="dxa"/>
            <w:vAlign w:val="bottom"/>
          </w:tcPr>
          <w:p>
            <w:pPr>
              <w:spacing w:after="0"/>
              <w:rPr>
                <w:sz w:val="1"/>
                <w:szCs w:val="1"/>
                <w:color w:val="auto"/>
              </w:rPr>
            </w:pPr>
          </w:p>
        </w:tc>
      </w:tr>
      <w:tr>
        <w:trPr>
          <w:trHeight w:val="196"/>
        </w:trPr>
        <w:tc>
          <w:tcPr>
            <w:tcW w:w="34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10"/>
          </w:tcPr>
          <w:p>
            <w:pPr>
              <w:jc w:val="center"/>
              <w:spacing w:after="0" w:line="196" w:lineRule="exact"/>
              <w:rPr>
                <w:sz w:val="20"/>
                <w:szCs w:val="20"/>
                <w:color w:val="auto"/>
              </w:rPr>
            </w:pPr>
            <w:r>
              <w:rPr>
                <w:rFonts w:ascii="Times New Roman" w:cs="Times New Roman" w:eastAsia="Times New Roman" w:hAnsi="Times New Roman"/>
                <w:sz w:val="22"/>
                <w:szCs w:val="22"/>
                <w:color w:val="auto"/>
                <w:w w:val="96"/>
              </w:rPr>
              <w:t>(in millions of Yen)</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4"/>
          </w:tcPr>
          <w:p>
            <w:pPr>
              <w:ind w:left="20"/>
              <w:spacing w:after="0" w:line="209" w:lineRule="exact"/>
              <w:rPr>
                <w:sz w:val="20"/>
                <w:szCs w:val="20"/>
                <w:color w:val="auto"/>
              </w:rPr>
            </w:pPr>
            <w:r>
              <w:rPr>
                <w:rFonts w:ascii="Times New Roman" w:cs="Times New Roman" w:eastAsia="Times New Roman" w:hAnsi="Times New Roman"/>
                <w:sz w:val="22"/>
                <w:szCs w:val="22"/>
                <w:color w:val="auto"/>
              </w:rPr>
              <w:t>Year</w:t>
            </w:r>
          </w:p>
        </w:tc>
        <w:tc>
          <w:tcPr>
            <w:tcW w:w="1340" w:type="dxa"/>
            <w:vAlign w:val="bottom"/>
            <w:tcBorders>
              <w:right w:val="single" w:sz="8" w:color="auto"/>
            </w:tcBorders>
            <w:gridSpan w:val="6"/>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8"/>
              </w:rPr>
              <w:t>Baseline A</w:t>
            </w:r>
          </w:p>
        </w:tc>
        <w:tc>
          <w:tcPr>
            <w:tcW w:w="200" w:type="dxa"/>
            <w:vAlign w:val="bottom"/>
          </w:tcPr>
          <w:p>
            <w:pPr>
              <w:spacing w:after="0"/>
              <w:rPr>
                <w:sz w:val="18"/>
                <w:szCs w:val="18"/>
                <w:color w:val="auto"/>
              </w:rPr>
            </w:pPr>
          </w:p>
        </w:tc>
        <w:tc>
          <w:tcPr>
            <w:tcW w:w="9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Baseline B</w:t>
            </w:r>
          </w:p>
        </w:tc>
        <w:tc>
          <w:tcPr>
            <w:tcW w:w="220" w:type="dxa"/>
            <w:vAlign w:val="bottom"/>
            <w:tcBorders>
              <w:right w:val="single" w:sz="8" w:color="auto"/>
            </w:tcBorders>
            <w:vMerge w:val="restart"/>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22"/>
                <w:szCs w:val="22"/>
                <w:color w:val="auto"/>
                <w:w w:val="97"/>
              </w:rPr>
              <w:t>Baseline C</w:t>
            </w:r>
          </w:p>
        </w:tc>
        <w:tc>
          <w:tcPr>
            <w:tcW w:w="18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bottom w:val="single" w:sz="8" w:color="auto"/>
            </w:tcBorders>
            <w:gridSpan w:val="5"/>
            <w:vMerge w:val="continue"/>
          </w:tcPr>
          <w:p>
            <w:pPr>
              <w:spacing w:after="0"/>
              <w:rPr>
                <w:sz w:val="19"/>
                <w:szCs w:val="19"/>
                <w:color w:val="auto"/>
              </w:rPr>
            </w:pPr>
          </w:p>
        </w:tc>
        <w:tc>
          <w:tcPr>
            <w:tcW w:w="220" w:type="dxa"/>
            <w:vAlign w:val="bottom"/>
            <w:tcBorders>
              <w:right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gridSpan w:val="4"/>
            <w:vMerge w:val="continue"/>
          </w:tcPr>
          <w:p>
            <w:pPr>
              <w:spacing w:after="0"/>
              <w:rPr>
                <w:sz w:val="19"/>
                <w:szCs w:val="19"/>
                <w:color w:val="auto"/>
              </w:rPr>
            </w:pPr>
          </w:p>
        </w:tc>
        <w:tc>
          <w:tcPr>
            <w:tcW w:w="18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right w:val="single" w:sz="8" w:color="auto"/>
            </w:tcBorders>
            <w:gridSpan w:val="4"/>
          </w:tcPr>
          <w:p>
            <w:pPr>
              <w:jc w:val="center"/>
              <w:ind w:right="280"/>
              <w:spacing w:after="0" w:line="196" w:lineRule="exact"/>
              <w:rPr>
                <w:sz w:val="20"/>
                <w:szCs w:val="20"/>
                <w:color w:val="auto"/>
              </w:rPr>
            </w:pPr>
            <w:r>
              <w:rPr>
                <w:rFonts w:ascii="Times New Roman" w:cs="Times New Roman" w:eastAsia="Times New Roman" w:hAnsi="Times New Roman"/>
                <w:sz w:val="18"/>
                <w:szCs w:val="18"/>
                <w:color w:val="auto"/>
                <w:w w:val="97"/>
              </w:rPr>
              <w:t>(=[****] of</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right w:val="single" w:sz="8" w:color="auto"/>
            </w:tcBorders>
            <w:gridSpan w:val="4"/>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0"/>
        </w:trPr>
        <w:tc>
          <w:tcPr>
            <w:tcW w:w="3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gridSpan w:val="6"/>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Baseline A)</w:t>
            </w:r>
          </w:p>
        </w:tc>
        <w:tc>
          <w:tcPr>
            <w:tcW w:w="160" w:type="dxa"/>
            <w:vAlign w:val="bottom"/>
          </w:tcPr>
          <w:p>
            <w:pPr>
              <w:spacing w:after="0"/>
              <w:rPr>
                <w:sz w:val="17"/>
                <w:szCs w:val="17"/>
                <w:color w:val="auto"/>
              </w:rPr>
            </w:pPr>
          </w:p>
        </w:tc>
        <w:tc>
          <w:tcPr>
            <w:tcW w:w="1180" w:type="dxa"/>
            <w:vAlign w:val="bottom"/>
            <w:tcBorders>
              <w:right w:val="single" w:sz="8" w:color="auto"/>
            </w:tcBorders>
            <w:gridSpan w:val="5"/>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8"/>
              </w:rPr>
              <w:t>Baseline A)</w:t>
            </w:r>
          </w:p>
        </w:tc>
        <w:tc>
          <w:tcPr>
            <w:tcW w:w="0" w:type="dxa"/>
            <w:vAlign w:val="bottom"/>
          </w:tcPr>
          <w:p>
            <w:pPr>
              <w:spacing w:after="0"/>
              <w:rPr>
                <w:sz w:val="1"/>
                <w:szCs w:val="1"/>
                <w:color w:val="auto"/>
              </w:rPr>
            </w:pPr>
          </w:p>
        </w:tc>
      </w:tr>
      <w:tr>
        <w:trPr>
          <w:trHeight w:val="263"/>
        </w:trPr>
        <w:tc>
          <w:tcPr>
            <w:tcW w:w="340" w:type="dxa"/>
            <w:vAlign w:val="bottom"/>
            <w:tcBorders>
              <w:left w:val="single" w:sz="8" w:color="auto"/>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0" w:type="dxa"/>
            <w:vAlign w:val="bottom"/>
            <w:tcBorders>
              <w:left w:val="single" w:sz="8" w:color="auto"/>
            </w:tcBorders>
            <w:gridSpan w:val="4"/>
          </w:tcPr>
          <w:p>
            <w:pPr>
              <w:ind w:left="340"/>
              <w:spacing w:after="0" w:line="209" w:lineRule="exact"/>
              <w:rPr>
                <w:sz w:val="20"/>
                <w:szCs w:val="20"/>
                <w:color w:val="auto"/>
              </w:rPr>
            </w:pPr>
            <w:r>
              <w:rPr>
                <w:rFonts w:ascii="Times New Roman" w:cs="Times New Roman" w:eastAsia="Times New Roman" w:hAnsi="Times New Roman"/>
                <w:sz w:val="22"/>
                <w:szCs w:val="22"/>
                <w:color w:val="auto"/>
                <w:w w:val="95"/>
              </w:rPr>
              <w:t>2012</w:t>
            </w:r>
          </w:p>
        </w:tc>
        <w:tc>
          <w:tcPr>
            <w:tcW w:w="340" w:type="dxa"/>
            <w:vAlign w:val="bottom"/>
            <w:tcBorders>
              <w:right w:val="single" w:sz="8" w:color="auto"/>
            </w:tcBorders>
          </w:tcPr>
          <w:p>
            <w:pPr>
              <w:spacing w:after="0"/>
              <w:rPr>
                <w:sz w:val="18"/>
                <w:szCs w:val="18"/>
                <w:color w:val="auto"/>
              </w:rPr>
            </w:pPr>
          </w:p>
        </w:tc>
        <w:tc>
          <w:tcPr>
            <w:tcW w:w="900" w:type="dxa"/>
            <w:vAlign w:val="bottom"/>
            <w:gridSpan w:val="2"/>
          </w:tcPr>
          <w:p>
            <w:pPr>
              <w:jc w:val="center"/>
              <w:ind w:left="300"/>
              <w:spacing w:after="0" w:line="209" w:lineRule="exact"/>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80" w:type="dxa"/>
            <w:vAlign w:val="bottom"/>
            <w:gridSpan w:val="4"/>
          </w:tcPr>
          <w:p>
            <w:pPr>
              <w:jc w:val="center"/>
              <w:ind w:left="161"/>
              <w:spacing w:after="0" w:line="209" w:lineRule="exact"/>
              <w:rPr>
                <w:sz w:val="20"/>
                <w:szCs w:val="20"/>
                <w:color w:val="auto"/>
              </w:rPr>
            </w:pPr>
            <w:r>
              <w:rPr>
                <w:rFonts w:ascii="Arial" w:cs="Arial" w:eastAsia="Arial" w:hAnsi="Arial"/>
                <w:sz w:val="20"/>
                <w:szCs w:val="20"/>
                <w:color w:val="auto"/>
                <w:w w:val="99"/>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0" w:type="dxa"/>
            <w:vAlign w:val="bottom"/>
            <w:tcBorders>
              <w:left w:val="single" w:sz="8" w:color="auto"/>
            </w:tcBorders>
            <w:gridSpan w:val="4"/>
          </w:tcPr>
          <w:p>
            <w:pPr>
              <w:ind w:left="340"/>
              <w:spacing w:after="0" w:line="209" w:lineRule="exact"/>
              <w:rPr>
                <w:sz w:val="20"/>
                <w:szCs w:val="20"/>
                <w:color w:val="auto"/>
              </w:rPr>
            </w:pPr>
            <w:r>
              <w:rPr>
                <w:rFonts w:ascii="Times New Roman" w:cs="Times New Roman" w:eastAsia="Times New Roman" w:hAnsi="Times New Roman"/>
                <w:sz w:val="22"/>
                <w:szCs w:val="22"/>
                <w:color w:val="auto"/>
                <w:w w:val="95"/>
              </w:rPr>
              <w:t>2013</w:t>
            </w:r>
          </w:p>
        </w:tc>
        <w:tc>
          <w:tcPr>
            <w:tcW w:w="340" w:type="dxa"/>
            <w:vAlign w:val="bottom"/>
            <w:tcBorders>
              <w:right w:val="single" w:sz="8" w:color="auto"/>
            </w:tcBorders>
          </w:tcPr>
          <w:p>
            <w:pPr>
              <w:spacing w:after="0"/>
              <w:rPr>
                <w:sz w:val="18"/>
                <w:szCs w:val="18"/>
                <w:color w:val="auto"/>
              </w:rPr>
            </w:pPr>
          </w:p>
        </w:tc>
        <w:tc>
          <w:tcPr>
            <w:tcW w:w="900" w:type="dxa"/>
            <w:vAlign w:val="bottom"/>
            <w:gridSpan w:val="2"/>
          </w:tcPr>
          <w:p>
            <w:pPr>
              <w:jc w:val="center"/>
              <w:ind w:left="300"/>
              <w:spacing w:after="0" w:line="209" w:lineRule="exact"/>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80" w:type="dxa"/>
            <w:vAlign w:val="bottom"/>
            <w:gridSpan w:val="4"/>
          </w:tcPr>
          <w:p>
            <w:pPr>
              <w:jc w:val="center"/>
              <w:ind w:left="161"/>
              <w:spacing w:after="0" w:line="209" w:lineRule="exact"/>
              <w:rPr>
                <w:sz w:val="20"/>
                <w:szCs w:val="20"/>
                <w:color w:val="auto"/>
              </w:rPr>
            </w:pPr>
            <w:r>
              <w:rPr>
                <w:rFonts w:ascii="Arial" w:cs="Arial" w:eastAsia="Arial" w:hAnsi="Arial"/>
                <w:sz w:val="20"/>
                <w:szCs w:val="20"/>
                <w:color w:val="auto"/>
                <w:w w:val="99"/>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80" w:type="dxa"/>
            <w:vAlign w:val="bottom"/>
            <w:tcBorders>
              <w:left w:val="single" w:sz="8" w:color="auto"/>
            </w:tcBorders>
            <w:gridSpan w:val="4"/>
          </w:tcPr>
          <w:p>
            <w:pPr>
              <w:ind w:left="340"/>
              <w:spacing w:after="0" w:line="209" w:lineRule="exact"/>
              <w:rPr>
                <w:sz w:val="20"/>
                <w:szCs w:val="20"/>
                <w:color w:val="auto"/>
              </w:rPr>
            </w:pPr>
            <w:r>
              <w:rPr>
                <w:rFonts w:ascii="Times New Roman" w:cs="Times New Roman" w:eastAsia="Times New Roman" w:hAnsi="Times New Roman"/>
                <w:sz w:val="22"/>
                <w:szCs w:val="22"/>
                <w:color w:val="auto"/>
                <w:w w:val="95"/>
              </w:rPr>
              <w:t>2014</w:t>
            </w:r>
          </w:p>
        </w:tc>
        <w:tc>
          <w:tcPr>
            <w:tcW w:w="340" w:type="dxa"/>
            <w:vAlign w:val="bottom"/>
            <w:tcBorders>
              <w:right w:val="single" w:sz="8" w:color="auto"/>
            </w:tcBorders>
          </w:tcPr>
          <w:p>
            <w:pPr>
              <w:spacing w:after="0"/>
              <w:rPr>
                <w:sz w:val="18"/>
                <w:szCs w:val="18"/>
                <w:color w:val="auto"/>
              </w:rPr>
            </w:pPr>
          </w:p>
        </w:tc>
        <w:tc>
          <w:tcPr>
            <w:tcW w:w="900" w:type="dxa"/>
            <w:vAlign w:val="bottom"/>
            <w:gridSpan w:val="2"/>
          </w:tcPr>
          <w:p>
            <w:pPr>
              <w:jc w:val="center"/>
              <w:ind w:left="300"/>
              <w:spacing w:after="0" w:line="209" w:lineRule="exact"/>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80" w:type="dxa"/>
            <w:vAlign w:val="bottom"/>
            <w:gridSpan w:val="4"/>
          </w:tcPr>
          <w:p>
            <w:pPr>
              <w:jc w:val="center"/>
              <w:ind w:left="161"/>
              <w:spacing w:after="0" w:line="209" w:lineRule="exact"/>
              <w:rPr>
                <w:sz w:val="20"/>
                <w:szCs w:val="20"/>
                <w:color w:val="auto"/>
              </w:rPr>
            </w:pPr>
            <w:r>
              <w:rPr>
                <w:rFonts w:ascii="Arial" w:cs="Arial" w:eastAsia="Arial" w:hAnsi="Arial"/>
                <w:sz w:val="20"/>
                <w:szCs w:val="20"/>
                <w:color w:val="auto"/>
                <w:w w:val="99"/>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80" w:type="dxa"/>
            <w:vAlign w:val="bottom"/>
            <w:tcBorders>
              <w:left w:val="single" w:sz="8" w:color="auto"/>
            </w:tcBorders>
            <w:gridSpan w:val="4"/>
          </w:tcPr>
          <w:p>
            <w:pPr>
              <w:ind w:left="340"/>
              <w:spacing w:after="0" w:line="209" w:lineRule="exact"/>
              <w:rPr>
                <w:sz w:val="20"/>
                <w:szCs w:val="20"/>
                <w:color w:val="auto"/>
              </w:rPr>
            </w:pPr>
            <w:r>
              <w:rPr>
                <w:rFonts w:ascii="Times New Roman" w:cs="Times New Roman" w:eastAsia="Times New Roman" w:hAnsi="Times New Roman"/>
                <w:sz w:val="22"/>
                <w:szCs w:val="22"/>
                <w:color w:val="auto"/>
                <w:w w:val="95"/>
              </w:rPr>
              <w:t>2015</w:t>
            </w:r>
          </w:p>
        </w:tc>
        <w:tc>
          <w:tcPr>
            <w:tcW w:w="340" w:type="dxa"/>
            <w:vAlign w:val="bottom"/>
            <w:tcBorders>
              <w:right w:val="single" w:sz="8" w:color="auto"/>
            </w:tcBorders>
          </w:tcPr>
          <w:p>
            <w:pPr>
              <w:spacing w:after="0"/>
              <w:rPr>
                <w:sz w:val="18"/>
                <w:szCs w:val="18"/>
                <w:color w:val="auto"/>
              </w:rPr>
            </w:pPr>
          </w:p>
        </w:tc>
        <w:tc>
          <w:tcPr>
            <w:tcW w:w="900" w:type="dxa"/>
            <w:vAlign w:val="bottom"/>
            <w:gridSpan w:val="2"/>
          </w:tcPr>
          <w:p>
            <w:pPr>
              <w:jc w:val="center"/>
              <w:ind w:left="300"/>
              <w:spacing w:after="0" w:line="209" w:lineRule="exact"/>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80" w:type="dxa"/>
            <w:vAlign w:val="bottom"/>
            <w:gridSpan w:val="4"/>
          </w:tcPr>
          <w:p>
            <w:pPr>
              <w:jc w:val="center"/>
              <w:ind w:left="161"/>
              <w:spacing w:after="0" w:line="209" w:lineRule="exact"/>
              <w:rPr>
                <w:sz w:val="20"/>
                <w:szCs w:val="20"/>
                <w:color w:val="auto"/>
              </w:rPr>
            </w:pPr>
            <w:r>
              <w:rPr>
                <w:rFonts w:ascii="Arial" w:cs="Arial" w:eastAsia="Arial" w:hAnsi="Arial"/>
                <w:sz w:val="20"/>
                <w:szCs w:val="20"/>
                <w:color w:val="auto"/>
                <w:w w:val="99"/>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80" w:type="dxa"/>
            <w:vAlign w:val="bottom"/>
            <w:tcBorders>
              <w:left w:val="single" w:sz="8" w:color="auto"/>
            </w:tcBorders>
            <w:gridSpan w:val="4"/>
          </w:tcPr>
          <w:p>
            <w:pPr>
              <w:ind w:left="340"/>
              <w:spacing w:after="0" w:line="209" w:lineRule="exact"/>
              <w:rPr>
                <w:sz w:val="20"/>
                <w:szCs w:val="20"/>
                <w:color w:val="auto"/>
              </w:rPr>
            </w:pPr>
            <w:r>
              <w:rPr>
                <w:rFonts w:ascii="Times New Roman" w:cs="Times New Roman" w:eastAsia="Times New Roman" w:hAnsi="Times New Roman"/>
                <w:sz w:val="22"/>
                <w:szCs w:val="22"/>
                <w:color w:val="auto"/>
                <w:w w:val="95"/>
              </w:rPr>
              <w:t>2016</w:t>
            </w:r>
          </w:p>
        </w:tc>
        <w:tc>
          <w:tcPr>
            <w:tcW w:w="340" w:type="dxa"/>
            <w:vAlign w:val="bottom"/>
            <w:tcBorders>
              <w:right w:val="single" w:sz="8" w:color="auto"/>
            </w:tcBorders>
          </w:tcPr>
          <w:p>
            <w:pPr>
              <w:spacing w:after="0"/>
              <w:rPr>
                <w:sz w:val="18"/>
                <w:szCs w:val="18"/>
                <w:color w:val="auto"/>
              </w:rPr>
            </w:pPr>
          </w:p>
        </w:tc>
        <w:tc>
          <w:tcPr>
            <w:tcW w:w="900" w:type="dxa"/>
            <w:vAlign w:val="bottom"/>
            <w:gridSpan w:val="2"/>
          </w:tcPr>
          <w:p>
            <w:pPr>
              <w:jc w:val="center"/>
              <w:ind w:left="300"/>
              <w:spacing w:after="0" w:line="209" w:lineRule="exact"/>
              <w:rPr>
                <w:sz w:val="20"/>
                <w:szCs w:val="20"/>
                <w:color w:val="auto"/>
              </w:rPr>
            </w:pPr>
            <w:r>
              <w:rPr>
                <w:rFonts w:ascii="Arial" w:cs="Arial" w:eastAsia="Arial" w:hAnsi="Arial"/>
                <w:sz w:val="20"/>
                <w:szCs w:val="20"/>
                <w:color w:val="auto"/>
                <w:w w:val="99"/>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80" w:type="dxa"/>
            <w:vAlign w:val="bottom"/>
            <w:gridSpan w:val="4"/>
          </w:tcPr>
          <w:p>
            <w:pPr>
              <w:jc w:val="center"/>
              <w:ind w:left="161"/>
              <w:spacing w:after="0" w:line="209" w:lineRule="exact"/>
              <w:rPr>
                <w:sz w:val="20"/>
                <w:szCs w:val="20"/>
                <w:color w:val="auto"/>
              </w:rPr>
            </w:pPr>
            <w:r>
              <w:rPr>
                <w:rFonts w:ascii="Arial" w:cs="Arial" w:eastAsia="Arial" w:hAnsi="Arial"/>
                <w:sz w:val="20"/>
                <w:szCs w:val="20"/>
                <w:color w:val="auto"/>
                <w:w w:val="99"/>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00"/>
          </w:cols>
          <w:pgMar w:left="320" w:top="1440" w:right="479" w:bottom="1440" w:gutter="0" w:footer="0" w:header="0"/>
        </w:sectPr>
      </w:pPr>
    </w:p>
    <w:bookmarkStart w:id="149" w:name="page150"/>
    <w:bookmarkEnd w:id="149"/>
    <w:p>
      <w:pPr>
        <w:spacing w:after="0" w:line="3" w:lineRule="exact"/>
        <w:rPr>
          <w:sz w:val="20"/>
          <w:szCs w:val="20"/>
          <w:color w:val="auto"/>
        </w:rPr>
      </w:pPr>
    </w:p>
    <w:tbl>
      <w:tblPr>
        <w:tblLayout w:type="fixed"/>
        <w:tblInd w:w="3450" w:type="dxa"/>
        <w:tblCellMar>
          <w:top w:w="0" w:type="dxa"/>
          <w:left w:w="0" w:type="dxa"/>
          <w:bottom w:w="0" w:type="dxa"/>
          <w:right w:w="0" w:type="dxa"/>
        </w:tblCellMar>
      </w:tblPr>
      <w:tr>
        <w:trPr>
          <w:trHeight w:val="230"/>
        </w:trPr>
        <w:tc>
          <w:tcPr>
            <w:tcW w:w="780" w:type="dxa"/>
            <w:vAlign w:val="bottom"/>
            <w:tcBorders>
              <w:top w:val="single" w:sz="8" w:color="auto"/>
              <w:left w:val="single" w:sz="8" w:color="auto"/>
            </w:tcBorders>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2017</w:t>
            </w:r>
          </w:p>
        </w:tc>
        <w:tc>
          <w:tcPr>
            <w:tcW w:w="34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360" w:type="dxa"/>
            <w:vAlign w:val="bottom"/>
            <w:tcBorders>
              <w:top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09"/>
        </w:trPr>
        <w:tc>
          <w:tcPr>
            <w:tcW w:w="780" w:type="dxa"/>
            <w:vAlign w:val="bottom"/>
            <w:tcBorders>
              <w:left w:val="single" w:sz="8" w:color="auto"/>
            </w:tcBorders>
            <w:gridSpan w:val="2"/>
          </w:tcPr>
          <w:p>
            <w:pPr>
              <w:jc w:val="right"/>
              <w:spacing w:after="0" w:line="209" w:lineRule="exact"/>
              <w:rPr>
                <w:sz w:val="20"/>
                <w:szCs w:val="20"/>
                <w:color w:val="auto"/>
              </w:rPr>
            </w:pPr>
            <w:r>
              <w:rPr>
                <w:rFonts w:ascii="Times New Roman" w:cs="Times New Roman" w:eastAsia="Times New Roman" w:hAnsi="Times New Roman"/>
                <w:sz w:val="22"/>
                <w:szCs w:val="22"/>
                <w:color w:val="auto"/>
              </w:rPr>
              <w:t>2018</w:t>
            </w:r>
          </w:p>
        </w:tc>
        <w:tc>
          <w:tcPr>
            <w:tcW w:w="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w:t>
            </w: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09"/>
        </w:trPr>
        <w:tc>
          <w:tcPr>
            <w:tcW w:w="780" w:type="dxa"/>
            <w:vAlign w:val="bottom"/>
            <w:tcBorders>
              <w:left w:val="single" w:sz="8" w:color="auto"/>
            </w:tcBorders>
            <w:gridSpan w:val="2"/>
          </w:tcPr>
          <w:p>
            <w:pPr>
              <w:jc w:val="right"/>
              <w:spacing w:after="0" w:line="209" w:lineRule="exact"/>
              <w:rPr>
                <w:sz w:val="20"/>
                <w:szCs w:val="20"/>
                <w:color w:val="auto"/>
              </w:rPr>
            </w:pPr>
            <w:r>
              <w:rPr>
                <w:rFonts w:ascii="Times New Roman" w:cs="Times New Roman" w:eastAsia="Times New Roman" w:hAnsi="Times New Roman"/>
                <w:sz w:val="22"/>
                <w:szCs w:val="22"/>
                <w:color w:val="auto"/>
              </w:rPr>
              <w:t>2019</w:t>
            </w:r>
          </w:p>
        </w:tc>
        <w:tc>
          <w:tcPr>
            <w:tcW w:w="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w:t>
            </w: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09"/>
        </w:trPr>
        <w:tc>
          <w:tcPr>
            <w:tcW w:w="780" w:type="dxa"/>
            <w:vAlign w:val="bottom"/>
            <w:tcBorders>
              <w:left w:val="single" w:sz="8" w:color="auto"/>
            </w:tcBorders>
            <w:gridSpan w:val="2"/>
          </w:tcPr>
          <w:p>
            <w:pPr>
              <w:jc w:val="right"/>
              <w:spacing w:after="0" w:line="209" w:lineRule="exact"/>
              <w:rPr>
                <w:sz w:val="20"/>
                <w:szCs w:val="20"/>
                <w:color w:val="auto"/>
              </w:rPr>
            </w:pPr>
            <w:r>
              <w:rPr>
                <w:rFonts w:ascii="Times New Roman" w:cs="Times New Roman" w:eastAsia="Times New Roman" w:hAnsi="Times New Roman"/>
                <w:sz w:val="22"/>
                <w:szCs w:val="22"/>
                <w:color w:val="auto"/>
              </w:rPr>
              <w:t>2020</w:t>
            </w:r>
          </w:p>
        </w:tc>
        <w:tc>
          <w:tcPr>
            <w:tcW w:w="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w:t>
            </w: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09"/>
        </w:trPr>
        <w:tc>
          <w:tcPr>
            <w:tcW w:w="780" w:type="dxa"/>
            <w:vAlign w:val="bottom"/>
            <w:tcBorders>
              <w:left w:val="single" w:sz="8" w:color="auto"/>
            </w:tcBorders>
            <w:gridSpan w:val="2"/>
          </w:tcPr>
          <w:p>
            <w:pPr>
              <w:jc w:val="right"/>
              <w:spacing w:after="0" w:line="209" w:lineRule="exact"/>
              <w:rPr>
                <w:sz w:val="20"/>
                <w:szCs w:val="20"/>
                <w:color w:val="auto"/>
              </w:rPr>
            </w:pPr>
            <w:r>
              <w:rPr>
                <w:rFonts w:ascii="Times New Roman" w:cs="Times New Roman" w:eastAsia="Times New Roman" w:hAnsi="Times New Roman"/>
                <w:sz w:val="22"/>
                <w:szCs w:val="22"/>
                <w:color w:val="auto"/>
              </w:rPr>
              <w:t>2021</w:t>
            </w:r>
          </w:p>
        </w:tc>
        <w:tc>
          <w:tcPr>
            <w:tcW w:w="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w:t>
            </w:r>
          </w:p>
        </w:tc>
      </w:tr>
      <w:tr>
        <w:trPr>
          <w:trHeight w:val="34"/>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bl>
    <w:p>
      <w:pPr>
        <w:spacing w:after="0" w:line="2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When the Santen Co-Promotion Agreement is in effect, the Japan Purchase Price Adjustment for a Quarter shall be calculated based on Santen Market Net Sales in such Quarter using a rate(s) based on aggregate year-to-date Santen Market Net Sales in accordance with the formula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880"/>
          </w:cols>
          <w:pgMar w:left="320" w:top="1440" w:right="6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1"/>
          <w:szCs w:val="21"/>
          <w:color w:val="auto"/>
        </w:rPr>
        <w:t>A series of examples of the calculation of the Japan Purchase Price Adjustment is set forth below:</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139"/>
          </w:cols>
          <w:pgMar w:left="320" w:top="1421"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2"/>
          <w:szCs w:val="22"/>
          <w:u w:val="single" w:color="auto"/>
          <w:color w:val="auto"/>
        </w:rPr>
        <w:t>B. JAPAN PROFIT SHARE</w:t>
      </w:r>
    </w:p>
    <w:p>
      <w:pPr>
        <w:spacing w:after="0" w:line="22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Japan Profit Share applies only if the Parties cannot reach agreement for adjustments pursuant to paragraphs 11 and 12, otherwise the Japan Purchase Price Adjustment mechanism will apply.</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Japan Profit Share – Santen Co-Promotion Agreement in Effect</w:t>
      </w:r>
    </w:p>
    <w:p>
      <w:pPr>
        <w:spacing w:after="0" w:line="200" w:lineRule="exact"/>
        <w:rPr>
          <w:sz w:val="20"/>
          <w:szCs w:val="20"/>
          <w:color w:val="auto"/>
        </w:rPr>
      </w:pPr>
    </w:p>
    <w:p>
      <w:pPr>
        <w:spacing w:after="0" w:line="2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If the Santen Co-Promotion Agreement is in effect, the “Japan Profit Share” shall equal fifty percent (50%) of Japan Profits in the Quarter. “</w:t>
      </w:r>
      <w:r>
        <w:rPr>
          <w:rFonts w:ascii="Times New Roman" w:cs="Times New Roman" w:eastAsia="Times New Roman" w:hAnsi="Times New Roman"/>
          <w:sz w:val="22"/>
          <w:szCs w:val="22"/>
          <w:u w:val="single" w:color="auto"/>
          <w:color w:val="auto"/>
        </w:rPr>
        <w:t>Japan Profits</w:t>
      </w:r>
      <w:r>
        <w:rPr>
          <w:rFonts w:ascii="Times New Roman" w:cs="Times New Roman" w:eastAsia="Times New Roman" w:hAnsi="Times New Roman"/>
          <w:sz w:val="22"/>
          <w:szCs w:val="22"/>
          <w:color w:val="auto"/>
        </w:rPr>
        <w:t xml:space="preserve">” for this Paragraph (i) shall mean Bayer Sales in the Quarter less the sum of COGS applicable to Bayer Sales and Japan Shared Promotion Expenses incurred by BYL (following reconciliation with Santen) (and Regeneron, if any) in Japan in the Quarter. “Japan Shared Promotion Expenses” shall mean the sum of (a) Promotional Expenses (as defined in the Santen Co-Promotion Agreement) and (b) </w:t>
      </w:r>
      <w:r>
        <w:rPr>
          <w:rFonts w:ascii="Arial" w:cs="Arial" w:eastAsia="Arial" w:hAnsi="Arial"/>
          <w:sz w:val="19"/>
          <w:szCs w:val="19"/>
          <w:color w:val="auto"/>
        </w:rPr>
        <w:t>[****]</w:t>
      </w:r>
      <w:r>
        <w:rPr>
          <w:rFonts w:ascii="Times New Roman" w:cs="Times New Roman" w:eastAsia="Times New Roman" w:hAnsi="Times New Roman"/>
          <w:sz w:val="22"/>
          <w:szCs w:val="22"/>
          <w:color w:val="auto"/>
        </w:rPr>
        <w:t xml:space="preserve"> of the Promotion Fee (as defined in the Santen Co-Promotion Agreement). The other </w:t>
      </w:r>
      <w:r>
        <w:rPr>
          <w:rFonts w:ascii="Arial" w:cs="Arial" w:eastAsia="Arial" w:hAnsi="Arial"/>
          <w:sz w:val="19"/>
          <w:szCs w:val="19"/>
          <w:color w:val="auto"/>
        </w:rPr>
        <w:t>[****]</w:t>
      </w:r>
      <w:r>
        <w:rPr>
          <w:rFonts w:ascii="Times New Roman" w:cs="Times New Roman" w:eastAsia="Times New Roman" w:hAnsi="Times New Roman"/>
          <w:sz w:val="22"/>
          <w:szCs w:val="22"/>
          <w:color w:val="auto"/>
        </w:rPr>
        <w:t xml:space="preserve"> of the Promotion Fee will be borne by the Company and will not be included as a part of the calculation of Japan Profits.</w:t>
      </w:r>
    </w:p>
    <w:p>
      <w:pPr>
        <w:spacing w:after="0" w:line="200" w:lineRule="exact"/>
        <w:rPr>
          <w:sz w:val="20"/>
          <w:szCs w:val="20"/>
          <w:color w:val="auto"/>
        </w:rPr>
      </w:pPr>
    </w:p>
    <w:p>
      <w:pPr>
        <w:spacing w:after="0" w:line="222" w:lineRule="exact"/>
        <w:rPr>
          <w:sz w:val="20"/>
          <w:szCs w:val="20"/>
          <w:color w:val="auto"/>
        </w:rPr>
      </w:pPr>
    </w:p>
    <w:p>
      <w:pPr>
        <w:ind w:left="1960" w:right="500" w:hanging="647"/>
        <w:spacing w:after="0" w:line="271" w:lineRule="auto"/>
        <w:rPr>
          <w:sz w:val="20"/>
          <w:szCs w:val="20"/>
          <w:color w:val="auto"/>
        </w:rPr>
      </w:pPr>
      <w:r>
        <w:rPr>
          <w:rFonts w:ascii="Times New Roman" w:cs="Times New Roman" w:eastAsia="Times New Roman" w:hAnsi="Times New Roman"/>
          <w:sz w:val="22"/>
          <w:szCs w:val="22"/>
          <w:color w:val="auto"/>
        </w:rPr>
        <w:t>Japan Profit Share – Santen Co-Promotion Agreement Not in Effect and no Japan Purchase Price Adjustment payable</w:t>
      </w:r>
    </w:p>
    <w:p>
      <w:pPr>
        <w:spacing w:after="0" w:line="200" w:lineRule="exact"/>
        <w:rPr>
          <w:sz w:val="20"/>
          <w:szCs w:val="20"/>
          <w:color w:val="auto"/>
        </w:rPr>
      </w:pP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If the Santen Co-Promotion Agreement is not in effect, the “Japan Profit Share” shall equal fifty percent (50%) of Japan Profits in the Quarter. “</w:t>
      </w:r>
      <w:r>
        <w:rPr>
          <w:rFonts w:ascii="Times New Roman" w:cs="Times New Roman" w:eastAsia="Times New Roman" w:hAnsi="Times New Roman"/>
          <w:sz w:val="22"/>
          <w:szCs w:val="22"/>
          <w:u w:val="single" w:color="auto"/>
          <w:color w:val="auto"/>
        </w:rPr>
        <w:t>Japan Profits</w:t>
      </w:r>
      <w:r>
        <w:rPr>
          <w:rFonts w:ascii="Times New Roman" w:cs="Times New Roman" w:eastAsia="Times New Roman" w:hAnsi="Times New Roman"/>
          <w:sz w:val="22"/>
          <w:szCs w:val="22"/>
          <w:color w:val="auto"/>
        </w:rPr>
        <w:t>” for this Paragraph (ii) shall mean Bayer Market Net Sales in the Quarter less the sum of COGS applicable to Bayer Market Net Sales and Shared Promotion Expenses incurred by BYL (and Regeneron, if any) in Japan in the Quarter.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II. REGENERON REIMBURSEMENT AMOUNT</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Regeneron Reimbursement Amount</w:t>
      </w:r>
      <w:r>
        <w:rPr>
          <w:rFonts w:ascii="Times New Roman" w:cs="Times New Roman" w:eastAsia="Times New Roman" w:hAnsi="Times New Roman"/>
          <w:sz w:val="22"/>
          <w:szCs w:val="22"/>
          <w:color w:val="auto"/>
        </w:rPr>
        <w:t>” for a Quarter shall mean (a) Shared Promotion Expenses incurred by Regeneron in the Quarter (if any), plus (b) Commercial Supply Costs incurred by Regeneron in the Quarter (if any), plus (c) Development Costs incurred by Regeneron under the Territory Development Plan in the Quarter (if 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5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An example of a calculation of the Regeneron Reimbursement Amount in a Quarter would be: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26"/>
        </w:trPr>
        <w:tc>
          <w:tcPr>
            <w:tcW w:w="80" w:type="dxa"/>
            <w:vAlign w:val="bottom"/>
          </w:tcPr>
          <w:p>
            <w:pPr>
              <w:spacing w:after="0"/>
              <w:rPr>
                <w:sz w:val="24"/>
                <w:szCs w:val="24"/>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Regeneron Shared Promotion Expenses</w:t>
            </w:r>
          </w:p>
        </w:tc>
        <w:tc>
          <w:tcPr>
            <w:tcW w:w="62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w w:val="90"/>
              </w:rPr>
              <w:t>50</w:t>
            </w:r>
          </w:p>
        </w:tc>
      </w:tr>
      <w:tr>
        <w:trPr>
          <w:trHeight w:val="528"/>
        </w:trPr>
        <w:tc>
          <w:tcPr>
            <w:tcW w:w="80" w:type="dxa"/>
            <w:vAlign w:val="bottom"/>
          </w:tcPr>
          <w:p>
            <w:pPr>
              <w:spacing w:after="0"/>
              <w:rPr>
                <w:sz w:val="24"/>
                <w:szCs w:val="24"/>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Regeneron Commercial Supply Costs</w:t>
            </w:r>
          </w:p>
        </w:tc>
        <w:tc>
          <w:tcPr>
            <w:tcW w:w="62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w w:val="90"/>
              </w:rPr>
              <w:t>10</w:t>
            </w:r>
          </w:p>
        </w:tc>
      </w:tr>
      <w:tr>
        <w:trPr>
          <w:trHeight w:val="230"/>
        </w:trPr>
        <w:tc>
          <w:tcPr>
            <w:tcW w:w="80" w:type="dxa"/>
            <w:vAlign w:val="bottom"/>
          </w:tcPr>
          <w:p>
            <w:pPr>
              <w:spacing w:after="0"/>
              <w:rPr>
                <w:sz w:val="19"/>
                <w:szCs w:val="19"/>
                <w:color w:val="auto"/>
              </w:rPr>
            </w:pPr>
          </w:p>
        </w:tc>
        <w:tc>
          <w:tcPr>
            <w:tcW w:w="850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Regeneron Development Costs under Territory Development Plan</w:t>
            </w:r>
          </w:p>
        </w:tc>
        <w:tc>
          <w:tcPr>
            <w:tcW w:w="500" w:type="dxa"/>
            <w:vAlign w:val="bottom"/>
            <w:gridSpan w:val="2"/>
          </w:tcPr>
          <w:p>
            <w:pPr>
              <w:ind w:left="400"/>
              <w:spacing w:after="0" w:line="230" w:lineRule="exact"/>
              <w:rPr>
                <w:sz w:val="20"/>
                <w:szCs w:val="20"/>
                <w:color w:val="auto"/>
              </w:rPr>
            </w:pPr>
            <w:r>
              <w:rPr>
                <w:rFonts w:ascii="Times New Roman" w:cs="Times New Roman" w:eastAsia="Times New Roman" w:hAnsi="Times New Roman"/>
                <w:sz w:val="22"/>
                <w:szCs w:val="22"/>
                <w:color w:val="auto"/>
                <w:w w:val="72"/>
              </w:rPr>
              <w:t>5</w:t>
            </w:r>
          </w:p>
        </w:tc>
        <w:tc>
          <w:tcPr>
            <w:tcW w:w="120" w:type="dxa"/>
            <w:vAlign w:val="bottom"/>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2"/>
        </w:trPr>
        <w:tc>
          <w:tcPr>
            <w:tcW w:w="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Regeneron Reimbursement Amount</w:t>
            </w:r>
          </w:p>
        </w:tc>
        <w:tc>
          <w:tcPr>
            <w:tcW w:w="2800" w:type="dxa"/>
            <w:vAlign w:val="bottom"/>
          </w:tcPr>
          <w:p>
            <w:pPr>
              <w:spacing w:after="0"/>
              <w:rPr>
                <w:sz w:val="24"/>
                <w:szCs w:val="24"/>
                <w:color w:val="auto"/>
              </w:rPr>
            </w:pPr>
          </w:p>
        </w:tc>
        <w:tc>
          <w:tcPr>
            <w:tcW w:w="62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w w:val="90"/>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1"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2"/>
          <w:szCs w:val="22"/>
          <w:u w:val="single" w:color="auto"/>
          <w:color w:val="auto"/>
        </w:rPr>
        <w:t>III. GLOBAL TRUE-UP</w:t>
      </w:r>
    </w:p>
    <w:p>
      <w:pPr>
        <w:spacing w:after="0" w:line="2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Global True-Up</w:t>
      </w:r>
      <w:r>
        <w:rPr>
          <w:rFonts w:ascii="Times New Roman" w:cs="Times New Roman" w:eastAsia="Times New Roman" w:hAnsi="Times New Roman"/>
          <w:sz w:val="22"/>
          <w:szCs w:val="22"/>
          <w:color w:val="auto"/>
        </w:rPr>
        <w:t>” for a Quarter shall mean (a) fifty percent (50%) of the sum of (i) aggregate Development Costs incurred by both Parties under the Global Development Plan in the Quarter and (ii) aggregate Other Shared Expenses incurred by both Parties in the Quarter, minus (b) one hundred percent (100%) of the sum of (i) Development Costs incurred by Company under the Global Development Plan in the Quarter and (ii) Other Shared Expenses incurred by Company during the Quarter. If the Global True-Up is a positive number, it shall be added in the calculation of the Quarterly True-Up and, if it is a negative number, the absolute value of such amount shall be subtracted in the calculation of the Quarterly True-Up.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example of a calculation of the Global True-Up in a Quarter would be: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22"/>
                <w:szCs w:val="22"/>
                <w:color w:val="auto"/>
              </w:rPr>
              <w:t>Aggregate</w:t>
            </w:r>
          </w:p>
        </w:tc>
        <w:tc>
          <w:tcPr>
            <w:tcW w:w="10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Company</w:t>
            </w:r>
          </w:p>
        </w:tc>
        <w:tc>
          <w:tcPr>
            <w:tcW w:w="112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Regeneron</w:t>
            </w:r>
          </w:p>
        </w:tc>
        <w:tc>
          <w:tcPr>
            <w:tcW w:w="980" w:type="dxa"/>
            <w:vAlign w:val="bottom"/>
            <w:tcBorders>
              <w:top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6"/>
              </w:rPr>
              <w:t>Global</w:t>
            </w:r>
          </w:p>
        </w:tc>
        <w:tc>
          <w:tcPr>
            <w:tcW w:w="0" w:type="dxa"/>
            <w:vAlign w:val="bottom"/>
          </w:tcPr>
          <w:p>
            <w:pPr>
              <w:spacing w:after="0"/>
              <w:rPr>
                <w:sz w:val="1"/>
                <w:szCs w:val="1"/>
                <w:color w:val="auto"/>
              </w:rPr>
            </w:pPr>
          </w:p>
        </w:tc>
      </w:tr>
      <w:tr>
        <w:trPr>
          <w:trHeight w:val="283"/>
        </w:trPr>
        <w:tc>
          <w:tcPr>
            <w:tcW w:w="2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True-Up</w:t>
            </w: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200" w:type="dxa"/>
            <w:vAlign w:val="bottom"/>
          </w:tcPr>
          <w:p>
            <w:pPr>
              <w:ind w:left="20"/>
              <w:spacing w:after="0" w:line="196" w:lineRule="exact"/>
              <w:rPr>
                <w:sz w:val="20"/>
                <w:szCs w:val="20"/>
                <w:color w:val="auto"/>
              </w:rPr>
            </w:pPr>
            <w:r>
              <w:rPr>
                <w:rFonts w:ascii="Times New Roman" w:cs="Times New Roman" w:eastAsia="Times New Roman" w:hAnsi="Times New Roman"/>
                <w:sz w:val="22"/>
                <w:szCs w:val="22"/>
                <w:color w:val="auto"/>
              </w:rPr>
              <w:t>Development Costs</w:t>
            </w: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under Global</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80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30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Development Plan</w:t>
            </w:r>
          </w:p>
        </w:tc>
        <w:tc>
          <w:tcPr>
            <w:tcW w:w="12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Other Shared Expenses</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40</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35</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2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120</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65</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55</w:t>
            </w: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IV. GLOBAL DEVELOPMENT BALANCE PAYMENT</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Global Development Balance</w:t>
      </w:r>
      <w:r>
        <w:rPr>
          <w:rFonts w:ascii="Times New Roman" w:cs="Times New Roman" w:eastAsia="Times New Roman" w:hAnsi="Times New Roman"/>
          <w:sz w:val="22"/>
          <w:szCs w:val="22"/>
          <w:color w:val="auto"/>
        </w:rPr>
        <w:t>” for a Quarter shall mean (a) twenty-five percent (25%) of the aggregate amount of Development Costs incurred by both Parties under the Global Development Plan from January 1, 2007 through the close of such Quarter (</w:t>
      </w:r>
      <w:r>
        <w:rPr>
          <w:rFonts w:ascii="Arial" w:cs="Arial" w:eastAsia="Arial" w:hAnsi="Arial"/>
          <w:sz w:val="19"/>
          <w:szCs w:val="19"/>
          <w:color w:val="auto"/>
        </w:rPr>
        <w:t>[****]</w:t>
      </w:r>
      <w:r>
        <w:rPr>
          <w:rFonts w:ascii="Times New Roman" w:cs="Times New Roman" w:eastAsia="Times New Roman" w:hAnsi="Times New Roman"/>
          <w:sz w:val="22"/>
          <w:szCs w:val="22"/>
          <w:color w:val="auto"/>
        </w:rPr>
        <w:t>), plus (b) fifty percent (50%) of the aggregate amount of Development Costs incurred by both Parties under the Territory Development Plan from the Effective Date through the close of such Quarter (</w:t>
      </w:r>
      <w:r>
        <w:rPr>
          <w:rFonts w:ascii="Arial" w:cs="Arial" w:eastAsia="Arial" w:hAnsi="Arial"/>
          <w:sz w:val="19"/>
          <w:szCs w:val="19"/>
          <w:color w:val="auto"/>
        </w:rPr>
        <w:t>[****]</w:t>
      </w:r>
      <w:r>
        <w:rPr>
          <w:rFonts w:ascii="Times New Roman" w:cs="Times New Roman" w:eastAsia="Times New Roman" w:hAnsi="Times New Roman"/>
          <w:sz w:val="22"/>
          <w:szCs w:val="22"/>
          <w:color w:val="auto"/>
        </w:rPr>
        <w:t>), less (c) the aggregate amount of Global Development Balance Payments included in the calculation of the Quarterly True-Up in all prior Quarters. On the date of the First Commercial Sale in Japan, if the Japan Purchase Price Adjustment mechanism is applicable, the Global Development Balance shall never include Pre-Launch Marketing Expenses relating to Japan.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Global Development Balance Payment</w:t>
      </w:r>
      <w:r>
        <w:rPr>
          <w:rFonts w:ascii="Times New Roman" w:cs="Times New Roman" w:eastAsia="Times New Roman" w:hAnsi="Times New Roman"/>
          <w:sz w:val="22"/>
          <w:szCs w:val="22"/>
          <w:color w:val="auto"/>
        </w:rPr>
        <w:t xml:space="preserve">” shall mean, </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color w:val="auto"/>
        </w:rPr>
        <w:t>An example of a calculation of the Global Development Balance Payment in a Quarter would be: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Territory Profit Split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w:t>
            </w:r>
          </w:p>
        </w:tc>
      </w:tr>
      <w:tr>
        <w:trPr>
          <w:trHeight w:val="27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Global Development Balance</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w:t>
            </w:r>
          </w:p>
        </w:tc>
      </w:tr>
      <w:tr>
        <w:trPr>
          <w:trHeight w:val="282"/>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7"/>
        </w:trPr>
        <w:tc>
          <w:tcPr>
            <w:tcW w:w="4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Global Development Balance Repayment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35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u w:val="single" w:color="auto"/>
          <w:color w:val="auto"/>
        </w:rPr>
        <w:t>V. EXAMPLE OF QUARTERLY TRUE-UP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example of a calculation of the Quarterly True-up in a Quarter would be: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Territory Profit Split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w:t>
            </w:r>
          </w:p>
        </w:tc>
      </w:tr>
      <w:tr>
        <w:trPr>
          <w:trHeight w:val="270"/>
        </w:trPr>
        <w:tc>
          <w:tcPr>
            <w:tcW w:w="3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Regeneron Reimbursement Amount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3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Global True-Up</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8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7"/>
        </w:trPr>
        <w:tc>
          <w:tcPr>
            <w:tcW w:w="3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Quarterly True-Up</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In this example, Company would pay Regeneron </w:t>
      </w:r>
      <w:r>
        <w:rPr>
          <w:rFonts w:ascii="Arial" w:cs="Arial" w:eastAsia="Arial" w:hAnsi="Arial"/>
          <w:sz w:val="18"/>
          <w:szCs w:val="18"/>
          <w:color w:val="auto"/>
        </w:rPr>
        <w:t>[****]</w:t>
      </w:r>
      <w:r>
        <w:rPr>
          <w:rFonts w:ascii="Times New Roman" w:cs="Times New Roman" w:eastAsia="Times New Roman" w:hAnsi="Times New Roman"/>
          <w:sz w:val="21"/>
          <w:szCs w:val="21"/>
          <w:color w:val="auto"/>
        </w:rPr>
        <w:t xml:space="preserve"> in accordance with the terms set forth in Article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139"/>
          </w:cols>
          <w:pgMar w:left="320" w:top="1422" w:right="1440"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2"/>
          <w:szCs w:val="22"/>
          <w:color w:val="auto"/>
        </w:rPr>
        <w:t>SCHEDULE 2A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xml:space="preserve">Assumed </w:t>
      </w:r>
      <w:r>
        <w:rPr>
          <w:rFonts w:ascii="Arial" w:cs="Arial" w:eastAsia="Arial" w:hAnsi="Arial"/>
          <w:sz w:val="18"/>
          <w:szCs w:val="18"/>
          <w:color w:val="auto"/>
        </w:rPr>
        <w:t>[****]</w:t>
      </w:r>
      <w:r>
        <w:rPr>
          <w:rFonts w:ascii="Times New Roman" w:cs="Times New Roman" w:eastAsia="Times New Roman" w:hAnsi="Times New Roman"/>
          <w:sz w:val="21"/>
          <w:szCs w:val="21"/>
          <w:color w:val="auto"/>
        </w:rPr>
        <w:t xml:space="preserve"> by Year in Yen</w:t>
      </w:r>
    </w:p>
    <w:p>
      <w:pPr>
        <w:spacing w:after="0" w:line="292" w:lineRule="exact"/>
        <w:rPr>
          <w:sz w:val="20"/>
          <w:szCs w:val="20"/>
          <w:color w:val="auto"/>
        </w:rPr>
      </w:pPr>
    </w:p>
    <w:tbl>
      <w:tblPr>
        <w:tblLayout w:type="fixed"/>
        <w:tblInd w:w="3470" w:type="dxa"/>
        <w:tblCellMar>
          <w:top w:w="0" w:type="dxa"/>
          <w:left w:w="0" w:type="dxa"/>
          <w:bottom w:w="0" w:type="dxa"/>
          <w:right w:w="0" w:type="dxa"/>
        </w:tblCellMar>
      </w:tblPr>
      <w:tr>
        <w:trPr>
          <w:trHeight w:val="230"/>
        </w:trPr>
        <w:tc>
          <w:tcPr>
            <w:tcW w:w="40" w:type="dxa"/>
            <w:vAlign w:val="bottom"/>
            <w:tcBorders>
              <w:top w:val="single" w:sz="8" w:color="auto"/>
              <w:left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80" w:type="dxa"/>
            <w:vAlign w:val="bottom"/>
            <w:tcBorders>
              <w:top w:val="single" w:sz="8" w:color="auto"/>
              <w:right w:val="single" w:sz="8" w:color="auto"/>
            </w:tcBorders>
            <w:gridSpan w:val="4"/>
          </w:tcPr>
          <w:p>
            <w:pPr>
              <w:jc w:val="center"/>
              <w:ind w:right="680"/>
              <w:spacing w:after="0" w:line="229" w:lineRule="exact"/>
              <w:rPr>
                <w:sz w:val="20"/>
                <w:szCs w:val="20"/>
                <w:color w:val="auto"/>
              </w:rPr>
            </w:pPr>
            <w:r>
              <w:rPr>
                <w:rFonts w:ascii="Times New Roman" w:cs="Times New Roman" w:eastAsia="Times New Roman" w:hAnsi="Times New Roman"/>
                <w:sz w:val="22"/>
                <w:szCs w:val="22"/>
                <w:color w:val="auto"/>
                <w:w w:val="93"/>
              </w:rPr>
              <w:t>Year</w:t>
            </w: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right w:val="single" w:sz="8" w:color="auto"/>
            </w:tcBorders>
            <w:gridSpan w:val="2"/>
          </w:tcPr>
          <w:p>
            <w:pPr>
              <w:jc w:val="center"/>
              <w:ind w:right="160"/>
              <w:spacing w:after="0" w:line="229" w:lineRule="exact"/>
              <w:rPr>
                <w:sz w:val="20"/>
                <w:szCs w:val="20"/>
                <w:color w:val="auto"/>
              </w:rPr>
            </w:pPr>
            <w:r>
              <w:rPr>
                <w:rFonts w:ascii="Times New Roman" w:cs="Times New Roman" w:eastAsia="Times New Roman" w:hAnsi="Times New Roman"/>
                <w:sz w:val="22"/>
                <w:szCs w:val="22"/>
                <w:color w:val="auto"/>
                <w:w w:val="98"/>
              </w:rPr>
              <w:t>Assumed [****]</w:t>
            </w: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09"/>
        </w:trPr>
        <w:tc>
          <w:tcPr>
            <w:tcW w:w="1100" w:type="dxa"/>
            <w:vAlign w:val="bottom"/>
            <w:tcBorders>
              <w:left w:val="single" w:sz="8" w:color="auto"/>
            </w:tcBorders>
            <w:gridSpan w:val="5"/>
          </w:tcPr>
          <w:p>
            <w:pPr>
              <w:jc w:val="center"/>
              <w:ind w:left="552"/>
              <w:spacing w:after="0" w:line="209" w:lineRule="exact"/>
              <w:rPr>
                <w:sz w:val="20"/>
                <w:szCs w:val="20"/>
                <w:color w:val="auto"/>
              </w:rPr>
            </w:pPr>
            <w:r>
              <w:rPr>
                <w:rFonts w:ascii="Times New Roman" w:cs="Times New Roman" w:eastAsia="Times New Roman" w:hAnsi="Times New Roman"/>
                <w:sz w:val="22"/>
                <w:szCs w:val="22"/>
                <w:color w:val="auto"/>
                <w:w w:val="99"/>
              </w:rPr>
              <w:t>2012</w:t>
            </w:r>
          </w:p>
        </w:tc>
        <w:tc>
          <w:tcPr>
            <w:tcW w:w="6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0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auto"/>
                <w:w w:val="99"/>
              </w:rPr>
              <w:t>[****]</w:t>
            </w:r>
          </w:p>
        </w:tc>
        <w:tc>
          <w:tcPr>
            <w:tcW w:w="160" w:type="dxa"/>
            <w:vAlign w:val="bottom"/>
            <w:tcBorders>
              <w:right w:val="single" w:sz="8" w:color="auto"/>
            </w:tcBorders>
          </w:tcPr>
          <w:p>
            <w:pPr>
              <w:spacing w:after="0"/>
              <w:rPr>
                <w:sz w:val="18"/>
                <w:szCs w:val="18"/>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09"/>
        </w:trPr>
        <w:tc>
          <w:tcPr>
            <w:tcW w:w="1100" w:type="dxa"/>
            <w:vAlign w:val="bottom"/>
            <w:tcBorders>
              <w:left w:val="single" w:sz="8" w:color="auto"/>
            </w:tcBorders>
            <w:gridSpan w:val="5"/>
          </w:tcPr>
          <w:p>
            <w:pPr>
              <w:jc w:val="center"/>
              <w:ind w:left="552"/>
              <w:spacing w:after="0" w:line="209" w:lineRule="exact"/>
              <w:rPr>
                <w:sz w:val="20"/>
                <w:szCs w:val="20"/>
                <w:color w:val="auto"/>
              </w:rPr>
            </w:pPr>
            <w:r>
              <w:rPr>
                <w:rFonts w:ascii="Times New Roman" w:cs="Times New Roman" w:eastAsia="Times New Roman" w:hAnsi="Times New Roman"/>
                <w:sz w:val="22"/>
                <w:szCs w:val="22"/>
                <w:color w:val="auto"/>
                <w:w w:val="99"/>
              </w:rPr>
              <w:t>2013</w:t>
            </w:r>
          </w:p>
        </w:tc>
        <w:tc>
          <w:tcPr>
            <w:tcW w:w="6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0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auto"/>
                <w:w w:val="99"/>
              </w:rPr>
              <w:t>[****]</w:t>
            </w:r>
          </w:p>
        </w:tc>
        <w:tc>
          <w:tcPr>
            <w:tcW w:w="160" w:type="dxa"/>
            <w:vAlign w:val="bottom"/>
            <w:tcBorders>
              <w:right w:val="single" w:sz="8" w:color="auto"/>
            </w:tcBorders>
          </w:tcPr>
          <w:p>
            <w:pPr>
              <w:spacing w:after="0"/>
              <w:rPr>
                <w:sz w:val="18"/>
                <w:szCs w:val="18"/>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09"/>
        </w:trPr>
        <w:tc>
          <w:tcPr>
            <w:tcW w:w="1100" w:type="dxa"/>
            <w:vAlign w:val="bottom"/>
            <w:tcBorders>
              <w:left w:val="single" w:sz="8" w:color="auto"/>
            </w:tcBorders>
            <w:gridSpan w:val="5"/>
          </w:tcPr>
          <w:p>
            <w:pPr>
              <w:jc w:val="center"/>
              <w:ind w:left="552"/>
              <w:spacing w:after="0" w:line="209" w:lineRule="exact"/>
              <w:rPr>
                <w:sz w:val="20"/>
                <w:szCs w:val="20"/>
                <w:color w:val="auto"/>
              </w:rPr>
            </w:pPr>
            <w:r>
              <w:rPr>
                <w:rFonts w:ascii="Times New Roman" w:cs="Times New Roman" w:eastAsia="Times New Roman" w:hAnsi="Times New Roman"/>
                <w:sz w:val="22"/>
                <w:szCs w:val="22"/>
                <w:color w:val="auto"/>
                <w:w w:val="99"/>
              </w:rPr>
              <w:t>2014</w:t>
            </w:r>
          </w:p>
        </w:tc>
        <w:tc>
          <w:tcPr>
            <w:tcW w:w="6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0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auto"/>
                <w:w w:val="99"/>
              </w:rPr>
              <w:t>[****]</w:t>
            </w:r>
          </w:p>
        </w:tc>
        <w:tc>
          <w:tcPr>
            <w:tcW w:w="160" w:type="dxa"/>
            <w:vAlign w:val="bottom"/>
            <w:tcBorders>
              <w:right w:val="single" w:sz="8" w:color="auto"/>
            </w:tcBorders>
          </w:tcPr>
          <w:p>
            <w:pPr>
              <w:spacing w:after="0"/>
              <w:rPr>
                <w:sz w:val="18"/>
                <w:szCs w:val="18"/>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09"/>
        </w:trPr>
        <w:tc>
          <w:tcPr>
            <w:tcW w:w="1100" w:type="dxa"/>
            <w:vAlign w:val="bottom"/>
            <w:tcBorders>
              <w:left w:val="single" w:sz="8" w:color="auto"/>
            </w:tcBorders>
            <w:gridSpan w:val="5"/>
          </w:tcPr>
          <w:p>
            <w:pPr>
              <w:jc w:val="center"/>
              <w:ind w:left="552"/>
              <w:spacing w:after="0" w:line="209" w:lineRule="exact"/>
              <w:rPr>
                <w:sz w:val="20"/>
                <w:szCs w:val="20"/>
                <w:color w:val="auto"/>
              </w:rPr>
            </w:pPr>
            <w:r>
              <w:rPr>
                <w:rFonts w:ascii="Times New Roman" w:cs="Times New Roman" w:eastAsia="Times New Roman" w:hAnsi="Times New Roman"/>
                <w:sz w:val="22"/>
                <w:szCs w:val="22"/>
                <w:color w:val="auto"/>
                <w:w w:val="99"/>
              </w:rPr>
              <w:t>2015</w:t>
            </w:r>
          </w:p>
        </w:tc>
        <w:tc>
          <w:tcPr>
            <w:tcW w:w="6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0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auto"/>
                <w:w w:val="99"/>
              </w:rPr>
              <w:t>[****]</w:t>
            </w:r>
          </w:p>
        </w:tc>
        <w:tc>
          <w:tcPr>
            <w:tcW w:w="160" w:type="dxa"/>
            <w:vAlign w:val="bottom"/>
            <w:tcBorders>
              <w:right w:val="single" w:sz="8" w:color="auto"/>
            </w:tcBorders>
          </w:tcPr>
          <w:p>
            <w:pPr>
              <w:spacing w:after="0"/>
              <w:rPr>
                <w:sz w:val="18"/>
                <w:szCs w:val="18"/>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10"/>
        </w:trPr>
        <w:tc>
          <w:tcPr>
            <w:tcW w:w="1100" w:type="dxa"/>
            <w:vAlign w:val="bottom"/>
            <w:tcBorders>
              <w:left w:val="single" w:sz="8" w:color="auto"/>
            </w:tcBorders>
            <w:gridSpan w:val="5"/>
          </w:tcPr>
          <w:p>
            <w:pPr>
              <w:jc w:val="center"/>
              <w:ind w:left="552"/>
              <w:spacing w:after="0" w:line="209" w:lineRule="exact"/>
              <w:rPr>
                <w:sz w:val="20"/>
                <w:szCs w:val="20"/>
                <w:color w:val="auto"/>
              </w:rPr>
            </w:pPr>
            <w:r>
              <w:rPr>
                <w:rFonts w:ascii="Times New Roman" w:cs="Times New Roman" w:eastAsia="Times New Roman" w:hAnsi="Times New Roman"/>
                <w:sz w:val="22"/>
                <w:szCs w:val="22"/>
                <w:color w:val="auto"/>
                <w:w w:val="99"/>
              </w:rPr>
              <w:t>2016</w:t>
            </w:r>
          </w:p>
        </w:tc>
        <w:tc>
          <w:tcPr>
            <w:tcW w:w="6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0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auto"/>
                <w:w w:val="99"/>
              </w:rPr>
              <w:t>[****]</w:t>
            </w:r>
          </w:p>
        </w:tc>
        <w:tc>
          <w:tcPr>
            <w:tcW w:w="160" w:type="dxa"/>
            <w:vAlign w:val="bottom"/>
            <w:tcBorders>
              <w:right w:val="single" w:sz="8" w:color="auto"/>
            </w:tcBorders>
          </w:tcPr>
          <w:p>
            <w:pPr>
              <w:spacing w:after="0"/>
              <w:rPr>
                <w:sz w:val="18"/>
                <w:szCs w:val="18"/>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10"/>
        </w:trPr>
        <w:tc>
          <w:tcPr>
            <w:tcW w:w="1100" w:type="dxa"/>
            <w:vAlign w:val="bottom"/>
            <w:tcBorders>
              <w:left w:val="single" w:sz="8" w:color="auto"/>
            </w:tcBorders>
            <w:gridSpan w:val="5"/>
          </w:tcPr>
          <w:p>
            <w:pPr>
              <w:jc w:val="center"/>
              <w:ind w:left="552"/>
              <w:spacing w:after="0" w:line="209" w:lineRule="exact"/>
              <w:rPr>
                <w:sz w:val="20"/>
                <w:szCs w:val="20"/>
                <w:color w:val="auto"/>
              </w:rPr>
            </w:pPr>
            <w:r>
              <w:rPr>
                <w:rFonts w:ascii="Times New Roman" w:cs="Times New Roman" w:eastAsia="Times New Roman" w:hAnsi="Times New Roman"/>
                <w:sz w:val="22"/>
                <w:szCs w:val="22"/>
                <w:color w:val="auto"/>
                <w:w w:val="99"/>
              </w:rPr>
              <w:t>2017</w:t>
            </w:r>
          </w:p>
        </w:tc>
        <w:tc>
          <w:tcPr>
            <w:tcW w:w="6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0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auto"/>
                <w:w w:val="99"/>
              </w:rPr>
              <w:t>[****]</w:t>
            </w:r>
          </w:p>
        </w:tc>
        <w:tc>
          <w:tcPr>
            <w:tcW w:w="160" w:type="dxa"/>
            <w:vAlign w:val="bottom"/>
            <w:tcBorders>
              <w:right w:val="single" w:sz="8" w:color="auto"/>
            </w:tcBorders>
          </w:tcPr>
          <w:p>
            <w:pPr>
              <w:spacing w:after="0"/>
              <w:rPr>
                <w:sz w:val="18"/>
                <w:szCs w:val="18"/>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09"/>
        </w:trPr>
        <w:tc>
          <w:tcPr>
            <w:tcW w:w="1100" w:type="dxa"/>
            <w:vAlign w:val="bottom"/>
            <w:tcBorders>
              <w:left w:val="single" w:sz="8" w:color="auto"/>
            </w:tcBorders>
            <w:gridSpan w:val="5"/>
          </w:tcPr>
          <w:p>
            <w:pPr>
              <w:jc w:val="center"/>
              <w:ind w:left="552"/>
              <w:spacing w:after="0" w:line="209" w:lineRule="exact"/>
              <w:rPr>
                <w:sz w:val="20"/>
                <w:szCs w:val="20"/>
                <w:color w:val="auto"/>
              </w:rPr>
            </w:pPr>
            <w:r>
              <w:rPr>
                <w:rFonts w:ascii="Times New Roman" w:cs="Times New Roman" w:eastAsia="Times New Roman" w:hAnsi="Times New Roman"/>
                <w:sz w:val="22"/>
                <w:szCs w:val="22"/>
                <w:color w:val="auto"/>
                <w:w w:val="99"/>
              </w:rPr>
              <w:t>2018</w:t>
            </w:r>
          </w:p>
        </w:tc>
        <w:tc>
          <w:tcPr>
            <w:tcW w:w="6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0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auto"/>
                <w:w w:val="99"/>
              </w:rPr>
              <w:t>[****]</w:t>
            </w:r>
          </w:p>
        </w:tc>
        <w:tc>
          <w:tcPr>
            <w:tcW w:w="160" w:type="dxa"/>
            <w:vAlign w:val="bottom"/>
            <w:tcBorders>
              <w:right w:val="single" w:sz="8" w:color="auto"/>
            </w:tcBorders>
          </w:tcPr>
          <w:p>
            <w:pPr>
              <w:spacing w:after="0"/>
              <w:rPr>
                <w:sz w:val="18"/>
                <w:szCs w:val="18"/>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09"/>
        </w:trPr>
        <w:tc>
          <w:tcPr>
            <w:tcW w:w="1100" w:type="dxa"/>
            <w:vAlign w:val="bottom"/>
            <w:tcBorders>
              <w:left w:val="single" w:sz="8" w:color="auto"/>
            </w:tcBorders>
            <w:gridSpan w:val="5"/>
          </w:tcPr>
          <w:p>
            <w:pPr>
              <w:jc w:val="center"/>
              <w:ind w:left="552"/>
              <w:spacing w:after="0" w:line="209" w:lineRule="exact"/>
              <w:rPr>
                <w:sz w:val="20"/>
                <w:szCs w:val="20"/>
                <w:color w:val="auto"/>
              </w:rPr>
            </w:pPr>
            <w:r>
              <w:rPr>
                <w:rFonts w:ascii="Times New Roman" w:cs="Times New Roman" w:eastAsia="Times New Roman" w:hAnsi="Times New Roman"/>
                <w:sz w:val="22"/>
                <w:szCs w:val="22"/>
                <w:color w:val="auto"/>
                <w:w w:val="99"/>
              </w:rPr>
              <w:t>2019</w:t>
            </w:r>
          </w:p>
        </w:tc>
        <w:tc>
          <w:tcPr>
            <w:tcW w:w="6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0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auto"/>
                <w:w w:val="99"/>
              </w:rPr>
              <w:t>[****]</w:t>
            </w:r>
          </w:p>
        </w:tc>
        <w:tc>
          <w:tcPr>
            <w:tcW w:w="160" w:type="dxa"/>
            <w:vAlign w:val="bottom"/>
            <w:tcBorders>
              <w:right w:val="single" w:sz="8" w:color="auto"/>
            </w:tcBorders>
          </w:tcPr>
          <w:p>
            <w:pPr>
              <w:spacing w:after="0"/>
              <w:rPr>
                <w:sz w:val="18"/>
                <w:szCs w:val="18"/>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09"/>
        </w:trPr>
        <w:tc>
          <w:tcPr>
            <w:tcW w:w="1100" w:type="dxa"/>
            <w:vAlign w:val="bottom"/>
            <w:tcBorders>
              <w:left w:val="single" w:sz="8" w:color="auto"/>
            </w:tcBorders>
            <w:gridSpan w:val="5"/>
          </w:tcPr>
          <w:p>
            <w:pPr>
              <w:jc w:val="center"/>
              <w:ind w:left="552"/>
              <w:spacing w:after="0" w:line="209" w:lineRule="exact"/>
              <w:rPr>
                <w:sz w:val="20"/>
                <w:szCs w:val="20"/>
                <w:color w:val="auto"/>
              </w:rPr>
            </w:pPr>
            <w:r>
              <w:rPr>
                <w:rFonts w:ascii="Times New Roman" w:cs="Times New Roman" w:eastAsia="Times New Roman" w:hAnsi="Times New Roman"/>
                <w:sz w:val="22"/>
                <w:szCs w:val="22"/>
                <w:color w:val="auto"/>
                <w:w w:val="99"/>
              </w:rPr>
              <w:t>2020</w:t>
            </w:r>
          </w:p>
        </w:tc>
        <w:tc>
          <w:tcPr>
            <w:tcW w:w="6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0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auto"/>
                <w:w w:val="99"/>
              </w:rPr>
              <w:t>[****]</w:t>
            </w:r>
          </w:p>
        </w:tc>
        <w:tc>
          <w:tcPr>
            <w:tcW w:w="160" w:type="dxa"/>
            <w:vAlign w:val="bottom"/>
            <w:tcBorders>
              <w:right w:val="single" w:sz="8" w:color="auto"/>
            </w:tcBorders>
          </w:tcPr>
          <w:p>
            <w:pPr>
              <w:spacing w:after="0"/>
              <w:rPr>
                <w:sz w:val="18"/>
                <w:szCs w:val="18"/>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10"/>
        </w:trPr>
        <w:tc>
          <w:tcPr>
            <w:tcW w:w="1100" w:type="dxa"/>
            <w:vAlign w:val="bottom"/>
            <w:tcBorders>
              <w:left w:val="single" w:sz="8" w:color="auto"/>
            </w:tcBorders>
            <w:gridSpan w:val="5"/>
          </w:tcPr>
          <w:p>
            <w:pPr>
              <w:jc w:val="center"/>
              <w:ind w:left="552"/>
              <w:spacing w:after="0" w:line="209" w:lineRule="exact"/>
              <w:rPr>
                <w:sz w:val="20"/>
                <w:szCs w:val="20"/>
                <w:color w:val="auto"/>
              </w:rPr>
            </w:pPr>
            <w:r>
              <w:rPr>
                <w:rFonts w:ascii="Times New Roman" w:cs="Times New Roman" w:eastAsia="Times New Roman" w:hAnsi="Times New Roman"/>
                <w:sz w:val="22"/>
                <w:szCs w:val="22"/>
                <w:color w:val="auto"/>
                <w:w w:val="99"/>
              </w:rPr>
              <w:t>2021</w:t>
            </w:r>
          </w:p>
        </w:tc>
        <w:tc>
          <w:tcPr>
            <w:tcW w:w="6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0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auto"/>
                <w:w w:val="99"/>
              </w:rPr>
              <w:t>[****]</w:t>
            </w:r>
          </w:p>
        </w:tc>
        <w:tc>
          <w:tcPr>
            <w:tcW w:w="160" w:type="dxa"/>
            <w:vAlign w:val="bottom"/>
            <w:tcBorders>
              <w:right w:val="single" w:sz="8" w:color="auto"/>
            </w:tcBorders>
          </w:tcPr>
          <w:p>
            <w:pPr>
              <w:spacing w:after="0"/>
              <w:rPr>
                <w:sz w:val="18"/>
                <w:szCs w:val="18"/>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10"/>
        </w:trPr>
        <w:tc>
          <w:tcPr>
            <w:tcW w:w="1100" w:type="dxa"/>
            <w:vAlign w:val="bottom"/>
            <w:tcBorders>
              <w:left w:val="single" w:sz="8" w:color="auto"/>
            </w:tcBorders>
            <w:gridSpan w:val="5"/>
          </w:tcPr>
          <w:p>
            <w:pPr>
              <w:jc w:val="center"/>
              <w:ind w:left="552"/>
              <w:spacing w:after="0" w:line="209" w:lineRule="exact"/>
              <w:rPr>
                <w:sz w:val="20"/>
                <w:szCs w:val="20"/>
                <w:color w:val="auto"/>
              </w:rPr>
            </w:pPr>
            <w:r>
              <w:rPr>
                <w:rFonts w:ascii="Times New Roman" w:cs="Times New Roman" w:eastAsia="Times New Roman" w:hAnsi="Times New Roman"/>
                <w:sz w:val="22"/>
                <w:szCs w:val="22"/>
                <w:color w:val="auto"/>
                <w:w w:val="99"/>
              </w:rPr>
              <w:t>2022</w:t>
            </w:r>
          </w:p>
        </w:tc>
        <w:tc>
          <w:tcPr>
            <w:tcW w:w="6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0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auto"/>
                <w:w w:val="99"/>
              </w:rPr>
              <w:t>[****]</w:t>
            </w:r>
          </w:p>
        </w:tc>
        <w:tc>
          <w:tcPr>
            <w:tcW w:w="160" w:type="dxa"/>
            <w:vAlign w:val="bottom"/>
            <w:tcBorders>
              <w:right w:val="single" w:sz="8" w:color="auto"/>
            </w:tcBorders>
          </w:tcPr>
          <w:p>
            <w:pPr>
              <w:spacing w:after="0"/>
              <w:rPr>
                <w:sz w:val="18"/>
                <w:szCs w:val="18"/>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10"/>
        </w:trPr>
        <w:tc>
          <w:tcPr>
            <w:tcW w:w="1100" w:type="dxa"/>
            <w:vAlign w:val="bottom"/>
            <w:tcBorders>
              <w:left w:val="single" w:sz="8" w:color="auto"/>
            </w:tcBorders>
            <w:gridSpan w:val="5"/>
          </w:tcPr>
          <w:p>
            <w:pPr>
              <w:jc w:val="center"/>
              <w:ind w:left="552"/>
              <w:spacing w:after="0" w:line="209" w:lineRule="exact"/>
              <w:rPr>
                <w:sz w:val="20"/>
                <w:szCs w:val="20"/>
                <w:color w:val="auto"/>
              </w:rPr>
            </w:pPr>
            <w:r>
              <w:rPr>
                <w:rFonts w:ascii="Times New Roman" w:cs="Times New Roman" w:eastAsia="Times New Roman" w:hAnsi="Times New Roman"/>
                <w:sz w:val="22"/>
                <w:szCs w:val="22"/>
                <w:color w:val="auto"/>
                <w:w w:val="99"/>
              </w:rPr>
              <w:t>2023</w:t>
            </w:r>
          </w:p>
        </w:tc>
        <w:tc>
          <w:tcPr>
            <w:tcW w:w="6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0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auto"/>
                <w:w w:val="99"/>
              </w:rPr>
              <w:t>[****]</w:t>
            </w:r>
          </w:p>
        </w:tc>
        <w:tc>
          <w:tcPr>
            <w:tcW w:w="160" w:type="dxa"/>
            <w:vAlign w:val="bottom"/>
            <w:tcBorders>
              <w:right w:val="single" w:sz="8" w:color="auto"/>
            </w:tcBorders>
          </w:tcPr>
          <w:p>
            <w:pPr>
              <w:spacing w:after="0"/>
              <w:rPr>
                <w:sz w:val="18"/>
                <w:szCs w:val="18"/>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09"/>
        </w:trPr>
        <w:tc>
          <w:tcPr>
            <w:tcW w:w="1100" w:type="dxa"/>
            <w:vAlign w:val="bottom"/>
            <w:tcBorders>
              <w:left w:val="single" w:sz="8" w:color="auto"/>
            </w:tcBorders>
            <w:gridSpan w:val="5"/>
          </w:tcPr>
          <w:p>
            <w:pPr>
              <w:jc w:val="center"/>
              <w:ind w:left="552"/>
              <w:spacing w:after="0" w:line="209" w:lineRule="exact"/>
              <w:rPr>
                <w:sz w:val="20"/>
                <w:szCs w:val="20"/>
                <w:color w:val="auto"/>
              </w:rPr>
            </w:pPr>
            <w:r>
              <w:rPr>
                <w:rFonts w:ascii="Times New Roman" w:cs="Times New Roman" w:eastAsia="Times New Roman" w:hAnsi="Times New Roman"/>
                <w:sz w:val="22"/>
                <w:szCs w:val="22"/>
                <w:color w:val="auto"/>
                <w:w w:val="99"/>
              </w:rPr>
              <w:t>2024</w:t>
            </w:r>
          </w:p>
        </w:tc>
        <w:tc>
          <w:tcPr>
            <w:tcW w:w="6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0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auto"/>
                <w:w w:val="99"/>
              </w:rPr>
              <w:t>[****]</w:t>
            </w:r>
          </w:p>
        </w:tc>
        <w:tc>
          <w:tcPr>
            <w:tcW w:w="160" w:type="dxa"/>
            <w:vAlign w:val="bottom"/>
            <w:tcBorders>
              <w:right w:val="single" w:sz="8" w:color="auto"/>
            </w:tcBorders>
          </w:tcPr>
          <w:p>
            <w:pPr>
              <w:spacing w:after="0"/>
              <w:rPr>
                <w:sz w:val="18"/>
                <w:szCs w:val="18"/>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09"/>
        </w:trPr>
        <w:tc>
          <w:tcPr>
            <w:tcW w:w="1100" w:type="dxa"/>
            <w:vAlign w:val="bottom"/>
            <w:tcBorders>
              <w:left w:val="single" w:sz="8" w:color="auto"/>
            </w:tcBorders>
            <w:gridSpan w:val="5"/>
          </w:tcPr>
          <w:p>
            <w:pPr>
              <w:jc w:val="center"/>
              <w:ind w:left="552"/>
              <w:spacing w:after="0" w:line="209" w:lineRule="exact"/>
              <w:rPr>
                <w:sz w:val="20"/>
                <w:szCs w:val="20"/>
                <w:color w:val="auto"/>
              </w:rPr>
            </w:pPr>
            <w:r>
              <w:rPr>
                <w:rFonts w:ascii="Times New Roman" w:cs="Times New Roman" w:eastAsia="Times New Roman" w:hAnsi="Times New Roman"/>
                <w:sz w:val="22"/>
                <w:szCs w:val="22"/>
                <w:color w:val="auto"/>
                <w:w w:val="99"/>
              </w:rPr>
              <w:t>2025</w:t>
            </w:r>
          </w:p>
        </w:tc>
        <w:tc>
          <w:tcPr>
            <w:tcW w:w="6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0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auto"/>
                <w:w w:val="99"/>
              </w:rPr>
              <w:t>[****]</w:t>
            </w:r>
          </w:p>
        </w:tc>
        <w:tc>
          <w:tcPr>
            <w:tcW w:w="160" w:type="dxa"/>
            <w:vAlign w:val="bottom"/>
            <w:tcBorders>
              <w:right w:val="single" w:sz="8" w:color="auto"/>
            </w:tcBorders>
          </w:tcPr>
          <w:p>
            <w:pPr>
              <w:spacing w:after="0"/>
              <w:rPr>
                <w:sz w:val="18"/>
                <w:szCs w:val="18"/>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6"/>
          </w:tcPr>
          <w:p>
            <w:pPr>
              <w:jc w:val="center"/>
              <w:ind w:right="40"/>
              <w:spacing w:after="0" w:line="209" w:lineRule="exact"/>
              <w:rPr>
                <w:sz w:val="20"/>
                <w:szCs w:val="20"/>
                <w:color w:val="auto"/>
              </w:rPr>
            </w:pPr>
            <w:r>
              <w:rPr>
                <w:rFonts w:ascii="Times New Roman" w:cs="Times New Roman" w:eastAsia="Times New Roman" w:hAnsi="Times New Roman"/>
                <w:sz w:val="22"/>
                <w:szCs w:val="22"/>
                <w:color w:val="auto"/>
                <w:w w:val="98"/>
              </w:rPr>
              <w:t>2026 and thereafter</w:t>
            </w:r>
          </w:p>
        </w:tc>
        <w:tc>
          <w:tcPr>
            <w:tcW w:w="1600" w:type="dxa"/>
            <w:vAlign w:val="bottom"/>
            <w:gridSpan w:val="2"/>
          </w:tcPr>
          <w:p>
            <w:pPr>
              <w:jc w:val="center"/>
              <w:ind w:left="41"/>
              <w:spacing w:after="0" w:line="209" w:lineRule="exact"/>
              <w:rPr>
                <w:sz w:val="20"/>
                <w:szCs w:val="20"/>
                <w:color w:val="auto"/>
              </w:rPr>
            </w:pPr>
            <w:r>
              <w:rPr>
                <w:rFonts w:ascii="Arial" w:cs="Arial" w:eastAsia="Arial" w:hAnsi="Arial"/>
                <w:sz w:val="20"/>
                <w:szCs w:val="20"/>
                <w:color w:val="auto"/>
                <w:w w:val="99"/>
              </w:rPr>
              <w:t>[****]</w:t>
            </w:r>
          </w:p>
        </w:tc>
        <w:tc>
          <w:tcPr>
            <w:tcW w:w="160" w:type="dxa"/>
            <w:vAlign w:val="bottom"/>
            <w:tcBorders>
              <w:right w:val="single" w:sz="8" w:color="auto"/>
            </w:tcBorders>
          </w:tcPr>
          <w:p>
            <w:pPr>
              <w:spacing w:after="0"/>
              <w:rPr>
                <w:sz w:val="18"/>
                <w:szCs w:val="18"/>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9019"/>
          </w:cols>
          <w:pgMar w:left="1440" w:top="1422" w:right="1440" w:bottom="1440" w:gutter="0" w:footer="0" w:header="0"/>
        </w:sectPr>
      </w:pPr>
    </w:p>
    <w:bookmarkStart w:id="155" w:name="page156"/>
    <w:bookmarkEnd w:id="155"/>
    <w:p>
      <w:pPr>
        <w:ind w:left="10360"/>
        <w:spacing w:after="0"/>
        <w:rPr>
          <w:sz w:val="20"/>
          <w:szCs w:val="20"/>
          <w:color w:val="auto"/>
        </w:rPr>
      </w:pPr>
      <w:r>
        <w:rPr>
          <w:rFonts w:ascii="Times New Roman" w:cs="Times New Roman" w:eastAsia="Times New Roman" w:hAnsi="Times New Roman"/>
          <w:sz w:val="17"/>
          <w:szCs w:val="17"/>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20110" cy="5054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8">
                      <a:extLst>
                        <a:ext uri="{28A0092B-C50C-407E-A947-70E740481C1C}"/>
                      </a:extLst>
                    </a:blip>
                    <a:srcRect/>
                    <a:stretch>
                      <a:fillRect/>
                    </a:stretch>
                  </pic:blipFill>
                  <pic:spPr bwMode="auto">
                    <a:xfrm>
                      <a:off x="0" y="0"/>
                      <a:ext cx="3420110" cy="50546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1E285A"/>
        </w:rPr>
        <w:t>POLICY NAME:</w:t>
      </w:r>
    </w:p>
    <w:p>
      <w:pPr>
        <w:spacing w:after="0" w:line="19" w:lineRule="exact"/>
        <w:rPr>
          <w:sz w:val="20"/>
          <w:szCs w:val="20"/>
          <w:color w:val="auto"/>
        </w:rPr>
      </w:pPr>
    </w:p>
    <w:p>
      <w:pPr>
        <w:spacing w:after="0"/>
        <w:rPr>
          <w:sz w:val="20"/>
          <w:szCs w:val="20"/>
          <w:color w:val="auto"/>
        </w:rPr>
      </w:pPr>
      <w:r>
        <w:rPr>
          <w:rFonts w:ascii="Arial" w:cs="Arial" w:eastAsia="Arial" w:hAnsi="Arial"/>
          <w:sz w:val="29"/>
          <w:szCs w:val="29"/>
          <w:b w:val="1"/>
          <w:bCs w:val="1"/>
          <w:color w:val="43B4E3"/>
        </w:rPr>
        <w:t>230 Securities Investments</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Date: 01/14/01</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Revised Date: 01/24/25</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w:t>
      </w:r>
      <w:r>
        <w:rPr>
          <w:rFonts w:ascii="Arial" w:cs="Arial" w:eastAsia="Arial" w:hAnsi="Arial"/>
          <w:sz w:val="20"/>
          <w:szCs w:val="20"/>
          <w:b w:val="1"/>
          <w:bCs w:val="1"/>
          <w:u w:val="single" w:color="auto"/>
          <w:color w:val="0563C1"/>
        </w:rPr>
        <w:t>@REGENERON.COM</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FFFFFF"/>
          <w:shd w:val="clear" w:color="auto" w:fill="1E285A"/>
        </w:rPr>
        <w:t>PURPOSE</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Regeneron Pharmaceuticals, Inc. ("Regeneron" or the "Company") and its directors, officers, and employees and certain other related persons are subject to "insider trading" laws. These laws prohibit individuals with material non-public information about a company from buying or selling securities of that company or from giving such information ("tipping") to another person. These laws also require companies and supervisory personnel to affirmatively supervise the actions of employees to ensure compliance. It is also Regeneron’s policy to comply with applicable securities laws concerning trading in Company Securities (as defined below) on Regeneron’s behalf.</w:t>
      </w:r>
    </w:p>
    <w:p>
      <w:pPr>
        <w:spacing w:after="0" w:line="187" w:lineRule="exact"/>
        <w:rPr>
          <w:sz w:val="20"/>
          <w:szCs w:val="20"/>
          <w:color w:val="auto"/>
        </w:rPr>
      </w:pPr>
    </w:p>
    <w:p>
      <w:pPr>
        <w:jc w:val="both"/>
        <w:ind w:right="300"/>
        <w:spacing w:after="0" w:line="262" w:lineRule="auto"/>
        <w:rPr>
          <w:sz w:val="20"/>
          <w:szCs w:val="20"/>
          <w:color w:val="auto"/>
        </w:rPr>
      </w:pPr>
      <w:r>
        <w:rPr>
          <w:rFonts w:ascii="Arial" w:cs="Arial" w:eastAsia="Arial" w:hAnsi="Arial"/>
          <w:sz w:val="20"/>
          <w:szCs w:val="20"/>
          <w:color w:val="auto"/>
        </w:rPr>
        <w:t>To assure Regeneron and its directors, officers, and employees and certain other related persons are attentive to these laws and to promote compliance with these laws, as well as to maintain the integrity and reputation of both the Company and such individuals, Regeneron has adopted the following policy.</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FFFFFF"/>
          <w:shd w:val="clear" w:color="auto" w:fill="1E285A"/>
        </w:rPr>
        <w:t>SCOPE</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This policy applies to all employees of Regeneron.</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FFFFFF"/>
          <w:shd w:val="clear" w:color="auto" w:fill="1E285A"/>
        </w:rPr>
        <w:t>POLICY</w:t>
      </w:r>
    </w:p>
    <w:p>
      <w:pPr>
        <w:spacing w:after="0" w:line="202"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General Policy and Prohibitions</w:t>
      </w:r>
    </w:p>
    <w:p>
      <w:pPr>
        <w:spacing w:after="0" w:line="204" w:lineRule="exact"/>
        <w:rPr>
          <w:rFonts w:ascii="Arial" w:cs="Arial" w:eastAsia="Arial" w:hAnsi="Arial"/>
          <w:sz w:val="20"/>
          <w:szCs w:val="20"/>
          <w:b w:val="1"/>
          <w:bCs w:val="1"/>
          <w:color w:val="auto"/>
        </w:rPr>
      </w:pPr>
    </w:p>
    <w:p>
      <w:pPr>
        <w:ind w:left="340" w:right="140"/>
        <w:spacing w:after="0" w:line="251" w:lineRule="auto"/>
        <w:rPr>
          <w:rFonts w:ascii="Arial" w:cs="Arial" w:eastAsia="Arial" w:hAnsi="Arial"/>
          <w:sz w:val="20"/>
          <w:szCs w:val="20"/>
          <w:b w:val="1"/>
          <w:bCs w:val="1"/>
          <w:color w:val="auto"/>
        </w:rPr>
      </w:pPr>
      <w:r>
        <w:rPr>
          <w:rFonts w:ascii="Arial" w:cs="Arial" w:eastAsia="Arial" w:hAnsi="Arial"/>
          <w:sz w:val="20"/>
          <w:szCs w:val="20"/>
          <w:color w:val="auto"/>
        </w:rPr>
        <w:t>No director, officer, or employee of the Company or any of its subsidiaries who is aware of material non-public information relating to the Company may, directly or indirectly through other persons or entities, (i) buy or sell Company Securities, except as expressly permitted under this policy, (ii) give, communicate, or in any way convey such information on a non-confidential basis to another person outside the Company (including, but not limited to, family, friends, business associates, investors, and expert consulting firms), (iii) recommend the purchase or sale of any Company Securities, or (iv) assist anyone engaged in the foregoing activities. Regeneron’s policy also is to comply with applicable securities laws concerning trading in Company Securities on Regeneron’s behalf.</w:t>
      </w:r>
    </w:p>
    <w:p>
      <w:pPr>
        <w:spacing w:after="0" w:line="192" w:lineRule="exact"/>
        <w:rPr>
          <w:rFonts w:ascii="Arial" w:cs="Arial" w:eastAsia="Arial" w:hAnsi="Arial"/>
          <w:sz w:val="20"/>
          <w:szCs w:val="20"/>
          <w:b w:val="1"/>
          <w:bCs w:val="1"/>
          <w:color w:val="auto"/>
        </w:rPr>
      </w:pPr>
    </w:p>
    <w:p>
      <w:pPr>
        <w:jc w:val="both"/>
        <w:ind w:left="340" w:right="400"/>
        <w:spacing w:after="0" w:line="262" w:lineRule="auto"/>
        <w:rPr>
          <w:rFonts w:ascii="Arial" w:cs="Arial" w:eastAsia="Arial" w:hAnsi="Arial"/>
          <w:sz w:val="20"/>
          <w:szCs w:val="20"/>
          <w:b w:val="1"/>
          <w:bCs w:val="1"/>
          <w:color w:val="auto"/>
        </w:rPr>
      </w:pPr>
      <w:r>
        <w:rPr>
          <w:rFonts w:ascii="Arial" w:cs="Arial" w:eastAsia="Arial" w:hAnsi="Arial"/>
          <w:sz w:val="20"/>
          <w:szCs w:val="20"/>
          <w:color w:val="auto"/>
        </w:rPr>
        <w:t>The Company may also determine that other persons should be subject to this policy, such as contractors or consultants who have access to material non-public information. All of the persons referred to in the preceding two sentences of this paragraph are collectively referred to in this policy as "</w:t>
      </w:r>
      <w:r>
        <w:rPr>
          <w:rFonts w:ascii="Arial" w:cs="Arial" w:eastAsia="Arial" w:hAnsi="Arial"/>
          <w:sz w:val="20"/>
          <w:szCs w:val="20"/>
          <w:u w:val="single" w:color="auto"/>
          <w:color w:val="auto"/>
        </w:rPr>
        <w:t>Company Personnel</w:t>
      </w:r>
      <w:r>
        <w:rPr>
          <w:rFonts w:ascii="Arial" w:cs="Arial" w:eastAsia="Arial" w:hAnsi="Arial"/>
          <w:sz w:val="20"/>
          <w:szCs w:val="20"/>
          <w:color w:val="auto"/>
        </w:rPr>
        <w:t>."</w:t>
      </w:r>
    </w:p>
    <w:p>
      <w:pPr>
        <w:spacing w:after="0" w:line="178" w:lineRule="exact"/>
        <w:rPr>
          <w:rFonts w:ascii="Arial" w:cs="Arial" w:eastAsia="Arial" w:hAnsi="Arial"/>
          <w:sz w:val="20"/>
          <w:szCs w:val="20"/>
          <w:b w:val="1"/>
          <w:bCs w:val="1"/>
          <w:color w:val="auto"/>
        </w:rPr>
      </w:pPr>
    </w:p>
    <w:p>
      <w:pPr>
        <w:ind w:left="340" w:right="180"/>
        <w:spacing w:after="0" w:line="259" w:lineRule="auto"/>
        <w:rPr>
          <w:rFonts w:ascii="Arial" w:cs="Arial" w:eastAsia="Arial" w:hAnsi="Arial"/>
          <w:sz w:val="20"/>
          <w:szCs w:val="20"/>
          <w:b w:val="1"/>
          <w:bCs w:val="1"/>
          <w:color w:val="auto"/>
        </w:rPr>
      </w:pPr>
      <w:r>
        <w:rPr>
          <w:rFonts w:ascii="Arial" w:cs="Arial" w:eastAsia="Arial" w:hAnsi="Arial"/>
          <w:sz w:val="20"/>
          <w:szCs w:val="20"/>
          <w:color w:val="auto"/>
        </w:rPr>
        <w:t>Except as specifically noted in this policy, there are no exceptions to this policy. Transactions that may be necessary or justifiable for independent reasons (such as the need to raise money for an emergency expenditure), or small transactions, are not exempted from this policy. The securities laws do not recognize any mitigating circumstances, and, in any event, even the appearance of an</w:t>
      </w:r>
    </w:p>
    <w:p>
      <w:pPr>
        <w:sectPr>
          <w:pgSz w:w="11900" w:h="16838" w:orient="portrait"/>
          <w:cols w:equalWidth="0" w:num="1">
            <w:col w:w="11240"/>
          </w:cols>
          <w:pgMar w:left="320" w:top="108" w:right="339" w:bottom="1440" w:gutter="0" w:footer="0" w:header="0"/>
          <w:type w:val="continuous"/>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60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609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right="720"/>
        <w:spacing w:after="0" w:line="271" w:lineRule="auto"/>
        <w:rPr>
          <w:sz w:val="20"/>
          <w:szCs w:val="20"/>
          <w:color w:val="auto"/>
        </w:rPr>
      </w:pPr>
      <w:r>
        <w:rPr>
          <w:rFonts w:ascii="Arial" w:cs="Arial" w:eastAsia="Arial" w:hAnsi="Arial"/>
          <w:sz w:val="20"/>
          <w:szCs w:val="20"/>
          <w:color w:val="auto"/>
        </w:rPr>
        <w:t>improper transaction must be avoided to preserve the Company's reputation for adhering to the highest standards of conduct.</w:t>
      </w:r>
    </w:p>
    <w:p>
      <w:pPr>
        <w:spacing w:after="0" w:line="146" w:lineRule="exact"/>
        <w:rPr>
          <w:sz w:val="20"/>
          <w:szCs w:val="20"/>
          <w:color w:val="auto"/>
        </w:rPr>
      </w:pPr>
    </w:p>
    <w:p>
      <w:pPr>
        <w:ind w:left="820" w:hanging="310"/>
        <w:spacing w:after="0"/>
        <w:tabs>
          <w:tab w:leader="none" w:pos="82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Scope of Information</w:t>
      </w:r>
    </w:p>
    <w:p>
      <w:pPr>
        <w:ind w:left="840" w:right="4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This policy also covers information about any company (i) with which the Company does business, such as the Company’s strategic partners, collaborators, distributors, vendors, customers, or suppliers, or (ii) that is involved in a potential transaction or business relationship with the Company (collectively, "</w:t>
      </w:r>
      <w:r>
        <w:rPr>
          <w:rFonts w:ascii="Arial" w:cs="Arial" w:eastAsia="Arial" w:hAnsi="Arial"/>
          <w:sz w:val="20"/>
          <w:szCs w:val="20"/>
          <w:u w:val="single" w:color="auto"/>
          <w:color w:val="auto"/>
        </w:rPr>
        <w:t>Company Partners</w:t>
      </w:r>
      <w:r>
        <w:rPr>
          <w:rFonts w:ascii="Arial" w:cs="Arial" w:eastAsia="Arial" w:hAnsi="Arial"/>
          <w:sz w:val="20"/>
          <w:szCs w:val="20"/>
          <w:color w:val="auto"/>
        </w:rPr>
        <w:t>"). Any material non-public information obtained by Company Personnel which relates to a Company Partner should be treated as Regeneron's information and, accordingly, any such Company Personnel may not trade in that Company Partner's securities until the information becomes public or is no longer material.</w:t>
      </w:r>
    </w:p>
    <w:p>
      <w:pPr>
        <w:spacing w:after="0" w:line="176" w:lineRule="exact"/>
        <w:rPr>
          <w:rFonts w:ascii="Arial" w:cs="Arial" w:eastAsia="Arial" w:hAnsi="Arial"/>
          <w:sz w:val="20"/>
          <w:szCs w:val="20"/>
          <w:b w:val="1"/>
          <w:bCs w:val="1"/>
          <w:color w:val="auto"/>
        </w:rPr>
      </w:pPr>
    </w:p>
    <w:p>
      <w:pPr>
        <w:ind w:left="820" w:hanging="310"/>
        <w:spacing w:after="0"/>
        <w:tabs>
          <w:tab w:leader="none" w:pos="82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Persons Covered</w:t>
      </w:r>
    </w:p>
    <w:p>
      <w:pPr>
        <w:spacing w:after="0" w:line="6" w:lineRule="exact"/>
        <w:rPr>
          <w:rFonts w:ascii="Arial" w:cs="Arial" w:eastAsia="Arial" w:hAnsi="Arial"/>
          <w:sz w:val="20"/>
          <w:szCs w:val="20"/>
          <w:b w:val="1"/>
          <w:bCs w:val="1"/>
          <w:color w:val="auto"/>
        </w:rPr>
      </w:pPr>
    </w:p>
    <w:p>
      <w:pPr>
        <w:ind w:left="840" w:right="220"/>
        <w:spacing w:after="0" w:line="266" w:lineRule="auto"/>
        <w:rPr>
          <w:rFonts w:ascii="Arial" w:cs="Arial" w:eastAsia="Arial" w:hAnsi="Arial"/>
          <w:sz w:val="20"/>
          <w:szCs w:val="20"/>
          <w:b w:val="1"/>
          <w:bCs w:val="1"/>
          <w:color w:val="auto"/>
        </w:rPr>
      </w:pPr>
      <w:r>
        <w:rPr>
          <w:rFonts w:ascii="Arial" w:cs="Arial" w:eastAsia="Arial" w:hAnsi="Arial"/>
          <w:sz w:val="19"/>
          <w:szCs w:val="19"/>
          <w:color w:val="auto"/>
        </w:rPr>
        <w:t>This policy applies to all Company Personnel, family members who live in their household (including a spouse, a child, a child away at college, step-children, grandchildren, parents, step-parents, grandparents, siblings, and in-laws), others who live in their household, and any other people or entities that might reasonably be deemed to have a relationship (legal, personal, or otherwise) meriting coverage, such as those whose transactions in Company Securities are directed by a member of Company Personnel (for example, a family trust of which such member is trustee) or are subject to such member's influence or control (collectively, the "</w:t>
      </w:r>
      <w:r>
        <w:rPr>
          <w:rFonts w:ascii="Arial" w:cs="Arial" w:eastAsia="Arial" w:hAnsi="Arial"/>
          <w:sz w:val="19"/>
          <w:szCs w:val="19"/>
          <w:u w:val="single" w:color="auto"/>
          <w:color w:val="auto"/>
        </w:rPr>
        <w:t>Covered Persons</w:t>
      </w:r>
      <w:r>
        <w:rPr>
          <w:rFonts w:ascii="Arial" w:cs="Arial" w:eastAsia="Arial" w:hAnsi="Arial"/>
          <w:sz w:val="19"/>
          <w:szCs w:val="19"/>
          <w:color w:val="auto"/>
        </w:rPr>
        <w:t>").</w:t>
      </w:r>
    </w:p>
    <w:p>
      <w:pPr>
        <w:spacing w:after="0" w:line="147" w:lineRule="exact"/>
        <w:rPr>
          <w:rFonts w:ascii="Arial" w:cs="Arial" w:eastAsia="Arial" w:hAnsi="Arial"/>
          <w:sz w:val="20"/>
          <w:szCs w:val="20"/>
          <w:b w:val="1"/>
          <w:bCs w:val="1"/>
          <w:color w:val="auto"/>
        </w:rPr>
      </w:pPr>
    </w:p>
    <w:p>
      <w:pPr>
        <w:ind w:left="820" w:hanging="310"/>
        <w:spacing w:after="0"/>
        <w:tabs>
          <w:tab w:leader="none" w:pos="82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Securities Subject to the Policy</w:t>
      </w:r>
    </w:p>
    <w:p>
      <w:pPr>
        <w:spacing w:after="0" w:line="6" w:lineRule="exact"/>
        <w:rPr>
          <w:rFonts w:ascii="Arial" w:cs="Arial" w:eastAsia="Arial" w:hAnsi="Arial"/>
          <w:sz w:val="20"/>
          <w:szCs w:val="20"/>
          <w:b w:val="1"/>
          <w:bCs w:val="1"/>
          <w:color w:val="auto"/>
        </w:rPr>
      </w:pPr>
    </w:p>
    <w:p>
      <w:pPr>
        <w:ind w:left="84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This policy applies to transactions in the Company's securities, including without limitation the Company's common stock, Class A stock, options to purchase common stock, or any other type of securities that the Company issued or may issue from time to time, whether equity or debt securities and whether derivative or non-derivative and convertible or non-convertible, including (but not limited to) preferred stock, bonds, notes, debentures, and warrants, as well as derivative securities that are not issued by the Company, such as exchange-traded put or call options or swaps relating to any securities of the Company. The securities referred to in the immediately preceding sentence are collectively referred to in this policy as "</w:t>
      </w:r>
      <w:r>
        <w:rPr>
          <w:rFonts w:ascii="Arial" w:cs="Arial" w:eastAsia="Arial" w:hAnsi="Arial"/>
          <w:sz w:val="20"/>
          <w:szCs w:val="20"/>
          <w:u w:val="single" w:color="auto"/>
          <w:color w:val="auto"/>
        </w:rPr>
        <w:t>Company Securities</w:t>
      </w:r>
      <w:r>
        <w:rPr>
          <w:rFonts w:ascii="Arial" w:cs="Arial" w:eastAsia="Arial" w:hAnsi="Arial"/>
          <w:sz w:val="20"/>
          <w:szCs w:val="20"/>
          <w:color w:val="auto"/>
        </w:rPr>
        <w:t>."</w:t>
      </w:r>
    </w:p>
    <w:p>
      <w:pPr>
        <w:spacing w:after="0" w:line="179" w:lineRule="exact"/>
        <w:rPr>
          <w:rFonts w:ascii="Arial" w:cs="Arial" w:eastAsia="Arial" w:hAnsi="Arial"/>
          <w:sz w:val="20"/>
          <w:szCs w:val="20"/>
          <w:b w:val="1"/>
          <w:bCs w:val="1"/>
          <w:color w:val="auto"/>
        </w:rPr>
      </w:pPr>
    </w:p>
    <w:p>
      <w:pPr>
        <w:ind w:left="820" w:hanging="310"/>
        <w:spacing w:after="0"/>
        <w:tabs>
          <w:tab w:leader="none" w:pos="82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Individual Responsibility</w:t>
      </w:r>
    </w:p>
    <w:p>
      <w:pPr>
        <w:spacing w:after="0" w:line="6" w:lineRule="exact"/>
        <w:rPr>
          <w:rFonts w:ascii="Arial" w:cs="Arial" w:eastAsia="Arial" w:hAnsi="Arial"/>
          <w:sz w:val="20"/>
          <w:szCs w:val="20"/>
          <w:b w:val="1"/>
          <w:bCs w:val="1"/>
          <w:color w:val="auto"/>
        </w:rPr>
      </w:pPr>
    </w:p>
    <w:p>
      <w:pPr>
        <w:ind w:left="840" w:right="140"/>
        <w:spacing w:after="0" w:line="263" w:lineRule="auto"/>
        <w:rPr>
          <w:rFonts w:ascii="Arial" w:cs="Arial" w:eastAsia="Arial" w:hAnsi="Arial"/>
          <w:sz w:val="20"/>
          <w:szCs w:val="20"/>
          <w:b w:val="1"/>
          <w:bCs w:val="1"/>
          <w:color w:val="auto"/>
        </w:rPr>
      </w:pPr>
      <w:r>
        <w:rPr>
          <w:rFonts w:ascii="Arial" w:cs="Arial" w:eastAsia="Arial" w:hAnsi="Arial"/>
          <w:sz w:val="19"/>
          <w:szCs w:val="19"/>
          <w:color w:val="auto"/>
        </w:rPr>
        <w:t>Company Personnel and their respective Covered Persons have ethical and legal obligations to maintain the confidentiality of information about the Company and other information as provided in this policy and other Company policies and not to engage in transactions in Company Securities while aware of material non-public information relating to the Company. Each member of Company Personnel is responsible for making sure that he or she complies with this policy and any Covered Person of such member also complies with this policy, including by making any such Covered Person aware of the need to confer with such member before trading in Company Securities. Each member of Company Personnel should treat all transactions by his or her Covered Persons covered by this policy for the purposes of this policy and applicable securities laws as if the transactions were for such member's own account. In all cases, the responsibility for determining whether an individual is aware of material non-public information rests with that individual, and any action on the part of the Company, the General Counsel (as defined below), or any other employee or director pursuant to this policy (or otherwise)</w:t>
      </w:r>
    </w:p>
    <w:p>
      <w:pPr>
        <w:sectPr>
          <w:pgSz w:w="11900" w:h="16838" w:orient="portrait"/>
          <w:cols w:equalWidth="0" w:num="1">
            <w:col w:w="10860"/>
          </w:cols>
          <w:pgMar w:left="660" w:top="1440" w:right="379"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60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609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330"/>
        <w:spacing w:after="0" w:line="255" w:lineRule="auto"/>
        <w:rPr>
          <w:sz w:val="20"/>
          <w:szCs w:val="20"/>
          <w:color w:val="auto"/>
        </w:rPr>
      </w:pPr>
      <w:r>
        <w:rPr>
          <w:rFonts w:ascii="Arial" w:cs="Arial" w:eastAsia="Arial" w:hAnsi="Arial"/>
          <w:sz w:val="20"/>
          <w:szCs w:val="20"/>
          <w:color w:val="auto"/>
        </w:rPr>
        <w:t>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in paragraph 7 and under the heading "Legal Consequences."</w:t>
      </w:r>
    </w:p>
    <w:p>
      <w:pPr>
        <w:spacing w:after="0" w:line="168" w:lineRule="exact"/>
        <w:rPr>
          <w:sz w:val="20"/>
          <w:szCs w:val="20"/>
          <w:color w:val="auto"/>
        </w:rPr>
      </w:pPr>
    </w:p>
    <w:p>
      <w:pPr>
        <w:ind w:left="310" w:hanging="310"/>
        <w:spacing w:after="0"/>
        <w:tabs>
          <w:tab w:leader="none" w:pos="31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Administration of this Policy</w:t>
      </w:r>
    </w:p>
    <w:p>
      <w:pPr>
        <w:spacing w:after="0" w:line="6" w:lineRule="exact"/>
        <w:rPr>
          <w:rFonts w:ascii="Arial" w:cs="Arial" w:eastAsia="Arial" w:hAnsi="Arial"/>
          <w:sz w:val="20"/>
          <w:szCs w:val="20"/>
          <w:b w:val="1"/>
          <w:bCs w:val="1"/>
          <w:color w:val="auto"/>
        </w:rPr>
      </w:pPr>
    </w:p>
    <w:p>
      <w:pPr>
        <w:ind w:left="330" w:right="340"/>
        <w:spacing w:after="0" w:line="253" w:lineRule="auto"/>
        <w:rPr>
          <w:rFonts w:ascii="Arial" w:cs="Arial" w:eastAsia="Arial" w:hAnsi="Arial"/>
          <w:sz w:val="20"/>
          <w:szCs w:val="20"/>
          <w:b w:val="1"/>
          <w:bCs w:val="1"/>
          <w:color w:val="auto"/>
        </w:rPr>
      </w:pPr>
      <w:r>
        <w:rPr>
          <w:rFonts w:ascii="Arial" w:cs="Arial" w:eastAsia="Arial" w:hAnsi="Arial"/>
          <w:sz w:val="20"/>
          <w:szCs w:val="20"/>
          <w:color w:val="auto"/>
        </w:rPr>
        <w:t>As used in this policy, "</w:t>
      </w:r>
      <w:r>
        <w:rPr>
          <w:rFonts w:ascii="Arial" w:cs="Arial" w:eastAsia="Arial" w:hAnsi="Arial"/>
          <w:sz w:val="20"/>
          <w:szCs w:val="20"/>
          <w:u w:val="single" w:color="auto"/>
          <w:color w:val="auto"/>
        </w:rPr>
        <w:t>General Counsel</w:t>
      </w:r>
      <w:r>
        <w:rPr>
          <w:rFonts w:ascii="Arial" w:cs="Arial" w:eastAsia="Arial" w:hAnsi="Arial"/>
          <w:sz w:val="20"/>
          <w:szCs w:val="20"/>
          <w:color w:val="auto"/>
        </w:rPr>
        <w:t>" means the General Counsel of the Company or his or her designee, if any. The General Counsel shall be responsible for administration of this policy, and all determinations and interpretations by the General Counsel under this policy shall be final and not subject to further review.</w:t>
      </w:r>
    </w:p>
    <w:p>
      <w:pPr>
        <w:spacing w:after="0" w:line="157" w:lineRule="exact"/>
        <w:rPr>
          <w:rFonts w:ascii="Arial" w:cs="Arial" w:eastAsia="Arial" w:hAnsi="Arial"/>
          <w:sz w:val="20"/>
          <w:szCs w:val="20"/>
          <w:b w:val="1"/>
          <w:bCs w:val="1"/>
          <w:color w:val="auto"/>
        </w:rPr>
      </w:pPr>
    </w:p>
    <w:p>
      <w:pPr>
        <w:ind w:left="330" w:hanging="330"/>
        <w:spacing w:after="0"/>
        <w:tabs>
          <w:tab w:leader="none" w:pos="33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What is Material Information?</w:t>
      </w:r>
    </w:p>
    <w:p>
      <w:pPr>
        <w:spacing w:after="0" w:line="6" w:lineRule="exact"/>
        <w:rPr>
          <w:rFonts w:ascii="Arial" w:cs="Arial" w:eastAsia="Arial" w:hAnsi="Arial"/>
          <w:sz w:val="20"/>
          <w:szCs w:val="20"/>
          <w:b w:val="1"/>
          <w:bCs w:val="1"/>
          <w:color w:val="auto"/>
        </w:rPr>
      </w:pPr>
    </w:p>
    <w:p>
      <w:pPr>
        <w:ind w:left="330" w:right="60"/>
        <w:spacing w:after="0" w:line="251" w:lineRule="auto"/>
        <w:rPr>
          <w:rFonts w:ascii="Arial" w:cs="Arial" w:eastAsia="Arial" w:hAnsi="Arial"/>
          <w:sz w:val="20"/>
          <w:szCs w:val="20"/>
          <w:b w:val="1"/>
          <w:bCs w:val="1"/>
          <w:color w:val="auto"/>
        </w:rPr>
      </w:pPr>
      <w:r>
        <w:rPr>
          <w:rFonts w:ascii="Arial" w:cs="Arial" w:eastAsia="Arial" w:hAnsi="Arial"/>
          <w:sz w:val="20"/>
          <w:szCs w:val="20"/>
          <w:color w:val="auto"/>
        </w:rPr>
        <w:t>The term "material information" should be construed broadly. Information is considered "material" if a reasonable investor would consider that information important in making a decision to buy, hold, or sell securities. Any information that could be expected to affect the price of Company Securities,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61" w:lineRule="exact"/>
        <w:rPr>
          <w:rFonts w:ascii="Arial" w:cs="Arial" w:eastAsia="Arial" w:hAnsi="Arial"/>
          <w:sz w:val="20"/>
          <w:szCs w:val="20"/>
          <w:b w:val="1"/>
          <w:bCs w:val="1"/>
          <w:color w:val="auto"/>
        </w:rPr>
      </w:pPr>
    </w:p>
    <w:p>
      <w:pPr>
        <w:ind w:left="930" w:right="460" w:hanging="22"/>
        <w:spacing w:after="0" w:line="227" w:lineRule="auto"/>
        <w:tabs>
          <w:tab w:leader="none" w:pos="1111" w:val="left"/>
        </w:tabs>
        <w:numPr>
          <w:ilvl w:val="1"/>
          <w:numId w:val="66"/>
        </w:numPr>
        <w:rPr>
          <w:rFonts w:ascii="Arial" w:cs="Arial" w:eastAsia="Arial" w:hAnsi="Arial"/>
          <w:sz w:val="20"/>
          <w:szCs w:val="20"/>
          <w:color w:val="auto"/>
        </w:rPr>
      </w:pPr>
      <w:r>
        <w:rPr>
          <w:rFonts w:ascii="Arial" w:cs="Arial" w:eastAsia="Arial" w:hAnsi="Arial"/>
          <w:sz w:val="20"/>
          <w:szCs w:val="20"/>
          <w:color w:val="auto"/>
        </w:rPr>
        <w:t>projections of future earnings or losses, or other guidance (including, without limitation, projections or other guidance relating to product sales; research and development expenses; selling, general, and administrative expenses; capital expenditures; and income tax obligations), or changes thereof;</w:t>
      </w:r>
    </w:p>
    <w:p>
      <w:pPr>
        <w:spacing w:after="0" w:line="157" w:lineRule="exact"/>
        <w:rPr>
          <w:rFonts w:ascii="Arial" w:cs="Arial" w:eastAsia="Arial" w:hAnsi="Arial"/>
          <w:sz w:val="20"/>
          <w:szCs w:val="20"/>
          <w:color w:val="auto"/>
        </w:rPr>
      </w:pPr>
    </w:p>
    <w:p>
      <w:pPr>
        <w:ind w:left="1090" w:hanging="182"/>
        <w:spacing w:after="0"/>
        <w:tabs>
          <w:tab w:leader="none" w:pos="1090" w:val="left"/>
        </w:tabs>
        <w:numPr>
          <w:ilvl w:val="1"/>
          <w:numId w:val="66"/>
        </w:numPr>
        <w:rPr>
          <w:rFonts w:ascii="Arial" w:cs="Arial" w:eastAsia="Arial" w:hAnsi="Arial"/>
          <w:sz w:val="20"/>
          <w:szCs w:val="20"/>
          <w:color w:val="auto"/>
        </w:rPr>
      </w:pPr>
      <w:r>
        <w:rPr>
          <w:rFonts w:ascii="Arial" w:cs="Arial" w:eastAsia="Arial" w:hAnsi="Arial"/>
          <w:sz w:val="20"/>
          <w:szCs w:val="20"/>
          <w:color w:val="auto"/>
        </w:rPr>
        <w:t>news of a pending or proposed merger, acquisition, or tender offer;</w:t>
      </w:r>
    </w:p>
    <w:p>
      <w:pPr>
        <w:spacing w:after="0" w:line="188" w:lineRule="exact"/>
        <w:rPr>
          <w:rFonts w:ascii="Arial" w:cs="Arial" w:eastAsia="Arial" w:hAnsi="Arial"/>
          <w:sz w:val="20"/>
          <w:szCs w:val="20"/>
          <w:color w:val="auto"/>
        </w:rPr>
      </w:pPr>
    </w:p>
    <w:p>
      <w:pPr>
        <w:ind w:left="1150" w:hanging="242"/>
        <w:spacing w:after="0"/>
        <w:tabs>
          <w:tab w:leader="none" w:pos="1150" w:val="left"/>
        </w:tabs>
        <w:numPr>
          <w:ilvl w:val="1"/>
          <w:numId w:val="66"/>
        </w:numPr>
        <w:rPr>
          <w:rFonts w:ascii="Arial" w:cs="Arial" w:eastAsia="Arial" w:hAnsi="Arial"/>
          <w:sz w:val="20"/>
          <w:szCs w:val="20"/>
          <w:color w:val="auto"/>
        </w:rPr>
      </w:pPr>
      <w:r>
        <w:rPr>
          <w:rFonts w:ascii="Arial" w:cs="Arial" w:eastAsia="Arial" w:hAnsi="Arial"/>
          <w:sz w:val="20"/>
          <w:szCs w:val="20"/>
          <w:color w:val="auto"/>
        </w:rPr>
        <w:t>news of a significant new business transaction or license agreement;</w:t>
      </w:r>
    </w:p>
    <w:p>
      <w:pPr>
        <w:spacing w:after="0" w:line="175" w:lineRule="exact"/>
        <w:rPr>
          <w:rFonts w:ascii="Arial" w:cs="Arial" w:eastAsia="Arial" w:hAnsi="Arial"/>
          <w:sz w:val="20"/>
          <w:szCs w:val="20"/>
          <w:color w:val="auto"/>
        </w:rPr>
      </w:pPr>
    </w:p>
    <w:p>
      <w:pPr>
        <w:ind w:left="1150" w:hanging="230"/>
        <w:spacing w:after="0"/>
        <w:tabs>
          <w:tab w:leader="none" w:pos="1150" w:val="left"/>
        </w:tabs>
        <w:numPr>
          <w:ilvl w:val="2"/>
          <w:numId w:val="66"/>
        </w:numPr>
        <w:rPr>
          <w:rFonts w:ascii="Arial" w:cs="Arial" w:eastAsia="Arial" w:hAnsi="Arial"/>
          <w:sz w:val="20"/>
          <w:szCs w:val="20"/>
          <w:color w:val="auto"/>
        </w:rPr>
      </w:pPr>
      <w:r>
        <w:rPr>
          <w:rFonts w:ascii="Arial" w:cs="Arial" w:eastAsia="Arial" w:hAnsi="Arial"/>
          <w:sz w:val="20"/>
          <w:szCs w:val="20"/>
          <w:color w:val="auto"/>
        </w:rPr>
        <w:t>significant regulatory developments or product approvals;</w:t>
      </w:r>
    </w:p>
    <w:p>
      <w:pPr>
        <w:spacing w:after="0" w:line="188" w:lineRule="exact"/>
        <w:rPr>
          <w:rFonts w:ascii="Arial" w:cs="Arial" w:eastAsia="Arial" w:hAnsi="Arial"/>
          <w:sz w:val="20"/>
          <w:szCs w:val="20"/>
          <w:color w:val="auto"/>
        </w:rPr>
      </w:pPr>
    </w:p>
    <w:p>
      <w:pPr>
        <w:ind w:left="1110" w:hanging="190"/>
        <w:spacing w:after="0"/>
        <w:tabs>
          <w:tab w:leader="none" w:pos="1110" w:val="left"/>
        </w:tabs>
        <w:numPr>
          <w:ilvl w:val="2"/>
          <w:numId w:val="66"/>
        </w:numPr>
        <w:rPr>
          <w:rFonts w:ascii="Arial" w:cs="Arial" w:eastAsia="Arial" w:hAnsi="Arial"/>
          <w:sz w:val="20"/>
          <w:szCs w:val="20"/>
          <w:color w:val="auto"/>
        </w:rPr>
      </w:pPr>
      <w:r>
        <w:rPr>
          <w:rFonts w:ascii="Arial" w:cs="Arial" w:eastAsia="Arial" w:hAnsi="Arial"/>
          <w:sz w:val="20"/>
          <w:szCs w:val="20"/>
          <w:color w:val="auto"/>
        </w:rPr>
        <w:t>a declaration of a stock split or the offering of additional Company Securities;</w:t>
      </w:r>
    </w:p>
    <w:p>
      <w:pPr>
        <w:spacing w:after="0" w:line="188" w:lineRule="exact"/>
        <w:rPr>
          <w:rFonts w:ascii="Arial" w:cs="Arial" w:eastAsia="Arial" w:hAnsi="Arial"/>
          <w:sz w:val="20"/>
          <w:szCs w:val="20"/>
          <w:color w:val="auto"/>
        </w:rPr>
      </w:pPr>
    </w:p>
    <w:p>
      <w:pPr>
        <w:ind w:left="1170" w:hanging="250"/>
        <w:spacing w:after="0"/>
        <w:tabs>
          <w:tab w:leader="none" w:pos="1170" w:val="left"/>
        </w:tabs>
        <w:numPr>
          <w:ilvl w:val="2"/>
          <w:numId w:val="66"/>
        </w:numPr>
        <w:rPr>
          <w:rFonts w:ascii="Arial" w:cs="Arial" w:eastAsia="Arial" w:hAnsi="Arial"/>
          <w:sz w:val="20"/>
          <w:szCs w:val="20"/>
          <w:color w:val="auto"/>
        </w:rPr>
      </w:pPr>
      <w:r>
        <w:rPr>
          <w:rFonts w:ascii="Arial" w:cs="Arial" w:eastAsia="Arial" w:hAnsi="Arial"/>
          <w:sz w:val="20"/>
          <w:szCs w:val="20"/>
          <w:color w:val="auto"/>
        </w:rPr>
        <w:t>a change in management;</w:t>
      </w:r>
    </w:p>
    <w:p>
      <w:pPr>
        <w:spacing w:after="0" w:line="175" w:lineRule="exact"/>
        <w:rPr>
          <w:rFonts w:ascii="Arial" w:cs="Arial" w:eastAsia="Arial" w:hAnsi="Arial"/>
          <w:sz w:val="20"/>
          <w:szCs w:val="20"/>
          <w:color w:val="auto"/>
        </w:rPr>
      </w:pPr>
    </w:p>
    <w:p>
      <w:pPr>
        <w:ind w:left="1210" w:hanging="290"/>
        <w:spacing w:after="0"/>
        <w:tabs>
          <w:tab w:leader="none" w:pos="1210" w:val="left"/>
        </w:tabs>
        <w:numPr>
          <w:ilvl w:val="2"/>
          <w:numId w:val="66"/>
        </w:numPr>
        <w:rPr>
          <w:rFonts w:ascii="Arial" w:cs="Arial" w:eastAsia="Arial" w:hAnsi="Arial"/>
          <w:sz w:val="20"/>
          <w:szCs w:val="20"/>
          <w:color w:val="auto"/>
        </w:rPr>
      </w:pPr>
      <w:r>
        <w:rPr>
          <w:rFonts w:ascii="Arial" w:cs="Arial" w:eastAsia="Arial" w:hAnsi="Arial"/>
          <w:sz w:val="20"/>
          <w:szCs w:val="20"/>
          <w:color w:val="auto"/>
        </w:rPr>
        <w:t>bank borrowings or other financing transactions out of the ordinary course;</w:t>
      </w:r>
    </w:p>
    <w:p>
      <w:pPr>
        <w:spacing w:after="0" w:line="188" w:lineRule="exact"/>
        <w:rPr>
          <w:rFonts w:ascii="Arial" w:cs="Arial" w:eastAsia="Arial" w:hAnsi="Arial"/>
          <w:sz w:val="20"/>
          <w:szCs w:val="20"/>
          <w:color w:val="auto"/>
        </w:rPr>
      </w:pPr>
    </w:p>
    <w:p>
      <w:pPr>
        <w:ind w:left="1270" w:hanging="350"/>
        <w:spacing w:after="0"/>
        <w:tabs>
          <w:tab w:leader="none" w:pos="1270" w:val="left"/>
        </w:tabs>
        <w:numPr>
          <w:ilvl w:val="2"/>
          <w:numId w:val="66"/>
        </w:numPr>
        <w:rPr>
          <w:rFonts w:ascii="Arial" w:cs="Arial" w:eastAsia="Arial" w:hAnsi="Arial"/>
          <w:sz w:val="20"/>
          <w:szCs w:val="20"/>
          <w:color w:val="auto"/>
        </w:rPr>
      </w:pPr>
      <w:r>
        <w:rPr>
          <w:rFonts w:ascii="Arial" w:cs="Arial" w:eastAsia="Arial" w:hAnsi="Arial"/>
          <w:sz w:val="20"/>
          <w:szCs w:val="20"/>
          <w:color w:val="auto"/>
        </w:rPr>
        <w:t>a significant cybersecurity incident;</w:t>
      </w:r>
    </w:p>
    <w:p>
      <w:pPr>
        <w:spacing w:after="0" w:line="188" w:lineRule="exact"/>
        <w:rPr>
          <w:rFonts w:ascii="Arial" w:cs="Arial" w:eastAsia="Arial" w:hAnsi="Arial"/>
          <w:sz w:val="20"/>
          <w:szCs w:val="20"/>
          <w:color w:val="auto"/>
        </w:rPr>
      </w:pPr>
    </w:p>
    <w:p>
      <w:pPr>
        <w:ind w:left="1170" w:hanging="250"/>
        <w:spacing w:after="0"/>
        <w:tabs>
          <w:tab w:leader="none" w:pos="1170" w:val="left"/>
        </w:tabs>
        <w:numPr>
          <w:ilvl w:val="2"/>
          <w:numId w:val="66"/>
        </w:numPr>
        <w:rPr>
          <w:rFonts w:ascii="Arial" w:cs="Arial" w:eastAsia="Arial" w:hAnsi="Arial"/>
          <w:sz w:val="20"/>
          <w:szCs w:val="20"/>
          <w:color w:val="auto"/>
        </w:rPr>
      </w:pPr>
      <w:r>
        <w:rPr>
          <w:rFonts w:ascii="Arial" w:cs="Arial" w:eastAsia="Arial" w:hAnsi="Arial"/>
          <w:sz w:val="20"/>
          <w:szCs w:val="20"/>
          <w:color w:val="auto"/>
        </w:rPr>
        <w:t>significant new clinical results or discoveries;</w:t>
      </w:r>
    </w:p>
    <w:p>
      <w:pPr>
        <w:spacing w:after="0" w:line="175" w:lineRule="exact"/>
        <w:rPr>
          <w:rFonts w:ascii="Arial" w:cs="Arial" w:eastAsia="Arial" w:hAnsi="Arial"/>
          <w:sz w:val="20"/>
          <w:szCs w:val="20"/>
          <w:color w:val="auto"/>
        </w:rPr>
      </w:pPr>
    </w:p>
    <w:p>
      <w:pPr>
        <w:ind w:left="1130" w:hanging="210"/>
        <w:spacing w:after="0"/>
        <w:tabs>
          <w:tab w:leader="none" w:pos="1130" w:val="left"/>
        </w:tabs>
        <w:numPr>
          <w:ilvl w:val="2"/>
          <w:numId w:val="66"/>
        </w:numPr>
        <w:rPr>
          <w:rFonts w:ascii="Arial" w:cs="Arial" w:eastAsia="Arial" w:hAnsi="Arial"/>
          <w:sz w:val="20"/>
          <w:szCs w:val="20"/>
          <w:color w:val="auto"/>
        </w:rPr>
      </w:pPr>
      <w:r>
        <w:rPr>
          <w:rFonts w:ascii="Arial" w:cs="Arial" w:eastAsia="Arial" w:hAnsi="Arial"/>
          <w:sz w:val="20"/>
          <w:szCs w:val="20"/>
          <w:color w:val="auto"/>
        </w:rPr>
        <w:t>significant litigation or litigation developments; and</w:t>
      </w:r>
    </w:p>
    <w:p>
      <w:pPr>
        <w:spacing w:after="0" w:line="188" w:lineRule="exact"/>
        <w:rPr>
          <w:rFonts w:ascii="Arial" w:cs="Arial" w:eastAsia="Arial" w:hAnsi="Arial"/>
          <w:sz w:val="20"/>
          <w:szCs w:val="20"/>
          <w:color w:val="auto"/>
        </w:rPr>
      </w:pPr>
    </w:p>
    <w:p>
      <w:pPr>
        <w:ind w:left="1170" w:hanging="250"/>
        <w:spacing w:after="0"/>
        <w:tabs>
          <w:tab w:leader="none" w:pos="1170" w:val="left"/>
        </w:tabs>
        <w:numPr>
          <w:ilvl w:val="2"/>
          <w:numId w:val="66"/>
        </w:numPr>
        <w:rPr>
          <w:rFonts w:ascii="Arial" w:cs="Arial" w:eastAsia="Arial" w:hAnsi="Arial"/>
          <w:sz w:val="20"/>
          <w:szCs w:val="20"/>
          <w:color w:val="auto"/>
        </w:rPr>
      </w:pPr>
      <w:r>
        <w:rPr>
          <w:rFonts w:ascii="Arial" w:cs="Arial" w:eastAsia="Arial" w:hAnsi="Arial"/>
          <w:sz w:val="20"/>
          <w:szCs w:val="20"/>
          <w:color w:val="auto"/>
        </w:rPr>
        <w:t>significant new contracts or loss of business.</w:t>
      </w:r>
    </w:p>
    <w:p>
      <w:pPr>
        <w:spacing w:after="0" w:line="202" w:lineRule="exact"/>
        <w:rPr>
          <w:sz w:val="20"/>
          <w:szCs w:val="20"/>
          <w:color w:val="auto"/>
        </w:rPr>
      </w:pPr>
    </w:p>
    <w:p>
      <w:pPr>
        <w:ind w:left="330" w:right="160"/>
        <w:spacing w:after="0" w:line="255" w:lineRule="auto"/>
        <w:rPr>
          <w:sz w:val="20"/>
          <w:szCs w:val="20"/>
          <w:color w:val="auto"/>
        </w:rPr>
      </w:pPr>
      <w:r>
        <w:rPr>
          <w:rFonts w:ascii="Arial" w:cs="Arial" w:eastAsia="Arial" w:hAnsi="Arial"/>
          <w:sz w:val="20"/>
          <w:szCs w:val="20"/>
          <w:color w:val="auto"/>
        </w:rPr>
        <w:t>Developments in the Company's laboratories, clinical studies, the work of the Company's partners and collaborators, and other scientific developments are examples of potential material inside information. Information as to the success, failure, or even the unchanging status of particular aspects of the Company's business can be considered material.</w:t>
      </w:r>
    </w:p>
    <w:p>
      <w:pPr>
        <w:sectPr>
          <w:pgSz w:w="11900" w:h="16838" w:orient="portrait"/>
          <w:cols w:equalWidth="0" w:num="1">
            <w:col w:w="10390"/>
          </w:cols>
          <w:pgMar w:left="1170" w:top="1440" w:right="339"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60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609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310" w:hanging="310"/>
        <w:spacing w:after="0"/>
        <w:tabs>
          <w:tab w:leader="none" w:pos="31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When is Information Deemed Public?</w:t>
      </w:r>
    </w:p>
    <w:p>
      <w:pPr>
        <w:ind w:left="330"/>
        <w:spacing w:after="0" w:line="249" w:lineRule="auto"/>
        <w:rPr>
          <w:rFonts w:ascii="Arial" w:cs="Arial" w:eastAsia="Arial" w:hAnsi="Arial"/>
          <w:sz w:val="20"/>
          <w:szCs w:val="20"/>
          <w:b w:val="1"/>
          <w:bCs w:val="1"/>
          <w:color w:val="auto"/>
        </w:rPr>
      </w:pPr>
      <w:r>
        <w:rPr>
          <w:rFonts w:ascii="Arial" w:cs="Arial" w:eastAsia="Arial" w:hAnsi="Arial"/>
          <w:sz w:val="20"/>
          <w:szCs w:val="20"/>
          <w:color w:val="auto"/>
        </w:rPr>
        <w:t>Company Personnel may trade only when they are certain that official announcements of material information have been sufficiently publicized so the public has had the opportunity to evaluate the information and to absorb it. Company Personnel may not attempt to "beat the market" by trading simultaneously with, or shortly after, the official release of material information. Insider trading is not made permissible merely because material information is reflected by rumors or other unofficial statements in the marketplace. Information would likely not be considered widely disseminated if it is available only to the Company's employees, or if it is only available to a select group of analysts, brokers, and institutional investors. Company Personnel should presume that information is non-public unless they can point to the official release of that information by the Company in at least one of the following ways: (i) publicly available filings with the Securities and Exchange Commission (the “</w:t>
      </w:r>
      <w:r>
        <w:rPr>
          <w:rFonts w:ascii="Arial" w:cs="Arial" w:eastAsia="Arial" w:hAnsi="Arial"/>
          <w:sz w:val="20"/>
          <w:szCs w:val="20"/>
          <w:u w:val="single" w:color="auto"/>
          <w:color w:val="auto"/>
        </w:rPr>
        <w:t>SEC</w:t>
      </w:r>
      <w:r>
        <w:rPr>
          <w:rFonts w:ascii="Arial" w:cs="Arial" w:eastAsia="Arial" w:hAnsi="Arial"/>
          <w:sz w:val="20"/>
          <w:szCs w:val="20"/>
          <w:color w:val="auto"/>
        </w:rPr>
        <w:t>”); (ii) issuance of press releases via a major newswire; or (iii) the Company’s media and investor relations website. As a general rule, Company Personnel should not engage in any transactions until 24 hours after an announcement is publicly released, but in any event no earlier than the next business day following the date of such public release. Depending on the particular circumstances, the Company may determine that a longer or shorter period should apply to the release of specific non-public information.</w:t>
      </w:r>
    </w:p>
    <w:p>
      <w:pPr>
        <w:spacing w:after="0" w:line="163" w:lineRule="exact"/>
        <w:rPr>
          <w:rFonts w:ascii="Arial" w:cs="Arial" w:eastAsia="Arial" w:hAnsi="Arial"/>
          <w:sz w:val="20"/>
          <w:szCs w:val="20"/>
          <w:b w:val="1"/>
          <w:bCs w:val="1"/>
          <w:color w:val="auto"/>
        </w:rPr>
      </w:pPr>
    </w:p>
    <w:p>
      <w:pPr>
        <w:ind w:left="310" w:hanging="310"/>
        <w:spacing w:after="0"/>
        <w:tabs>
          <w:tab w:leader="none" w:pos="31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Prohibition of "Tipping"</w:t>
      </w:r>
    </w:p>
    <w:p>
      <w:pPr>
        <w:spacing w:after="0" w:line="6" w:lineRule="exact"/>
        <w:rPr>
          <w:rFonts w:ascii="Arial" w:cs="Arial" w:eastAsia="Arial" w:hAnsi="Arial"/>
          <w:sz w:val="20"/>
          <w:szCs w:val="20"/>
          <w:b w:val="1"/>
          <w:bCs w:val="1"/>
          <w:color w:val="auto"/>
        </w:rPr>
      </w:pPr>
    </w:p>
    <w:p>
      <w:pPr>
        <w:ind w:left="330"/>
        <w:spacing w:after="0" w:line="253" w:lineRule="auto"/>
        <w:rPr>
          <w:rFonts w:ascii="Arial" w:cs="Arial" w:eastAsia="Arial" w:hAnsi="Arial"/>
          <w:sz w:val="20"/>
          <w:szCs w:val="20"/>
          <w:b w:val="1"/>
          <w:bCs w:val="1"/>
          <w:color w:val="auto"/>
        </w:rPr>
      </w:pPr>
      <w:r>
        <w:rPr>
          <w:rFonts w:ascii="Arial" w:cs="Arial" w:eastAsia="Arial" w:hAnsi="Arial"/>
          <w:sz w:val="20"/>
          <w:szCs w:val="20"/>
          <w:color w:val="auto"/>
        </w:rPr>
        <w:t>Great care must be given to ensure that only approved non-public information is passed to persons outside the Company. Company Personnel have already signed confidentiality agreements. However, every practicable step to preserve the confidentiality of Company information must be affirmatively taken by all Company Personnel. For example:</w:t>
      </w:r>
    </w:p>
    <w:p>
      <w:pPr>
        <w:spacing w:after="0" w:line="173" w:lineRule="exact"/>
        <w:rPr>
          <w:rFonts w:ascii="Arial" w:cs="Arial" w:eastAsia="Arial" w:hAnsi="Arial"/>
          <w:sz w:val="20"/>
          <w:szCs w:val="20"/>
          <w:b w:val="1"/>
          <w:bCs w:val="1"/>
          <w:color w:val="auto"/>
        </w:rPr>
      </w:pPr>
    </w:p>
    <w:p>
      <w:pPr>
        <w:ind w:left="930" w:right="440" w:hanging="22"/>
        <w:spacing w:after="0" w:line="234" w:lineRule="auto"/>
        <w:tabs>
          <w:tab w:leader="none" w:pos="1111" w:val="left"/>
        </w:tabs>
        <w:numPr>
          <w:ilvl w:val="1"/>
          <w:numId w:val="67"/>
        </w:numPr>
        <w:rPr>
          <w:rFonts w:ascii="Arial" w:cs="Arial" w:eastAsia="Arial" w:hAnsi="Arial"/>
          <w:sz w:val="20"/>
          <w:szCs w:val="20"/>
          <w:color w:val="auto"/>
        </w:rPr>
      </w:pPr>
      <w:r>
        <w:rPr>
          <w:rFonts w:ascii="Arial" w:cs="Arial" w:eastAsia="Arial" w:hAnsi="Arial"/>
          <w:sz w:val="20"/>
          <w:szCs w:val="20"/>
          <w:color w:val="auto"/>
        </w:rPr>
        <w:t>Don't discuss new developments in elevators, hallways, restaurants, airplanes, taxicabs, or any other place where you can be overheard.</w:t>
      </w:r>
    </w:p>
    <w:p>
      <w:pPr>
        <w:spacing w:after="0" w:line="159" w:lineRule="exact"/>
        <w:rPr>
          <w:rFonts w:ascii="Arial" w:cs="Arial" w:eastAsia="Arial" w:hAnsi="Arial"/>
          <w:sz w:val="20"/>
          <w:szCs w:val="20"/>
          <w:color w:val="auto"/>
        </w:rPr>
      </w:pPr>
    </w:p>
    <w:p>
      <w:pPr>
        <w:ind w:left="1090" w:hanging="182"/>
        <w:spacing w:after="0"/>
        <w:tabs>
          <w:tab w:leader="none" w:pos="1090" w:val="left"/>
        </w:tabs>
        <w:numPr>
          <w:ilvl w:val="1"/>
          <w:numId w:val="67"/>
        </w:numPr>
        <w:rPr>
          <w:rFonts w:ascii="Arial" w:cs="Arial" w:eastAsia="Arial" w:hAnsi="Arial"/>
          <w:sz w:val="20"/>
          <w:szCs w:val="20"/>
          <w:color w:val="auto"/>
        </w:rPr>
      </w:pPr>
      <w:r>
        <w:rPr>
          <w:rFonts w:ascii="Arial" w:cs="Arial" w:eastAsia="Arial" w:hAnsi="Arial"/>
          <w:sz w:val="20"/>
          <w:szCs w:val="20"/>
          <w:color w:val="auto"/>
        </w:rPr>
        <w:t>Don't gossip.</w:t>
      </w:r>
    </w:p>
    <w:p>
      <w:pPr>
        <w:spacing w:after="0" w:line="175" w:lineRule="exact"/>
        <w:rPr>
          <w:rFonts w:ascii="Arial" w:cs="Arial" w:eastAsia="Arial" w:hAnsi="Arial"/>
          <w:sz w:val="20"/>
          <w:szCs w:val="20"/>
          <w:color w:val="auto"/>
        </w:rPr>
      </w:pPr>
    </w:p>
    <w:p>
      <w:pPr>
        <w:ind w:left="930" w:right="100" w:hanging="22"/>
        <w:spacing w:after="0" w:line="243" w:lineRule="auto"/>
        <w:tabs>
          <w:tab w:leader="none" w:pos="1159" w:val="left"/>
        </w:tabs>
        <w:numPr>
          <w:ilvl w:val="1"/>
          <w:numId w:val="67"/>
        </w:numPr>
        <w:rPr>
          <w:rFonts w:ascii="Arial" w:cs="Arial" w:eastAsia="Arial" w:hAnsi="Arial"/>
          <w:sz w:val="20"/>
          <w:szCs w:val="20"/>
          <w:color w:val="auto"/>
        </w:rPr>
      </w:pPr>
      <w:r>
        <w:rPr>
          <w:rFonts w:ascii="Arial" w:cs="Arial" w:eastAsia="Arial" w:hAnsi="Arial"/>
          <w:sz w:val="20"/>
          <w:szCs w:val="20"/>
          <w:color w:val="auto"/>
        </w:rPr>
        <w:t>Don't read documents containing non-public information in public places or discard them where they can be retrieved by others.</w:t>
      </w:r>
    </w:p>
    <w:p>
      <w:pPr>
        <w:spacing w:after="0" w:line="155" w:lineRule="exact"/>
        <w:rPr>
          <w:rFonts w:ascii="Arial" w:cs="Arial" w:eastAsia="Arial" w:hAnsi="Arial"/>
          <w:sz w:val="20"/>
          <w:szCs w:val="20"/>
          <w:color w:val="auto"/>
        </w:rPr>
      </w:pPr>
    </w:p>
    <w:p>
      <w:pPr>
        <w:ind w:left="1150" w:hanging="230"/>
        <w:spacing w:after="0"/>
        <w:tabs>
          <w:tab w:leader="none" w:pos="1150" w:val="left"/>
        </w:tabs>
        <w:numPr>
          <w:ilvl w:val="2"/>
          <w:numId w:val="67"/>
        </w:numPr>
        <w:rPr>
          <w:rFonts w:ascii="Arial" w:cs="Arial" w:eastAsia="Arial" w:hAnsi="Arial"/>
          <w:sz w:val="20"/>
          <w:szCs w:val="20"/>
          <w:color w:val="auto"/>
        </w:rPr>
      </w:pPr>
      <w:r>
        <w:rPr>
          <w:rFonts w:ascii="Arial" w:cs="Arial" w:eastAsia="Arial" w:hAnsi="Arial"/>
          <w:sz w:val="20"/>
          <w:szCs w:val="20"/>
          <w:color w:val="auto"/>
        </w:rPr>
        <w:t>Don't carry documents with non-public information in elevators, hallways, etc., in an exposed manner.</w:t>
      </w:r>
    </w:p>
    <w:p>
      <w:pPr>
        <w:spacing w:after="0" w:line="175" w:lineRule="exact"/>
        <w:rPr>
          <w:rFonts w:ascii="Arial" w:cs="Arial" w:eastAsia="Arial" w:hAnsi="Arial"/>
          <w:sz w:val="20"/>
          <w:szCs w:val="20"/>
          <w:color w:val="auto"/>
        </w:rPr>
      </w:pPr>
    </w:p>
    <w:p>
      <w:pPr>
        <w:ind w:left="930" w:right="260" w:hanging="10"/>
        <w:spacing w:after="0" w:line="243" w:lineRule="auto"/>
        <w:tabs>
          <w:tab w:leader="none" w:pos="1124" w:val="left"/>
        </w:tabs>
        <w:numPr>
          <w:ilvl w:val="2"/>
          <w:numId w:val="67"/>
        </w:numPr>
        <w:rPr>
          <w:rFonts w:ascii="Arial" w:cs="Arial" w:eastAsia="Arial" w:hAnsi="Arial"/>
          <w:sz w:val="20"/>
          <w:szCs w:val="20"/>
          <w:color w:val="auto"/>
        </w:rPr>
      </w:pPr>
      <w:r>
        <w:rPr>
          <w:rFonts w:ascii="Arial" w:cs="Arial" w:eastAsia="Arial" w:hAnsi="Arial"/>
          <w:sz w:val="20"/>
          <w:szCs w:val="20"/>
          <w:color w:val="auto"/>
        </w:rPr>
        <w:t>Beware of conducting sensitive conversations on speaker telephones in offices or on cellular phones in public, etc.</w:t>
      </w:r>
    </w:p>
    <w:p>
      <w:pPr>
        <w:spacing w:after="0" w:line="155" w:lineRule="exact"/>
        <w:rPr>
          <w:rFonts w:ascii="Arial" w:cs="Arial" w:eastAsia="Arial" w:hAnsi="Arial"/>
          <w:sz w:val="20"/>
          <w:szCs w:val="20"/>
          <w:color w:val="auto"/>
        </w:rPr>
      </w:pPr>
    </w:p>
    <w:p>
      <w:pPr>
        <w:ind w:left="930" w:right="160" w:hanging="10"/>
        <w:spacing w:after="0" w:line="234" w:lineRule="auto"/>
        <w:tabs>
          <w:tab w:leader="none" w:pos="1183" w:val="left"/>
        </w:tabs>
        <w:numPr>
          <w:ilvl w:val="2"/>
          <w:numId w:val="67"/>
        </w:numPr>
        <w:rPr>
          <w:rFonts w:ascii="Arial" w:cs="Arial" w:eastAsia="Arial" w:hAnsi="Arial"/>
          <w:sz w:val="20"/>
          <w:szCs w:val="20"/>
          <w:color w:val="auto"/>
        </w:rPr>
      </w:pPr>
      <w:r>
        <w:rPr>
          <w:rFonts w:ascii="Arial" w:cs="Arial" w:eastAsia="Arial" w:hAnsi="Arial"/>
          <w:sz w:val="20"/>
          <w:szCs w:val="20"/>
          <w:color w:val="auto"/>
        </w:rPr>
        <w:t>Cover confidential documents on your desk before you leave your room; don't leave confidential papers lying where visitors can see them.</w:t>
      </w:r>
    </w:p>
    <w:p>
      <w:pPr>
        <w:spacing w:after="0" w:line="159" w:lineRule="exact"/>
        <w:rPr>
          <w:rFonts w:ascii="Arial" w:cs="Arial" w:eastAsia="Arial" w:hAnsi="Arial"/>
          <w:sz w:val="20"/>
          <w:szCs w:val="20"/>
          <w:color w:val="auto"/>
        </w:rPr>
      </w:pPr>
    </w:p>
    <w:p>
      <w:pPr>
        <w:ind w:left="930" w:right="160" w:hanging="10"/>
        <w:spacing w:after="0" w:line="227" w:lineRule="auto"/>
        <w:tabs>
          <w:tab w:leader="none" w:pos="1227" w:val="left"/>
        </w:tabs>
        <w:numPr>
          <w:ilvl w:val="2"/>
          <w:numId w:val="67"/>
        </w:numPr>
        <w:rPr>
          <w:rFonts w:ascii="Arial" w:cs="Arial" w:eastAsia="Arial" w:hAnsi="Arial"/>
          <w:sz w:val="20"/>
          <w:szCs w:val="20"/>
          <w:color w:val="auto"/>
        </w:rPr>
      </w:pPr>
      <w:r>
        <w:rPr>
          <w:rFonts w:ascii="Arial" w:cs="Arial" w:eastAsia="Arial" w:hAnsi="Arial"/>
          <w:sz w:val="20"/>
          <w:szCs w:val="20"/>
          <w:color w:val="auto"/>
        </w:rPr>
        <w:t>Under no circumstances are Company Personnel to copy Regeneron documents for their personal use without express consent of a supervising employee. This includes but is not limited to any documents relating to any of our partners or collaborators.</w:t>
      </w:r>
    </w:p>
    <w:p>
      <w:pPr>
        <w:sectPr>
          <w:pgSz w:w="11900" w:h="16838" w:orient="portrait"/>
          <w:cols w:equalWidth="0" w:num="1">
            <w:col w:w="10370"/>
          </w:cols>
          <w:pgMar w:left="1170" w:top="1440" w:right="359" w:bottom="144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60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609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310" w:hanging="310"/>
        <w:spacing w:after="0"/>
        <w:tabs>
          <w:tab w:leader="none" w:pos="31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10b5-1 Trading Plans</w:t>
      </w:r>
    </w:p>
    <w:p>
      <w:pPr>
        <w:ind w:left="330"/>
        <w:spacing w:after="0" w:line="261" w:lineRule="auto"/>
        <w:rPr>
          <w:rFonts w:ascii="Arial" w:cs="Arial" w:eastAsia="Arial" w:hAnsi="Arial"/>
          <w:sz w:val="20"/>
          <w:szCs w:val="20"/>
          <w:b w:val="1"/>
          <w:bCs w:val="1"/>
          <w:color w:val="auto"/>
        </w:rPr>
      </w:pPr>
      <w:r>
        <w:rPr>
          <w:rFonts w:ascii="Arial" w:cs="Arial" w:eastAsia="Arial" w:hAnsi="Arial"/>
          <w:sz w:val="19"/>
          <w:szCs w:val="19"/>
          <w:color w:val="auto"/>
        </w:rPr>
        <w:t>Notwithstanding the "General Prohibitions" in this paragraph 1 and the specific pre-clearance procedures set forth in paragraph 5, Company Personnel may, under the limited circumstances discussed below, establish written, predetermined trading programs ("</w:t>
      </w:r>
      <w:r>
        <w:rPr>
          <w:rFonts w:ascii="Arial" w:cs="Arial" w:eastAsia="Arial" w:hAnsi="Arial"/>
          <w:sz w:val="19"/>
          <w:szCs w:val="19"/>
          <w:u w:val="single" w:color="auto"/>
          <w:color w:val="auto"/>
        </w:rPr>
        <w:t>Rule 10b5-1 Trading Plans</w:t>
      </w:r>
      <w:r>
        <w:rPr>
          <w:rFonts w:ascii="Arial" w:cs="Arial" w:eastAsia="Arial" w:hAnsi="Arial"/>
          <w:sz w:val="19"/>
          <w:szCs w:val="19"/>
          <w:color w:val="auto"/>
        </w:rPr>
        <w:t>") that meet the requirements of Rule 10b5-1(c)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Rule 10b5-1 provides for (i) scheduled trading of Company Securities based on predefined agreements, instructions or plans, or (ii) trading of Company Securities by an independent entity (such as a brokerage firm) when the individual making the investment decision is not aware of material nonpublic information regarding the Company and Company Securities, and the entity has implemented reasonable policies and procedures to prevent insider trading. Trading pursuant to a Rule 10b5-1 Trading Plan may occur even when the applicable Company Person is aware of material non-public information</w:t>
      </w:r>
      <w:r>
        <w:rPr>
          <w:rFonts w:ascii="Arial" w:cs="Arial" w:eastAsia="Arial" w:hAnsi="Arial"/>
          <w:sz w:val="19"/>
          <w:szCs w:val="19"/>
          <w:b w:val="1"/>
          <w:bCs w:val="1"/>
          <w:i w:val="1"/>
          <w:iCs w:val="1"/>
          <w:color w:val="auto"/>
        </w:rPr>
        <w:t>.</w:t>
      </w:r>
    </w:p>
    <w:p>
      <w:pPr>
        <w:spacing w:after="0" w:line="8" w:lineRule="exact"/>
        <w:rPr>
          <w:rFonts w:ascii="Arial" w:cs="Arial" w:eastAsia="Arial" w:hAnsi="Arial"/>
          <w:sz w:val="20"/>
          <w:szCs w:val="20"/>
          <w:b w:val="1"/>
          <w:bCs w:val="1"/>
          <w:color w:val="auto"/>
        </w:rPr>
      </w:pPr>
    </w:p>
    <w:p>
      <w:pPr>
        <w:ind w:left="330" w:right="180"/>
        <w:spacing w:after="0" w:line="253" w:lineRule="auto"/>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Each Rule 10b5-1 Trading Plan must be reviewed and pre-approved by the General Counsel on behalf of the Company prior to its effectiveness</w:t>
      </w:r>
      <w:r>
        <w:rPr>
          <w:rFonts w:ascii="Arial" w:cs="Arial" w:eastAsia="Arial" w:hAnsi="Arial"/>
          <w:sz w:val="20"/>
          <w:szCs w:val="20"/>
          <w:color w:val="auto"/>
        </w:rPr>
        <w:t>. Refer to the Company’s Rule 10b5-1 Trading Plan Guidelines attached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policy for specific requirements for Rule 10b5-1 Trading Plans.</w:t>
      </w:r>
    </w:p>
    <w:p>
      <w:pPr>
        <w:spacing w:after="0" w:line="172" w:lineRule="exact"/>
        <w:rPr>
          <w:rFonts w:ascii="Arial" w:cs="Arial" w:eastAsia="Arial" w:hAnsi="Arial"/>
          <w:sz w:val="20"/>
          <w:szCs w:val="20"/>
          <w:b w:val="1"/>
          <w:bCs w:val="1"/>
          <w:color w:val="auto"/>
        </w:rPr>
      </w:pPr>
    </w:p>
    <w:p>
      <w:pPr>
        <w:ind w:left="330" w:right="420"/>
        <w:spacing w:after="0" w:line="268" w:lineRule="auto"/>
        <w:rPr>
          <w:rFonts w:ascii="Arial" w:cs="Arial" w:eastAsia="Arial" w:hAnsi="Arial"/>
          <w:sz w:val="20"/>
          <w:szCs w:val="20"/>
          <w:b w:val="1"/>
          <w:bCs w:val="1"/>
          <w:color w:val="auto"/>
        </w:rPr>
      </w:pPr>
      <w:r>
        <w:rPr>
          <w:rFonts w:ascii="Arial" w:cs="Arial" w:eastAsia="Arial" w:hAnsi="Arial"/>
          <w:sz w:val="19"/>
          <w:szCs w:val="19"/>
          <w:color w:val="auto"/>
        </w:rPr>
        <w:t>Rule 10b5-1 Trading Plans generally must be established at a time when the applicable Company Personnel member is not aware of material non-public information. The Rule 10b5-1 Trading Plan documentation must specify, among other things, the amount of Company Securities to be purchased or sold, the price at which the transaction is to take place, and the date on which each transaction is to be performed. Alternatively, the Rule</w:t>
      </w:r>
    </w:p>
    <w:p>
      <w:pPr>
        <w:ind w:left="330" w:right="10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10b5-1 Trading Plan may establish an objective formula for any or all of these criteria. A Rule 10b5-1 Trading Plan may also be structured to give complete discretion to a third party to control how, when, or whether to effect purchases or sales, provided that the person effecting the transactions is not aware of any material non-public information when effectuating any purchases or sales.</w:t>
      </w:r>
    </w:p>
    <w:p>
      <w:pPr>
        <w:spacing w:after="0" w:line="192" w:lineRule="exact"/>
        <w:rPr>
          <w:rFonts w:ascii="Arial" w:cs="Arial" w:eastAsia="Arial" w:hAnsi="Arial"/>
          <w:sz w:val="20"/>
          <w:szCs w:val="20"/>
          <w:b w:val="1"/>
          <w:bCs w:val="1"/>
          <w:color w:val="auto"/>
        </w:rPr>
      </w:pPr>
    </w:p>
    <w:p>
      <w:pPr>
        <w:ind w:left="330"/>
        <w:spacing w:after="0" w:line="251" w:lineRule="auto"/>
        <w:rPr>
          <w:rFonts w:ascii="Arial" w:cs="Arial" w:eastAsia="Arial" w:hAnsi="Arial"/>
          <w:sz w:val="20"/>
          <w:szCs w:val="20"/>
          <w:b w:val="1"/>
          <w:bCs w:val="1"/>
          <w:color w:val="auto"/>
        </w:rPr>
      </w:pPr>
      <w:r>
        <w:rPr>
          <w:rFonts w:ascii="Arial" w:cs="Arial" w:eastAsia="Arial" w:hAnsi="Arial"/>
          <w:sz w:val="20"/>
          <w:szCs w:val="20"/>
          <w:color w:val="auto"/>
        </w:rPr>
        <w:t>Once a Rule 10b5-1 Trading Plan is prepared and becomes effective, it cannot be changed or deviated from except in extremely limited circumstances and (i) with notice to and pre-approval from the General Counsel, and (ii) only at a time when the applicable Company Personnel member is not aware of material non-public information. In addition, Company Personnel may not engage in any separate transactions that directly or indirectly alter or offset the authorized transactions under a Rule 10b5-1 Trading Plan (such as a hedging transaction). At the discretion of the Company, the existence and/or the terms of a Rule 10b5-1 Trading Plan may be disclosed to the public through a press release, a filing with the SEC, or through other means to be determined by the Company. Directors and designated officers of the Company subject to Section 16 of the Exchange Act (collectively, “</w:t>
      </w:r>
      <w:r>
        <w:rPr>
          <w:rFonts w:ascii="Arial" w:cs="Arial" w:eastAsia="Arial" w:hAnsi="Arial"/>
          <w:sz w:val="20"/>
          <w:szCs w:val="20"/>
          <w:u w:val="single" w:color="auto"/>
          <w:color w:val="auto"/>
        </w:rPr>
        <w:t>Section 16 Insiders</w:t>
      </w:r>
      <w:r>
        <w:rPr>
          <w:rFonts w:ascii="Arial" w:cs="Arial" w:eastAsia="Arial" w:hAnsi="Arial"/>
          <w:sz w:val="20"/>
          <w:szCs w:val="20"/>
          <w:color w:val="auto"/>
        </w:rPr>
        <w:t>”) should be aware that the Company will be required to make quarterly disclosures regarding all Rule 10b5-1 Trading Plans entered into, amended, or terminated by Section 16 Insiders and the material terms of such plans, other than pricing information.</w:t>
      </w:r>
    </w:p>
    <w:p>
      <w:pPr>
        <w:spacing w:after="0" w:line="187" w:lineRule="exact"/>
        <w:rPr>
          <w:rFonts w:ascii="Arial" w:cs="Arial" w:eastAsia="Arial" w:hAnsi="Arial"/>
          <w:sz w:val="20"/>
          <w:szCs w:val="20"/>
          <w:b w:val="1"/>
          <w:bCs w:val="1"/>
          <w:color w:val="auto"/>
        </w:rPr>
      </w:pPr>
    </w:p>
    <w:p>
      <w:pPr>
        <w:ind w:left="330" w:right="100"/>
        <w:spacing w:after="0" w:line="255" w:lineRule="auto"/>
        <w:rPr>
          <w:rFonts w:ascii="Arial" w:cs="Arial" w:eastAsia="Arial" w:hAnsi="Arial"/>
          <w:sz w:val="20"/>
          <w:szCs w:val="20"/>
          <w:b w:val="1"/>
          <w:bCs w:val="1"/>
          <w:color w:val="auto"/>
        </w:rPr>
      </w:pPr>
      <w:r>
        <w:rPr>
          <w:rFonts w:ascii="Arial" w:cs="Arial" w:eastAsia="Arial" w:hAnsi="Arial"/>
          <w:sz w:val="20"/>
          <w:szCs w:val="20"/>
          <w:color w:val="auto"/>
        </w:rPr>
        <w:t xml:space="preserve">Note that the Company's acceptance of a Rule 10b5-1 Trading Plan does </w:t>
      </w:r>
      <w:r>
        <w:rPr>
          <w:rFonts w:ascii="Arial" w:cs="Arial" w:eastAsia="Arial" w:hAnsi="Arial"/>
          <w:sz w:val="20"/>
          <w:szCs w:val="20"/>
          <w:b w:val="1"/>
          <w:bCs w:val="1"/>
          <w:u w:val="single" w:color="auto"/>
          <w:color w:val="auto"/>
        </w:rPr>
        <w:t>NOT</w:t>
      </w:r>
      <w:r>
        <w:rPr>
          <w:rFonts w:ascii="Arial" w:cs="Arial" w:eastAsia="Arial" w:hAnsi="Arial"/>
          <w:sz w:val="20"/>
          <w:szCs w:val="20"/>
          <w:color w:val="auto"/>
        </w:rPr>
        <w:t xml:space="preserve"> mean the plan meets the requirements of Rule 10b5-1. The Company has no obligation to monitor your trading activities (whether to ensure you are complying with your Rule 10b5-1 Trading Plan or otherwise); however, the Company reserves the right to halt any</w:t>
      </w:r>
    </w:p>
    <w:p>
      <w:pPr>
        <w:sectPr>
          <w:pgSz w:w="11900" w:h="16838" w:orient="portrait"/>
          <w:cols w:equalWidth="0" w:num="1">
            <w:col w:w="10390"/>
          </w:cols>
          <w:pgMar w:left="1170" w:top="1440" w:right="339"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60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609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172"/>
        <w:spacing w:after="0"/>
        <w:rPr>
          <w:sz w:val="20"/>
          <w:szCs w:val="20"/>
          <w:color w:val="auto"/>
        </w:rPr>
      </w:pPr>
      <w:r>
        <w:rPr>
          <w:rFonts w:ascii="Arial" w:cs="Arial" w:eastAsia="Arial" w:hAnsi="Arial"/>
          <w:sz w:val="20"/>
          <w:szCs w:val="20"/>
          <w:color w:val="auto"/>
        </w:rPr>
        <w:t>transaction that fails to meet the terms of the applicable Rule 10b5-1 Trading Plan or this policy.</w:t>
      </w:r>
    </w:p>
    <w:p>
      <w:pPr>
        <w:spacing w:after="0" w:line="200" w:lineRule="exact"/>
        <w:rPr>
          <w:sz w:val="20"/>
          <w:szCs w:val="20"/>
          <w:color w:val="auto"/>
        </w:rPr>
      </w:pPr>
    </w:p>
    <w:p>
      <w:pPr>
        <w:ind w:left="312" w:hanging="312"/>
        <w:spacing w:after="0"/>
        <w:tabs>
          <w:tab w:leader="none" w:pos="312"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Additional Prohibited and Certain Specific Transactions</w:t>
      </w:r>
    </w:p>
    <w:p>
      <w:pPr>
        <w:spacing w:after="0" w:line="204" w:lineRule="exact"/>
        <w:rPr>
          <w:rFonts w:ascii="Arial" w:cs="Arial" w:eastAsia="Arial" w:hAnsi="Arial"/>
          <w:sz w:val="20"/>
          <w:szCs w:val="20"/>
          <w:b w:val="1"/>
          <w:bCs w:val="1"/>
          <w:color w:val="auto"/>
        </w:rPr>
      </w:pPr>
    </w:p>
    <w:p>
      <w:pPr>
        <w:ind w:left="332"/>
        <w:spacing w:after="0" w:line="259" w:lineRule="auto"/>
        <w:rPr>
          <w:rFonts w:ascii="Arial" w:cs="Arial" w:eastAsia="Arial" w:hAnsi="Arial"/>
          <w:sz w:val="20"/>
          <w:szCs w:val="20"/>
          <w:b w:val="1"/>
          <w:bCs w:val="1"/>
          <w:color w:val="auto"/>
        </w:rPr>
      </w:pPr>
      <w:r>
        <w:rPr>
          <w:rFonts w:ascii="Arial" w:cs="Arial" w:eastAsia="Arial" w:hAnsi="Arial"/>
          <w:sz w:val="20"/>
          <w:szCs w:val="20"/>
          <w:color w:val="auto"/>
        </w:rPr>
        <w:t>The Company has determined there is a heightened legal risk and/or the appearance of improper or inappropriate conduct if the persons subject to this policy engage in certain types of transactions. Therefore, it is the Company's policy that any Company Personnel and their respective Covered Persons may not engage in any of the following transactions or must otherwise comply with the requirements described below:</w:t>
      </w:r>
    </w:p>
    <w:p>
      <w:pPr>
        <w:spacing w:after="0" w:line="152" w:lineRule="exact"/>
        <w:rPr>
          <w:rFonts w:ascii="Arial" w:cs="Arial" w:eastAsia="Arial" w:hAnsi="Arial"/>
          <w:sz w:val="20"/>
          <w:szCs w:val="20"/>
          <w:b w:val="1"/>
          <w:bCs w:val="1"/>
          <w:color w:val="auto"/>
        </w:rPr>
      </w:pPr>
    </w:p>
    <w:p>
      <w:pPr>
        <w:ind w:left="1152" w:hanging="310"/>
        <w:spacing w:after="0"/>
        <w:tabs>
          <w:tab w:leader="none" w:pos="1152" w:val="left"/>
        </w:tabs>
        <w:numPr>
          <w:ilvl w:val="1"/>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Short Sales</w:t>
      </w:r>
    </w:p>
    <w:p>
      <w:pPr>
        <w:spacing w:after="0" w:line="6" w:lineRule="exact"/>
        <w:rPr>
          <w:rFonts w:ascii="Arial" w:cs="Arial" w:eastAsia="Arial" w:hAnsi="Arial"/>
          <w:sz w:val="20"/>
          <w:szCs w:val="20"/>
          <w:b w:val="1"/>
          <w:bCs w:val="1"/>
          <w:color w:val="auto"/>
        </w:rPr>
      </w:pPr>
    </w:p>
    <w:p>
      <w:pPr>
        <w:ind w:left="1172" w:right="60"/>
        <w:spacing w:after="0" w:line="253" w:lineRule="auto"/>
        <w:rPr>
          <w:rFonts w:ascii="Arial" w:cs="Arial" w:eastAsia="Arial" w:hAnsi="Arial"/>
          <w:sz w:val="20"/>
          <w:szCs w:val="20"/>
          <w:b w:val="1"/>
          <w:bCs w:val="1"/>
          <w:color w:val="auto"/>
        </w:rPr>
      </w:pPr>
      <w:r>
        <w:rPr>
          <w:rFonts w:ascii="Arial" w:cs="Arial" w:eastAsia="Arial" w:hAnsi="Arial"/>
          <w:sz w:val="20"/>
          <w:szCs w:val="20"/>
          <w:color w:val="auto"/>
        </w:rPr>
        <w:t>Short sales of Company Securities (i.e., the sale of a security that the seller does not own) may evidence an expectation on the part of the seller that the securities will decline in value, and, therefore, have the potential to signal to the market the seller lacks confidence in the Company's prospects. In addition, short sales may reduce a seller's incentive to seek to improve the Company's performance.</w:t>
      </w:r>
    </w:p>
    <w:p>
      <w:pPr>
        <w:spacing w:after="0" w:line="173" w:lineRule="exact"/>
        <w:rPr>
          <w:rFonts w:ascii="Arial" w:cs="Arial" w:eastAsia="Arial" w:hAnsi="Arial"/>
          <w:sz w:val="20"/>
          <w:szCs w:val="20"/>
          <w:b w:val="1"/>
          <w:bCs w:val="1"/>
          <w:color w:val="auto"/>
        </w:rPr>
      </w:pPr>
    </w:p>
    <w:p>
      <w:pPr>
        <w:ind w:left="1172" w:right="80"/>
        <w:spacing w:after="0" w:line="262" w:lineRule="auto"/>
        <w:rPr>
          <w:rFonts w:ascii="Arial" w:cs="Arial" w:eastAsia="Arial" w:hAnsi="Arial"/>
          <w:sz w:val="20"/>
          <w:szCs w:val="20"/>
          <w:b w:val="1"/>
          <w:bCs w:val="1"/>
          <w:color w:val="auto"/>
        </w:rPr>
      </w:pPr>
      <w:r>
        <w:rPr>
          <w:rFonts w:ascii="Arial" w:cs="Arial" w:eastAsia="Arial" w:hAnsi="Arial"/>
          <w:sz w:val="20"/>
          <w:szCs w:val="20"/>
          <w:color w:val="auto"/>
        </w:rPr>
        <w:t>For these reasons, short sales of Company Securities are prohibited. In addition, Section 16(c) of the Exchange Act prohibits officers and directors from engaging in short sales. (Short sales arising from certain types of hedging transactions are governed by the paragraph below captioned "Hedging Transactions.")</w:t>
      </w:r>
    </w:p>
    <w:p>
      <w:pPr>
        <w:spacing w:after="0" w:line="162" w:lineRule="exact"/>
        <w:rPr>
          <w:rFonts w:ascii="Arial" w:cs="Arial" w:eastAsia="Arial" w:hAnsi="Arial"/>
          <w:sz w:val="20"/>
          <w:szCs w:val="20"/>
          <w:b w:val="1"/>
          <w:bCs w:val="1"/>
          <w:color w:val="auto"/>
        </w:rPr>
      </w:pPr>
    </w:p>
    <w:p>
      <w:pPr>
        <w:ind w:left="1152" w:hanging="310"/>
        <w:spacing w:after="0"/>
        <w:tabs>
          <w:tab w:leader="none" w:pos="1152" w:val="left"/>
        </w:tabs>
        <w:numPr>
          <w:ilvl w:val="1"/>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Publicly Traded Options</w:t>
      </w:r>
    </w:p>
    <w:p>
      <w:pPr>
        <w:spacing w:after="0" w:line="6" w:lineRule="exact"/>
        <w:rPr>
          <w:rFonts w:ascii="Arial" w:cs="Arial" w:eastAsia="Arial" w:hAnsi="Arial"/>
          <w:sz w:val="20"/>
          <w:szCs w:val="20"/>
          <w:b w:val="1"/>
          <w:bCs w:val="1"/>
          <w:color w:val="auto"/>
        </w:rPr>
      </w:pPr>
    </w:p>
    <w:p>
      <w:pPr>
        <w:ind w:left="1172" w:right="2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Transactions in options relating to Company Securities may create the appearance that a member of Company Personnel is trading based on material non-public information or focuses his or her attention on short-term performance at the expense of the Company's long-term objectives. Accordingly, transactions in put options, call options, or other similar derivative securities relating to Company Securities, on an exchange or in any other organized market, are prohibited by this policy. (Option positions arising from certain types of hedging transactions are governed by the next paragraph below.)</w:t>
      </w:r>
    </w:p>
    <w:p>
      <w:pPr>
        <w:spacing w:after="0" w:line="162" w:lineRule="exact"/>
        <w:rPr>
          <w:rFonts w:ascii="Arial" w:cs="Arial" w:eastAsia="Arial" w:hAnsi="Arial"/>
          <w:sz w:val="20"/>
          <w:szCs w:val="20"/>
          <w:b w:val="1"/>
          <w:bCs w:val="1"/>
          <w:color w:val="auto"/>
        </w:rPr>
      </w:pPr>
    </w:p>
    <w:p>
      <w:pPr>
        <w:ind w:left="1152" w:hanging="310"/>
        <w:spacing w:after="0"/>
        <w:tabs>
          <w:tab w:leader="none" w:pos="1152" w:val="left"/>
        </w:tabs>
        <w:numPr>
          <w:ilvl w:val="1"/>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Hedging Transactions</w:t>
      </w:r>
    </w:p>
    <w:p>
      <w:pPr>
        <w:spacing w:after="0" w:line="6" w:lineRule="exact"/>
        <w:rPr>
          <w:rFonts w:ascii="Arial" w:cs="Arial" w:eastAsia="Arial" w:hAnsi="Arial"/>
          <w:sz w:val="20"/>
          <w:szCs w:val="20"/>
          <w:b w:val="1"/>
          <w:bCs w:val="1"/>
          <w:color w:val="auto"/>
        </w:rPr>
      </w:pPr>
    </w:p>
    <w:p>
      <w:pPr>
        <w:ind w:left="1172" w:right="14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Hedging or monetization transactions can be accomplished through a number of possible mechanisms, including through the use of financial instruments such as prepaid variable forwards, equity swaps, collars, and exchange funds. Such hedging transactions may permit Company Personnel to continue to own Company Securities obtained through employee benefit plans or otherwise, but without the full risks and rewards of ownership. When that occurs, Company Personnel may no longer have the same objectives as the Company's other shareholders. Therefore, Company Personnel and their respective Covered Persons are prohibited from engaging in any such transactions.</w:t>
      </w:r>
    </w:p>
    <w:p>
      <w:pPr>
        <w:spacing w:after="0" w:line="179" w:lineRule="exact"/>
        <w:rPr>
          <w:rFonts w:ascii="Arial" w:cs="Arial" w:eastAsia="Arial" w:hAnsi="Arial"/>
          <w:sz w:val="20"/>
          <w:szCs w:val="20"/>
          <w:b w:val="1"/>
          <w:bCs w:val="1"/>
          <w:color w:val="auto"/>
        </w:rPr>
      </w:pPr>
    </w:p>
    <w:p>
      <w:pPr>
        <w:ind w:left="1152" w:hanging="310"/>
        <w:spacing w:after="0"/>
        <w:tabs>
          <w:tab w:leader="none" w:pos="1152" w:val="left"/>
        </w:tabs>
        <w:numPr>
          <w:ilvl w:val="1"/>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Margin Accounts and Pledged Securities</w:t>
      </w:r>
    </w:p>
    <w:p>
      <w:pPr>
        <w:spacing w:after="0" w:line="6" w:lineRule="exact"/>
        <w:rPr>
          <w:rFonts w:ascii="Arial" w:cs="Arial" w:eastAsia="Arial" w:hAnsi="Arial"/>
          <w:sz w:val="20"/>
          <w:szCs w:val="20"/>
          <w:b w:val="1"/>
          <w:bCs w:val="1"/>
          <w:color w:val="auto"/>
        </w:rPr>
      </w:pPr>
    </w:p>
    <w:p>
      <w:pPr>
        <w:ind w:left="1172" w:right="160"/>
        <w:spacing w:after="0" w:line="249" w:lineRule="auto"/>
        <w:rPr>
          <w:rFonts w:ascii="Arial" w:cs="Arial" w:eastAsia="Arial" w:hAnsi="Arial"/>
          <w:sz w:val="20"/>
          <w:szCs w:val="20"/>
          <w:b w:val="1"/>
          <w:bCs w:val="1"/>
          <w:color w:val="auto"/>
        </w:rPr>
      </w:pPr>
      <w:r>
        <w:rPr>
          <w:rFonts w:ascii="Arial" w:cs="Arial" w:eastAsia="Arial" w:hAnsi="Arial"/>
          <w:sz w:val="20"/>
          <w:szCs w:val="20"/>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Company Personnel and their respective</w:t>
      </w:r>
    </w:p>
    <w:p>
      <w:pPr>
        <w:sectPr>
          <w:pgSz w:w="11900" w:h="16838" w:orient="portrait"/>
          <w:cols w:equalWidth="0" w:num="1">
            <w:col w:w="11172"/>
          </w:cols>
          <w:pgMar w:left="328" w:top="1440" w:right="399"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60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609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172" w:right="580"/>
        <w:spacing w:after="0" w:line="271" w:lineRule="auto"/>
        <w:rPr>
          <w:sz w:val="20"/>
          <w:szCs w:val="20"/>
          <w:color w:val="auto"/>
        </w:rPr>
      </w:pPr>
      <w:r>
        <w:rPr>
          <w:rFonts w:ascii="Arial" w:cs="Arial" w:eastAsia="Arial" w:hAnsi="Arial"/>
          <w:sz w:val="20"/>
          <w:szCs w:val="20"/>
          <w:color w:val="auto"/>
        </w:rPr>
        <w:t>Covered Persons are prohibited from holding Company Securities in a margin account or otherwise pledging Company Securities as collateral for a loan.</w:t>
      </w:r>
    </w:p>
    <w:p>
      <w:pPr>
        <w:spacing w:after="0" w:line="146" w:lineRule="exact"/>
        <w:rPr>
          <w:sz w:val="20"/>
          <w:szCs w:val="20"/>
          <w:color w:val="auto"/>
        </w:rPr>
      </w:pPr>
    </w:p>
    <w:p>
      <w:pPr>
        <w:ind w:left="1152" w:hanging="310"/>
        <w:spacing w:after="0"/>
        <w:tabs>
          <w:tab w:leader="none" w:pos="1152" w:val="left"/>
        </w:tabs>
        <w:numPr>
          <w:ilvl w:val="1"/>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Standing and Limit Orders</w:t>
      </w:r>
    </w:p>
    <w:p>
      <w:pPr>
        <w:ind w:left="1172"/>
        <w:spacing w:after="0" w:line="266" w:lineRule="auto"/>
        <w:rPr>
          <w:rFonts w:ascii="Arial" w:cs="Arial" w:eastAsia="Arial" w:hAnsi="Arial"/>
          <w:sz w:val="20"/>
          <w:szCs w:val="20"/>
          <w:b w:val="1"/>
          <w:bCs w:val="1"/>
          <w:color w:val="auto"/>
        </w:rPr>
      </w:pPr>
      <w:r>
        <w:rPr>
          <w:rFonts w:ascii="Arial" w:cs="Arial" w:eastAsia="Arial" w:hAnsi="Arial"/>
          <w:sz w:val="19"/>
          <w:szCs w:val="19"/>
          <w:color w:val="auto"/>
        </w:rPr>
        <w:t>Standing and limit orders (except standing and limit orders under approved Rule 10b5-1 Trading Plans, as described above)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aware of material non-public information. If a member of Company Personnel determines that he or she must use a standing order or limit order, the order should be limited to short duration and must otherwise comply with the general prohibitions set forth in paragraph 1 above, as well as the restrictions and procedures outlined in paragraph 5 below (if applicable).</w:t>
      </w:r>
    </w:p>
    <w:p>
      <w:pPr>
        <w:spacing w:after="0" w:line="161" w:lineRule="exact"/>
        <w:rPr>
          <w:rFonts w:ascii="Arial" w:cs="Arial" w:eastAsia="Arial" w:hAnsi="Arial"/>
          <w:sz w:val="20"/>
          <w:szCs w:val="20"/>
          <w:b w:val="1"/>
          <w:bCs w:val="1"/>
          <w:color w:val="auto"/>
        </w:rPr>
      </w:pPr>
    </w:p>
    <w:p>
      <w:pPr>
        <w:ind w:left="312" w:hanging="312"/>
        <w:spacing w:after="0"/>
        <w:tabs>
          <w:tab w:leader="none" w:pos="312"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Special Provisions for Lectures and Publications</w:t>
      </w:r>
    </w:p>
    <w:p>
      <w:pPr>
        <w:spacing w:after="0" w:line="190" w:lineRule="exact"/>
        <w:rPr>
          <w:rFonts w:ascii="Arial" w:cs="Arial" w:eastAsia="Arial" w:hAnsi="Arial"/>
          <w:sz w:val="20"/>
          <w:szCs w:val="20"/>
          <w:b w:val="1"/>
          <w:bCs w:val="1"/>
          <w:color w:val="auto"/>
        </w:rPr>
      </w:pPr>
    </w:p>
    <w:p>
      <w:pPr>
        <w:ind w:left="332" w:right="80"/>
        <w:spacing w:after="0" w:line="252" w:lineRule="auto"/>
        <w:rPr>
          <w:rFonts w:ascii="Arial" w:cs="Arial" w:eastAsia="Arial" w:hAnsi="Arial"/>
          <w:sz w:val="20"/>
          <w:szCs w:val="20"/>
          <w:b w:val="1"/>
          <w:bCs w:val="1"/>
          <w:color w:val="auto"/>
        </w:rPr>
      </w:pPr>
      <w:r>
        <w:rPr>
          <w:rFonts w:ascii="Arial" w:cs="Arial" w:eastAsia="Arial" w:hAnsi="Arial"/>
          <w:sz w:val="20"/>
          <w:szCs w:val="20"/>
          <w:color w:val="auto"/>
        </w:rPr>
        <w:t>Any scientist, researcher, or other Regeneron employee who intends or plans to (i) speak or otherwise actively participate in any seminar, lecture, or other public function, (ii) publish, circulate, or otherwise distribute any article, research memorandum, or other piece of research writing (except for internal distributions within Regeneron), (iii) in any way disseminate any other material information, pertaining to Regeneron or to scientific developments with which Regeneron is involved, must, prior to engaging in such activity, consult with the General Counsel in order to determine the repercussions of such engagement upon the Company's policy as set forth herein, and take such actions prior to such engagement as the General Counsel may deem appropriate. This requirement is consistent with the Regeneron employment agreement and Regeneron's protection of intellectual property rights.</w:t>
      </w:r>
    </w:p>
    <w:p>
      <w:pPr>
        <w:spacing w:after="0" w:line="172" w:lineRule="exact"/>
        <w:rPr>
          <w:rFonts w:ascii="Arial" w:cs="Arial" w:eastAsia="Arial" w:hAnsi="Arial"/>
          <w:sz w:val="20"/>
          <w:szCs w:val="20"/>
          <w:b w:val="1"/>
          <w:bCs w:val="1"/>
          <w:color w:val="auto"/>
        </w:rPr>
      </w:pPr>
    </w:p>
    <w:p>
      <w:pPr>
        <w:ind w:left="312" w:hanging="312"/>
        <w:spacing w:after="0"/>
        <w:tabs>
          <w:tab w:leader="none" w:pos="312"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Transactions Not Subject to Policy</w:t>
      </w:r>
    </w:p>
    <w:p>
      <w:pPr>
        <w:spacing w:after="0" w:line="204" w:lineRule="exact"/>
        <w:rPr>
          <w:rFonts w:ascii="Arial" w:cs="Arial" w:eastAsia="Arial" w:hAnsi="Arial"/>
          <w:sz w:val="20"/>
          <w:szCs w:val="20"/>
          <w:b w:val="1"/>
          <w:bCs w:val="1"/>
          <w:color w:val="auto"/>
        </w:rPr>
      </w:pPr>
    </w:p>
    <w:p>
      <w:pPr>
        <w:ind w:left="332"/>
        <w:spacing w:after="0"/>
        <w:rPr>
          <w:rFonts w:ascii="Arial" w:cs="Arial" w:eastAsia="Arial" w:hAnsi="Arial"/>
          <w:sz w:val="20"/>
          <w:szCs w:val="20"/>
          <w:b w:val="1"/>
          <w:bCs w:val="1"/>
          <w:color w:val="auto"/>
        </w:rPr>
      </w:pPr>
      <w:r>
        <w:rPr>
          <w:rFonts w:ascii="Arial" w:cs="Arial" w:eastAsia="Arial" w:hAnsi="Arial"/>
          <w:sz w:val="20"/>
          <w:szCs w:val="20"/>
          <w:color w:val="auto"/>
        </w:rPr>
        <w:t>This policy does not apply in the case of the following transactions, except as specifically noted:</w:t>
      </w:r>
    </w:p>
    <w:p>
      <w:pPr>
        <w:spacing w:after="0" w:line="200" w:lineRule="exact"/>
        <w:rPr>
          <w:rFonts w:ascii="Arial" w:cs="Arial" w:eastAsia="Arial" w:hAnsi="Arial"/>
          <w:sz w:val="20"/>
          <w:szCs w:val="20"/>
          <w:b w:val="1"/>
          <w:bCs w:val="1"/>
          <w:color w:val="auto"/>
        </w:rPr>
      </w:pPr>
    </w:p>
    <w:p>
      <w:pPr>
        <w:ind w:left="1152" w:hanging="310"/>
        <w:spacing w:after="0"/>
        <w:tabs>
          <w:tab w:leader="none" w:pos="1152" w:val="left"/>
        </w:tabs>
        <w:numPr>
          <w:ilvl w:val="1"/>
          <w:numId w:val="7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Bona Fide </w:t>
      </w:r>
      <w:r>
        <w:rPr>
          <w:rFonts w:ascii="Arial" w:cs="Arial" w:eastAsia="Arial" w:hAnsi="Arial"/>
          <w:sz w:val="20"/>
          <w:szCs w:val="20"/>
          <w:b w:val="1"/>
          <w:bCs w:val="1"/>
          <w:color w:val="auto"/>
        </w:rPr>
        <w:t>Gifts of Company Securities Not Treated as Charitable Deductions</w:t>
      </w:r>
    </w:p>
    <w:p>
      <w:pPr>
        <w:spacing w:after="0" w:line="6" w:lineRule="exact"/>
        <w:rPr>
          <w:rFonts w:ascii="Arial" w:cs="Arial" w:eastAsia="Arial" w:hAnsi="Arial"/>
          <w:sz w:val="20"/>
          <w:szCs w:val="20"/>
          <w:b w:val="1"/>
          <w:bCs w:val="1"/>
          <w:color w:val="auto"/>
        </w:rPr>
      </w:pPr>
    </w:p>
    <w:p>
      <w:pPr>
        <w:ind w:left="1172" w:right="40"/>
        <w:spacing w:after="0" w:line="253" w:lineRule="auto"/>
        <w:rPr>
          <w:rFonts w:ascii="Arial" w:cs="Arial" w:eastAsia="Arial" w:hAnsi="Arial"/>
          <w:sz w:val="20"/>
          <w:szCs w:val="20"/>
          <w:b w:val="1"/>
          <w:bCs w:val="1"/>
          <w:color w:val="auto"/>
        </w:rPr>
      </w:pPr>
      <w:r>
        <w:rPr>
          <w:rFonts w:ascii="Arial" w:cs="Arial" w:eastAsia="Arial" w:hAnsi="Arial"/>
          <w:sz w:val="20"/>
          <w:szCs w:val="20"/>
          <w:color w:val="auto"/>
        </w:rPr>
        <w:t>Bona fide gifts of Company Securities made in good faith for which the donor is not claiming a charitable deduction are not subject to this policy.</w:t>
      </w:r>
    </w:p>
    <w:p>
      <w:pPr>
        <w:spacing w:after="0" w:line="170" w:lineRule="exact"/>
        <w:rPr>
          <w:rFonts w:ascii="Arial" w:cs="Arial" w:eastAsia="Arial" w:hAnsi="Arial"/>
          <w:sz w:val="20"/>
          <w:szCs w:val="20"/>
          <w:b w:val="1"/>
          <w:bCs w:val="1"/>
          <w:color w:val="auto"/>
        </w:rPr>
      </w:pPr>
    </w:p>
    <w:p>
      <w:pPr>
        <w:ind w:left="1152" w:hanging="310"/>
        <w:spacing w:after="0"/>
        <w:tabs>
          <w:tab w:leader="none" w:pos="1152" w:val="left"/>
        </w:tabs>
        <w:numPr>
          <w:ilvl w:val="1"/>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Stock Option Exercises</w:t>
      </w:r>
    </w:p>
    <w:p>
      <w:pPr>
        <w:spacing w:after="0" w:line="6" w:lineRule="exact"/>
        <w:rPr>
          <w:rFonts w:ascii="Arial" w:cs="Arial" w:eastAsia="Arial" w:hAnsi="Arial"/>
          <w:sz w:val="20"/>
          <w:szCs w:val="20"/>
          <w:b w:val="1"/>
          <w:bCs w:val="1"/>
          <w:color w:val="auto"/>
        </w:rPr>
      </w:pPr>
    </w:p>
    <w:p>
      <w:pPr>
        <w:ind w:left="1172"/>
        <w:spacing w:after="0" w:line="249" w:lineRule="auto"/>
        <w:rPr>
          <w:rFonts w:ascii="Arial" w:cs="Arial" w:eastAsia="Arial" w:hAnsi="Arial"/>
          <w:sz w:val="20"/>
          <w:szCs w:val="20"/>
          <w:b w:val="1"/>
          <w:bCs w:val="1"/>
          <w:color w:val="auto"/>
        </w:rPr>
      </w:pPr>
      <w:r>
        <w:rPr>
          <w:rFonts w:ascii="Arial" w:cs="Arial" w:eastAsia="Arial" w:hAnsi="Arial"/>
          <w:sz w:val="20"/>
          <w:szCs w:val="20"/>
          <w:color w:val="auto"/>
        </w:rPr>
        <w:t>This policy does not apply to the exercise of an employee stock option acquired pursuant to the Company's plans to the extent the exercise is done in a manner where there is no market transaction and no transaction with a third party, nor does it apply to the exercise of a tax withholding right pursuant to which a person has elected to have the Company withhold shares subject to an option to satisfy tax withholding requirements. The payments in respect of the exercise price or tax withholding obligations can be made by cash, option shares, or tendered shares via "attestation" or actual share delivery. If you use attestation, you will not have to deliver physical Company Securities to the Company. Rather, you will provide the Company with evidence that you own and have held for at least six (6) months a number of Company Securities with a dollar value at least equal to the exercise price and/or the taxes. This policy does apply, however, to any sale of stock as part of a broker-assisted cashless exercise of an option, or any other market sale for the purpose of generating the cash needed to pay the exercise price of an option.</w:t>
      </w:r>
    </w:p>
    <w:p>
      <w:pPr>
        <w:sectPr>
          <w:pgSz w:w="11900" w:h="16838" w:orient="portrait"/>
          <w:cols w:equalWidth="0" w:num="1">
            <w:col w:w="11232"/>
          </w:cols>
          <w:pgMar w:left="328" w:top="1440" w:right="339"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60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609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152" w:hanging="310"/>
        <w:spacing w:after="0"/>
        <w:tabs>
          <w:tab w:leader="none" w:pos="1152" w:val="left"/>
        </w:tabs>
        <w:numPr>
          <w:ilvl w:val="1"/>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Restricted Stock Awards</w:t>
      </w:r>
    </w:p>
    <w:p>
      <w:pPr>
        <w:ind w:left="1172" w:right="140"/>
        <w:spacing w:after="0" w:line="249" w:lineRule="auto"/>
        <w:rPr>
          <w:rFonts w:ascii="Arial" w:cs="Arial" w:eastAsia="Arial" w:hAnsi="Arial"/>
          <w:sz w:val="20"/>
          <w:szCs w:val="20"/>
          <w:b w:val="1"/>
          <w:bCs w:val="1"/>
          <w:color w:val="auto"/>
        </w:rPr>
      </w:pPr>
      <w:r>
        <w:rPr>
          <w:rFonts w:ascii="Arial" w:cs="Arial" w:eastAsia="Arial" w:hAnsi="Arial"/>
          <w:sz w:val="20"/>
          <w:szCs w:val="20"/>
          <w:color w:val="auto"/>
        </w:rPr>
        <w:t>This policy does not apply to the exercise of a tax withholding right pursuant to which you elect to have the Company withhold Company Securities to satisfy tax withholding requirements upon the vesting of any restricted stock. The payments in respect of the tax withholding obligations can be made by cash or tendered shares via "attestation" or actual share delivery. If you use attestation, you will not have to deliver physical Company Securities to the Company. Rather, you will provide the Company with evidence that you own and have held for at least six (6) months a number of Company Securities with a dollar value at least equal to the taxes. This policy does apply, however, to any market sale of restricted stock. For the avoidance of doubt, this policy does not apply to the vesting of restricted stock.</w:t>
      </w:r>
    </w:p>
    <w:p>
      <w:pPr>
        <w:spacing w:after="0" w:line="177" w:lineRule="exact"/>
        <w:rPr>
          <w:rFonts w:ascii="Arial" w:cs="Arial" w:eastAsia="Arial" w:hAnsi="Arial"/>
          <w:sz w:val="20"/>
          <w:szCs w:val="20"/>
          <w:b w:val="1"/>
          <w:bCs w:val="1"/>
          <w:color w:val="auto"/>
        </w:rPr>
      </w:pPr>
    </w:p>
    <w:p>
      <w:pPr>
        <w:ind w:left="1152" w:hanging="310"/>
        <w:spacing w:after="0"/>
        <w:tabs>
          <w:tab w:leader="none" w:pos="1152" w:val="left"/>
        </w:tabs>
        <w:numPr>
          <w:ilvl w:val="1"/>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401(k) Plan</w:t>
      </w:r>
    </w:p>
    <w:p>
      <w:pPr>
        <w:spacing w:after="0" w:line="6" w:lineRule="exact"/>
        <w:rPr>
          <w:rFonts w:ascii="Arial" w:cs="Arial" w:eastAsia="Arial" w:hAnsi="Arial"/>
          <w:sz w:val="20"/>
          <w:szCs w:val="20"/>
          <w:b w:val="1"/>
          <w:bCs w:val="1"/>
          <w:color w:val="auto"/>
        </w:rPr>
      </w:pPr>
    </w:p>
    <w:p>
      <w:pPr>
        <w:ind w:left="1172" w:right="6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This policy does not apply to your acquisition of Company Securities in the Company's 401(k) savings plan resulting from any annual or quarterly matching contribution in Company Securities made by the Company in its discretion. The Company's 401(k) savings plan does not provide for an allocation of a portion of your period contributions to a Company stock fund, nor does it allow a liquidation of some or all of your Company stock fund balance in the case of a loan against your 401(k) savings plan balance or a pre-payment of your plan loan balance resulting in an allocation of loan proceeds to the Company stock fund. This policy does apply, however, to an election to make an intra-plan transfer of an existing account balance into or out of the Company stock fund or any market sale of Company Securities out of a 401(k) savings plan balance, other than an automatic minimum annual distribution made in accordance with relevant tax rules and regulations initiated by a third party not controlled by or influenced by Company Personnel or their respective Covered Persons.</w:t>
      </w:r>
    </w:p>
    <w:p>
      <w:pPr>
        <w:spacing w:after="0" w:line="174" w:lineRule="exact"/>
        <w:rPr>
          <w:rFonts w:ascii="Arial" w:cs="Arial" w:eastAsia="Arial" w:hAnsi="Arial"/>
          <w:sz w:val="20"/>
          <w:szCs w:val="20"/>
          <w:b w:val="1"/>
          <w:bCs w:val="1"/>
          <w:color w:val="auto"/>
        </w:rPr>
      </w:pPr>
    </w:p>
    <w:p>
      <w:pPr>
        <w:ind w:left="1152" w:hanging="310"/>
        <w:spacing w:after="0"/>
        <w:tabs>
          <w:tab w:leader="none" w:pos="1152" w:val="left"/>
        </w:tabs>
        <w:numPr>
          <w:ilvl w:val="1"/>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Other Similar Transactions and Other Company Plans</w:t>
      </w:r>
    </w:p>
    <w:p>
      <w:pPr>
        <w:ind w:left="1172"/>
        <w:spacing w:after="0" w:line="249" w:lineRule="auto"/>
        <w:rPr>
          <w:rFonts w:ascii="Arial" w:cs="Arial" w:eastAsia="Arial" w:hAnsi="Arial"/>
          <w:sz w:val="20"/>
          <w:szCs w:val="20"/>
          <w:b w:val="1"/>
          <w:bCs w:val="1"/>
          <w:color w:val="auto"/>
        </w:rPr>
      </w:pPr>
      <w:r>
        <w:rPr>
          <w:rFonts w:ascii="Arial" w:cs="Arial" w:eastAsia="Arial" w:hAnsi="Arial"/>
          <w:sz w:val="20"/>
          <w:szCs w:val="20"/>
          <w:color w:val="auto"/>
        </w:rPr>
        <w:t>Except as may be determined by the General Counsel, any other purchase of Company Securities from the Company or sales of Company Securities to the Company are not subject to this policy. In addition, this policy does not apply to any conversion of the Company's Class A stock (whether optional or mandatory) into common stock (however, this policy does apply to any sale of the common stock issued upon such conversion). In addition, this policy applies to the conversion of other Company Securities (such as convertible notes), other than employee stock options acquired pursuant to the Company's plans as described in paragraph 4.b above. To the extent the Company in the future adopts an employee stock purchase plan, a dividend reinvestment plan, or other similar plan, this policy will be amended to address such plan or plans and transactions and elections thereunder. In the absence of such an amendment, the General Counsel may, consistent with the principles set forth in this policy, address such issues in a written supplement to this policy, which shall be binding on Company Personnel and their respective Covered Persons.</w:t>
      </w:r>
    </w:p>
    <w:p>
      <w:pPr>
        <w:spacing w:after="0" w:line="176" w:lineRule="exact"/>
        <w:rPr>
          <w:rFonts w:ascii="Arial" w:cs="Arial" w:eastAsia="Arial" w:hAnsi="Arial"/>
          <w:sz w:val="20"/>
          <w:szCs w:val="20"/>
          <w:b w:val="1"/>
          <w:bCs w:val="1"/>
          <w:color w:val="auto"/>
        </w:rPr>
      </w:pPr>
    </w:p>
    <w:p>
      <w:pPr>
        <w:ind w:left="312" w:hanging="312"/>
        <w:spacing w:after="0"/>
        <w:tabs>
          <w:tab w:leader="none" w:pos="312"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Trading Window and Pre-Clearance Procedures</w:t>
      </w:r>
    </w:p>
    <w:p>
      <w:pPr>
        <w:spacing w:after="0" w:line="175" w:lineRule="exact"/>
        <w:rPr>
          <w:rFonts w:ascii="Arial" w:cs="Arial" w:eastAsia="Arial" w:hAnsi="Arial"/>
          <w:sz w:val="20"/>
          <w:szCs w:val="20"/>
          <w:b w:val="1"/>
          <w:bCs w:val="1"/>
          <w:color w:val="auto"/>
        </w:rPr>
      </w:pPr>
    </w:p>
    <w:p>
      <w:pPr>
        <w:ind w:left="1152" w:hanging="310"/>
        <w:spacing w:after="0"/>
        <w:tabs>
          <w:tab w:leader="none" w:pos="1152" w:val="left"/>
        </w:tabs>
        <w:numPr>
          <w:ilvl w:val="1"/>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Procedures Applicable to Designated Persons</w:t>
      </w:r>
    </w:p>
    <w:p>
      <w:pPr>
        <w:spacing w:after="0" w:line="6" w:lineRule="exact"/>
        <w:rPr>
          <w:rFonts w:ascii="Arial" w:cs="Arial" w:eastAsia="Arial" w:hAnsi="Arial"/>
          <w:sz w:val="20"/>
          <w:szCs w:val="20"/>
          <w:b w:val="1"/>
          <w:bCs w:val="1"/>
          <w:color w:val="auto"/>
        </w:rPr>
      </w:pPr>
    </w:p>
    <w:p>
      <w:pPr>
        <w:ind w:left="1172" w:right="140"/>
        <w:spacing w:after="0" w:line="253" w:lineRule="auto"/>
        <w:rPr>
          <w:rFonts w:ascii="Arial" w:cs="Arial" w:eastAsia="Arial" w:hAnsi="Arial"/>
          <w:sz w:val="20"/>
          <w:szCs w:val="20"/>
          <w:b w:val="1"/>
          <w:bCs w:val="1"/>
          <w:color w:val="auto"/>
        </w:rPr>
      </w:pPr>
      <w:r>
        <w:rPr>
          <w:rFonts w:ascii="Arial" w:cs="Arial" w:eastAsia="Arial" w:hAnsi="Arial"/>
          <w:sz w:val="20"/>
          <w:szCs w:val="20"/>
          <w:color w:val="auto"/>
        </w:rPr>
        <w:t>Except for permitted transactions under Rule 10b5-1 Trading Plans, Section 16 Insiders, other designated officers of the Company, and other designated Company Personnel (together with their respective Covered Persons) (collectively, the "</w:t>
      </w:r>
      <w:r>
        <w:rPr>
          <w:rFonts w:ascii="Arial" w:cs="Arial" w:eastAsia="Arial" w:hAnsi="Arial"/>
          <w:sz w:val="20"/>
          <w:szCs w:val="20"/>
          <w:u w:val="single" w:color="auto"/>
          <w:color w:val="auto"/>
        </w:rPr>
        <w:t>Designated Persons</w:t>
      </w:r>
      <w:r>
        <w:rPr>
          <w:rFonts w:ascii="Arial" w:cs="Arial" w:eastAsia="Arial" w:hAnsi="Arial"/>
          <w:sz w:val="20"/>
          <w:szCs w:val="20"/>
          <w:color w:val="auto"/>
        </w:rPr>
        <w:t>")</w:t>
      </w:r>
    </w:p>
    <w:p>
      <w:pPr>
        <w:sectPr>
          <w:pgSz w:w="11900" w:h="16838" w:orient="portrait"/>
          <w:cols w:equalWidth="0" w:num="1">
            <w:col w:w="11232"/>
          </w:cols>
          <w:pgMar w:left="328" w:top="1440" w:right="339" w:bottom="1440"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60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609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330" w:right="60"/>
        <w:spacing w:after="0" w:line="255" w:lineRule="auto"/>
        <w:rPr>
          <w:sz w:val="20"/>
          <w:szCs w:val="20"/>
          <w:color w:val="auto"/>
        </w:rPr>
      </w:pPr>
      <w:r>
        <w:rPr>
          <w:rFonts w:ascii="Arial" w:cs="Arial" w:eastAsia="Arial" w:hAnsi="Arial"/>
          <w:sz w:val="20"/>
          <w:szCs w:val="20"/>
          <w:color w:val="auto"/>
        </w:rPr>
        <w:t>may (i) buy or sell Company Securities in the market or (ii) make a gift of Company Securities treated as a charitable deduction only (A) outside of a Blackout Period (as defined below) and (B) after obtaining prior approval ("</w:t>
      </w:r>
      <w:r>
        <w:rPr>
          <w:rFonts w:ascii="Arial" w:cs="Arial" w:eastAsia="Arial" w:hAnsi="Arial"/>
          <w:sz w:val="20"/>
          <w:szCs w:val="20"/>
          <w:u w:val="single" w:color="auto"/>
          <w:color w:val="auto"/>
        </w:rPr>
        <w:t>Pre-Clearance</w:t>
      </w:r>
      <w:r>
        <w:rPr>
          <w:rFonts w:ascii="Arial" w:cs="Arial" w:eastAsia="Arial" w:hAnsi="Arial"/>
          <w:sz w:val="20"/>
          <w:szCs w:val="20"/>
          <w:color w:val="auto"/>
        </w:rPr>
        <w:t>") from the General Counsel. The restrictions set forth in this paragraph 5 are in addition to the "General Prohibitions" in paragraph 1.</w:t>
      </w:r>
    </w:p>
    <w:p>
      <w:pPr>
        <w:spacing w:after="0" w:line="168" w:lineRule="exact"/>
        <w:rPr>
          <w:sz w:val="20"/>
          <w:szCs w:val="20"/>
          <w:color w:val="auto"/>
        </w:rPr>
      </w:pPr>
    </w:p>
    <w:p>
      <w:pPr>
        <w:ind w:left="310" w:hanging="310"/>
        <w:spacing w:after="0"/>
        <w:tabs>
          <w:tab w:leader="none" w:pos="31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Pre-Clearance Procedures</w:t>
      </w:r>
    </w:p>
    <w:p>
      <w:pPr>
        <w:spacing w:after="0" w:line="6" w:lineRule="exact"/>
        <w:rPr>
          <w:rFonts w:ascii="Arial" w:cs="Arial" w:eastAsia="Arial" w:hAnsi="Arial"/>
          <w:sz w:val="20"/>
          <w:szCs w:val="20"/>
          <w:b w:val="1"/>
          <w:bCs w:val="1"/>
          <w:color w:val="auto"/>
        </w:rPr>
      </w:pPr>
    </w:p>
    <w:p>
      <w:pPr>
        <w:ind w:left="330"/>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Pre-Clearance shall be documented in a completed Transaction Authorization Form countersigned by the General Counsel, which shall be submitted to the General Counsel at least two business days in advance of the proposed transaction. The General Counsel is under no obligation to approve a transaction submitted for Pre-Clearance, and may determine not to permit the transaction. If a Designated Person seeks Pre-Clearance and permission to engage in the transaction is denied, then he or she should refrain from initiating any transaction in Company Securities, and should not inform any other person of the restriction. When a request for Pre-Clearance is made, the requestor should carefully consider whether he or she may be aware of any material non-public information about the Company, and should describe fully those circumstances to the General Counsel. The requestor who is a Section 16 Insider should also indicate whether he or she has effected any non-exempt "opposite-way" transactions within the past six months, and should be prepared to report the proposed transaction on an appropriate Form 4 or Form 5. The requestor who is a Section 16 Insider should also be prepared to comply with Rule 144 under the Securities Act of 1933, as amended, and file Form 144, if necessary, at the time of any sale. Any transaction for which Pre-Clearance has been obtained must be effected within the number of days indicated in the Transaction Authorization Form (not to exceed five business days from the receipt of Pre-Clearance unless an extension or exception is granted by the General Counsel). Transactions not effected within this time frame are subject to new Pre-Clearance. If a request for Pre-Clearance is denied, the fact of such denial must be kept confidential by the person requesting such clearance.</w:t>
      </w:r>
    </w:p>
    <w:p>
      <w:pPr>
        <w:spacing w:after="0" w:line="171" w:lineRule="exact"/>
        <w:rPr>
          <w:rFonts w:ascii="Arial" w:cs="Arial" w:eastAsia="Arial" w:hAnsi="Arial"/>
          <w:sz w:val="20"/>
          <w:szCs w:val="20"/>
          <w:b w:val="1"/>
          <w:bCs w:val="1"/>
          <w:color w:val="auto"/>
        </w:rPr>
      </w:pPr>
    </w:p>
    <w:p>
      <w:pPr>
        <w:ind w:left="310" w:hanging="310"/>
        <w:spacing w:after="0"/>
        <w:tabs>
          <w:tab w:leader="none" w:pos="31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Quarterly and Event-Specific Trading Restrictions</w:t>
      </w:r>
    </w:p>
    <w:p>
      <w:pPr>
        <w:ind w:left="330" w:right="60"/>
        <w:spacing w:after="0" w:line="249" w:lineRule="auto"/>
        <w:rPr>
          <w:rFonts w:ascii="Arial" w:cs="Arial" w:eastAsia="Arial" w:hAnsi="Arial"/>
          <w:sz w:val="20"/>
          <w:szCs w:val="20"/>
          <w:b w:val="1"/>
          <w:bCs w:val="1"/>
          <w:color w:val="auto"/>
        </w:rPr>
      </w:pPr>
      <w:r>
        <w:rPr>
          <w:rFonts w:ascii="Arial" w:cs="Arial" w:eastAsia="Arial" w:hAnsi="Arial"/>
          <w:sz w:val="20"/>
          <w:szCs w:val="20"/>
          <w:color w:val="auto"/>
        </w:rPr>
        <w:t>Designated Persons may not conduct any transactions involving Company Securities (other than as specified by this policy) during a "</w:t>
      </w:r>
      <w:r>
        <w:rPr>
          <w:rFonts w:ascii="Arial" w:cs="Arial" w:eastAsia="Arial" w:hAnsi="Arial"/>
          <w:sz w:val="20"/>
          <w:szCs w:val="20"/>
          <w:u w:val="single" w:color="auto"/>
          <w:color w:val="auto"/>
        </w:rPr>
        <w:t>Blackout Period</w:t>
      </w:r>
      <w:r>
        <w:rPr>
          <w:rFonts w:ascii="Arial" w:cs="Arial" w:eastAsia="Arial" w:hAnsi="Arial"/>
          <w:sz w:val="20"/>
          <w:szCs w:val="20"/>
          <w:color w:val="auto"/>
        </w:rPr>
        <w:t>." As used in this policy, "Blackout Period" means (i) the period that generally begins on the first business day of the third month in the Company's fiscal quarter and ends at the start of market hours of the NASDAQ Stock Market regular trading session on the business day following the date on which the Company holds its quarterly conference call for investors and others (but, unless otherwise determined by the General Counsel, in any event no earlier than 24 hours after such call) (the "</w:t>
      </w:r>
      <w:r>
        <w:rPr>
          <w:rFonts w:ascii="Arial" w:cs="Arial" w:eastAsia="Arial" w:hAnsi="Arial"/>
          <w:sz w:val="20"/>
          <w:szCs w:val="20"/>
          <w:u w:val="single" w:color="auto"/>
          <w:color w:val="auto"/>
        </w:rPr>
        <w:t>Quarterly Blackout Period</w:t>
      </w:r>
      <w:r>
        <w:rPr>
          <w:rFonts w:ascii="Arial" w:cs="Arial" w:eastAsia="Arial" w:hAnsi="Arial"/>
          <w:sz w:val="20"/>
          <w:szCs w:val="20"/>
          <w:color w:val="auto"/>
        </w:rPr>
        <w:t>") and (ii) an event-specific trading restriction period, as determined by the General Counsel (the "</w:t>
      </w:r>
      <w:r>
        <w:rPr>
          <w:rFonts w:ascii="Arial" w:cs="Arial" w:eastAsia="Arial" w:hAnsi="Arial"/>
          <w:sz w:val="20"/>
          <w:szCs w:val="20"/>
          <w:u w:val="single" w:color="auto"/>
          <w:color w:val="auto"/>
        </w:rPr>
        <w:t>Event-Specific Blackout</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Period</w:t>
      </w:r>
      <w:r>
        <w:rPr>
          <w:rFonts w:ascii="Arial" w:cs="Arial" w:eastAsia="Arial" w:hAnsi="Arial"/>
          <w:sz w:val="20"/>
          <w:szCs w:val="20"/>
          <w:color w:val="auto"/>
        </w:rPr>
        <w:t>"). From time to time, an event may occur that is material to the Company and is known by only a few directors, officers, and/or employees. So long as the event remains material and non-public, the Designated Persons may not trade Company Securities. In addition, the Company's financial results may be sufficiently material in a particular fiscal quarter that, in the judgment of the General Counsel, the Designated Persons should refrain from trading in Company Securities even sooner than the typical Quarterly Blackout Period described above. In that situation, the General Counsel may notify the Designated Persons (or a subset thereof) that they should not trade in Company Securities, without disclosing the reason for the restriction. The existence of the Event-Specific Blackout Period or extension of a Quarterly Blackout Period will not be</w:t>
      </w:r>
    </w:p>
    <w:p>
      <w:pPr>
        <w:sectPr>
          <w:pgSz w:w="11900" w:h="16838" w:orient="portrait"/>
          <w:cols w:equalWidth="0" w:num="1">
            <w:col w:w="10370"/>
          </w:cols>
          <w:pgMar w:left="1170" w:top="1440" w:right="359"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60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609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180" w:right="60"/>
        <w:spacing w:after="0" w:line="262" w:lineRule="auto"/>
        <w:rPr>
          <w:sz w:val="20"/>
          <w:szCs w:val="20"/>
          <w:color w:val="auto"/>
        </w:rPr>
      </w:pPr>
      <w:r>
        <w:rPr>
          <w:rFonts w:ascii="Arial" w:cs="Arial" w:eastAsia="Arial" w:hAnsi="Arial"/>
          <w:sz w:val="20"/>
          <w:szCs w:val="20"/>
          <w:color w:val="auto"/>
        </w:rPr>
        <w:t>announced to the Company as a whole, and should not be communicated to any other person. Even if you are not a Designated Person, you should not trade while aware of material non-public information. Exceptions will not be granted during any Blackout Period.</w:t>
      </w:r>
    </w:p>
    <w:p>
      <w:pPr>
        <w:spacing w:after="0" w:line="149" w:lineRule="exact"/>
        <w:rPr>
          <w:sz w:val="20"/>
          <w:szCs w:val="20"/>
          <w:color w:val="auto"/>
        </w:rPr>
      </w:pPr>
    </w:p>
    <w:p>
      <w:pPr>
        <w:ind w:left="1180" w:right="180" w:hanging="330"/>
        <w:spacing w:after="0" w:line="228" w:lineRule="auto"/>
        <w:tabs>
          <w:tab w:leader="none" w:pos="1167" w:val="left"/>
        </w:tabs>
        <w:numPr>
          <w:ilvl w:val="1"/>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Permissible Stock-for-Stock (Net) Option Exercise and Class A Stock Conversion by Designated Persons During Blackout Period</w:t>
      </w:r>
    </w:p>
    <w:p>
      <w:pPr>
        <w:spacing w:after="0" w:line="1" w:lineRule="exact"/>
        <w:rPr>
          <w:rFonts w:ascii="Arial" w:cs="Arial" w:eastAsia="Arial" w:hAnsi="Arial"/>
          <w:sz w:val="20"/>
          <w:szCs w:val="20"/>
          <w:b w:val="1"/>
          <w:bCs w:val="1"/>
          <w:color w:val="auto"/>
        </w:rPr>
      </w:pPr>
    </w:p>
    <w:p>
      <w:pPr>
        <w:ind w:left="1180"/>
        <w:spacing w:after="0" w:line="264" w:lineRule="auto"/>
        <w:rPr>
          <w:rFonts w:ascii="Arial" w:cs="Arial" w:eastAsia="Arial" w:hAnsi="Arial"/>
          <w:sz w:val="20"/>
          <w:szCs w:val="20"/>
          <w:b w:val="1"/>
          <w:bCs w:val="1"/>
          <w:color w:val="auto"/>
        </w:rPr>
      </w:pPr>
      <w:r>
        <w:rPr>
          <w:rFonts w:ascii="Arial" w:cs="Arial" w:eastAsia="Arial" w:hAnsi="Arial"/>
          <w:sz w:val="19"/>
          <w:szCs w:val="19"/>
          <w:color w:val="auto"/>
        </w:rPr>
        <w:t>Designated Persons engaging in a permissible stock-for-stock option exercise described in paragraph 4.b above may not sell, pledge, or otherwise engage in any transactions with respect to the Company Securities they obtain upon the exercise (or any other Company Securities they hold) until the Blackout Period has ended and Pre-Clearance for the transaction has been obtained. Similarly, Designated Persons converting any shares of Class A stock into shares of common stock as permitted under paragraph 4.e above may not sell, pledge, or otherwise engage in any transactions with respect to common stock issued upon such conversion (or any other Company Securities they hold) until the Blackout Period has ended and Pre-Clearance for the transaction has been obtained.</w:t>
      </w:r>
    </w:p>
    <w:p>
      <w:pPr>
        <w:spacing w:after="0" w:line="160" w:lineRule="exact"/>
        <w:rPr>
          <w:rFonts w:ascii="Arial" w:cs="Arial" w:eastAsia="Arial" w:hAnsi="Arial"/>
          <w:sz w:val="20"/>
          <w:szCs w:val="20"/>
          <w:b w:val="1"/>
          <w:bCs w:val="1"/>
          <w:color w:val="auto"/>
        </w:rPr>
      </w:pPr>
    </w:p>
    <w:p>
      <w:pPr>
        <w:ind w:left="320" w:hanging="312"/>
        <w:spacing w:after="0"/>
        <w:tabs>
          <w:tab w:leader="none" w:pos="32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Post-Termination Transactions</w:t>
      </w:r>
    </w:p>
    <w:p>
      <w:pPr>
        <w:spacing w:after="0" w:line="191"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auto"/>
        </w:rPr>
        <w:t>If an individual is aware of material non-public information when his or her service terminates, that individual may not trade in Company Securities until that information has become public or is no longer material. In addition, although the Pre-Clearance procedures under paragraph 5.b above will cease to apply upon termination of service, individuals subject to a Blackout Period at the time of termination may not trade in Company Securities until such Blackout Period has ended.</w:t>
      </w:r>
    </w:p>
    <w:p>
      <w:pPr>
        <w:spacing w:after="0" w:line="166"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Company Sanctions</w:t>
      </w:r>
    </w:p>
    <w:p>
      <w:pPr>
        <w:spacing w:after="0" w:line="191" w:lineRule="exact"/>
        <w:rPr>
          <w:sz w:val="20"/>
          <w:szCs w:val="20"/>
          <w:color w:val="auto"/>
        </w:rPr>
      </w:pPr>
    </w:p>
    <w:p>
      <w:pPr>
        <w:ind w:right="20"/>
        <w:spacing w:after="0" w:line="269" w:lineRule="auto"/>
        <w:rPr>
          <w:sz w:val="20"/>
          <w:szCs w:val="20"/>
          <w:color w:val="auto"/>
        </w:rPr>
      </w:pPr>
      <w:r>
        <w:rPr>
          <w:rFonts w:ascii="Arial" w:cs="Arial" w:eastAsia="Arial" w:hAnsi="Arial"/>
          <w:sz w:val="20"/>
          <w:szCs w:val="20"/>
          <w:color w:val="auto"/>
        </w:rPr>
        <w:t>In addition to the legal consequences associated with violations of "insider trading" laws (described below), Company Personnel who fail to comply with the policy as set forth in this statement of policy can be subjected to sanctions imposed directly by the Company, including dismissal for cause.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Legal Consequences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consequences of violating insider trading laws are severe for both employees and companies. Individuals who trade on</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inside information or who "tip" information to others can face a civil penalty of up to three times the profit gained or loss avoided,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 criminal fine (no matter how small the profit) of up to $5,000,000, and a jail term of up to 20 years. A company (as well as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supervisory personnel) that fail to take appropriate steps to prevent illegal trading is subject to a civil penalty of the greater of</w:t>
      </w:r>
    </w:p>
    <w:p>
      <w:pPr>
        <w:spacing w:after="0"/>
        <w:rPr>
          <w:sz w:val="20"/>
          <w:szCs w:val="20"/>
          <w:color w:val="auto"/>
        </w:rPr>
      </w:pPr>
      <w:r>
        <w:rPr>
          <w:rFonts w:ascii="Arial" w:cs="Arial" w:eastAsia="Arial" w:hAnsi="Arial"/>
          <w:sz w:val="19"/>
          <w:szCs w:val="19"/>
          <w:color w:val="auto"/>
        </w:rPr>
        <w:t>$2,600,000 or three times the profit gained or loss avoided as a result of an employee's violation and a criminal penalty of up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$25,000,000. Even if an investigation by the SEC does not result in criminal or civil sanctions, the investigation itself can tarnish</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 person's or a company's reputation and irreparably damage a person's career.</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FFFFFF"/>
          <w:shd w:val="clear" w:color="auto" w:fill="1E285A"/>
        </w:rPr>
        <w:t>FURTHER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this policy should be directed to the General Counsel.</w:t>
      </w:r>
    </w:p>
    <w:p>
      <w:pPr>
        <w:sectPr>
          <w:pgSz w:w="11900" w:h="16838" w:orient="portrait"/>
          <w:cols w:equalWidth="0" w:num="1">
            <w:col w:w="11220"/>
          </w:cols>
          <w:pgMar w:left="320" w:top="1440" w:right="359" w:bottom="1440" w:gutter="0" w:footer="0" w:header="0"/>
        </w:sectPr>
      </w:pPr>
    </w:p>
    <w:bookmarkStart w:id="165" w:name="page166"/>
    <w:bookmarkEnd w:id="165"/>
    <w:p>
      <w:pPr>
        <w:spacing w:after="0" w:line="191"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Regeneron Pharmaceuticals,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10b5-1 Trading Plan Guidelines</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20"/>
          <w:szCs w:val="20"/>
          <w:color w:val="auto"/>
        </w:rPr>
        <w:t>The following guidelines apply to all written trading plans (“</w:t>
      </w:r>
      <w:r>
        <w:rPr>
          <w:rFonts w:ascii="Arial" w:cs="Arial" w:eastAsia="Arial" w:hAnsi="Arial"/>
          <w:sz w:val="20"/>
          <w:szCs w:val="20"/>
          <w:u w:val="single" w:color="auto"/>
          <w:color w:val="auto"/>
        </w:rPr>
        <w:t>Rule 10b5-1 Trading Plans</w:t>
      </w:r>
      <w:r>
        <w:rPr>
          <w:rFonts w:ascii="Arial" w:cs="Arial" w:eastAsia="Arial" w:hAnsi="Arial"/>
          <w:sz w:val="20"/>
          <w:szCs w:val="20"/>
          <w:color w:val="auto"/>
        </w:rPr>
        <w:t>”) involving securities of Regeneron Pharmaceuticals, Inc. (the “</w:t>
      </w:r>
      <w:r>
        <w:rPr>
          <w:rFonts w:ascii="Arial" w:cs="Arial" w:eastAsia="Arial" w:hAnsi="Arial"/>
          <w:sz w:val="20"/>
          <w:szCs w:val="20"/>
          <w:u w:val="single" w:color="auto"/>
          <w:color w:val="auto"/>
        </w:rPr>
        <w:t>Company</w:t>
      </w:r>
      <w:r>
        <w:rPr>
          <w:rFonts w:ascii="Arial" w:cs="Arial" w:eastAsia="Arial" w:hAnsi="Arial"/>
          <w:sz w:val="20"/>
          <w:szCs w:val="20"/>
          <w:color w:val="auto"/>
        </w:rPr>
        <w:t>”) under Rule 10b5-1 of the Securities Exchange Act of 1934, as amended (the “</w:t>
      </w:r>
      <w:r>
        <w:rPr>
          <w:rFonts w:ascii="Arial" w:cs="Arial" w:eastAsia="Arial" w:hAnsi="Arial"/>
          <w:sz w:val="20"/>
          <w:szCs w:val="20"/>
          <w:u w:val="single" w:color="auto"/>
          <w:color w:val="auto"/>
        </w:rPr>
        <w:t>Exchange</w:t>
      </w:r>
      <w:r>
        <w:rPr>
          <w:rFonts w:ascii="Arial" w:cs="Arial" w:eastAsia="Arial" w:hAnsi="Arial"/>
          <w:sz w:val="20"/>
          <w:szCs w:val="20"/>
          <w:color w:val="auto"/>
        </w:rPr>
        <w:t xml:space="preserve"> </w:t>
      </w:r>
      <w:r>
        <w:rPr>
          <w:rFonts w:ascii="Arial" w:cs="Arial" w:eastAsia="Arial" w:hAnsi="Arial"/>
          <w:sz w:val="20"/>
          <w:szCs w:val="20"/>
          <w:u w:val="single" w:color="auto"/>
          <w:color w:val="auto"/>
        </w:rPr>
        <w:t>Act</w:t>
      </w:r>
      <w:r>
        <w:rPr>
          <w:rFonts w:ascii="Arial" w:cs="Arial" w:eastAsia="Arial" w:hAnsi="Arial"/>
          <w:sz w:val="20"/>
          <w:szCs w:val="20"/>
          <w:color w:val="auto"/>
        </w:rPr>
        <w:t>”). Capitalized terms not defined in these guidelines have the respective meanings given to such terms in the Insider Trading Policy (as defined below).</w:t>
      </w:r>
    </w:p>
    <w:p>
      <w:pPr>
        <w:spacing w:after="0" w:line="153" w:lineRule="exact"/>
        <w:rPr>
          <w:sz w:val="20"/>
          <w:szCs w:val="20"/>
          <w:color w:val="auto"/>
        </w:rPr>
      </w:pPr>
    </w:p>
    <w:p>
      <w:pPr>
        <w:ind w:left="340" w:right="40" w:hanging="332"/>
        <w:spacing w:after="0" w:line="217" w:lineRule="auto"/>
        <w:tabs>
          <w:tab w:leader="none" w:pos="329"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Prior Approval</w:t>
      </w:r>
      <w:r>
        <w:rPr>
          <w:rFonts w:ascii="Arial" w:cs="Arial" w:eastAsia="Arial" w:hAnsi="Arial"/>
          <w:sz w:val="20"/>
          <w:szCs w:val="20"/>
          <w:b w:val="1"/>
          <w:bCs w:val="1"/>
          <w:color w:val="auto"/>
        </w:rPr>
        <w:t xml:space="preserve">. </w:t>
      </w:r>
      <w:r>
        <w:rPr>
          <w:rFonts w:ascii="Arial" w:cs="Arial" w:eastAsia="Arial" w:hAnsi="Arial"/>
          <w:sz w:val="20"/>
          <w:szCs w:val="20"/>
          <w:color w:val="auto"/>
        </w:rPr>
        <w:t>All individuals subject to the Company’s Policy 230,</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Securities Investments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“Insider Trading Policy”) (all</w:t>
      </w:r>
      <w:r>
        <w:rPr>
          <w:rFonts w:ascii="Arial" w:cs="Arial" w:eastAsia="Arial" w:hAnsi="Arial"/>
          <w:sz w:val="20"/>
          <w:szCs w:val="20"/>
          <w:b w:val="1"/>
          <w:bCs w:val="1"/>
          <w:color w:val="auto"/>
        </w:rPr>
        <w:t xml:space="preserve"> </w:t>
      </w:r>
      <w:r>
        <w:rPr>
          <w:rFonts w:ascii="Arial" w:cs="Arial" w:eastAsia="Arial" w:hAnsi="Arial"/>
          <w:sz w:val="20"/>
          <w:szCs w:val="20"/>
          <w:color w:val="auto"/>
        </w:rPr>
        <w:t>such individuals, collectively, “</w:t>
      </w:r>
      <w:r>
        <w:rPr>
          <w:rFonts w:ascii="Arial" w:cs="Arial" w:eastAsia="Arial" w:hAnsi="Arial"/>
          <w:sz w:val="20"/>
          <w:szCs w:val="20"/>
          <w:u w:val="single" w:color="auto"/>
          <w:color w:val="auto"/>
        </w:rPr>
        <w:t>Company Personnel</w:t>
      </w:r>
      <w:r>
        <w:rPr>
          <w:rFonts w:ascii="Arial" w:cs="Arial" w:eastAsia="Arial" w:hAnsi="Arial"/>
          <w:sz w:val="20"/>
          <w:szCs w:val="20"/>
          <w:color w:val="auto"/>
        </w:rPr>
        <w:t>”) who wish to enter into a Rule 10b5-1 Trading Plan must comply in all respects with the Insider Trading Policy and applicable law and submit the Rule 10b5-1 Trading Plan to the General Counsel for advance approval (generally at least five business days prior to the planned entry into the Rule 10b5-1 Trading Plan). In addition, prior submission to the General Counsel is required for any amendment or early termination of an effective Rule 10b5-1 Trading Plan.</w:t>
      </w:r>
    </w:p>
    <w:p>
      <w:pPr>
        <w:spacing w:after="0" w:line="156" w:lineRule="exact"/>
        <w:rPr>
          <w:rFonts w:ascii="Arial" w:cs="Arial" w:eastAsia="Arial" w:hAnsi="Arial"/>
          <w:sz w:val="20"/>
          <w:szCs w:val="20"/>
          <w:b w:val="1"/>
          <w:bCs w:val="1"/>
          <w:color w:val="auto"/>
        </w:rPr>
      </w:pPr>
    </w:p>
    <w:p>
      <w:pPr>
        <w:ind w:left="340" w:right="160" w:hanging="332"/>
        <w:spacing w:after="0" w:line="216" w:lineRule="auto"/>
        <w:tabs>
          <w:tab w:leader="none" w:pos="329"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Entry into a Plan</w:t>
      </w:r>
      <w:r>
        <w:rPr>
          <w:rFonts w:ascii="Arial" w:cs="Arial" w:eastAsia="Arial" w:hAnsi="Arial"/>
          <w:sz w:val="20"/>
          <w:szCs w:val="20"/>
          <w:b w:val="1"/>
          <w:bCs w:val="1"/>
          <w:color w:val="auto"/>
        </w:rPr>
        <w:t xml:space="preserve">. </w:t>
      </w:r>
      <w:r>
        <w:rPr>
          <w:rFonts w:ascii="Arial" w:cs="Arial" w:eastAsia="Arial" w:hAnsi="Arial"/>
          <w:sz w:val="20"/>
          <w:szCs w:val="20"/>
          <w:color w:val="auto"/>
        </w:rPr>
        <w:t>A member of Company Personnel may enter into a Rule 10b5-1 Trading Plan only at a time when he or</w:t>
      </w:r>
      <w:r>
        <w:rPr>
          <w:rFonts w:ascii="Arial" w:cs="Arial" w:eastAsia="Arial" w:hAnsi="Arial"/>
          <w:sz w:val="20"/>
          <w:szCs w:val="20"/>
          <w:b w:val="1"/>
          <w:bCs w:val="1"/>
          <w:color w:val="auto"/>
        </w:rPr>
        <w:t xml:space="preserve"> </w:t>
      </w:r>
      <w:r>
        <w:rPr>
          <w:rFonts w:ascii="Arial" w:cs="Arial" w:eastAsia="Arial" w:hAnsi="Arial"/>
          <w:sz w:val="20"/>
          <w:szCs w:val="20"/>
          <w:color w:val="auto"/>
        </w:rPr>
        <w:t>she is not aware of material non-public information regarding the Company or its securities and when a Blackout Period is not in effect with respect to such member under the Insider Trading Policy. Each Rule 10b5-1 Trading Plan must include a representation that, as of the date of adoption of such Rule 10b5-1 Trading Plan, the member of Company Personnel who wishes to enter into such Rule 10b5-1 Trading Plan is not aware of any material non-public information about the Company or its securities, and that the Rule 10b5-1 Trading Plan is being adopted in good faith and not as a part of a plan or scheme to evade the prohibitions of Rule 10b5-1.</w:t>
      </w:r>
    </w:p>
    <w:p>
      <w:pPr>
        <w:spacing w:after="0" w:line="157" w:lineRule="exact"/>
        <w:rPr>
          <w:rFonts w:ascii="Arial" w:cs="Arial" w:eastAsia="Arial" w:hAnsi="Arial"/>
          <w:sz w:val="20"/>
          <w:szCs w:val="20"/>
          <w:b w:val="1"/>
          <w:bCs w:val="1"/>
          <w:color w:val="auto"/>
        </w:rPr>
      </w:pPr>
    </w:p>
    <w:p>
      <w:pPr>
        <w:ind w:left="340" w:right="40" w:hanging="332"/>
        <w:spacing w:after="0" w:line="200" w:lineRule="auto"/>
        <w:tabs>
          <w:tab w:leader="none" w:pos="329"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Waiting Period</w:t>
      </w:r>
      <w:r>
        <w:rPr>
          <w:rFonts w:ascii="Arial" w:cs="Arial" w:eastAsia="Arial" w:hAnsi="Arial"/>
          <w:sz w:val="20"/>
          <w:szCs w:val="20"/>
          <w:b w:val="1"/>
          <w:bCs w:val="1"/>
          <w:color w:val="auto"/>
        </w:rPr>
        <w:t xml:space="preserve">. </w:t>
      </w:r>
      <w:r>
        <w:rPr>
          <w:rFonts w:ascii="Arial" w:cs="Arial" w:eastAsia="Arial" w:hAnsi="Arial"/>
          <w:sz w:val="20"/>
          <w:szCs w:val="20"/>
          <w:color w:val="auto"/>
        </w:rPr>
        <w:t>The waiting periods from the time a Rule 10b5-1 Trading Plan is adopted until the time of the first trade</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Rule 10b5-1 Trading Plan must comply with requirements of Rule 10b5-1. Specifically, Rule 10b5-1 Trading Plans established by directors and officers subject to Section 16 of the Exchange Act (collectively, “</w:t>
      </w:r>
      <w:r>
        <w:rPr>
          <w:rFonts w:ascii="Arial" w:cs="Arial" w:eastAsia="Arial" w:hAnsi="Arial"/>
          <w:sz w:val="20"/>
          <w:szCs w:val="20"/>
          <w:u w:val="single" w:color="auto"/>
          <w:color w:val="auto"/>
        </w:rPr>
        <w:t>Section 16 Insiders</w:t>
      </w:r>
      <w:r>
        <w:rPr>
          <w:rFonts w:ascii="Arial" w:cs="Arial" w:eastAsia="Arial" w:hAnsi="Arial"/>
          <w:sz w:val="20"/>
          <w:szCs w:val="20"/>
          <w:color w:val="auto"/>
        </w:rPr>
        <w:t>”) must include a waiting period consisting of the later of (i) 90 days after the adoption of the Rule 10b5-1 Trading Plan, or (ii) the period ending two business days following the disclosure of the Company’s financial results in a Form 10-Q or Form 10-K for the completed fiscal quarter in which the Rule 10b5-1 Trading Plan was adopted (but in any event, this waiting period is subject to a maximum of 120 days after adoption of the Rule 10b5-1 Trading Plan). For all other individuals, the waiting period must be at least 30 days from adoption of the Rule 10b5-1 Trading Plan. For the avoidance of doubt, subject to further guidance from the SEC, Section 16 Insiders may not begin the first trade under a Rule 10b5-1 Trading Plan until the later of the 91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day from adoption of the Rule 10b5-1 Trading Plan or the third business day after the Company’s filing of the applicable Form 10-Q or Form 10-K (but in any event no later than the 121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day from adoption of the Rule 10b5-1 Trading Plan), and individuals other than Section 16 Insiders may not begin the first trade until the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day from adoption of the Rule 10b5-1 Trading Plan.</w:t>
      </w:r>
    </w:p>
    <w:p>
      <w:pPr>
        <w:spacing w:after="0" w:line="145" w:lineRule="exact"/>
        <w:rPr>
          <w:rFonts w:ascii="Arial" w:cs="Arial" w:eastAsia="Arial" w:hAnsi="Arial"/>
          <w:sz w:val="20"/>
          <w:szCs w:val="20"/>
          <w:b w:val="1"/>
          <w:bCs w:val="1"/>
          <w:color w:val="auto"/>
        </w:rPr>
      </w:pPr>
    </w:p>
    <w:p>
      <w:pPr>
        <w:ind w:left="340" w:right="200" w:hanging="332"/>
        <w:spacing w:after="0" w:line="232" w:lineRule="auto"/>
        <w:tabs>
          <w:tab w:leader="none" w:pos="329"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Multiple Plans</w:t>
      </w:r>
      <w:r>
        <w:rPr>
          <w:rFonts w:ascii="Arial" w:cs="Arial" w:eastAsia="Arial" w:hAnsi="Arial"/>
          <w:sz w:val="20"/>
          <w:szCs w:val="20"/>
          <w:b w:val="1"/>
          <w:bCs w:val="1"/>
          <w:color w:val="auto"/>
        </w:rPr>
        <w:t xml:space="preserve">. </w:t>
      </w:r>
      <w:r>
        <w:rPr>
          <w:rFonts w:ascii="Arial" w:cs="Arial" w:eastAsia="Arial" w:hAnsi="Arial"/>
          <w:sz w:val="20"/>
          <w:szCs w:val="20"/>
          <w:color w:val="auto"/>
        </w:rPr>
        <w:t>Generally speaking, a member of Company Personnel entering into a Rule 10b5-1 Trading Plan may have</w:t>
      </w:r>
      <w:r>
        <w:rPr>
          <w:rFonts w:ascii="Arial" w:cs="Arial" w:eastAsia="Arial" w:hAnsi="Arial"/>
          <w:sz w:val="20"/>
          <w:szCs w:val="20"/>
          <w:b w:val="1"/>
          <w:bCs w:val="1"/>
          <w:color w:val="auto"/>
        </w:rPr>
        <w:t xml:space="preserve"> </w:t>
      </w:r>
      <w:r>
        <w:rPr>
          <w:rFonts w:ascii="Arial" w:cs="Arial" w:eastAsia="Arial" w:hAnsi="Arial"/>
          <w:sz w:val="20"/>
          <w:szCs w:val="20"/>
          <w:color w:val="auto"/>
        </w:rPr>
        <w:t>only one Rule 10b5-1 Trading Plan in place at any time. An exception to this restriction applies for certain separate Rule 10b5-1 Trading Plans with different brokers that would be treated as a single “plan” such as</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76" w:lineRule="exact"/>
        <w:rPr>
          <w:sz w:val="20"/>
          <w:szCs w:val="20"/>
          <w:color w:val="auto"/>
        </w:rPr>
      </w:pPr>
    </w:p>
    <w:p>
      <w:pPr>
        <w:ind w:left="332"/>
        <w:spacing w:after="0"/>
        <w:rPr>
          <w:sz w:val="20"/>
          <w:szCs w:val="20"/>
          <w:color w:val="auto"/>
        </w:rPr>
      </w:pPr>
      <w:r>
        <w:rPr>
          <w:rFonts w:ascii="Arial" w:cs="Arial" w:eastAsia="Arial" w:hAnsi="Arial"/>
          <w:sz w:val="20"/>
          <w:szCs w:val="20"/>
          <w:color w:val="auto"/>
        </w:rPr>
        <w:t>when a person holds Company securities in multiple brokerage accounts. Additionally, a member of Company Personnel</w:t>
      </w:r>
    </w:p>
    <w:p>
      <w:pPr>
        <w:ind w:left="332" w:right="180"/>
        <w:spacing w:after="0" w:line="215" w:lineRule="auto"/>
        <w:rPr>
          <w:sz w:val="20"/>
          <w:szCs w:val="20"/>
          <w:color w:val="auto"/>
        </w:rPr>
      </w:pPr>
      <w:r>
        <w:rPr>
          <w:rFonts w:ascii="Arial" w:cs="Arial" w:eastAsia="Arial" w:hAnsi="Arial"/>
          <w:sz w:val="19"/>
          <w:szCs w:val="19"/>
          <w:color w:val="auto"/>
        </w:rPr>
        <w:t>may enter into one later-commencing Rule 10b5-1 Trading Plan so that the waiting period of the later plan can begin to run while an existing Rule 10b5-1 Trading Plan is in place, provided that the individual does not early terminate the first Rule</w:t>
      </w:r>
    </w:p>
    <w:p>
      <w:pPr>
        <w:ind w:left="332"/>
        <w:spacing w:after="0" w:line="211" w:lineRule="auto"/>
        <w:rPr>
          <w:sz w:val="20"/>
          <w:szCs w:val="20"/>
          <w:color w:val="auto"/>
        </w:rPr>
      </w:pPr>
      <w:r>
        <w:rPr>
          <w:rFonts w:ascii="Arial" w:cs="Arial" w:eastAsia="Arial" w:hAnsi="Arial"/>
          <w:sz w:val="20"/>
          <w:szCs w:val="20"/>
          <w:color w:val="auto"/>
        </w:rPr>
        <w:t>10b5-1 Trading Plan, in which case a full waiting period from the time of such termination must occur. Finally, Company</w:t>
      </w:r>
    </w:p>
    <w:p>
      <w:pPr>
        <w:ind w:left="332" w:right="140"/>
        <w:spacing w:after="0" w:line="204" w:lineRule="auto"/>
        <w:rPr>
          <w:sz w:val="20"/>
          <w:szCs w:val="20"/>
          <w:color w:val="auto"/>
        </w:rPr>
      </w:pPr>
      <w:r>
        <w:rPr>
          <w:rFonts w:ascii="Arial" w:cs="Arial" w:eastAsia="Arial" w:hAnsi="Arial"/>
          <w:sz w:val="20"/>
          <w:szCs w:val="20"/>
          <w:color w:val="auto"/>
        </w:rPr>
        <w:t>Personnel may have an additional Rule 10b5-1 Trading Plan providing only for eligible sell-to-cover transactions, where the plan provides for sales of securities as are necessary to satisfy tax withholding obligations arising exclusively from the</w:t>
      </w:r>
    </w:p>
    <w:p>
      <w:pPr>
        <w:spacing w:after="0" w:line="1" w:lineRule="exact"/>
        <w:rPr>
          <w:sz w:val="20"/>
          <w:szCs w:val="20"/>
          <w:color w:val="auto"/>
        </w:rPr>
      </w:pPr>
    </w:p>
    <w:p>
      <w:pPr>
        <w:ind w:left="332"/>
        <w:spacing w:after="0"/>
        <w:rPr>
          <w:sz w:val="20"/>
          <w:szCs w:val="20"/>
          <w:color w:val="auto"/>
        </w:rPr>
      </w:pPr>
      <w:r>
        <w:rPr>
          <w:rFonts w:ascii="Arial" w:cs="Arial" w:eastAsia="Arial" w:hAnsi="Arial"/>
          <w:sz w:val="20"/>
          <w:szCs w:val="20"/>
          <w:color w:val="auto"/>
        </w:rPr>
        <w:t>vesting of a compensatory stock award.</w:t>
      </w:r>
    </w:p>
    <w:p>
      <w:pPr>
        <w:spacing w:after="0" w:line="169" w:lineRule="exact"/>
        <w:rPr>
          <w:sz w:val="20"/>
          <w:szCs w:val="20"/>
          <w:color w:val="auto"/>
        </w:rPr>
      </w:pPr>
    </w:p>
    <w:p>
      <w:pPr>
        <w:ind w:left="332" w:hanging="332"/>
        <w:spacing w:after="0" w:line="235" w:lineRule="auto"/>
        <w:tabs>
          <w:tab w:leader="none" w:pos="321"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Single Transaction</w:t>
      </w:r>
      <w:r>
        <w:rPr>
          <w:rFonts w:ascii="Arial" w:cs="Arial" w:eastAsia="Arial" w:hAnsi="Arial"/>
          <w:sz w:val="20"/>
          <w:szCs w:val="20"/>
          <w:b w:val="1"/>
          <w:bCs w:val="1"/>
          <w:color w:val="auto"/>
        </w:rPr>
        <w:t xml:space="preserve">. </w:t>
      </w:r>
      <w:r>
        <w:rPr>
          <w:rFonts w:ascii="Arial" w:cs="Arial" w:eastAsia="Arial" w:hAnsi="Arial"/>
          <w:sz w:val="20"/>
          <w:szCs w:val="20"/>
          <w:color w:val="auto"/>
        </w:rPr>
        <w:t>Rule 10b5-1 prohibits more than one Rule 10b5-1 Trading Plan in any 12-month period that is designed</w:t>
      </w:r>
      <w:r>
        <w:rPr>
          <w:rFonts w:ascii="Arial" w:cs="Arial" w:eastAsia="Arial" w:hAnsi="Arial"/>
          <w:sz w:val="20"/>
          <w:szCs w:val="20"/>
          <w:b w:val="1"/>
          <w:bCs w:val="1"/>
          <w:color w:val="auto"/>
        </w:rPr>
        <w:t xml:space="preserve"> </w:t>
      </w:r>
      <w:r>
        <w:rPr>
          <w:rFonts w:ascii="Arial" w:cs="Arial" w:eastAsia="Arial" w:hAnsi="Arial"/>
          <w:sz w:val="20"/>
          <w:szCs w:val="20"/>
          <w:color w:val="auto"/>
        </w:rPr>
        <w:t>to effect a single transaction. Single transaction Rule 10b5-1 Trading Plans are generally discouraged.</w:t>
      </w:r>
    </w:p>
    <w:p>
      <w:pPr>
        <w:spacing w:after="0" w:line="157" w:lineRule="exact"/>
        <w:rPr>
          <w:rFonts w:ascii="Arial" w:cs="Arial" w:eastAsia="Arial" w:hAnsi="Arial"/>
          <w:sz w:val="20"/>
          <w:szCs w:val="20"/>
          <w:b w:val="1"/>
          <w:bCs w:val="1"/>
          <w:color w:val="auto"/>
        </w:rPr>
      </w:pPr>
    </w:p>
    <w:p>
      <w:pPr>
        <w:ind w:left="332" w:right="100" w:hanging="332"/>
        <w:spacing w:after="0" w:line="221" w:lineRule="auto"/>
        <w:tabs>
          <w:tab w:leader="none" w:pos="321"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Amendments to Rule 10b5-1 Trading Plans will be permitted only at a time when: (i) the member of</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Personnel is not aware of material non-public information regarding the Company or its securities and (ii) a Blackout Period is not in effect with respect to such member under the Insider Trading Policy. Furthermore, any amendment relating to the amount, price, or timing of the purchase or sale of securities will be subject to the same waiting periods as would be applicable to a new Rule 10b5-1 Trading Plan, as described above.</w:t>
      </w:r>
    </w:p>
    <w:p>
      <w:pPr>
        <w:spacing w:after="0" w:line="142" w:lineRule="exact"/>
        <w:rPr>
          <w:rFonts w:ascii="Arial" w:cs="Arial" w:eastAsia="Arial" w:hAnsi="Arial"/>
          <w:sz w:val="20"/>
          <w:szCs w:val="20"/>
          <w:b w:val="1"/>
          <w:bCs w:val="1"/>
          <w:color w:val="auto"/>
        </w:rPr>
      </w:pPr>
    </w:p>
    <w:p>
      <w:pPr>
        <w:ind w:left="332" w:right="60" w:hanging="332"/>
        <w:spacing w:after="0" w:line="217" w:lineRule="auto"/>
        <w:tabs>
          <w:tab w:leader="none" w:pos="321"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A Rule 10b5-1 Trading Plan may be terminated upon notification to the General Counsel at a time when the</w:t>
      </w:r>
      <w:r>
        <w:rPr>
          <w:rFonts w:ascii="Arial" w:cs="Arial" w:eastAsia="Arial" w:hAnsi="Arial"/>
          <w:sz w:val="20"/>
          <w:szCs w:val="20"/>
          <w:b w:val="1"/>
          <w:bCs w:val="1"/>
          <w:color w:val="auto"/>
        </w:rPr>
        <w:t xml:space="preserve"> </w:t>
      </w:r>
      <w:r>
        <w:rPr>
          <w:rFonts w:ascii="Arial" w:cs="Arial" w:eastAsia="Arial" w:hAnsi="Arial"/>
          <w:sz w:val="20"/>
          <w:szCs w:val="20"/>
          <w:color w:val="auto"/>
        </w:rPr>
        <w:t>member of Company Personnel is not aware of material non-public information regarding the Company or its securities and a Blackout Period is not in effect with respect to such member under the Insider Trading Policy. However, terminating a Rule 10b5-1 Trading Plan is strongly discouraged because it may call into question whether the plan was entered into in good faith and not as part of a plan or scheme to evade the insider trading rules, which could affect the availability of the Rule 10b5-1 affirmative defense.</w:t>
      </w:r>
    </w:p>
    <w:p>
      <w:pPr>
        <w:spacing w:after="0" w:line="156" w:lineRule="exact"/>
        <w:rPr>
          <w:rFonts w:ascii="Arial" w:cs="Arial" w:eastAsia="Arial" w:hAnsi="Arial"/>
          <w:sz w:val="20"/>
          <w:szCs w:val="20"/>
          <w:b w:val="1"/>
          <w:bCs w:val="1"/>
          <w:color w:val="auto"/>
        </w:rPr>
      </w:pPr>
    </w:p>
    <w:p>
      <w:pPr>
        <w:ind w:left="332" w:right="180" w:hanging="332"/>
        <w:spacing w:after="0" w:line="216" w:lineRule="auto"/>
        <w:tabs>
          <w:tab w:leader="none" w:pos="321"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Outside Trades</w:t>
      </w:r>
      <w:r>
        <w:rPr>
          <w:rFonts w:ascii="Arial" w:cs="Arial" w:eastAsia="Arial" w:hAnsi="Arial"/>
          <w:sz w:val="20"/>
          <w:szCs w:val="20"/>
          <w:b w:val="1"/>
          <w:bCs w:val="1"/>
          <w:color w:val="auto"/>
        </w:rPr>
        <w:t xml:space="preserve">. </w:t>
      </w:r>
      <w:r>
        <w:rPr>
          <w:rFonts w:ascii="Arial" w:cs="Arial" w:eastAsia="Arial" w:hAnsi="Arial"/>
          <w:sz w:val="20"/>
          <w:szCs w:val="20"/>
          <w:color w:val="auto"/>
        </w:rPr>
        <w:t>Adoption of a Rule 10b5-1 Trading Plan does not preclude trading outside the Rule 10b5-1 Trading Plan</w:t>
      </w:r>
      <w:r>
        <w:rPr>
          <w:rFonts w:ascii="Arial" w:cs="Arial" w:eastAsia="Arial" w:hAnsi="Arial"/>
          <w:sz w:val="20"/>
          <w:szCs w:val="20"/>
          <w:b w:val="1"/>
          <w:bCs w:val="1"/>
          <w:color w:val="auto"/>
        </w:rPr>
        <w:t xml:space="preserve"> </w:t>
      </w:r>
      <w:r>
        <w:rPr>
          <w:rFonts w:ascii="Arial" w:cs="Arial" w:eastAsia="Arial" w:hAnsi="Arial"/>
          <w:sz w:val="20"/>
          <w:szCs w:val="20"/>
          <w:color w:val="auto"/>
        </w:rPr>
        <w:t>that otherwise is in accordance with the Insider Trading Policy. However, Company Personnel should be cognizant of the fact that the Rule 10b5-1 affirmative defense will not apply to such trades outside a Rule 10b5-1 Trading Plan. In addition, under Rule 10b5-1, Company Personnel may not have further influence over whether, when, or how the trades under the Rule 10b5-1 Trading Plan are made once the Rule 10b5-1 Trading Plan is put in place, and, therefore, their trading outside the Rule 10b5-1 Trading Plan must not have direct or indirect influence on the trading instructions under the Rule 10b5-1 Trading Plan.</w:t>
      </w:r>
    </w:p>
    <w:p>
      <w:pPr>
        <w:spacing w:after="0" w:line="157" w:lineRule="exact"/>
        <w:rPr>
          <w:rFonts w:ascii="Arial" w:cs="Arial" w:eastAsia="Arial" w:hAnsi="Arial"/>
          <w:sz w:val="20"/>
          <w:szCs w:val="20"/>
          <w:b w:val="1"/>
          <w:bCs w:val="1"/>
          <w:color w:val="auto"/>
        </w:rPr>
      </w:pPr>
    </w:p>
    <w:p>
      <w:pPr>
        <w:ind w:left="332" w:right="20" w:hanging="332"/>
        <w:spacing w:after="0" w:line="229" w:lineRule="auto"/>
        <w:tabs>
          <w:tab w:leader="none" w:pos="321"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16</w:t>
      </w:r>
      <w:r>
        <w:rPr>
          <w:rFonts w:ascii="Arial" w:cs="Arial" w:eastAsia="Arial" w:hAnsi="Arial"/>
          <w:sz w:val="19"/>
          <w:szCs w:val="19"/>
          <w:b w:val="1"/>
          <w:bCs w:val="1"/>
          <w:color w:val="auto"/>
        </w:rPr>
        <w:t xml:space="preserve">. </w:t>
      </w:r>
      <w:r>
        <w:rPr>
          <w:rFonts w:ascii="Arial" w:cs="Arial" w:eastAsia="Arial" w:hAnsi="Arial"/>
          <w:sz w:val="19"/>
          <w:szCs w:val="19"/>
          <w:color w:val="auto"/>
        </w:rPr>
        <w:t>Each Section 16 Insider understands that the approval or adoption of a Rule 10b5-1 Trading Plan in no way</w:t>
      </w:r>
      <w:r>
        <w:rPr>
          <w:rFonts w:ascii="Arial" w:cs="Arial" w:eastAsia="Arial" w:hAnsi="Arial"/>
          <w:sz w:val="19"/>
          <w:szCs w:val="19"/>
          <w:b w:val="1"/>
          <w:bCs w:val="1"/>
          <w:color w:val="auto"/>
        </w:rPr>
        <w:t xml:space="preserve"> </w:t>
      </w:r>
      <w:r>
        <w:rPr>
          <w:rFonts w:ascii="Arial" w:cs="Arial" w:eastAsia="Arial" w:hAnsi="Arial"/>
          <w:sz w:val="19"/>
          <w:szCs w:val="19"/>
          <w:color w:val="auto"/>
        </w:rPr>
        <w:t>reduces or eliminates such Section 16 Insider’s obligations under Section 16 of the Exchange Act, including such Section 16 Insider’s disclosure and potential short-swing trading liabilities thereunder. If any questions arise, such Section 16 Insider should consult with his or her own counsel in implementing a Rule 10b5-1 Trading Plan. In addition, each Section 16 Insider must agree to cooperate with the Company in any reporting of the Rule 10b5-1 Trading Plan in the Company’s SEC filings.</w:t>
      </w:r>
    </w:p>
    <w:p>
      <w:pPr>
        <w:sectPr>
          <w:pgSz w:w="11900" w:h="16838" w:orient="portrait"/>
          <w:cols w:equalWidth="0" w:num="1">
            <w:col w:w="11212"/>
          </w:cols>
          <w:pgMar w:left="328" w:top="1440" w:right="35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REGENERON PHARMACEUTICALS,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noted, each of the entities listed below is directly or indirectly wholly owned by Regeneron Pharmaceuticals, Inc.</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0" w:type="dxa"/>
            <w:vAlign w:val="bottom"/>
          </w:tcPr>
          <w:p>
            <w:pPr>
              <w:spacing w:after="0"/>
              <w:rPr>
                <w:sz w:val="1"/>
                <w:szCs w:val="1"/>
                <w:color w:val="auto"/>
              </w:rPr>
            </w:pPr>
          </w:p>
        </w:tc>
      </w:tr>
      <w:tr>
        <w:trPr>
          <w:trHeight w:val="155"/>
        </w:trPr>
        <w:tc>
          <w:tcPr>
            <w:tcW w:w="5000" w:type="dxa"/>
            <w:vAlign w:val="bottom"/>
            <w:gridSpan w:val="2"/>
            <w:vMerge w:val="continue"/>
          </w:tcPr>
          <w:p>
            <w:pPr>
              <w:spacing w:after="0"/>
              <w:rPr>
                <w:sz w:val="13"/>
                <w:szCs w:val="13"/>
                <w:color w:val="auto"/>
              </w:rPr>
            </w:pPr>
          </w:p>
        </w:tc>
        <w:tc>
          <w:tcPr>
            <w:tcW w:w="22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20" w:type="dxa"/>
            <w:vAlign w:val="bottom"/>
            <w:shd w:val="clear" w:color="auto" w:fill="000000"/>
          </w:tcPr>
          <w:p>
            <w:pPr>
              <w:spacing w:after="0"/>
              <w:rPr>
                <w:sz w:val="2"/>
                <w:szCs w:val="2"/>
                <w:color w:val="auto"/>
              </w:rPr>
            </w:pPr>
          </w:p>
        </w:tc>
        <w:tc>
          <w:tcPr>
            <w:tcW w:w="3480" w:type="dxa"/>
            <w:vAlign w:val="bottom"/>
          </w:tcPr>
          <w:p>
            <w:pPr>
              <w:spacing w:after="0"/>
              <w:rPr>
                <w:sz w:val="2"/>
                <w:szCs w:val="2"/>
                <w:color w:val="auto"/>
              </w:rPr>
            </w:pPr>
          </w:p>
        </w:tc>
        <w:tc>
          <w:tcPr>
            <w:tcW w:w="2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Checkmate Pharmaceuticals, Inc.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Decibel Therapeutics, Inc.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Eastside Campus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Loop Road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Old Saw Mill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OSMR Holdings</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Oxular Acquisitions Limited</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Oxular Inc.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Oxular Limited</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Assurance, Inc.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Atlantic Holdings</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Austria GmbH</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Austria</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Belgium SRL</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Canada Company</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France SAS</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Genetics Center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GmbH</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Healthcare Solutions, Inc.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India Private Limited</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International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Ireland Designated Activity Company</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Italy S.r.l.</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Japan KK</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NL B.V.</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Spain, S.L.U.</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Switzerland GmbH</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UK Limited</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Ventures, L.P.*</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Rock County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Rockwood Road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RV Holding Corp.</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3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60" w:right="2060" w:firstLine="2"/>
        <w:spacing w:after="0" w:line="229" w:lineRule="auto"/>
        <w:tabs>
          <w:tab w:leader="none" w:pos="14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limited partner of Regeneron Ventures, L.P. is RV Holding Corp., which is wholly owned by Regeneron Pharmaceuticals, Inc. The general partner of Regeneron Ventures, L.P. is a third-party investment manager.</w:t>
      </w:r>
    </w:p>
    <w:p>
      <w:pPr>
        <w:sectPr>
          <w:pgSz w:w="11900" w:h="16838" w:orient="portrait"/>
          <w:cols w:equalWidth="0" w:num="1">
            <w:col w:w="11240"/>
          </w:cols>
          <w:pgMar w:left="320" w:top="985"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5"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333-282927) and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333-198794, 333-218669, and 333-239209) of Regeneron Pharmaceuticals, Inc. of our report dated February 5, 2025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2025</w:t>
      </w:r>
    </w:p>
    <w:p>
      <w:pPr>
        <w:sectPr>
          <w:pgSz w:w="11900" w:h="16838" w:orient="portrait"/>
          <w:cols w:equalWidth="0" w:num="1">
            <w:col w:w="11240"/>
          </w:cols>
          <w:pgMar w:left="320" w:top="891"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04"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February 5, 2025</w:t>
            </w:r>
          </w:p>
        </w:tc>
        <w:tc>
          <w:tcPr>
            <w:tcW w:w="11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Leonard S. Schleifer</w:t>
            </w:r>
          </w:p>
        </w:tc>
        <w:tc>
          <w:tcPr>
            <w:tcW w:w="0" w:type="dxa"/>
            <w:vAlign w:val="bottom"/>
          </w:tcPr>
          <w:p>
            <w:pPr>
              <w:spacing w:after="0"/>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100" w:type="dxa"/>
            <w:vAlign w:val="bottom"/>
            <w:vMerge w:val="continue"/>
          </w:tcPr>
          <w:p>
            <w:pPr>
              <w:spacing w:after="0"/>
              <w:rPr>
                <w:sz w:val="7"/>
                <w:szCs w:val="7"/>
                <w:color w:val="auto"/>
              </w:rPr>
            </w:pPr>
          </w:p>
        </w:tc>
        <w:tc>
          <w:tcPr>
            <w:tcW w:w="1120" w:type="dxa"/>
            <w:vAlign w:val="bottom"/>
            <w:vMerge w:val="restart"/>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93"/>
        </w:trPr>
        <w:tc>
          <w:tcPr>
            <w:tcW w:w="3100" w:type="dxa"/>
            <w:vAlign w:val="bottom"/>
            <w:tcBorders>
              <w:bottom w:val="single" w:sz="8" w:color="666666"/>
            </w:tcBorders>
          </w:tcPr>
          <w:p>
            <w:pPr>
              <w:spacing w:after="0"/>
              <w:rPr>
                <w:sz w:val="24"/>
                <w:szCs w:val="24"/>
                <w:color w:val="auto"/>
              </w:rPr>
            </w:pPr>
          </w:p>
        </w:tc>
        <w:tc>
          <w:tcPr>
            <w:tcW w:w="112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Fenimore, certify that:</w:t>
      </w:r>
    </w:p>
    <w:p>
      <w:pPr>
        <w:spacing w:after="0" w:line="104"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Date: February 5, 2025</w:t>
            </w: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Christopher Fenimore</w:t>
            </w:r>
          </w:p>
        </w:tc>
      </w:tr>
      <w:tr>
        <w:trPr>
          <w:trHeight w:val="245"/>
        </w:trPr>
        <w:tc>
          <w:tcPr>
            <w:tcW w:w="4220" w:type="dxa"/>
            <w:vAlign w:val="bottom"/>
          </w:tcPr>
          <w:p>
            <w:pPr>
              <w:spacing w:after="0"/>
              <w:rPr>
                <w:sz w:val="21"/>
                <w:szCs w:val="21"/>
                <w:color w:val="auto"/>
              </w:rPr>
            </w:pPr>
          </w:p>
        </w:tc>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Christopher Fenimore</w:t>
            </w:r>
          </w:p>
        </w:tc>
        <w:tc>
          <w:tcPr>
            <w:tcW w:w="5180" w:type="dxa"/>
            <w:vAlign w:val="bottom"/>
          </w:tcPr>
          <w:p>
            <w:pPr>
              <w:spacing w:after="0"/>
              <w:rPr>
                <w:sz w:val="21"/>
                <w:szCs w:val="21"/>
                <w:color w:val="auto"/>
              </w:rPr>
            </w:pPr>
          </w:p>
        </w:tc>
      </w:tr>
      <w:tr>
        <w:trPr>
          <w:trHeight w:val="180"/>
        </w:trPr>
        <w:tc>
          <w:tcPr>
            <w:tcW w:w="4220" w:type="dxa"/>
            <w:vAlign w:val="bottom"/>
          </w:tcPr>
          <w:p>
            <w:pPr>
              <w:spacing w:after="0"/>
              <w:rPr>
                <w:sz w:val="15"/>
                <w:szCs w:val="15"/>
                <w:color w:val="auto"/>
              </w:rPr>
            </w:pPr>
          </w:p>
        </w:tc>
        <w:tc>
          <w:tcPr>
            <w:tcW w:w="69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Executive Vice President, Finance and Chief</w:t>
            </w:r>
          </w:p>
        </w:tc>
      </w:tr>
      <w:tr>
        <w:trPr>
          <w:trHeight w:val="234"/>
        </w:trPr>
        <w:tc>
          <w:tcPr>
            <w:tcW w:w="422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238"/>
        </w:trPr>
        <w:tc>
          <w:tcPr>
            <w:tcW w:w="422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3"/>
        </w:trPr>
        <w:tc>
          <w:tcPr>
            <w:tcW w:w="4220" w:type="dxa"/>
            <w:vAlign w:val="bottom"/>
            <w:tcBorders>
              <w:bottom w:val="single" w:sz="8" w:color="666666"/>
            </w:tcBorders>
          </w:tcPr>
          <w:p>
            <w:pPr>
              <w:spacing w:after="0"/>
              <w:rPr>
                <w:sz w:val="24"/>
                <w:szCs w:val="24"/>
                <w:color w:val="auto"/>
              </w:rPr>
            </w:pPr>
          </w:p>
        </w:tc>
        <w:tc>
          <w:tcPr>
            <w:tcW w:w="1800" w:type="dxa"/>
            <w:vAlign w:val="bottom"/>
            <w:tcBorders>
              <w:bottom w:val="single" w:sz="8" w:color="666666"/>
            </w:tcBorders>
          </w:tcPr>
          <w:p>
            <w:pPr>
              <w:spacing w:after="0"/>
              <w:rPr>
                <w:sz w:val="24"/>
                <w:szCs w:val="24"/>
                <w:color w:val="auto"/>
              </w:rPr>
            </w:pPr>
          </w:p>
        </w:tc>
        <w:tc>
          <w:tcPr>
            <w:tcW w:w="5180" w:type="dxa"/>
            <w:vAlign w:val="bottom"/>
            <w:tcBorders>
              <w:bottom w:val="single" w:sz="8" w:color="666666"/>
            </w:tcBorders>
          </w:tcPr>
          <w:p>
            <w:pPr>
              <w:spacing w:after="0"/>
              <w:rPr>
                <w:sz w:val="24"/>
                <w:szCs w:val="24"/>
                <w:color w:val="auto"/>
              </w:rPr>
            </w:pPr>
          </w:p>
        </w:tc>
      </w:tr>
    </w:tbl>
    <w:p>
      <w:pPr>
        <w:sectPr>
          <w:pgSz w:w="11900" w:h="16838" w:orient="portrait"/>
          <w:cols w:equalWidth="0" w:num="1">
            <w:col w:w="11240"/>
          </w:cols>
          <w:pgMar w:left="320" w:top="985"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2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Regeneron Pharmaceuticals, Inc. (the "Company") on Form 10-K for the year ended December 31, 2024 as filed with the Securities and Exchange Commission on the date hereof (the "Report"), Leonard S. Schleifer, M.D., Ph.D., as Principal Executive Officer of the Company, and Christopher Fenimore, as Principal Financial Officer of the Company, each hereby certifies, pursuant to 18 U.S.C. Section 1350, as adopted pursuant to Section 906 of the Sarbanes-Oxley Act of 2002, to the best of his knowledge, that:</w:t>
      </w:r>
    </w:p>
    <w:p>
      <w:pPr>
        <w:spacing w:after="0" w:line="58" w:lineRule="exact"/>
        <w:rPr>
          <w:sz w:val="20"/>
          <w:szCs w:val="20"/>
          <w:color w:val="auto"/>
        </w:rPr>
      </w:pPr>
    </w:p>
    <w:p>
      <w:pPr>
        <w:ind w:left="640" w:hanging="308"/>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5, 2025</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Christopher Fenimore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5, 2025</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1)"/>
      <w:numFmt w:val="lowerLetter"/>
      <w:start w:val="1"/>
    </w:lvl>
  </w:abstractNum>
  <w:abstractNum w:abstractNumId="4">
    <w:nsid w:val="725A06FB"/>
    <w:multiLevelType w:val="hybridMultilevel"/>
    <w:lvl w:ilvl="0">
      <w:lvlJc w:val="left"/>
      <w:lvlText w:val="(%1)"/>
      <w:numFmt w:val="lowerLetter"/>
      <w:start w:val="1"/>
    </w:lvl>
  </w:abstractNum>
  <w:abstractNum w:abstractNumId="5">
    <w:nsid w:val="2CD89A32"/>
    <w:multiLevelType w:val="hybridMultilevel"/>
    <w:lvl w:ilvl="0">
      <w:lvlJc w:val="left"/>
      <w:lvlText w:val="(%1)"/>
      <w:numFmt w:val="lowerLetter"/>
      <w:start w:val="1"/>
    </w:lvl>
  </w:abstractNum>
  <w:abstractNum w:abstractNumId="6">
    <w:nsid w:val="57E4CCAF"/>
    <w:multiLevelType w:val="hybridMultilevel"/>
    <w:lvl w:ilvl="0">
      <w:lvlJc w:val="left"/>
      <w:lvlText w:val="(%1)"/>
      <w:numFmt w:val="lowerLetter"/>
      <w:start w:val="1"/>
    </w:lvl>
  </w:abstractNum>
  <w:abstractNum w:abstractNumId="7">
    <w:nsid w:val="7A6D8D3C"/>
    <w:multiLevelType w:val="hybridMultilevel"/>
    <w:lvl w:ilvl="0">
      <w:lvlJc w:val="left"/>
      <w:lvlText w:val="(%1)"/>
      <w:numFmt w:val="lowerLetter"/>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1)"/>
      <w:numFmt w:val="lowerLetter"/>
      <w:start w:val="1"/>
    </w:lvl>
  </w:abstractNum>
  <w:abstractNum w:abstractNumId="27">
    <w:nsid w:val="649BB77C"/>
    <w:multiLevelType w:val="hybridMultilevel"/>
    <w:lvl w:ilvl="0">
      <w:lvlJc w:val="left"/>
      <w:lvlText w:val="(%1)"/>
      <w:numFmt w:val="lowerLetter"/>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1)"/>
      <w:numFmt w:val="lowerLetter"/>
      <w:start w:val="1"/>
    </w:lvl>
  </w:abstractNum>
  <w:abstractNum w:abstractNumId="30">
    <w:nsid w:val="1CF10FD8"/>
    <w:multiLevelType w:val="hybridMultilevel"/>
    <w:lvl w:ilvl="0">
      <w:lvlJc w:val="left"/>
      <w:lvlText w:val="(%1)"/>
      <w:numFmt w:val="lowerLetter"/>
      <w:start w:val="1"/>
    </w:lvl>
  </w:abstractNum>
  <w:abstractNum w:abstractNumId="31">
    <w:nsid w:val="180115BE"/>
    <w:multiLevelType w:val="hybridMultilevel"/>
    <w:lvl w:ilvl="0">
      <w:lvlJc w:val="left"/>
      <w:lvlText w:val="(%1)"/>
      <w:numFmt w:val="lowerLetter"/>
      <w:start w:val="1"/>
    </w:lvl>
  </w:abstractNum>
  <w:abstractNum w:abstractNumId="32">
    <w:nsid w:val="235BA861"/>
    <w:multiLevelType w:val="hybridMultilevel"/>
    <w:lvl w:ilvl="0">
      <w:lvlJc w:val="left"/>
      <w:lvlText w:val="(%1)"/>
      <w:numFmt w:val="lowerLetter"/>
      <w:start w:val="1"/>
    </w:lvl>
  </w:abstractNum>
  <w:abstractNum w:abstractNumId="33">
    <w:nsid w:val="47398C89"/>
    <w:multiLevelType w:val="hybridMultilevel"/>
    <w:lvl w:ilvl="0">
      <w:lvlJc w:val="left"/>
      <w:lvlText w:val="(%1)"/>
      <w:numFmt w:val="lowerLetter"/>
      <w:start w:val="1"/>
    </w:lvl>
  </w:abstractNum>
  <w:abstractNum w:abstractNumId="34">
    <w:nsid w:val="354FE9F9"/>
    <w:multiLevelType w:val="hybridMultilevel"/>
    <w:lvl w:ilvl="0">
      <w:lvlJc w:val="left"/>
      <w:lvlText w:val="(%1)"/>
      <w:numFmt w:val="lowerLetter"/>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1)"/>
      <w:numFmt w:val="lowerLetter"/>
      <w:start w:val="1"/>
    </w:lvl>
  </w:abstractNum>
  <w:abstractNum w:abstractNumId="37">
    <w:nsid w:val="D34B6A8"/>
    <w:multiLevelType w:val="hybridMultilevel"/>
    <w:lvl w:ilvl="0">
      <w:lvlJc w:val="left"/>
      <w:lvlText w:val="%1"/>
      <w:numFmt w:val="decimal"/>
      <w:start w:val="32"/>
    </w:lvl>
  </w:abstractNum>
  <w:abstractNum w:abstractNumId="38">
    <w:nsid w:val="10233C99"/>
    <w:multiLevelType w:val="hybridMultilevel"/>
    <w:lvl w:ilvl="0">
      <w:lvlJc w:val="left"/>
      <w:lvlText w:val="%1"/>
      <w:numFmt w:val="decimal"/>
      <w:start w:val="101"/>
    </w:lvl>
  </w:abstractNum>
  <w:abstractNum w:abstractNumId="39">
    <w:nsid w:val="3F6AB60F"/>
    <w:multiLevelType w:val="hybridMultilevel"/>
    <w:lvl w:ilvl="0">
      <w:lvlJc w:val="left"/>
      <w:lvlText w:val="%1"/>
      <w:numFmt w:val="decimal"/>
      <w:start w:val="104"/>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1)"/>
      <w:numFmt w:val="lowerLetter"/>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1)"/>
      <w:numFmt w:val="lowerLetter"/>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1)"/>
      <w:numFmt w:val="lowerLetter"/>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1)"/>
      <w:numFmt w:val="lowerLetter"/>
      <w:start w:val="1"/>
    </w:lvl>
  </w:abstractNum>
  <w:abstractNum w:abstractNumId="53">
    <w:nsid w:val="100F8FCA"/>
    <w:multiLevelType w:val="hybridMultilevel"/>
    <w:lvl w:ilvl="0">
      <w:lvlJc w:val="left"/>
      <w:lvlText w:val="(%1)"/>
      <w:numFmt w:val="lowerLetter"/>
      <w:start w:val="4"/>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1."/>
      <w:numFmt w:val="decimal"/>
      <w:start w:val="1"/>
    </w:lvl>
  </w:abstractNum>
  <w:abstractNum w:abstractNumId="56">
    <w:nsid w:val="5F5E7FD0"/>
    <w:multiLevelType w:val="hybridMultilevel"/>
    <w:lvl w:ilvl="0">
      <w:lvlJc w:val="left"/>
      <w:lvlText w:val="%1."/>
      <w:numFmt w:val="decimal"/>
      <w:start w:val="2"/>
    </w:lvl>
    <w:lvl w:ilvl="1">
      <w:lvlJc w:val="left"/>
      <w:lvlText w:val="(%2)"/>
      <w:numFmt w:val="lowerLetter"/>
      <w:start w:val="1"/>
    </w:lvl>
  </w:abstractNum>
  <w:abstractNum w:abstractNumId="57">
    <w:nsid w:val="98A3148"/>
    <w:multiLevelType w:val="hybridMultilevel"/>
    <w:lvl w:ilvl="0">
      <w:lvlJc w:val="left"/>
      <w:lvlText w:val="%1."/>
      <w:numFmt w:val="decimal"/>
      <w:start w:val="3"/>
    </w:lvl>
    <w:lvl w:ilvl="1">
      <w:lvlJc w:val="left"/>
      <w:lvlText w:val="(%2)"/>
      <w:numFmt w:val="lowerLetter"/>
      <w:start w:val="1"/>
    </w:lvl>
  </w:abstractNum>
  <w:abstractNum w:abstractNumId="58">
    <w:nsid w:val="799D0247"/>
    <w:multiLevelType w:val="hybridMultilevel"/>
    <w:lvl w:ilvl="0">
      <w:lvlJc w:val="left"/>
      <w:lvlText w:val="%1."/>
      <w:numFmt w:val="decimal"/>
      <w:start w:val="6"/>
    </w:lvl>
  </w:abstractNum>
  <w:abstractNum w:abstractNumId="59">
    <w:nsid w:val="6B94764"/>
    <w:multiLevelType w:val="hybridMultilevel"/>
    <w:lvl w:ilvl="0">
      <w:lvlJc w:val="left"/>
      <w:lvlText w:val="%1."/>
      <w:numFmt w:val="decimal"/>
      <w:start w:val="10"/>
    </w:lvl>
  </w:abstractNum>
  <w:abstractNum w:abstractNumId="60">
    <w:nsid w:val="42C296BD"/>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61">
    <w:nsid w:val="168E121F"/>
    <w:multiLevelType w:val="hybridMultilevel"/>
    <w:lvl w:ilvl="0">
      <w:lvlJc w:val="left"/>
      <w:lvlText w:val="%1."/>
      <w:numFmt w:val="decimal"/>
      <w:start w:val="16"/>
    </w:lvl>
  </w:abstractNum>
  <w:abstractNum w:abstractNumId="62">
    <w:nsid w:val="1EBA5D23"/>
    <w:multiLevelType w:val="hybridMultilevel"/>
    <w:lvl w:ilvl="0">
      <w:lvlJc w:val="left"/>
      <w:lvlText w:val="%1."/>
      <w:numFmt w:val="decimal"/>
      <w:start w:val="21"/>
    </w:lvl>
  </w:abstractNum>
  <w:abstractNum w:abstractNumId="63">
    <w:nsid w:val="661E3F1E"/>
    <w:multiLevelType w:val="hybridMultilevel"/>
    <w:lvl w:ilvl="0">
      <w:lvlJc w:val="left"/>
      <w:lvlText w:val="%1."/>
      <w:numFmt w:val="decimal"/>
      <w:start w:val="1"/>
    </w:lvl>
  </w:abstractNum>
  <w:abstractNum w:abstractNumId="64">
    <w:nsid w:val="5DC79EA8"/>
    <w:multiLevelType w:val="hybridMultilevel"/>
    <w:lvl w:ilvl="0">
      <w:lvlJc w:val="left"/>
      <w:lvlText w:val="%1."/>
      <w:numFmt w:val="lowerLetter"/>
      <w:start w:val="1"/>
    </w:lvl>
  </w:abstractNum>
  <w:abstractNum w:abstractNumId="65">
    <w:nsid w:val="540A471C"/>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4"/>
    </w:lvl>
  </w:abstractNum>
  <w:abstractNum w:abstractNumId="66">
    <w:nsid w:val="7BD3EE7B"/>
    <w:multiLevelType w:val="hybridMultilevel"/>
    <w:lvl w:ilvl="0">
      <w:lvlJc w:val="left"/>
      <w:lvlText w:val="%1."/>
      <w:numFmt w:val="lowerLetter"/>
      <w:start w:val="7"/>
    </w:lvl>
    <w:lvl w:ilvl="1">
      <w:lvlJc w:val="left"/>
      <w:lvlText w:val="%2."/>
      <w:numFmt w:val="lowerRoman"/>
      <w:start w:val="1"/>
    </w:lvl>
    <w:lvl w:ilvl="2">
      <w:lvlJc w:val="left"/>
      <w:lvlText w:val="%3."/>
      <w:numFmt w:val="lowerRoman"/>
      <w:start w:val="4"/>
    </w:lvl>
  </w:abstractNum>
  <w:abstractNum w:abstractNumId="67">
    <w:nsid w:val="51D9C564"/>
    <w:multiLevelType w:val="hybridMultilevel"/>
    <w:lvl w:ilvl="0">
      <w:lvlJc w:val="left"/>
      <w:lvlText w:val="%1."/>
      <w:numFmt w:val="lowerRoman"/>
      <w:start w:val="1"/>
    </w:lvl>
  </w:abstractNum>
  <w:abstractNum w:abstractNumId="68">
    <w:nsid w:val="613EFDC5"/>
    <w:multiLevelType w:val="hybridMultilevel"/>
    <w:lvl w:ilvl="0">
      <w:lvlJc w:val="left"/>
      <w:lvlText w:val="%1."/>
      <w:numFmt w:val="decimal"/>
      <w:start w:val="2"/>
    </w:lvl>
    <w:lvl w:ilvl="1">
      <w:lvlJc w:val="left"/>
      <w:lvlText w:val="%2."/>
      <w:numFmt w:val="lowerLetter"/>
      <w:start w:val="1"/>
    </w:lvl>
  </w:abstractNum>
  <w:abstractNum w:abstractNumId="69">
    <w:nsid w:val="BF72B14"/>
    <w:multiLevelType w:val="hybridMultilevel"/>
    <w:lvl w:ilvl="0">
      <w:lvlJc w:val="left"/>
      <w:lvlText w:val="%1"/>
      <w:numFmt w:val="decimal"/>
      <w:start w:val="1"/>
    </w:lvl>
    <w:lvl w:ilvl="1">
      <w:lvlJc w:val="left"/>
      <w:lvlText w:val="%2."/>
      <w:numFmt w:val="lowerLetter"/>
      <w:start w:val="5"/>
    </w:lvl>
  </w:abstractNum>
  <w:abstractNum w:abstractNumId="70">
    <w:nsid w:val="11447B73"/>
    <w:multiLevelType w:val="hybridMultilevel"/>
    <w:lvl w:ilvl="0">
      <w:lvlJc w:val="left"/>
      <w:lvlText w:val="%1."/>
      <w:numFmt w:val="decimal"/>
      <w:start w:val="3"/>
    </w:lvl>
    <w:lvl w:ilvl="1">
      <w:lvlJc w:val="left"/>
      <w:lvlText w:val="%2."/>
      <w:numFmt w:val="lowerLetter"/>
      <w:start w:val="1"/>
    </w:lvl>
  </w:abstractNum>
  <w:abstractNum w:abstractNumId="71">
    <w:nsid w:val="42963E5A"/>
    <w:multiLevelType w:val="hybridMultilevel"/>
    <w:lvl w:ilvl="0">
      <w:lvlJc w:val="left"/>
      <w:lvlText w:val="%1"/>
      <w:numFmt w:val="decimal"/>
      <w:start w:val="1"/>
    </w:lvl>
    <w:lvl w:ilvl="1">
      <w:lvlJc w:val="left"/>
      <w:lvlText w:val="%2."/>
      <w:numFmt w:val="lowerLetter"/>
      <w:start w:val="3"/>
    </w:lvl>
  </w:abstractNum>
  <w:abstractNum w:abstractNumId="72">
    <w:nsid w:val="A0382C5"/>
    <w:multiLevelType w:val="hybridMultilevel"/>
    <w:lvl w:ilvl="0">
      <w:lvlJc w:val="left"/>
      <w:lvlText w:val="%1."/>
      <w:numFmt w:val="decimal"/>
      <w:start w:val="5"/>
    </w:lvl>
    <w:lvl w:ilvl="1">
      <w:lvlJc w:val="left"/>
      <w:lvlText w:val="%2."/>
      <w:numFmt w:val="lowerLetter"/>
      <w:start w:val="1"/>
    </w:lvl>
  </w:abstractNum>
  <w:abstractNum w:abstractNumId="73">
    <w:nsid w:val="8F2B15E"/>
    <w:multiLevelType w:val="hybridMultilevel"/>
    <w:lvl w:ilvl="0">
      <w:lvlJc w:val="left"/>
      <w:lvlText w:val="%1."/>
      <w:numFmt w:val="lowerLetter"/>
      <w:start w:val="2"/>
    </w:lvl>
  </w:abstractNum>
  <w:abstractNum w:abstractNumId="74">
    <w:nsid w:val="1A32234B"/>
    <w:multiLevelType w:val="hybridMultilevel"/>
    <w:lvl w:ilvl="0">
      <w:lvlJc w:val="left"/>
      <w:lvlText w:val="%1"/>
      <w:numFmt w:val="decimal"/>
      <w:start w:val="1"/>
    </w:lvl>
    <w:lvl w:ilvl="1">
      <w:lvlJc w:val="left"/>
      <w:lvlText w:val="%2."/>
      <w:numFmt w:val="lowerLetter"/>
      <w:start w:val="4"/>
    </w:lvl>
  </w:abstractNum>
  <w:abstractNum w:abstractNumId="75">
    <w:nsid w:val="3B0FD379"/>
    <w:multiLevelType w:val="hybridMultilevel"/>
    <w:lvl w:ilvl="0">
      <w:lvlJc w:val="left"/>
      <w:lvlText w:val="%1."/>
      <w:numFmt w:val="decimal"/>
      <w:start w:val="6"/>
    </w:lvl>
    <w:lvl w:ilvl="1">
      <w:lvlJc w:val="left"/>
      <w:lvlText w:val="%2"/>
      <w:numFmt w:val="lowerLetter"/>
      <w:start w:val="1"/>
    </w:lvl>
  </w:abstractNum>
  <w:abstractNum w:abstractNumId="76">
    <w:nsid w:val="68EB2F63"/>
    <w:multiLevelType w:val="hybridMultilevel"/>
    <w:lvl w:ilvl="0">
      <w:lvlJc w:val="left"/>
      <w:lvlText w:val="%1."/>
      <w:numFmt w:val="decimal"/>
      <w:start w:val="7"/>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1."/>
      <w:numFmt w:val="decimal"/>
      <w:start w:val="5"/>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63" Type="http://schemas.openxmlformats.org/officeDocument/2006/relationships/image" Target="media/image107.png"/><Relationship Id="rId164" Type="http://schemas.openxmlformats.org/officeDocument/2006/relationships/image" Target="media/image108.png"/><Relationship Id="rId177" Type="http://schemas.openxmlformats.org/officeDocument/2006/relationships/image" Target="media/image109.png"/><Relationship Id="rId179" Type="http://schemas.openxmlformats.org/officeDocument/2006/relationships/image" Target="media/image110.png"/><Relationship Id="rId180" Type="http://schemas.openxmlformats.org/officeDocument/2006/relationships/image" Target="media/image111.png"/><Relationship Id="rId181" Type="http://schemas.openxmlformats.org/officeDocument/2006/relationships/image" Target="media/image112.png"/><Relationship Id="rId182" Type="http://schemas.openxmlformats.org/officeDocument/2006/relationships/image" Target="media/image113.png"/><Relationship Id="rId183" Type="http://schemas.openxmlformats.org/officeDocument/2006/relationships/image" Target="media/image114.png"/><Relationship Id="rId184" Type="http://schemas.openxmlformats.org/officeDocument/2006/relationships/image" Target="media/image115.png"/><Relationship Id="rId185" Type="http://schemas.openxmlformats.org/officeDocument/2006/relationships/image" Target="media/image116.png"/><Relationship Id="rId186" Type="http://schemas.openxmlformats.org/officeDocument/2006/relationships/image" Target="media/image117.png"/><Relationship Id="rId187" Type="http://schemas.openxmlformats.org/officeDocument/2006/relationships/image" Target="media/image118.png"/><Relationship Id="rId188" Type="http://schemas.openxmlformats.org/officeDocument/2006/relationships/image" Target="media/image119.png"/><Relationship Id="rId189" Type="http://schemas.openxmlformats.org/officeDocument/2006/relationships/image" Target="media/image120.png"/><Relationship Id="rId190" Type="http://schemas.openxmlformats.org/officeDocument/2006/relationships/image" Target="media/image121.png"/><Relationship Id="rId191" Type="http://schemas.openxmlformats.org/officeDocument/2006/relationships/image" Target="media/image122.png"/><Relationship Id="rId192" Type="http://schemas.openxmlformats.org/officeDocument/2006/relationships/image" Target="media/image123.png"/><Relationship Id="rId193" Type="http://schemas.openxmlformats.org/officeDocument/2006/relationships/image" Target="media/image124.png"/><Relationship Id="rId194" Type="http://schemas.openxmlformats.org/officeDocument/2006/relationships/image" Target="media/image125.png"/><Relationship Id="rId195" Type="http://schemas.openxmlformats.org/officeDocument/2006/relationships/image" Target="media/image126.png"/><Relationship Id="rId196" Type="http://schemas.openxmlformats.org/officeDocument/2006/relationships/image" Target="media/image127.png"/><Relationship Id="rId197" Type="http://schemas.openxmlformats.org/officeDocument/2006/relationships/image" Target="media/image128.png"/><Relationship Id="rId198" Type="http://schemas.openxmlformats.org/officeDocument/2006/relationships/image" Target="media/image129.png"/><Relationship Id="rId199" Type="http://schemas.openxmlformats.org/officeDocument/2006/relationships/image" Target="media/image130.png"/><Relationship Id="rId200" Type="http://schemas.openxmlformats.org/officeDocument/2006/relationships/image" Target="media/image131.png"/><Relationship Id="rId201" Type="http://schemas.openxmlformats.org/officeDocument/2006/relationships/image" Target="media/image132.png"/><Relationship Id="rId202" Type="http://schemas.openxmlformats.org/officeDocument/2006/relationships/image" Target="media/image133.png"/><Relationship Id="rId203" Type="http://schemas.openxmlformats.org/officeDocument/2006/relationships/image" Target="media/image134.png"/><Relationship Id="rId204" Type="http://schemas.openxmlformats.org/officeDocument/2006/relationships/image" Target="media/image135.png"/><Relationship Id="rId205" Type="http://schemas.openxmlformats.org/officeDocument/2006/relationships/image" Target="media/image136.png"/><Relationship Id="rId206" Type="http://schemas.openxmlformats.org/officeDocument/2006/relationships/image" Target="media/image137.png"/><Relationship Id="rId207" Type="http://schemas.openxmlformats.org/officeDocument/2006/relationships/image" Target="media/image138.png"/><Relationship Id="rId208" Type="http://schemas.openxmlformats.org/officeDocument/2006/relationships/image" Target="media/image139.png"/><Relationship Id="rId209" Type="http://schemas.openxmlformats.org/officeDocument/2006/relationships/image" Target="media/image140.png"/><Relationship Id="rId210" Type="http://schemas.openxmlformats.org/officeDocument/2006/relationships/image" Target="media/image141.png"/><Relationship Id="rId211" Type="http://schemas.openxmlformats.org/officeDocument/2006/relationships/image" Target="media/image142.png"/><Relationship Id="rId212" Type="http://schemas.openxmlformats.org/officeDocument/2006/relationships/image" Target="media/image143.png"/><Relationship Id="rId213" Type="http://schemas.openxmlformats.org/officeDocument/2006/relationships/image" Target="media/image144.png"/><Relationship Id="rId214" Type="http://schemas.openxmlformats.org/officeDocument/2006/relationships/image" Target="media/image145.png"/><Relationship Id="rId215" Type="http://schemas.openxmlformats.org/officeDocument/2006/relationships/image" Target="media/image146.png"/><Relationship Id="rId216" Type="http://schemas.openxmlformats.org/officeDocument/2006/relationships/image" Target="media/image147.png"/><Relationship Id="rId217" Type="http://schemas.openxmlformats.org/officeDocument/2006/relationships/image" Target="media/image148.png"/><Relationship Id="rId218" Type="http://schemas.openxmlformats.org/officeDocument/2006/relationships/image" Target="media/image149.png"/><Relationship Id="rId219" Type="http://schemas.openxmlformats.org/officeDocument/2006/relationships/image" Target="media/image150.png"/><Relationship Id="rId220" Type="http://schemas.openxmlformats.org/officeDocument/2006/relationships/image" Target="media/image151.png"/><Relationship Id="rId221" Type="http://schemas.openxmlformats.org/officeDocument/2006/relationships/image" Target="media/image152.png"/><Relationship Id="rId222" Type="http://schemas.openxmlformats.org/officeDocument/2006/relationships/image" Target="media/image153.png"/><Relationship Id="rId223" Type="http://schemas.openxmlformats.org/officeDocument/2006/relationships/image" Target="media/image154.png"/><Relationship Id="rId224" Type="http://schemas.openxmlformats.org/officeDocument/2006/relationships/image" Target="media/image155.png"/><Relationship Id="rId225" Type="http://schemas.openxmlformats.org/officeDocument/2006/relationships/image" Target="media/image156.png"/><Relationship Id="rId226" Type="http://schemas.openxmlformats.org/officeDocument/2006/relationships/image" Target="media/image157.png"/><Relationship Id="rId227" Type="http://schemas.openxmlformats.org/officeDocument/2006/relationships/image" Target="media/image158.png"/><Relationship Id="rId228" Type="http://schemas.openxmlformats.org/officeDocument/2006/relationships/image" Target="media/image159.png"/><Relationship Id="rId229" Type="http://schemas.openxmlformats.org/officeDocument/2006/relationships/image" Target="media/image160.png"/><Relationship Id="rId230" Type="http://schemas.openxmlformats.org/officeDocument/2006/relationships/image" Target="media/image161.png"/><Relationship Id="rId231" Type="http://schemas.openxmlformats.org/officeDocument/2006/relationships/image" Target="media/image162.png"/><Relationship Id="rId232" Type="http://schemas.openxmlformats.org/officeDocument/2006/relationships/image" Target="media/image163.png"/><Relationship Id="rId233" Type="http://schemas.openxmlformats.org/officeDocument/2006/relationships/image" Target="media/image164.png"/><Relationship Id="rId234" Type="http://schemas.openxmlformats.org/officeDocument/2006/relationships/image" Target="media/image165.png"/><Relationship Id="rId235" Type="http://schemas.openxmlformats.org/officeDocument/2006/relationships/image" Target="media/image166.png"/><Relationship Id="rId236" Type="http://schemas.openxmlformats.org/officeDocument/2006/relationships/image" Target="media/image167.png"/><Relationship Id="rId237" Type="http://schemas.openxmlformats.org/officeDocument/2006/relationships/image" Target="media/image168.png"/><Relationship Id="rId238" Type="http://schemas.openxmlformats.org/officeDocument/2006/relationships/image" Target="media/image169.jpeg"/><Relationship Id="rId239" Type="http://schemas.openxmlformats.org/officeDocument/2006/relationships/image" Target="media/image170.jpeg"/><Relationship Id="rId240" Type="http://schemas.openxmlformats.org/officeDocument/2006/relationships/image" Target="media/image171.jpeg"/><Relationship Id="rId241" Type="http://schemas.openxmlformats.org/officeDocument/2006/relationships/image" Target="media/image172.jpeg"/><Relationship Id="rId242" Type="http://schemas.openxmlformats.org/officeDocument/2006/relationships/image" Target="media/image173.jpeg"/><Relationship Id="rId243" Type="http://schemas.openxmlformats.org/officeDocument/2006/relationships/image" Target="media/image174.jpeg"/><Relationship Id="rId244" Type="http://schemas.openxmlformats.org/officeDocument/2006/relationships/image" Target="media/image175.jpeg"/><Relationship Id="rId245" Type="http://schemas.openxmlformats.org/officeDocument/2006/relationships/image" Target="media/image176.jpeg"/><Relationship Id="rId246" Type="http://schemas.openxmlformats.org/officeDocument/2006/relationships/image" Target="media/image177.jpeg"/><Relationship Id="rId247" Type="http://schemas.openxmlformats.org/officeDocument/2006/relationships/image" Target="media/image178.jpeg"/><Relationship Id="rId110" Type="http://schemas.openxmlformats.org/officeDocument/2006/relationships/hyperlink" Target="https://www.sec.gov/Archives/edgar/data/872589/000153217615000029/regn-ex_31x06302015x10q.htm" TargetMode="External"/><Relationship Id="rId111" Type="http://schemas.openxmlformats.org/officeDocument/2006/relationships/hyperlink" Target="https://www.sec.gov/Archives/edgar/data/872589/000110465916163216/a16-23471_1ex3d2.htm" TargetMode="External"/><Relationship Id="rId112" Type="http://schemas.openxmlformats.org/officeDocument/2006/relationships/hyperlink" Target="https://www.sec.gov/Archives/edgar/data/872589/000110465923071187/tm2318622d1_ex3-2.htm" TargetMode="External"/><Relationship Id="rId113" Type="http://schemas.openxmlformats.org/officeDocument/2006/relationships/hyperlink" Target="https://www.sec.gov/Archives/edgar/data/872589/000110465920093924/tm2027319d1_ex4-1.htm" TargetMode="External"/><Relationship Id="rId114" Type="http://schemas.openxmlformats.org/officeDocument/2006/relationships/hyperlink" Target="https://www.sec.gov/Archives/edgar/data/872589/000110465920093924/tm2027319d1_ex4-2.htm" TargetMode="External"/><Relationship Id="rId115" Type="http://schemas.openxmlformats.org/officeDocument/2006/relationships/hyperlink" Target="https://www.sec.gov/Archives/edgar/data/872589/000119312514237593/d741943dex991.htm" TargetMode="External"/><Relationship Id="rId116" Type="http://schemas.openxmlformats.org/officeDocument/2006/relationships/hyperlink" Target="https://www.sec.gov/Archives/edgar/data/872589/000119312514240075/d741250dex101.htm" TargetMode="External"/><Relationship Id="rId117" Type="http://schemas.openxmlformats.org/officeDocument/2006/relationships/hyperlink" Target="https://www.sec.gov/Archives/edgar/data/872589/000119312514240075/d741250dex103.htm" TargetMode="External"/><Relationship Id="rId118" Type="http://schemas.openxmlformats.org/officeDocument/2006/relationships/hyperlink" Target="https://www.sec.gov/Archives/edgar/data/872589/000119312514240075/d741250dex104.htm" TargetMode="External"/><Relationship Id="rId119" Type="http://schemas.openxmlformats.org/officeDocument/2006/relationships/hyperlink" Target="https://www.sec.gov/Archives/edgar/data/872589/000110465915080234/a15-23696_1ex10d1.htm" TargetMode="External"/><Relationship Id="rId120" Type="http://schemas.openxmlformats.org/officeDocument/2006/relationships/hyperlink" Target="https://www.sec.gov/Archives/edgar/data/872589/000110465915080234/a15-23696_1ex10d3.htm" TargetMode="External"/><Relationship Id="rId121" Type="http://schemas.openxmlformats.org/officeDocument/2006/relationships/hyperlink" Target="https://www.sec.gov/Archives/edgar/data/872589/000153217616000045/regn-ex_10210x12312015x10k.htm" TargetMode="External"/><Relationship Id="rId122" Type="http://schemas.openxmlformats.org/officeDocument/2006/relationships/hyperlink" Target="https://www.sec.gov/Archives/edgar/data/872589/000110465917038718/a17-14867_1ex99d1.htm" TargetMode="External"/><Relationship Id="rId123" Type="http://schemas.openxmlformats.org/officeDocument/2006/relationships/hyperlink" Target="https://www.sec.gov/Archives/edgar/data/872589/000153217618000013/regn-ex_10211xar2014ltipnq.htm" TargetMode="External"/><Relationship Id="rId126" Type="http://schemas.openxmlformats.org/officeDocument/2006/relationships/hyperlink" Target="https://www.sec.gov/Archives/edgar/data/872589/000153217618000013/regn-ex_10215xar2014ltiprs.htm" TargetMode="External"/><Relationship Id="rId127" Type="http://schemas.openxmlformats.org/officeDocument/2006/relationships/hyperlink" Target="https://www.sec.gov/Archives/edgar/data/872589/000153217618000013/regn-ex_10216xar2014ltipnq.htm" TargetMode="External"/><Relationship Id="rId128" Type="http://schemas.openxmlformats.org/officeDocument/2006/relationships/hyperlink" Target="https://www.sec.gov/Archives/edgar/data/872589/000153217619000009/regn-ex_10217xstockoptiona.htm" TargetMode="External"/><Relationship Id="rId129" Type="http://schemas.openxmlformats.org/officeDocument/2006/relationships/hyperlink" Target="https://www.sec.gov/Archives/edgar/data/872589/000153217619000009/regn-ex_10219xar2014ltiprs.htm" TargetMode="External"/><Relationship Id="rId130" Type="http://schemas.openxmlformats.org/officeDocument/2006/relationships/hyperlink" Target="https://www.sec.gov/Archives/edgar/data/872589/000153217619000009/regn-ex_10220xar2014ltipnq.htm" TargetMode="External"/><Relationship Id="rId131" Type="http://schemas.openxmlformats.org/officeDocument/2006/relationships/hyperlink" Target="https://www.sec.gov/Archives/edgar/data/872589/000153217619000009/regn-ex_10221xar2014ltiprs.htm" TargetMode="External"/><Relationship Id="rId132" Type="http://schemas.openxmlformats.org/officeDocument/2006/relationships/hyperlink" Target="https://www.sec.gov/Archives/edgar/data/872589/000153217620000008/regn-ex10217ar2014ltip.htm" TargetMode="External"/><Relationship Id="rId133" Type="http://schemas.openxmlformats.org/officeDocument/2006/relationships/hyperlink" Target="https://www.sec.gov/Archives/edgar/data/872589/000153217620000008/regn-ex10219ar2014ltip.htm" TargetMode="External"/><Relationship Id="rId134" Type="http://schemas.openxmlformats.org/officeDocument/2006/relationships/hyperlink" Target="https://www.sec.gov/Archives/edgar/data/872589/000153217620000008/regn-ex10220ar2014ltip.htm" TargetMode="External"/><Relationship Id="rId135" Type="http://schemas.openxmlformats.org/officeDocument/2006/relationships/hyperlink" Target="https://www.sec.gov/Archives/edgar/data/872589/000153217620000008/regn-ex10221ar2014ltip.htm" TargetMode="External"/><Relationship Id="rId136" Type="http://schemas.openxmlformats.org/officeDocument/2006/relationships/hyperlink" Target="https://www.sec.gov/Archives/edgar/data/872589/000110465920073764/tm2022552d1_ex99-1.htm" TargetMode="External"/><Relationship Id="rId137" Type="http://schemas.openxmlformats.org/officeDocument/2006/relationships/hyperlink" Target="https://www.sec.gov/Archives/edgar/data/872589/000180422021000008/regn-ex_1031x12312020x10k.htm" TargetMode="External"/><Relationship Id="rId138" Type="http://schemas.openxmlformats.org/officeDocument/2006/relationships/hyperlink" Target="https://www.sec.gov/Archives/edgar/data/872589/000180422021000008/regn-ex_1033x12312020x10k.htm" TargetMode="External"/><Relationship Id="rId139" Type="http://schemas.openxmlformats.org/officeDocument/2006/relationships/hyperlink" Target="https://www.sec.gov/Archives/edgar/data/872589/000180422021000008/regn-ex_1035x12312020x10k.htm" TargetMode="External"/><Relationship Id="rId140" Type="http://schemas.openxmlformats.org/officeDocument/2006/relationships/hyperlink" Target="https://www.sec.gov/Archives/edgar/data/872589/000180422021000008/regn-ex_1036x12312020x10k.htm" TargetMode="External"/><Relationship Id="rId141" Type="http://schemas.openxmlformats.org/officeDocument/2006/relationships/hyperlink" Target="https://www.sec.gov/Archives/edgar/data/872589/000180422021000008/regn-ex_1037x12312020x10k.htm" TargetMode="External"/><Relationship Id="rId144" Type="http://schemas.openxmlformats.org/officeDocument/2006/relationships/hyperlink" Target="https://www.sec.gov/Archives/edgar/data/872589/000180422024000009/regn-ex_1036x12312023x10k.htm" TargetMode="External"/><Relationship Id="rId145" Type="http://schemas.openxmlformats.org/officeDocument/2006/relationships/hyperlink" Target="https://www.sec.gov/Archives/edgar/data/872589/000180422024000009/regn-ex_1037x12312023x10k.htm" TargetMode="External"/><Relationship Id="rId146" Type="http://schemas.openxmlformats.org/officeDocument/2006/relationships/hyperlink" Target="https://www.sec.gov/Archives/edgar/data/872589/000120677409000338/exhibit10-3.htm" TargetMode="External"/><Relationship Id="rId147" Type="http://schemas.openxmlformats.org/officeDocument/2006/relationships/hyperlink" Target="https://www.sec.gov/Archives/edgar/data/872589/000180422023000023/regn-ex_103x6302023x10q.htm" TargetMode="External"/><Relationship Id="rId148" Type="http://schemas.openxmlformats.org/officeDocument/2006/relationships/hyperlink" Target="https://www.sec.gov/Archives/edgar/data/872589/000120677409000338/exhibit10-5.htm" TargetMode="External"/><Relationship Id="rId149" Type="http://schemas.openxmlformats.org/officeDocument/2006/relationships/hyperlink" Target="https://www.sec.gov/Archives/edgar/data/872589/000110465915045962/a15-14252_1ex10d1.htm" TargetMode="External"/><Relationship Id="rId150" Type="http://schemas.openxmlformats.org/officeDocument/2006/relationships/hyperlink" Target="https://www.sec.gov/Archives/edgar/data/872589/000180422023000016/regn-ex_101x3312023x10q.htm" TargetMode="External"/><Relationship Id="rId151" Type="http://schemas.openxmlformats.org/officeDocument/2006/relationships/hyperlink" Target="https://www.sec.gov/Archives/edgar/data/872589/000120677409001498/exhibit10-1.htm" TargetMode="External"/><Relationship Id="rId152" Type="http://schemas.openxmlformats.org/officeDocument/2006/relationships/hyperlink" Target="https://www.sec.gov/Archives/edgar/data/872589/000095012306013527/y26593exv10w1.htm" TargetMode="External"/><Relationship Id="rId153" Type="http://schemas.openxmlformats.org/officeDocument/2006/relationships/hyperlink" Target="https://www.sec.gov/Archives/edgar/data/872589/000153217620000008/regn-ex10102secondamen.htm" TargetMode="External"/><Relationship Id="rId154" Type="http://schemas.openxmlformats.org/officeDocument/2006/relationships/hyperlink" Target="https://www.sec.gov/Archives/edgar/data/872589/000120677410001385/exhibit10-15.htm" TargetMode="External"/><Relationship Id="rId155" Type="http://schemas.openxmlformats.org/officeDocument/2006/relationships/hyperlink" Target="https://www.sec.gov/Archives/edgar/data/872589/000180422023000023/regn-ex_101x6302023x10q.htm" TargetMode="External"/><Relationship Id="rId156" Type="http://schemas.openxmlformats.org/officeDocument/2006/relationships/hyperlink" Target="https://www.sec.gov/Archives/edgar/data/872589/000153217615000037/regn-ex_104x09302015x10q.htm" TargetMode="External"/><Relationship Id="rId157" Type="http://schemas.openxmlformats.org/officeDocument/2006/relationships/hyperlink" Target="https://www.sec.gov/Archives/edgar/data/872589/000180422020000022/regn-ex103x06302020x10q.htm" TargetMode="External"/><Relationship Id="rId158" Type="http://schemas.openxmlformats.org/officeDocument/2006/relationships/hyperlink" Target="https://www.sec.gov/Archives/edgar/data/872589/000180422022000007/regen-ex_10144x12312021x10k.htm" TargetMode="External"/><Relationship Id="rId159" Type="http://schemas.openxmlformats.org/officeDocument/2006/relationships/hyperlink" Target="https://www.sec.gov/Archives/edgar/data/872589/000180422022000023/regn-ex_103x6302022x10q.htm" TargetMode="External"/><Relationship Id="rId160" Type="http://schemas.openxmlformats.org/officeDocument/2006/relationships/hyperlink" Target="https://www.sec.gov/Archives/edgar/data/872589/000180422020000022/regn-ex104x06302020x10q.htm" TargetMode="External"/><Relationship Id="rId161" Type="http://schemas.openxmlformats.org/officeDocument/2006/relationships/hyperlink" Target="https://www.sec.gov/Archives/edgar/data/872589/000119312514008775/d659864dex101.htm" TargetMode="External"/><Relationship Id="rId162" Type="http://schemas.openxmlformats.org/officeDocument/2006/relationships/hyperlink" Target="https://www.sec.gov/Archives/edgar/data/872589/000110465920067752/tm2021201d1_ex10-2.htm" TargetMode="External"/><Relationship Id="rId165" Type="http://schemas.openxmlformats.org/officeDocument/2006/relationships/hyperlink" Target="https://www.sec.gov/Archives/edgar/data/872589/000110465922128613/tm2233051d1_ex10-1.htm" TargetMode="External"/><Relationship Id="rId166" Type="http://schemas.openxmlformats.org/officeDocument/2006/relationships/hyperlink" Target="https://www.sec.gov/Archives/edgar/data/872589/000180422022000023/regn-ex_102x06302022x10q.htm" TargetMode="External"/><Relationship Id="rId167" Type="http://schemas.openxmlformats.org/officeDocument/2006/relationships/hyperlink" Target="https://www.sec.gov/Archives/edgar/data/872589/000153217617000008/regn-ex_1035xlandmarkpsaex.htm" TargetMode="External"/><Relationship Id="rId168" Type="http://schemas.openxmlformats.org/officeDocument/2006/relationships/hyperlink" Target="https://www.sec.gov/Archives/edgar/data/872589/000110465923038299/tm2310647d1_ex10-1.htm" TargetMode="External"/><Relationship Id="rId169" Type="http://schemas.openxmlformats.org/officeDocument/2006/relationships/hyperlink" Target="https://www.sec.gov/Archives/edgar/data/872589/000110465923038299/tm2310647d1_ex10-2.htm" TargetMode="External"/><Relationship Id="rId170" Type="http://schemas.openxmlformats.org/officeDocument/2006/relationships/hyperlink" Target="https://www.sec.gov/Archives/edgar/data/872589/000110465923038299/tm2310647d1_ex10-3.htm" TargetMode="External"/><Relationship Id="rId171" Type="http://schemas.openxmlformats.org/officeDocument/2006/relationships/hyperlink" Target="https://www.sec.gov/Archives/edgar/data/872589/000153217619000026/regn-ex104.htm" TargetMode="External"/><Relationship Id="rId172" Type="http://schemas.openxmlformats.org/officeDocument/2006/relationships/hyperlink" Target="https://www.sec.gov/Archives/edgar/data/872589/000153217619000026/regn-ex1041.htm" TargetMode="External"/><Relationship Id="rId173" Type="http://schemas.openxmlformats.org/officeDocument/2006/relationships/hyperlink" Target="https://www.sec.gov/Archives/edgar/data/872589/000153217619000026/regn-ex1042.htm" TargetMode="External"/><Relationship Id="rId174" Type="http://schemas.openxmlformats.org/officeDocument/2006/relationships/hyperlink" Target="https://www.sec.gov/Archives/edgar/data/872589/000180422023000023/regn-ex_102x6302023x10q.htm" TargetMode="External"/><Relationship Id="rId175" Type="http://schemas.openxmlformats.org/officeDocument/2006/relationships/hyperlink" Target="https://www.sec.gov/Archives/edgar/data/872589/000180422024000017/regn-ex_101x03312024x10q.htm" TargetMode="External"/><Relationship Id="rId176" Type="http://schemas.openxmlformats.org/officeDocument/2006/relationships/hyperlink" Target="https://www.sec.gov/Archives/edgar/data/872589/000180422024000040/regn-ex_101x9302024x10q.htm" TargetMode="External"/><Relationship Id="rId178" Type="http://schemas.openxmlformats.org/officeDocument/2006/relationships/hyperlink" Target="https://www.sec.gov/Archives/edgar/data/872589/000180422024000009/regn-ex_971x12312023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2025-02-05T08:27:23Z</dcterms:created>
  <dcterms:modified xsi:type="dcterms:W3CDTF">2025-02-05T08:27:23Z</dcterms:modified>
</cp:coreProperties>
</file>