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91440</wp:posOffset>
            </wp:positionV>
            <wp:extent cx="9436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9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117475</wp:posOffset>
            </wp:positionV>
            <wp:extent cx="9436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3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54" w:lineRule="exact"/>
        <w:rPr>
          <w:sz w:val="24"/>
          <w:szCs w:val="24"/>
          <w:color w:val="auto"/>
        </w:rPr>
      </w:pPr>
    </w:p>
    <w:p>
      <w:pPr>
        <w:ind w:left="260" w:right="2280" w:hanging="225"/>
        <w:spacing w:after="0" w:line="331" w:lineRule="auto"/>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 xml:space="preserve">QUARTERLY REPORT PURSUANT TO SECTION 13 OR 15(d) OF THE SECURITIES EXCHANGE ACT OF 1934 For the quarterly period ended </w:t>
      </w:r>
      <w:r>
        <w:rPr>
          <w:rFonts w:ascii="Arial" w:cs="Arial" w:eastAsia="Arial" w:hAnsi="Arial"/>
          <w:sz w:val="17"/>
          <w:szCs w:val="17"/>
          <w:b w:val="1"/>
          <w:bCs w:val="1"/>
          <w:u w:val="single" w:color="auto"/>
          <w:color w:val="auto"/>
        </w:rPr>
        <w:t>September 30, 2018</w:t>
      </w:r>
    </w:p>
    <w:p>
      <w:pPr>
        <w:spacing w:after="0" w:line="1"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260" w:right="2280" w:hanging="225"/>
        <w:spacing w:after="0" w:line="364" w:lineRule="auto"/>
        <w:tabs>
          <w:tab w:leader="none" w:pos="26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82"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0-19034</w:t>
      </w:r>
    </w:p>
    <w:p>
      <w:pPr>
        <w:spacing w:after="0" w:line="30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1960" w:type="dxa"/>
            <w:vAlign w:val="bottom"/>
            <w:gridSpan w:val="2"/>
          </w:tcPr>
          <w:p>
            <w:pPr>
              <w:spacing w:after="0"/>
              <w:rPr>
                <w:sz w:val="17"/>
                <w:szCs w:val="17"/>
                <w:color w:val="auto"/>
              </w:rPr>
            </w:pPr>
          </w:p>
        </w:tc>
        <w:tc>
          <w:tcPr>
            <w:tcW w:w="2860" w:type="dxa"/>
            <w:vAlign w:val="bottom"/>
            <w:gridSpan w:val="2"/>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13-3444607</w:t>
            </w:r>
          </w:p>
        </w:tc>
        <w:tc>
          <w:tcPr>
            <w:tcW w:w="840" w:type="dxa"/>
            <w:vAlign w:val="bottom"/>
          </w:tcPr>
          <w:p>
            <w:pPr>
              <w:spacing w:after="0"/>
              <w:rPr>
                <w:sz w:val="17"/>
                <w:szCs w:val="17"/>
                <w:color w:val="auto"/>
              </w:rPr>
            </w:pPr>
          </w:p>
        </w:tc>
      </w:tr>
      <w:tr>
        <w:trPr>
          <w:trHeight w:val="291"/>
        </w:trPr>
        <w:tc>
          <w:tcPr>
            <w:tcW w:w="4540" w:type="dxa"/>
            <w:vAlign w:val="bottom"/>
            <w:gridSpan w:val="5"/>
          </w:tcPr>
          <w:p>
            <w:pPr>
              <w:jc w:val="center"/>
              <w:ind w:right="16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120" w:type="dxa"/>
            <w:vAlign w:val="bottom"/>
          </w:tcPr>
          <w:p>
            <w:pPr>
              <w:spacing w:after="0"/>
              <w:rPr>
                <w:sz w:val="24"/>
                <w:szCs w:val="24"/>
                <w:color w:val="auto"/>
              </w:rPr>
            </w:pPr>
          </w:p>
        </w:tc>
        <w:tc>
          <w:tcPr>
            <w:tcW w:w="3460" w:type="dxa"/>
            <w:vAlign w:val="bottom"/>
            <w:gridSpan w:val="3"/>
          </w:tcPr>
          <w:p>
            <w:pPr>
              <w:jc w:val="center"/>
              <w:ind w:left="7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351"/>
        </w:trPr>
        <w:tc>
          <w:tcPr>
            <w:tcW w:w="4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4580" w:type="dxa"/>
            <w:vAlign w:val="bottom"/>
            <w:gridSpan w:val="4"/>
          </w:tcPr>
          <w:p>
            <w:pPr>
              <w:jc w:val="center"/>
              <w:ind w:left="1930"/>
              <w:spacing w:after="0"/>
              <w:rPr>
                <w:sz w:val="20"/>
                <w:szCs w:val="20"/>
                <w:color w:val="auto"/>
              </w:rPr>
            </w:pPr>
            <w:r>
              <w:rPr>
                <w:rFonts w:ascii="Arial" w:cs="Arial" w:eastAsia="Arial" w:hAnsi="Arial"/>
                <w:sz w:val="18"/>
                <w:szCs w:val="18"/>
                <w:b w:val="1"/>
                <w:bCs w:val="1"/>
                <w:color w:val="auto"/>
                <w:w w:val="91"/>
              </w:rPr>
              <w:t>10591-6707</w:t>
            </w:r>
          </w:p>
        </w:tc>
      </w:tr>
      <w:tr>
        <w:trPr>
          <w:trHeight w:val="291"/>
        </w:trPr>
        <w:tc>
          <w:tcPr>
            <w:tcW w:w="180" w:type="dxa"/>
            <w:vAlign w:val="bottom"/>
          </w:tcPr>
          <w:p>
            <w:pPr>
              <w:spacing w:after="0"/>
              <w:rPr>
                <w:sz w:val="24"/>
                <w:szCs w:val="24"/>
                <w:color w:val="auto"/>
              </w:rPr>
            </w:pPr>
          </w:p>
        </w:tc>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840" w:type="dxa"/>
            <w:vAlign w:val="bottom"/>
          </w:tcPr>
          <w:p>
            <w:pPr>
              <w:spacing w:after="0"/>
              <w:rPr>
                <w:sz w:val="24"/>
                <w:szCs w:val="24"/>
                <w:color w:val="auto"/>
              </w:rPr>
            </w:pPr>
          </w:p>
        </w:tc>
      </w:tr>
      <w:tr>
        <w:trPr>
          <w:trHeight w:val="203"/>
        </w:trPr>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9"/>
              </w:rPr>
              <w:t>(914) 847-7000</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(Registrant's telephone number, including area code)</w:t>
      </w:r>
    </w:p>
    <w:p>
      <w:pPr>
        <w:sectPr>
          <w:pgSz w:w="11900" w:h="16838" w:orient="portrait"/>
          <w:cols w:equalWidth="0" w:num="1">
            <w:col w:w="11240"/>
          </w:cols>
          <w:pgMar w:left="240" w:top="472" w:right="419" w:bottom="1440" w:gutter="0" w:footer="0" w:header="0"/>
        </w:sectPr>
      </w:pPr>
    </w:p>
    <w:p>
      <w:pPr>
        <w:spacing w:after="0" w:line="392" w:lineRule="exact"/>
        <w:rPr>
          <w:sz w:val="24"/>
          <w:szCs w:val="24"/>
          <w:color w:val="auto"/>
        </w:rPr>
      </w:pPr>
    </w:p>
    <w:p>
      <w:pPr>
        <w:ind w:left="4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4" w:lineRule="exact"/>
        <w:rPr>
          <w:sz w:val="24"/>
          <w:szCs w:val="24"/>
          <w:color w:val="auto"/>
        </w:rPr>
      </w:pPr>
    </w:p>
    <w:p>
      <w:pPr>
        <w:ind w:left="40" w:right="40"/>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40"/>
        <w:spacing w:after="0" w:line="184" w:lineRule="exact"/>
        <w:tabs>
          <w:tab w:leader="none" w:pos="2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99" w:lineRule="exact"/>
        <w:rPr>
          <w:sz w:val="24"/>
          <w:szCs w:val="24"/>
          <w:color w:val="auto"/>
        </w:rPr>
      </w:pPr>
    </w:p>
    <w:p>
      <w:pPr>
        <w:jc w:val="center"/>
        <w:ind w:right="240"/>
        <w:spacing w:after="0" w:line="184" w:lineRule="exact"/>
        <w:tabs>
          <w:tab w:leader="none" w:pos="2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37" w:lineRule="exact"/>
        <w:rPr>
          <w:sz w:val="24"/>
          <w:szCs w:val="24"/>
          <w:color w:val="auto"/>
        </w:rPr>
      </w:pPr>
    </w:p>
    <w:p>
      <w:pPr>
        <w:sectPr>
          <w:pgSz w:w="11900" w:h="16838" w:orient="portrait"/>
          <w:cols w:equalWidth="0" w:num="2">
            <w:col w:w="9700" w:space="260"/>
            <w:col w:w="1280"/>
          </w:cols>
          <w:pgMar w:left="240" w:top="472" w:right="419" w:bottom="1440" w:gutter="0" w:footer="0" w:header="0"/>
          <w:type w:val="continuous"/>
        </w:sectPr>
      </w:pPr>
    </w:p>
    <w:p>
      <w:pPr>
        <w:ind w:lef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1780" w:type="dxa"/>
            <w:vAlign w:val="bottom"/>
          </w:tcPr>
          <w:p>
            <w:pPr>
              <w:ind w:left="140"/>
              <w:spacing w:after="0"/>
              <w:rPr>
                <w:sz w:val="20"/>
                <w:szCs w:val="20"/>
                <w:color w:val="auto"/>
              </w:rPr>
            </w:pPr>
            <w:r>
              <w:rPr>
                <w:rFonts w:ascii="Arial" w:cs="Arial" w:eastAsia="Arial" w:hAnsi="Arial"/>
                <w:sz w:val="16"/>
                <w:szCs w:val="16"/>
                <w:color w:val="auto"/>
              </w:rPr>
              <w:t>Large accelerated</w:t>
            </w:r>
          </w:p>
        </w:tc>
        <w:tc>
          <w:tcPr>
            <w:tcW w:w="1520" w:type="dxa"/>
            <w:vAlign w:val="bottom"/>
          </w:tcPr>
          <w:p>
            <w:pPr>
              <w:ind w:left="300"/>
              <w:spacing w:after="0"/>
              <w:rPr>
                <w:sz w:val="20"/>
                <w:szCs w:val="20"/>
                <w:color w:val="auto"/>
              </w:rPr>
            </w:pPr>
            <w:r>
              <w:rPr>
                <w:rFonts w:ascii="Arial" w:cs="Arial" w:eastAsia="Arial" w:hAnsi="Arial"/>
                <w:sz w:val="16"/>
                <w:szCs w:val="16"/>
                <w:color w:val="auto"/>
              </w:rPr>
              <w:t>Accelerated</w:t>
            </w:r>
          </w:p>
        </w:tc>
        <w:tc>
          <w:tcPr>
            <w:tcW w:w="1940" w:type="dxa"/>
            <w:vAlign w:val="bottom"/>
            <w:vMerge w:val="restart"/>
          </w:tcPr>
          <w:p>
            <w:pPr>
              <w:ind w:left="240"/>
              <w:spacing w:after="0" w:line="184" w:lineRule="exact"/>
              <w:rPr>
                <w:sz w:val="20"/>
                <w:szCs w:val="20"/>
                <w:color w:val="auto"/>
              </w:rPr>
            </w:pPr>
            <w:r>
              <w:rPr>
                <w:rFonts w:ascii="Arial" w:cs="Arial" w:eastAsia="Arial" w:hAnsi="Arial"/>
                <w:sz w:val="16"/>
                <w:szCs w:val="16"/>
                <w:color w:val="auto"/>
                <w:w w:val="99"/>
              </w:rPr>
              <w:t xml:space="preserve">Non-accelerated filer </w:t>
            </w:r>
            <w:r>
              <w:rPr>
                <w:rFonts w:ascii="MS PGothic" w:cs="MS PGothic" w:eastAsia="MS PGothic" w:hAnsi="MS PGothic"/>
                <w:sz w:val="16"/>
                <w:szCs w:val="16"/>
                <w:color w:val="auto"/>
                <w:w w:val="99"/>
              </w:rPr>
              <w:t>☐</w:t>
            </w:r>
          </w:p>
        </w:tc>
        <w:tc>
          <w:tcPr>
            <w:tcW w:w="2260" w:type="dxa"/>
            <w:vAlign w:val="bottom"/>
            <w:vMerge w:val="restart"/>
          </w:tcPr>
          <w:p>
            <w:pPr>
              <w:ind w:left="140"/>
              <w:spacing w:after="0" w:line="184" w:lineRule="exact"/>
              <w:rPr>
                <w:sz w:val="20"/>
                <w:szCs w:val="20"/>
                <w:color w:val="auto"/>
              </w:rPr>
            </w:pPr>
            <w:r>
              <w:rPr>
                <w:rFonts w:ascii="Arial" w:cs="Arial" w:eastAsia="Arial" w:hAnsi="Arial"/>
                <w:sz w:val="16"/>
                <w:szCs w:val="16"/>
                <w:color w:val="auto"/>
                <w:w w:val="99"/>
              </w:rPr>
              <w:t xml:space="preserve">Smaller reporting company </w:t>
            </w:r>
            <w:r>
              <w:rPr>
                <w:rFonts w:ascii="MS PGothic" w:cs="MS PGothic" w:eastAsia="MS PGothic" w:hAnsi="MS PGothic"/>
                <w:sz w:val="16"/>
                <w:szCs w:val="16"/>
                <w:color w:val="auto"/>
                <w:w w:val="99"/>
              </w:rPr>
              <w:t>☐</w:t>
            </w:r>
          </w:p>
        </w:tc>
        <w:tc>
          <w:tcPr>
            <w:tcW w:w="2960" w:type="dxa"/>
            <w:vAlign w:val="bottom"/>
            <w:vMerge w:val="restart"/>
          </w:tcPr>
          <w:p>
            <w:pPr>
              <w:jc w:val="right"/>
              <w:ind w:right="785"/>
              <w:spacing w:after="0" w:line="184" w:lineRule="exact"/>
              <w:rPr>
                <w:sz w:val="20"/>
                <w:szCs w:val="20"/>
                <w:color w:val="auto"/>
              </w:rPr>
            </w:pPr>
            <w:r>
              <w:rPr>
                <w:rFonts w:ascii="Arial" w:cs="Arial" w:eastAsia="Arial" w:hAnsi="Arial"/>
                <w:sz w:val="16"/>
                <w:szCs w:val="16"/>
                <w:color w:val="auto"/>
                <w:w w:val="98"/>
              </w:rPr>
              <w:t xml:space="preserve">Emerging growth company </w:t>
            </w:r>
            <w:r>
              <w:rPr>
                <w:rFonts w:ascii="MS PGothic" w:cs="MS PGothic" w:eastAsia="MS PGothic" w:hAnsi="MS PGothic"/>
                <w:sz w:val="16"/>
                <w:szCs w:val="16"/>
                <w:color w:val="auto"/>
                <w:w w:val="98"/>
              </w:rPr>
              <w:t>☐</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780" w:type="dxa"/>
            <w:vAlign w:val="bottom"/>
          </w:tcPr>
          <w:p>
            <w:pPr>
              <w:ind w:left="1000"/>
              <w:spacing w:after="0" w:line="184"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6"/>
                <w:szCs w:val="16"/>
                <w:color w:val="auto"/>
              </w:rPr>
              <w:t>☒</w:t>
            </w:r>
          </w:p>
        </w:tc>
        <w:tc>
          <w:tcPr>
            <w:tcW w:w="1520" w:type="dxa"/>
            <w:vAlign w:val="bottom"/>
          </w:tcPr>
          <w:p>
            <w:pPr>
              <w:ind w:left="800"/>
              <w:spacing w:after="0" w:line="184"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6"/>
                <w:szCs w:val="16"/>
                <w:color w:val="auto"/>
              </w:rPr>
              <w:t>☐</w:t>
            </w:r>
          </w:p>
        </w:tc>
        <w:tc>
          <w:tcPr>
            <w:tcW w:w="1940" w:type="dxa"/>
            <w:vAlign w:val="bottom"/>
            <w:vMerge w:val="continue"/>
          </w:tcPr>
          <w:p>
            <w:pPr>
              <w:spacing w:after="0"/>
              <w:rPr>
                <w:sz w:val="22"/>
                <w:szCs w:val="22"/>
                <w:color w:val="auto"/>
              </w:rPr>
            </w:pPr>
          </w:p>
        </w:tc>
        <w:tc>
          <w:tcPr>
            <w:tcW w:w="2260" w:type="dxa"/>
            <w:vAlign w:val="bottom"/>
            <w:vMerge w:val="continue"/>
          </w:tcPr>
          <w:p>
            <w:pPr>
              <w:spacing w:after="0"/>
              <w:rPr>
                <w:sz w:val="22"/>
                <w:szCs w:val="22"/>
                <w:color w:val="auto"/>
              </w:rPr>
            </w:pPr>
          </w:p>
        </w:tc>
        <w:tc>
          <w:tcPr>
            <w:tcW w:w="29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10460" w:type="dxa"/>
            <w:vAlign w:val="bottom"/>
            <w:gridSpan w:val="5"/>
          </w:tcPr>
          <w:p>
            <w:pPr>
              <w:spacing w:after="0"/>
              <w:rPr>
                <w:sz w:val="20"/>
                <w:szCs w:val="20"/>
                <w:color w:val="auto"/>
              </w:rPr>
            </w:pPr>
            <w:r>
              <w:rPr>
                <w:rFonts w:ascii="Arial" w:cs="Arial" w:eastAsia="Arial" w:hAnsi="Arial"/>
                <w:sz w:val="16"/>
                <w:szCs w:val="16"/>
                <w:color w:val="auto"/>
                <w:w w:val="96"/>
              </w:rPr>
              <w:t>If an emerging growth company, indicate by check mark if the registrant has elected not to use the extended transition period for complying with any new</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500" w:type="dxa"/>
            <w:vAlign w:val="bottom"/>
            <w:gridSpan w:val="4"/>
          </w:tcPr>
          <w:p>
            <w:pPr>
              <w:spacing w:after="0"/>
              <w:rPr>
                <w:sz w:val="20"/>
                <w:szCs w:val="20"/>
                <w:color w:val="auto"/>
              </w:rPr>
            </w:pPr>
            <w:r>
              <w:rPr>
                <w:rFonts w:ascii="Arial" w:cs="Arial" w:eastAsia="Arial" w:hAnsi="Arial"/>
                <w:sz w:val="16"/>
                <w:szCs w:val="16"/>
                <w:color w:val="auto"/>
              </w:rPr>
              <w:t>or revised financial accounting standards provided pursuant to Section 13(a) of the Exchange Act.</w:t>
            </w:r>
          </w:p>
        </w:tc>
        <w:tc>
          <w:tcPr>
            <w:tcW w:w="2960" w:type="dxa"/>
            <w:vAlign w:val="bottom"/>
          </w:tcPr>
          <w:p>
            <w:pPr>
              <w:jc w:val="right"/>
              <w:ind w:right="85"/>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7500" w:type="dxa"/>
            <w:vAlign w:val="bottom"/>
            <w:gridSpan w:val="4"/>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w:t>
            </w:r>
          </w:p>
        </w:tc>
        <w:tc>
          <w:tcPr>
            <w:tcW w:w="2960" w:type="dxa"/>
            <w:vAlign w:val="bottom"/>
          </w:tcPr>
          <w:p>
            <w:pPr>
              <w:jc w:val="right"/>
              <w:ind w:right="85"/>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00" w:type="dxa"/>
            <w:vAlign w:val="bottom"/>
          </w:tcPr>
          <w:p>
            <w:pPr>
              <w:ind w:left="14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19, 2018:</w:t>
      </w:r>
    </w:p>
    <w:p>
      <w:pPr>
        <w:spacing w:after="0" w:line="181" w:lineRule="exact"/>
        <w:rPr>
          <w:sz w:val="24"/>
          <w:szCs w:val="24"/>
          <w:color w:val="auto"/>
        </w:rPr>
      </w:pPr>
    </w:p>
    <w:tbl>
      <w:tblPr>
        <w:tblLayout w:type="fixed"/>
        <w:tblInd w:w="2340" w:type="dxa"/>
        <w:tblCellMar>
          <w:top w:w="0" w:type="dxa"/>
          <w:left w:w="0" w:type="dxa"/>
          <w:bottom w:w="0" w:type="dxa"/>
          <w:right w:w="0" w:type="dxa"/>
        </w:tblCellMar>
      </w:tblPr>
      <w:tr>
        <w:trPr>
          <w:trHeight w:val="206"/>
        </w:trPr>
        <w:tc>
          <w:tcPr>
            <w:tcW w:w="358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Class of Common Stock</w:t>
            </w:r>
          </w:p>
        </w:tc>
        <w:tc>
          <w:tcPr>
            <w:tcW w:w="3180" w:type="dxa"/>
            <w:vAlign w:val="bottom"/>
          </w:tcPr>
          <w:p>
            <w:pPr>
              <w:ind w:left="1000"/>
              <w:spacing w:after="0"/>
              <w:rPr>
                <w:sz w:val="20"/>
                <w:szCs w:val="20"/>
                <w:color w:val="auto"/>
              </w:rPr>
            </w:pPr>
            <w:r>
              <w:rPr>
                <w:rFonts w:ascii="Arial" w:cs="Arial" w:eastAsia="Arial" w:hAnsi="Arial"/>
                <w:sz w:val="16"/>
                <w:szCs w:val="16"/>
                <w:color w:val="auto"/>
              </w:rPr>
              <w:t>Number of Shares</w:t>
            </w:r>
          </w:p>
        </w:tc>
      </w:tr>
      <w:tr>
        <w:trPr>
          <w:trHeight w:val="33"/>
        </w:trPr>
        <w:tc>
          <w:tcPr>
            <w:tcW w:w="3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7"/>
        </w:trPr>
        <w:tc>
          <w:tcPr>
            <w:tcW w:w="358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Class A Stock, $.001 par value</w:t>
            </w:r>
          </w:p>
        </w:tc>
        <w:tc>
          <w:tcPr>
            <w:tcW w:w="3180" w:type="dxa"/>
            <w:vAlign w:val="bottom"/>
          </w:tcPr>
          <w:p>
            <w:pPr>
              <w:jc w:val="right"/>
              <w:ind w:right="1179"/>
              <w:spacing w:after="0"/>
              <w:rPr>
                <w:sz w:val="20"/>
                <w:szCs w:val="20"/>
                <w:color w:val="auto"/>
              </w:rPr>
            </w:pPr>
            <w:r>
              <w:rPr>
                <w:rFonts w:ascii="Arial" w:cs="Arial" w:eastAsia="Arial" w:hAnsi="Arial"/>
                <w:sz w:val="16"/>
                <w:szCs w:val="16"/>
                <w:color w:val="auto"/>
              </w:rPr>
              <w:t>1,911,354</w:t>
            </w:r>
          </w:p>
        </w:tc>
      </w:tr>
      <w:tr>
        <w:trPr>
          <w:trHeight w:val="270"/>
        </w:trPr>
        <w:tc>
          <w:tcPr>
            <w:tcW w:w="358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Common Stock, $.001 par value</w:t>
            </w:r>
          </w:p>
        </w:tc>
        <w:tc>
          <w:tcPr>
            <w:tcW w:w="3180" w:type="dxa"/>
            <w:vAlign w:val="bottom"/>
          </w:tcPr>
          <w:p>
            <w:pPr>
              <w:jc w:val="right"/>
              <w:ind w:right="1099"/>
              <w:spacing w:after="0"/>
              <w:rPr>
                <w:sz w:val="20"/>
                <w:szCs w:val="20"/>
                <w:color w:val="auto"/>
              </w:rPr>
            </w:pPr>
            <w:r>
              <w:rPr>
                <w:rFonts w:ascii="Arial" w:cs="Arial" w:eastAsia="Arial" w:hAnsi="Arial"/>
                <w:sz w:val="16"/>
                <w:szCs w:val="16"/>
                <w:color w:val="auto"/>
              </w:rPr>
              <w:t>106,323,210</w:t>
            </w:r>
          </w:p>
        </w:tc>
      </w:tr>
    </w:tbl>
    <w:p>
      <w:pPr>
        <w:sectPr>
          <w:pgSz w:w="11900" w:h="16838" w:orient="portrait"/>
          <w:cols w:equalWidth="0" w:num="1">
            <w:col w:w="11240"/>
          </w:cols>
          <w:pgMar w:left="240" w:top="472"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7"/>
          </w:tcPr>
          <w:p>
            <w:pPr>
              <w:ind w:left="44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26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00" w:type="dxa"/>
            <w:vAlign w:val="bottom"/>
            <w:gridSpan w:val="5"/>
            <w:shd w:val="clear" w:color="auto" w:fill="CCEEFF"/>
          </w:tcPr>
          <w:p>
            <w:pPr>
              <w:jc w:val="center"/>
              <w:ind w:left="8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8"/>
            <w:shd w:val="clear" w:color="auto" w:fill="CCEEFF"/>
          </w:tcPr>
          <w:p>
            <w:pPr>
              <w:spacing w:after="0" w:line="202"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Balance Sheets as of September 30, 2018 and December 31, 2017</w:t>
              </w:r>
            </w:hyperlink>
          </w:p>
        </w:tc>
        <w:tc>
          <w:tcPr>
            <w:tcW w:w="1100" w:type="dxa"/>
            <w:vAlign w:val="bottom"/>
            <w:gridSpan w:val="5"/>
            <w:shd w:val="clear" w:color="auto" w:fill="CCEEFF"/>
          </w:tcPr>
          <w:p>
            <w:pPr>
              <w:jc w:val="center"/>
              <w:ind w:left="8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540" w:type="dxa"/>
            <w:vAlign w:val="bottom"/>
            <w:gridSpan w:val="2"/>
            <w:shd w:val="clear" w:color="auto" w:fill="CCEEFF"/>
          </w:tcPr>
          <w:p>
            <w:pPr>
              <w:spacing w:after="0"/>
              <w:rPr>
                <w:sz w:val="17"/>
                <w:szCs w:val="17"/>
                <w:color w:val="auto"/>
              </w:rPr>
            </w:pPr>
          </w:p>
        </w:tc>
        <w:tc>
          <w:tcPr>
            <w:tcW w:w="1100" w:type="dxa"/>
            <w:vAlign w:val="bottom"/>
            <w:gridSpan w:val="5"/>
            <w:shd w:val="clear" w:color="auto" w:fill="CCEEFF"/>
          </w:tcPr>
          <w:p>
            <w:pPr>
              <w:jc w:val="center"/>
              <w:ind w:left="81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Nine Months Ended September 30, 2018 and 2017</w:t>
              </w:r>
            </w:hyperlink>
          </w:p>
        </w:tc>
        <w:tc>
          <w:tcPr>
            <w:tcW w:w="540" w:type="dxa"/>
            <w:vAlign w:val="bottom"/>
            <w:tcBorders>
              <w:top w:val="single" w:sz="8" w:color="CCEEFF"/>
            </w:tcBorders>
            <w:gridSpan w:val="2"/>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8"/>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 and 2017</w:t>
              </w:r>
            </w:hyperlink>
          </w:p>
        </w:tc>
        <w:tc>
          <w:tcPr>
            <w:tcW w:w="1100" w:type="dxa"/>
            <w:vAlign w:val="bottom"/>
            <w:gridSpan w:val="5"/>
            <w:shd w:val="clear" w:color="auto" w:fill="CCEEFF"/>
          </w:tcPr>
          <w:p>
            <w:pPr>
              <w:jc w:val="center"/>
              <w:ind w:left="81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100" w:type="dxa"/>
            <w:vAlign w:val="bottom"/>
            <w:gridSpan w:val="5"/>
            <w:shd w:val="clear" w:color="auto" w:fill="CCEEFF"/>
          </w:tcPr>
          <w:p>
            <w:pPr>
              <w:jc w:val="center"/>
              <w:ind w:left="8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726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2.</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Unregistered Sales of Equity Securities and Use of Proceeds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5.</w:t>
              </w:r>
            </w:hyperlink>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6.</w:t>
              </w:r>
            </w:hyperlink>
          </w:p>
        </w:tc>
        <w:tc>
          <w:tcPr>
            <w:tcW w:w="620" w:type="dxa"/>
            <w:vAlign w:val="bottom"/>
            <w:gridSpan w:val="4"/>
            <w:shd w:val="clear" w:color="auto" w:fill="CCEEFF"/>
          </w:tcPr>
          <w:p>
            <w:pPr>
              <w:spacing w:after="0"/>
              <w:rPr>
                <w:sz w:val="21"/>
                <w:szCs w:val="21"/>
                <w:color w:val="auto"/>
              </w:rPr>
            </w:pPr>
          </w:p>
        </w:tc>
        <w:tc>
          <w:tcPr>
            <w:tcW w:w="7260" w:type="dxa"/>
            <w:vAlign w:val="bottom"/>
            <w:gridSpan w:val="18"/>
            <w:shd w:val="clear" w:color="auto" w:fill="CCEEFF"/>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8400" w:type="dxa"/>
            <w:vAlign w:val="bottom"/>
            <w:gridSpan w:val="23"/>
            <w:shd w:val="clear" w:color="auto" w:fill="CCEEFF"/>
          </w:tcPr>
          <w:p>
            <w:pPr>
              <w:spacing w:after="0" w:line="202"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SIGNATURE PAGE</w:t>
              </w:r>
            </w:hyperlink>
          </w:p>
        </w:tc>
        <w:tc>
          <w:tcPr>
            <w:tcW w:w="1560" w:type="dxa"/>
            <w:vAlign w:val="bottom"/>
            <w:gridSpan w:val="6"/>
            <w:shd w:val="clear" w:color="auto" w:fill="CCEEFF"/>
          </w:tcPr>
          <w:p>
            <w:pPr>
              <w:jc w:val="center"/>
              <w:ind w:left="370"/>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"Regeneron</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140"/>
          </w:cols>
          <w:pgMar w:left="380" w:top="364" w:right="3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1,104,309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596,847</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193,684</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242,014</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1,039,679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726,138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224,972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5,719,583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4,335,030</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1,873,569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1,486,494</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2,358,605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562,818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506,291</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77,866</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10,805,613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r>
      <w:tr>
        <w:trPr>
          <w:trHeight w:val="67"/>
        </w:trPr>
        <w:tc>
          <w:tcPr>
            <w:tcW w:w="8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172,361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178,183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637,162</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246,812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177,746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142,392</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1,417,230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1,135,483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Capital and facility lease obligations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707,203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703,453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197,651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249,263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152,073</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2,937,313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2,620,208</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1,911,354 in 2018 and 2017</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- 110,288,595 in 2018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109,477,222 in 2017</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3,841,174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3,512,833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4,433,904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2,946,733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3,990,021 shares in 2018 and 3,763,868 shares in 2017</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(316,240)</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7,868,300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6,144,078</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10,805,613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80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80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gridSpan w:val="7"/>
          </w:tcPr>
          <w:p>
            <w:pPr>
              <w:jc w:val="center"/>
              <w:ind w:right="56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1,025,488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3,009,779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2,739,745</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256,265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245,175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683,508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677,670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775,164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640,919</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117,370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314,552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231,446</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1,663,496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1,500,673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4,783,003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4,289,780</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556,972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529,749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1,584,847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1,547,159</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1,064,886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910,520</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30,817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136,010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149,774</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180,918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141,547</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1,036,573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940,747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2,966,661</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2,749,000</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626,923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559,926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1,816,342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1,540,780</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81,842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(19,084)</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60,991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(17,036)</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635,861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1,877,333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1,523,744</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(253,286)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(498,752)</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594,655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1,624,047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1,024,992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108,033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107,828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106,108</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115,994</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594,655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1,624,047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1,024,992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gain (loss) on marketable securities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21,485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36,645</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595,748</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409,804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1,619,481</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1,061,667</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6920" w:type="dxa"/>
            <w:vAlign w:val="bottom"/>
          </w:tcPr>
          <w:p>
            <w:pPr>
              <w:jc w:val="center"/>
              <w:ind w:left="209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4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2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1,624,047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1,024,992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105,441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110,960</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380,144</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44,016</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(108,242)</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(359,829)</w:t>
            </w:r>
          </w:p>
        </w:tc>
      </w:tr>
      <w:tr>
        <w:trPr>
          <w:trHeight w:val="24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(281,624)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(235,645)</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r>
      <w:tr>
        <w:trPr>
          <w:trHeight w:val="243"/>
        </w:trPr>
        <w:tc>
          <w:tcPr>
            <w:tcW w:w="8080" w:type="dxa"/>
            <w:vAlign w:val="bottom"/>
            <w:gridSpan w:val="2"/>
          </w:tcPr>
          <w:p>
            <w:pPr>
              <w:ind w:left="500"/>
              <w:spacing w:after="0"/>
              <w:rPr>
                <w:sz w:val="20"/>
                <w:szCs w:val="20"/>
                <w:color w:val="auto"/>
              </w:rPr>
            </w:pPr>
            <w:r>
              <w:rPr>
                <w:rFonts w:ascii="Arial" w:cs="Arial" w:eastAsia="Arial" w:hAnsi="Arial"/>
                <w:sz w:val="18"/>
                <w:szCs w:val="18"/>
                <w:color w:val="auto"/>
              </w:rPr>
              <w:t>Decrease in deferred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(59,116)</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179,852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(28,908)</w:t>
            </w:r>
          </w:p>
        </w:tc>
      </w:tr>
      <w:tr>
        <w:trPr>
          <w:trHeight w:val="237"/>
        </w:trPr>
        <w:tc>
          <w:tcPr>
            <w:tcW w:w="808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(157,778)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(284,829)</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1,466,269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740,163</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(1,533,558)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(883,748)</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379,275</w:t>
            </w: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(297,638)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(164,963)</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(1,197,093)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(669,436)</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57,000</w:t>
            </w: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(19,925)</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226,892</w:t>
            </w:r>
          </w:p>
        </w:tc>
      </w:tr>
      <w:tr>
        <w:trPr>
          <w:trHeight w:val="243"/>
        </w:trPr>
        <w:tc>
          <w:tcPr>
            <w:tcW w:w="808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(77,832)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gridSpan w:val="2"/>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186,135</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275,110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256,862</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825,233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547,703</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1,100,343</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804,565</w:t>
            </w: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80"/>
          </w:cols>
          <w:pgMar w:left="240" w:top="118" w:right="57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 are not necessarily indicative of the results for the full year. The December 31, 2017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2017.</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 xml:space="preserve">We adopted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January 1, 2018. The Company adopted the standard using the modified retrospective method, and thus recognized a cumulative-effect adjustment to reduce Retained earnings and increase Deferred revenue on January 1, 2018 by $143.4 million, net of tax. Prior period amounts have not been adjusted in connection with the adoption of this standard.</w:t>
      </w:r>
    </w:p>
    <w:p>
      <w:pPr>
        <w:spacing w:after="0" w:line="20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new standard did not have an impact on the recognition of revenue from product sales (see Note 2). However, the new standard has resulted in certain changes to the timing of revenue recognition related to our collaboration agreements (see Note 3). As a result of adopting ASC 606, non-refundable upfront payments, which were previously recognized ratably over the performance period, and substantive development milestones, which were previously recognized in the period when the milestone was achieved, will be recognized over the remaining performance period based on the Company's progress towards satisfying its identified performance obligation.</w:t>
      </w:r>
    </w:p>
    <w:p>
      <w:pPr>
        <w:spacing w:after="0" w:line="24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tables summarize the impacts of adopting ASC 606 on the Company's condensed consolidated financial statements as of and for the three and nine months ended September 30, 2018 compared with the guidance that was in effect before the change.</w:t>
      </w: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16"/>
                <w:szCs w:val="16"/>
                <w:color w:val="auto"/>
              </w:rPr>
            </w:pPr>
          </w:p>
        </w:tc>
        <w:tc>
          <w:tcPr>
            <w:tcW w:w="12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w w:val="93"/>
              </w:rPr>
              <w:t>As 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16"/>
                <w:szCs w:val="16"/>
                <w:color w:val="auto"/>
              </w:rPr>
            </w:pPr>
          </w:p>
        </w:tc>
        <w:tc>
          <w:tcPr>
            <w:tcW w:w="1120" w:type="dxa"/>
            <w:vAlign w:val="bottom"/>
          </w:tcPr>
          <w:p>
            <w:pPr>
              <w:jc w:val="center"/>
              <w:ind w:right="27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2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1,039,679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1,057,197</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562,818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547,791</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10,805,613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10,808,104</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781,924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780,749</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from Sanofi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246,812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186,406</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Deferred revenue - other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216,133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(78,611)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137,522</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1,417,230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1,277,038</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Deferred revenue from Sanofi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421,196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393,118</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 other (noncurrent)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197,651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230,603</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2,937,313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(135,318)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2,801,995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4,433,904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4,571,713</w:t>
            </w:r>
          </w:p>
        </w:tc>
      </w:tr>
      <w:tr>
        <w:trPr>
          <w:trHeight w:val="243"/>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7,868,300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137,809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8,006,109</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10,805,613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10,808,104</w:t>
            </w:r>
          </w:p>
        </w:tc>
      </w:tr>
      <w:tr>
        <w:trPr>
          <w:trHeight w:val="67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Without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Without</w:t>
            </w: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Consolidated Statement of</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9"/>
              </w:rPr>
              <w:t>Adoption of</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1"/>
              </w:rPr>
              <w:t>Adoption of</w:t>
            </w:r>
          </w:p>
        </w:tc>
      </w:tr>
      <w:tr>
        <w:trPr>
          <w:trHeight w:val="196"/>
        </w:trPr>
        <w:tc>
          <w:tcPr>
            <w:tcW w:w="20" w:type="dxa"/>
            <w:vAlign w:val="bottom"/>
          </w:tcPr>
          <w:p>
            <w:pPr>
              <w:spacing w:after="0"/>
              <w:rPr>
                <w:sz w:val="17"/>
                <w:szCs w:val="17"/>
                <w:color w:val="auto"/>
              </w:rPr>
            </w:pPr>
          </w:p>
        </w:tc>
        <w:tc>
          <w:tcPr>
            <w:tcW w:w="20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Operations Data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3"/>
          </w:tcPr>
          <w:p>
            <w:pPr>
              <w:jc w:val="center"/>
              <w:ind w:right="300"/>
              <w:spacing w:after="0" w:line="196" w:lineRule="exact"/>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0"/>
              </w:rPr>
              <w:t>ASC 606</w:t>
            </w:r>
          </w:p>
        </w:tc>
        <w:tc>
          <w:tcPr>
            <w:tcW w:w="12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7"/>
                <w:szCs w:val="17"/>
                <w:color w:val="auto"/>
              </w:rPr>
            </w:pPr>
          </w:p>
        </w:tc>
        <w:tc>
          <w:tcPr>
            <w:tcW w:w="108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w w:val="93"/>
              </w:rPr>
              <w:t>ASC 606</w:t>
            </w: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256,265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678,349</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117,370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24,574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314,552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(22,615)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291,937</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1,663,496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4,783,003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4,755,229</w:t>
            </w:r>
          </w:p>
        </w:tc>
      </w:tr>
      <w:tr>
        <w:trPr>
          <w:trHeight w:val="229"/>
        </w:trPr>
        <w:tc>
          <w:tcPr>
            <w:tcW w:w="2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w w:val="97"/>
              </w:rPr>
              <w:t>Cost of collaboration and contract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640" w:type="dxa"/>
            <w:vAlign w:val="bottom"/>
            <w:gridSpan w:val="3"/>
          </w:tcPr>
          <w:p>
            <w:pPr>
              <w:ind w:left="160"/>
              <w:spacing w:after="0"/>
              <w:rPr>
                <w:sz w:val="20"/>
                <w:szCs w:val="20"/>
                <w:color w:val="auto"/>
              </w:rPr>
            </w:pPr>
            <w:r>
              <w:rPr>
                <w:rFonts w:ascii="Arial" w:cs="Arial" w:eastAsia="Arial" w:hAnsi="Arial"/>
                <w:sz w:val="18"/>
                <w:szCs w:val="18"/>
                <w:color w:val="auto"/>
              </w:rPr>
              <w:t>manufacturing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79,552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62,034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180,918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163,400</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626,923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1,816,342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1,806,086</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635,861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54,264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690,125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1,877,333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1,867,077</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(253,286)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(248,656)</w:t>
            </w:r>
          </w:p>
        </w:tc>
      </w:tr>
      <w:tr>
        <w:trPr>
          <w:trHeight w:val="243"/>
        </w:trPr>
        <w:tc>
          <w:tcPr>
            <w:tcW w:w="2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594,655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646,256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1,624,047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1,618,421</w:t>
            </w:r>
          </w:p>
        </w:tc>
      </w:tr>
    </w:tbl>
    <w:p>
      <w:pPr>
        <w:spacing w:after="0" w:line="28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The Company also adopted Accounting Standards Update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 of January 1, 2018</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require companies to measure equity investments at fair value with changes in fair value recognized in net income. We have elected to measure certain equity investments we hold that do not have readily determinable fair values at cost minus impairment, if any, and adjust for observable price changes in orderly transactions for identical or similar investments of the same issuer. Upon adoption, the Company recognized a cumulative-effect adjustment, related to unrealized gains on equity securities, to reduce Accumulated other comprehensive income and increase Retained earnings on January 1, 2018 by $6.6 million. See Note 5 and Note 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6"/>
        </w:trPr>
        <w:tc>
          <w:tcPr>
            <w:tcW w:w="514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30"/>
        </w:trPr>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spacing w:after="0"/>
              <w:rPr>
                <w:sz w:val="17"/>
                <w:szCs w:val="17"/>
                <w:color w:val="auto"/>
              </w:rPr>
            </w:pPr>
          </w:p>
        </w:tc>
        <w:tc>
          <w:tcPr>
            <w:tcW w:w="37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36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64"/>
        </w:trPr>
        <w:tc>
          <w:tcPr>
            <w:tcW w:w="1360" w:type="dxa"/>
            <w:vAlign w:val="bottom"/>
            <w:tcBorders>
              <w:right w:val="single" w:sz="8" w:color="CCEEFF"/>
            </w:tcBorders>
          </w:tcPr>
          <w:p>
            <w:pPr>
              <w:spacing w:after="0"/>
              <w:rPr>
                <w:sz w:val="22"/>
                <w:szCs w:val="22"/>
                <w:color w:val="auto"/>
              </w:rPr>
            </w:pPr>
          </w:p>
        </w:tc>
        <w:tc>
          <w:tcPr>
            <w:tcW w:w="378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953,279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2,727,132</w:t>
            </w:r>
          </w:p>
        </w:tc>
      </w:tr>
      <w:tr>
        <w:trPr>
          <w:trHeight w:val="270"/>
        </w:trPr>
        <w:tc>
          <w:tcPr>
            <w:tcW w:w="1360" w:type="dxa"/>
            <w:vAlign w:val="bottom"/>
          </w:tcPr>
          <w:p>
            <w:pPr>
              <w:spacing w:after="0"/>
              <w:rPr>
                <w:sz w:val="23"/>
                <w:szCs w:val="23"/>
                <w:color w:val="auto"/>
              </w:rPr>
            </w:pPr>
          </w:p>
        </w:tc>
        <w:tc>
          <w:tcPr>
            <w:tcW w:w="378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12,613</w:t>
            </w:r>
          </w:p>
        </w:tc>
      </w:tr>
      <w:tr>
        <w:trPr>
          <w:trHeight w:val="269"/>
        </w:trPr>
        <w:tc>
          <w:tcPr>
            <w:tcW w:w="1360" w:type="dxa"/>
            <w:vAlign w:val="bottom"/>
            <w:tcBorders>
              <w:right w:val="single" w:sz="8" w:color="CCEEFF"/>
            </w:tcBorders>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1,025,488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957,367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3,009,779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2,739,745</w:t>
            </w:r>
          </w:p>
        </w:tc>
      </w:tr>
      <w:tr>
        <w:trPr>
          <w:trHeight w:val="20"/>
        </w:trPr>
        <w:tc>
          <w:tcPr>
            <w:tcW w:w="136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and nine months ended September 30, 2018 and 2017. Sales to each of these customers as a percentage of the Company's total gross product revenue are as follows: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1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040" w:type="dxa"/>
            <w:vAlign w:val="bottom"/>
          </w:tcPr>
          <w:p>
            <w:pPr>
              <w:spacing w:after="0"/>
              <w:rPr>
                <w:sz w:val="20"/>
                <w:szCs w:val="20"/>
                <w:color w:val="auto"/>
              </w:rPr>
            </w:pPr>
          </w:p>
        </w:tc>
        <w:tc>
          <w:tcPr>
            <w:tcW w:w="21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880" w:type="dxa"/>
            <w:vAlign w:val="bottom"/>
            <w:gridSpan w:val="2"/>
          </w:tcPr>
          <w:p>
            <w:pPr>
              <w:ind w:left="4480"/>
              <w:spacing w:after="0"/>
              <w:rPr>
                <w:sz w:val="20"/>
                <w:szCs w:val="20"/>
                <w:color w:val="auto"/>
              </w:rPr>
            </w:pPr>
            <w:r>
              <w:rPr>
                <w:rFonts w:ascii="Arial" w:cs="Arial" w:eastAsia="Arial" w:hAnsi="Arial"/>
                <w:sz w:val="18"/>
                <w:szCs w:val="18"/>
                <w:b w:val="1"/>
                <w:bCs w:val="1"/>
                <w:color w:val="auto"/>
                <w:w w:val="94"/>
              </w:rPr>
              <w:t>2018</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Besse Medical, a subsidiary of AmerisourceBergen</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4"/>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ind w:left="40"/>
              <w:spacing w:after="0"/>
              <w:rPr>
                <w:sz w:val="20"/>
                <w:szCs w:val="20"/>
                <w:color w:val="auto"/>
              </w:rPr>
            </w:pPr>
            <w:r>
              <w:rPr>
                <w:rFonts w:ascii="Arial" w:cs="Arial" w:eastAsia="Arial" w:hAnsi="Arial"/>
                <w:sz w:val="18"/>
                <w:szCs w:val="18"/>
                <w:color w:val="auto"/>
                <w:w w:val="94"/>
              </w:rPr>
              <w:t>36%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21"/>
                <w:szCs w:val="21"/>
                <w:color w:val="auto"/>
              </w:rPr>
            </w:pPr>
          </w:p>
        </w:tc>
        <w:tc>
          <w:tcPr>
            <w:tcW w:w="1240" w:type="dxa"/>
            <w:vAlign w:val="bottom"/>
          </w:tcPr>
          <w:p>
            <w:pPr>
              <w:ind w:left="880"/>
              <w:spacing w:after="0"/>
              <w:rPr>
                <w:sz w:val="20"/>
                <w:szCs w:val="20"/>
                <w:color w:val="auto"/>
              </w:rPr>
            </w:pPr>
            <w:r>
              <w:rPr>
                <w:rFonts w:ascii="Arial" w:cs="Arial" w:eastAsia="Arial" w:hAnsi="Arial"/>
                <w:sz w:val="18"/>
                <w:szCs w:val="18"/>
                <w:color w:val="auto"/>
                <w:w w:val="94"/>
              </w:rPr>
              <w:t>37%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Curascript SD Specialty Distribution, a subsidiary of</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Express Scripts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Sales to Curascript SD Specialty Distribution represented less than 10% of total gross product revenue during the period.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Revenue from product sales is recognized at a point in time when our customer is deemed to have obtained control of the product, which generally occurs upon receipt by our distributors and specialty pharmacies. The Company's written contracts with its customers stipulate product is shipped freight on board destination (FOB destination).</w:t>
      </w:r>
    </w:p>
    <w:p>
      <w:pPr>
        <w:spacing w:after="0" w:line="23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The amount of revenue we recognize varies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 government-funded programs, historical experience, estimated payer mix, and other relevant factors.</w:t>
      </w:r>
    </w:p>
    <w:p>
      <w:pPr>
        <w:spacing w:after="0" w:line="15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these sales-related deductions during the nine months ended September 30, 2018 and 2017.</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85,302</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159,060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155,523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29,730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344,313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(332,525)</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15,294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97,090</w:t>
            </w:r>
          </w:p>
        </w:tc>
      </w:tr>
      <w:tr>
        <w:trPr>
          <w:trHeight w:val="311"/>
        </w:trPr>
        <w:tc>
          <w:tcPr>
            <w:tcW w:w="3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45,851</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295,977</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(266,527)</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75,301</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Accruals for chargebacks and discounts are recorded as a direct reduction to accounts receivable. Accruals for rebates, distribution-related fees, and other sales-related deductions are recorded within accrued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have entered into various agreements related to our activities to research, develop, manufacture, and commercialize product candidates and utilize our technology platforms. The Company earns collaboration revenue in connection with collaboration agreements to utilize our technology platforms and develop and/or commercialize product candidates. As described in Note 1, during the first quarter of 2018, we adopted ASC 606.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 Depending on the terms of the arrangement, we may defer the recognition of all or a portion of the consideration received because the performance obligations are satisfied over time.</w:t>
      </w:r>
    </w:p>
    <w:p>
      <w:pPr>
        <w:spacing w:after="0" w:line="219" w:lineRule="exact"/>
        <w:rPr>
          <w:sz w:val="20"/>
          <w:szCs w:val="20"/>
          <w:color w:val="auto"/>
        </w:rPr>
      </w:pPr>
    </w:p>
    <w:p>
      <w:pPr>
        <w:jc w:val="both"/>
        <w:ind w:right="20" w:firstLine="230"/>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performance obligation.</w:t>
      </w:r>
    </w:p>
    <w:p>
      <w:pPr>
        <w:spacing w:after="0" w:line="20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terms of these agreements typically include consideration to be provided to the Company in the form of non-refundable up-front payments, development milestones, payments for development activities, as well as payments for commercialization activities, sales milestones, and sharing of profits or losses arising from the commercialization of products.</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We review our estimate of the transaction price each period, and make revisions to such estimates as necessary.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Under the Company's collaboration agreements, product sales and cost of sales for products which are currently approved are recorded by the Company's collaborators as they are deemed to be the principal in the transaction. The Company shares in any profits or losses arising from the commercialization of such products, and records its share of the variable consideration, representing net product sales less cost of goods sold and shared commercialization and other expenses, as collaboration revenue in the period in which such underlying sales occur and costs are incurred by the collaborator.</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arrangements where the collaborator records product sales, the Company may be obligated to use commercially reasonable efforts to supply commercial bulk product to its collaborators, and may be reimbursed for its manufacturing costs as commercial product is shipped to its collaborators; however, recognition of such cost reimbursements as collaboration revenue is deferred until the product is sold by the Company's collaborators to third-party customers. In addition, we may also be reimbursed for a portion of costs incurred for other commercial-related activities, which are recorded as collaboration revenue in the period in which such costs are incurred.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Sanofi</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76,150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128,539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201,026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421,056</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251,002</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(182,595)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(328,998)</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84,338</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393,337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427,398</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74,797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61,649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225,675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188,408</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r>
      <w:tr>
        <w:trPr>
          <w:trHeight w:val="243"/>
        </w:trPr>
        <w:tc>
          <w:tcPr>
            <w:tcW w:w="20" w:type="dxa"/>
            <w:vAlign w:val="bottom"/>
          </w:tcPr>
          <w:p>
            <w:pPr>
              <w:spacing w:after="0"/>
              <w:rPr>
                <w:sz w:val="21"/>
                <w:szCs w:val="21"/>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60,000</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250,272</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256,265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245,175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683,508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677,670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was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The Company's Antibody Discovery Agreement with Sanofi ended on December 31, 2017 without any extension and, therefore, funding from Sanofi under the Antibody Discovery Agreement ceased after 2017. Under the License and Collaboration Agreement, following receipt of the first positive Phase 3 trial results for a co-developed drug candidate, subsequent Phase 3 trial-related costs for that drug candidate ("Shared Phase 3 Trial Costs") are shared 80% by Sanofi and 20% by Regeneron. Consequently, during the three months ended September 30, 2018 and 2017, the Company recognized as research and development expense $13.4 million and $22.6 million, respectively, and during the nine months ended September 30, 2018 and 2017, the Company recognized as research and development expense $37.2 million and $68.2 million, respectively, its share of antibody development expenses that Sanofi incurred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(alirocumab),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 and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 All other agreed-upon worldwide development expenses incurred by both companies are funded by Sanofi.</w:t>
      </w:r>
    </w:p>
    <w:p>
      <w:pPr>
        <w:spacing w:after="0" w:line="10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6"/>
          <w:szCs w:val="16"/>
          <w:i w:val="1"/>
          <w:iCs w:val="1"/>
          <w:color w:val="auto"/>
        </w:rPr>
        <w:t>Immuno-Oncology</w:t>
      </w:r>
      <w:r>
        <w:rPr>
          <w:rFonts w:ascii="Arial" w:cs="Arial" w:eastAsia="Arial" w:hAnsi="Arial"/>
          <w:sz w:val="16"/>
          <w:szCs w:val="16"/>
          <w:color w:val="auto"/>
        </w:rPr>
        <w:t>" section below for further details regarding the Letter Agreement. During the third quarter of 2018, Sanofi elected to sell, and we elected to purchase (in cash), 10,766 shares of the Company's Common Stock in connection with Sanofi's funding obligation for Dupilumab/REGN3500 Eligible Investments. Consequently, we recorded the cost of the shares received, or $4.4 million, as Treasury Stock during the third quarter of 2018.</w:t>
      </w:r>
    </w:p>
    <w:p>
      <w:pPr>
        <w:spacing w:after="0" w:line="2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March 2017, the U.S. Food and Drug Administration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October 2018, the FDA also approved Dupixent as an add-on maintenance therapy in patients with moderate-to-severe asthma aged 12 years and older with an eosinophilic phenotype or with oral corticosteroid-dependent asthma. In May 2017, the FDA approved Kevzara for the treatment of adult patients with moderately to severely active rheumatoid arthritis, and in June 2017, the European Commission granted marketing authorization for Kevzara for the treatment of rheumatoid arthritis in adult patients.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co-promote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such share of profits and losses and sales milestones is deemed to be constrained as of September 30, 2018, and therefore has not been included in the transaction price.</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significant promised goods and services consist of providing research and development services, including the manufacturing of clinical supplies, and providing commercial-related services, including the manufacturing of commercial supplies. As it relates to the Antibody Collaboration, "Reimbursement of Regeneron commercialization-related expenses" in the table above represents reimbursement of internal and external costs in connection with commercializing Praluent, Kevzara, and Dupixent. 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accounts receivable and deferred revenue information in connection with the Company's Antibody Collaboration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8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121,001</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117,682</w:t>
            </w:r>
          </w:p>
        </w:tc>
      </w:tr>
      <w:tr>
        <w:trPr>
          <w:trHeight w:val="486"/>
        </w:trPr>
        <w:tc>
          <w:tcPr>
            <w:tcW w:w="260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20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September 30, 2018</w:t>
            </w:r>
          </w:p>
        </w:tc>
      </w:tr>
      <w:tr>
        <w:trPr>
          <w:trHeight w:val="27"/>
        </w:trPr>
        <w:tc>
          <w:tcPr>
            <w:tcW w:w="20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20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Increase due to shipments of commercial supplies to Sanofi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178,608</w:t>
            </w:r>
          </w:p>
        </w:tc>
      </w:tr>
      <w:tr>
        <w:trPr>
          <w:trHeight w:val="229"/>
        </w:trPr>
        <w:tc>
          <w:tcPr>
            <w:tcW w:w="20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(96,767)</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The term of the IO Discovery Agreement will continue through the later of five years from the effective date of the IO Collaboration or the date our budget for IO Discovery activities, which has been agreed to with Sanofi, is exhausted, subject to Sanofi's option to extend it for up to an additional three years for the continued development (and funding) of selected ongoing programs.</w:t>
      </w:r>
    </w:p>
    <w:p>
      <w:pPr>
        <w:spacing w:after="0" w:line="243"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the Company. Under the terms of the IO License and Collaboration Agreement, the parties are co-developing Libtayo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(cemiplimab), an antibody targeting the receptor known as programmed cell death protein 1 (PD-1). The parties share equally, on an ongoing basis, development expenses for Libtayo up to a total of $1.640 billion, an increase of $990.0 million over the budget set forth in the original IO License and Collaboration Agreement. Pursuant to the Letter Agreement, the Libtayo development budget has been increased and the Company has agreed to allow Sanofi to satisfy in whole or in part its funding obligations with respect to Libtayo development and Dupilumab/REGN3500 Eligible Investments by selling up to an aggregate of 1,400,000 shares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the second and third quarters of 2018, Sanofi elected to sell, and we elected to purchase (by issuing a credit towards the amount owed by Sanofi), 121,601 and 93,786 shares, respectively, of the Company's Common Stock to satisfy Sanofi's funding obligation related to Libtayo development costs. Consequently, we recorded the cost of the shares received, or $37.6 million and $38.1 million as Treasury Stock during the second and third quarters of 2018, respectively.</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has principal control over the development of Libtayo and leads commercialization activities in the United States, while Sanofi will lead commercialization activities outside of the United States and the parties will equally share profits from worldwide sales. On September 28, 2018, the FDA approved Libtayo for the treatment of patients with metastatic or locally advanced CSCC, and Sanofi has exercised its option to co-promote Libtayo in the United States. The Company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 The amount of variable consideration related to such milestone is deemed to be constrained as of September 30, 2018, and therefore has not been included in the transaction price.</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became obligated to make an up-front payment of $20.0 million and pay royalties of 8.0% on worldwide sales of Libtayo through December 31, 2023, and royalties of 2.5% from January 1, 2024 through December 31, 2026. The up-front payment and royalties are shared equally by us and Sanofi.</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$640.0 million in aggregate up-front payments made by Sanofi during 2015 in connection with the execution of the IO Collaboration has been recorded as deferred revenue and has been included in the transaction price at the inception of the contract. "Other" Sanofi immuno-oncology revenue in the Sanofi Collaboration Revenue table above primarily includes recognition of deferred revenue from the $640.0 million of up-front payments.</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the IO Collaboration, "Reimbursement of Regeneron commercialization-related expenses" in the table above represents reimbursement of costs by Sanofi in connection with the commercialization of Libtayo outside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IO Collaboration with Sanofi:</w:t>
      </w:r>
    </w:p>
    <w:p>
      <w:pPr>
        <w:spacing w:after="0" w:line="31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59,274</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468,484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440,000</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September 30, 2018</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Increase as a result of cumulative-effect adjustment arising</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3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93,643</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(65,159)</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September 30, 2018 was $1,562.9 million. This amount is expected to be recognized as revenue over the remaining period the Company is obligated to satisfy its performance obligation in connection with performing development activities.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earned in connection with our Bayer EYLEA collaboration is as follows (note that the table excludes amounts in connection with our Bayer Ang2 antibody and PDGFR-beta antibody collaboration agreements, which are described below):</w:t>
      </w:r>
    </w:p>
    <w:p>
      <w:pPr>
        <w:spacing w:after="0" w:line="383"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240" w:type="dxa"/>
            <w:vAlign w:val="bottom"/>
          </w:tcPr>
          <w:p>
            <w:pPr>
              <w:spacing w:after="0"/>
              <w:rPr>
                <w:sz w:val="17"/>
                <w:szCs w:val="17"/>
                <w:color w:val="auto"/>
              </w:rPr>
            </w:pPr>
          </w:p>
        </w:tc>
        <w:tc>
          <w:tcPr>
            <w:tcW w:w="9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commercialization of EYLEA outside the United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571,126</w:t>
            </w: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EYLEA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36,910</w:t>
            </w: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265,592</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227,134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775,654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618,869</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the Company and Bayer share the funding of agreed-upon EYLEA development costs.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EYLEA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Bayer:</w:t>
      </w:r>
    </w:p>
    <w:p>
      <w:pPr>
        <w:spacing w:after="0" w:line="28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241,153</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68,734</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September 30, 2018</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Increase due to shipments of commercial supplies to Bayer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(31,188)</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and PDGFR-beta antibody outside the United States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2016, the Company entered into an agreement with Bayer governing the joint development and commercialization outside the United States of an antibody product candidate to angiopoietin-2 (Ang2), REGN910-3, for the treatment of ocular diseases or disorders. In connection with the agreement, Bayer made a non-refundable up-front payment and paid a portion of our global development costs and development costs exclusively for the territory outside the United States. In the fourth quarter of 2017, the Company reported that results from two Phase 2 studies of REGN910-3 did not provide sufficient differentiation to warrant Phase 3 development. Therefore, during the fourth quarter of 2017, the Company accelerated and recognized the remaining amount of deferred revenue from the $50.0 million up-front payment (which was initially recorded as deferred revenue) received from Bayer as the Company deemed its performance obligation to be satisfied. On November 1, 2018, the Company and Bayer agreed to terminate this collaboration agreement.</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2014, the Company entered into a license and collaboration agreement with Bayer governing the joint development and commercialization outside the United States of an antibody product candidate to Platelet Derived Growth Factor Receptor Beta (PDGFR-beta), REGN2176-3. Effective in the first quarter of 2017, the Company discontinued clinical development of REGN2176-3, and on July 31, 2017, the Company and Bayer agreed to terminate this collaboration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in September 2016. The Company leads global development activities, and the parties share development costs equally, on an ongoing basis, under a global development plan. The Company is also responsible for the manufacture and supply of fasinumab globally.</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During the second and fourth quarters of 2017, the Company earned, and recognized as substantive milestones, development milestones of $25.0 million and $35.0 million, respectively, from Teva upon initiation of two Phase 3 trials. During the third quarter of 2018, the Company achieved a development milestone of $60.0 million. The Company is entitled to receive up to an aggregate of $340.0 million in additional development milestones and up to an aggregate of $1,890.0 million in contingent payments upon achievement of specified annual net sales amounts; the amount of variable consideration related to such milestones is deemed to be constrained as of September 30, 2018, and therefore has not been included in the transaction price.</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providing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$250.0 million up-front payment and development milestones received or receivable from Teva, as described above, have been recorded as deferred revenue and have been included in the transaction price.</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$69.2 million and $40.2 million of revenue for the three months ended September 30, 2018 and 2017, respectively, and $196.6 million and $141.0 million of revenue for the nine months ended September 30, 2018 and 2017, respectively, in connection with the Teva Collaboration Agreement.</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summarize accounts receivable and deferred revenue information in connection with the Teva Collaboration Agreement:</w:t>
      </w: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7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70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Accounts receivable (recorded within Prepaid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71,297</w:t>
            </w:r>
          </w:p>
        </w:tc>
      </w:tr>
      <w:tr>
        <w:trPr>
          <w:trHeight w:val="243"/>
        </w:trPr>
        <w:tc>
          <w:tcPr>
            <w:tcW w:w="170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213,660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197,357</w:t>
            </w:r>
          </w:p>
        </w:tc>
      </w:tr>
      <w:tr>
        <w:trPr>
          <w:trHeight w:val="378"/>
        </w:trPr>
        <w:tc>
          <w:tcPr>
            <w:tcW w:w="590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September 30, 2018</w:t>
            </w: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Increase as a result of cumulative-effect adjustment arising</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48,216</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Increase due to amounts invoiced, excluding amounts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recognized as revenue during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33,774</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Revenue recognized that was included in deferred revenue at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(67,771)</w:t>
            </w:r>
          </w:p>
        </w:tc>
      </w:tr>
      <w:tr>
        <w:trPr>
          <w:trHeight w:val="27"/>
        </w:trPr>
        <w:tc>
          <w:tcPr>
            <w:tcW w:w="4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aggregate amount of the transaction price under the Teva Collaboration Agreement allocated to the Company's performance obligation that was unsatisfied (or partially unsatisfied) as of September 30, 2018 was $520.1 million. This amount is expected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 recognized as revenue over the remaining period the Company is obligated to satisfy its performance obligation in connection with performing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1,024,992</w:t>
            </w:r>
          </w:p>
        </w:tc>
      </w:tr>
      <w:tr>
        <w:trPr>
          <w:trHeight w:val="324"/>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108,033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106,108</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9,386</w:t>
            </w:r>
          </w:p>
        </w:tc>
      </w:tr>
      <w:tr>
        <w:trPr>
          <w:trHeight w:val="27"/>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460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9,886</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115,994</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080" w:type="dxa"/>
            <w:vAlign w:val="bottom"/>
          </w:tcPr>
          <w:p>
            <w:pPr>
              <w:spacing w:after="0"/>
              <w:rPr>
                <w:sz w:val="20"/>
                <w:szCs w:val="20"/>
                <w:color w:val="auto"/>
              </w:rPr>
            </w:pPr>
          </w:p>
        </w:tc>
        <w:tc>
          <w:tcPr>
            <w:tcW w:w="2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21"/>
        </w:trPr>
        <w:tc>
          <w:tcPr>
            <w:tcW w:w="308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Marketable securities as of September 30, 2018 and December 31, 2017 consist of both available-for-sale debt securities of investment grade issuers (see below and Note 6) as well as equity securities of publicly traded companies (see Note 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September 30, 2018</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2,562,051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2,546,243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110,548</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2,063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109,413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65,940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65,940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2,851,517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2,834,207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2017</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1,712,480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186,699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185,492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106,973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2,027,272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2,020,556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September 30, 2018 mature at various dates through March 2023. The fair values of available-for-sale debt security investments by contractual maturity consist of the following:</w:t>
      </w:r>
    </w:p>
    <w:p>
      <w:pPr>
        <w:spacing w:after="0" w:line="39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593,783</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1,729,898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1,426,773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2,020,556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2018</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95,690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1,425,290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503,282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1,928,572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(19,652)</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1,044,084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326,676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Realized gains and losses on sales of marketable securities were not material for the three and nine months ended September 30, 2018. There were no realized losses on sales of marketable securities, and realized gains were not material, for the three and nine months ended September 30, 2017.</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With respect to marketable securities, for the three and nine months ended September 30, 2018 and 2017, amounts reclassified from Accumulated other comprehensive (loss) income into Other income (expense), net were related to realized gains and losses on sales. The Company adopted ASU 2016-01 (see Note 1) during the first quarter of 2018; as a result, there were $4.9 million of net unrealized losses and $21.0 million of net unrealized gains on equity securities recognized in Other income (expense), net for the three and nine months ended September 30, 2018, respectively. For the three and nine months ended September 30, 2017, there were $27.7 million and $38.9 million, respectively, of net unrealized gains on equity securities that were recorded in Other comprehensive (loss) income.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Fair Value Measurements at Reporting Date</w:t>
            </w: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4"/>
          </w:tcPr>
          <w:p>
            <w:pPr>
              <w:jc w:val="right"/>
              <w:ind w:right="1510"/>
              <w:spacing w:after="0"/>
              <w:rPr>
                <w:sz w:val="20"/>
                <w:szCs w:val="20"/>
                <w:color w:val="auto"/>
              </w:rPr>
            </w:pPr>
            <w:r>
              <w:rPr>
                <w:rFonts w:ascii="Arial" w:cs="Arial" w:eastAsia="Arial" w:hAnsi="Arial"/>
                <w:sz w:val="18"/>
                <w:szCs w:val="18"/>
                <w:b w:val="1"/>
                <w:bCs w:val="1"/>
                <w:color w:val="auto"/>
              </w:rPr>
              <w:t>Using</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Active Markets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Observable Inputs</w:t>
            </w:r>
          </w:p>
        </w:tc>
      </w:tr>
      <w:tr>
        <w:trPr>
          <w:trHeight w:val="194"/>
        </w:trPr>
        <w:tc>
          <w:tcPr>
            <w:tcW w:w="20" w:type="dxa"/>
            <w:vAlign w:val="bottom"/>
          </w:tcPr>
          <w:p>
            <w:pPr>
              <w:spacing w:after="0"/>
              <w:rPr>
                <w:sz w:val="16"/>
                <w:szCs w:val="16"/>
                <w:color w:val="auto"/>
              </w:rPr>
            </w:pPr>
          </w:p>
        </w:tc>
        <w:tc>
          <w:tcPr>
            <w:tcW w:w="54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2018</w:t>
            </w:r>
          </w:p>
        </w:tc>
        <w:tc>
          <w:tcPr>
            <w:tcW w:w="300" w:type="dxa"/>
            <w:vAlign w:val="bottom"/>
          </w:tcPr>
          <w:p>
            <w:pPr>
              <w:spacing w:after="0"/>
              <w:rPr>
                <w:sz w:val="16"/>
                <w:szCs w:val="16"/>
                <w:color w:val="auto"/>
              </w:rPr>
            </w:pPr>
          </w:p>
        </w:tc>
        <w:tc>
          <w:tcPr>
            <w:tcW w:w="15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176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6"/>
                <w:szCs w:val="16"/>
                <w:color w:val="auto"/>
              </w:rPr>
            </w:pPr>
          </w:p>
        </w:tc>
        <w:tc>
          <w:tcPr>
            <w:tcW w:w="164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88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2,546,243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2,546,243</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110,548</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2,063</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109,413</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65,940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65,940</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Equity securities (unrestricted)</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480"/>
              <w:spacing w:after="0"/>
              <w:rPr>
                <w:sz w:val="20"/>
                <w:szCs w:val="20"/>
                <w:color w:val="auto"/>
              </w:rPr>
            </w:pPr>
            <w:r>
              <w:rPr>
                <w:rFonts w:ascii="Arial" w:cs="Arial" w:eastAsia="Arial" w:hAnsi="Arial"/>
                <w:sz w:val="18"/>
                <w:szCs w:val="18"/>
                <w:color w:val="auto"/>
              </w:rPr>
              <w:t>Equity securities (restricted)</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53,226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53,226</w:t>
            </w:r>
          </w:p>
        </w:tc>
      </w:tr>
      <w:tr>
        <w:trPr>
          <w:trHeight w:val="27"/>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2,977,878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2,887,433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1,712,480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1,712,480</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185,492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185,492</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106,973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106,973</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r>
      <w:tr>
        <w:trPr>
          <w:trHeight w:val="243"/>
        </w:trPr>
        <w:tc>
          <w:tcPr>
            <w:tcW w:w="20" w:type="dxa"/>
            <w:vAlign w:val="bottom"/>
          </w:tcPr>
          <w:p>
            <w:pPr>
              <w:spacing w:after="0"/>
              <w:rPr>
                <w:sz w:val="21"/>
                <w:szCs w:val="21"/>
                <w:color w:val="auto"/>
              </w:rPr>
            </w:pPr>
          </w:p>
        </w:tc>
        <w:tc>
          <w:tcPr>
            <w:tcW w:w="5420" w:type="dxa"/>
            <w:vAlign w:val="bottom"/>
            <w:gridSpan w:val="3"/>
          </w:tcPr>
          <w:p>
            <w:pPr>
              <w:ind w:left="480"/>
              <w:spacing w:after="0"/>
              <w:rPr>
                <w:sz w:val="20"/>
                <w:szCs w:val="20"/>
                <w:color w:val="auto"/>
              </w:rPr>
            </w:pPr>
            <w:r>
              <w:rPr>
                <w:rFonts w:ascii="Arial" w:cs="Arial" w:eastAsia="Arial" w:hAnsi="Arial"/>
                <w:sz w:val="18"/>
                <w:szCs w:val="18"/>
                <w:color w:val="auto"/>
              </w:rPr>
              <w:t>Equity securities (unrestricted)</w:t>
            </w: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62,785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2,083,341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2,020,556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nine months ended September 30, 2018 and 2017.</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held restricted equity securities as of September 30, 2018, consisting of the Company's investment in bluebird bio., Inc. common stock, which are subject to transfer restrictions until August 2020.</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fair value of interest rate swap and interest rate cap contracts, which were recorded within Other noncurrent assets, was not material as of September 30, 2018 and December 31, 2017 (see Note 8). The fair value of these contracts was determined based on Level 2 inputs, using significant inputs that are observable either directly or indirectly, including London Interbank Offered Rate ("LIBOR") and interest rate swap rates.</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September 30, 2018 and December 31, 2017, the Company had $45.5 million and $37.5 million, respectively, in equity investments that do not have a readily determinable fair value. These investments are recorded at cost within Other noncurrent assets.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190,045</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302,042</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212,260</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726,138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is exposed to market fluctuations in interest rates, including those in connection with its March 2017 lease of laboratory and office facilities in Tarrytown, New York. Commencing in the second quarter of 2017, the Company entered into interest rate swap and interest rate cap agreements to manage a portion of such interest rate risk; no new agreements of this nature were entered into during the nine months ended September 30, 2018. All of the Company's derivative instruments are utilized for risk management purposes, and are not used for trading or speculative purposes.</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would be discontinued.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notional amounts of the Company's outstanding interest rate swap and cap agreements:</w:t>
      </w:r>
    </w:p>
    <w:p>
      <w:pPr>
        <w:spacing w:after="0" w:line="200" w:lineRule="exact"/>
        <w:rPr>
          <w:sz w:val="20"/>
          <w:szCs w:val="20"/>
          <w:color w:val="auto"/>
        </w:rPr>
      </w:pPr>
    </w:p>
    <w:p>
      <w:pPr>
        <w:spacing w:after="0" w:line="237" w:lineRule="exact"/>
        <w:rPr>
          <w:sz w:val="20"/>
          <w:szCs w:val="20"/>
          <w:color w:val="auto"/>
        </w:rPr>
      </w:pPr>
    </w:p>
    <w:tbl>
      <w:tblPr>
        <w:tblLayout w:type="fixed"/>
        <w:tblInd w:w="248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2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cash flow hedges, for the three and nine months ended September 30, 2018 and 2017, amounts of gains and losses recognized in Other comprehensive income (loss), and amounts reclassified from Accumulated other comprehensive (loss) income into Interest expense were not material. As of September 30, 2018, the amounts expected to be reclassified out of Accumulated other comprehensive income into Interest expense over the next 12 months are not expected to be material. There was no ineffective portion of the derivative instruments for the three and nine months ended September 30, 2018 and 2017.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Company is subject to U.S. federal, state, and foreign income taxes. The Company's effective tax rate was 6.5% and 31.3% for the three months ended September 30, 2018 and 2017, respectively, and 13.5% and 32.7% for the nine months ended September 30, 2018 and 2017, respectively. On December 22,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changing the taxation of foreign earnings (including taxation of certain global intangible low-taxed income ("GILTI")), allowing for a foreign-derived intangible income deduction and immediate expensing for qualified assets, repealing the deduction for domestic manufacturing, and imposing further limitations on the deductibility of executive compensation. As a result of the Act being signed into law, we recognized a provisional charge of $326.2 million in the fourth quarter of 2017 related to the re-measurement of the Company's U.S. net deferred tax assets at the lower enacted corporate tax rate. The provisional charge recorded in the fourth quarter of 2017 is an estimate, and the measurement of deferred tax assets is subject to further analysis, such as developing interpretations and clarifications of the provisions of the Act. During the third quarter of 2018, we recorded an income tax benefit of $11.9 million as an adjustment to the provisional amount recorded as of December 31, 2017. Additional changes to this estimate may occur during the fourth quarter of 2018. In addition, we have not yet elected an accounting method regarding whether to record deferred tax assets and liabilities for expected amounts of GILTI inclusions or whether to treat such amounts as a period cost.</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Company's effective tax rate for the three and nine months ended September 30, 2018 was positively impacted, compared to the U.S. federal statutory rate, primarily by the tax benefit associated with tax planning in connection with the Act, the federal tax credit for research activities, and, to a lesser extent, stock-based compensation and income earned in foreign jurisdictions with tax rates lower than the U.S. federal statutory rate. The Company's effective tax rate for the three and nine months ended September 30, 2017 was positively impacted, compared to the U.S. federal statutory rate, by the tax benefit associated with stock-based compensation, the domestic manufacturing deduction, and the federal tax credit for research activities, offset by losses incurred in foreign jurisdictions with rates lower than the U.S. federal statutory rate and the non-tax deductible Branded Prescription Drug Fee.</w:t>
      </w:r>
    </w:p>
    <w:p>
      <w:pPr>
        <w:spacing w:after="0" w:line="21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Income tax provisions recorded in the Statement of Comprehensive Income for the three and nine months ended September 30, 2018 and 2017 were not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The Company adopted ASU 2016-18, </w:t>
      </w:r>
      <w:r>
        <w:rPr>
          <w:rFonts w:ascii="Arial" w:cs="Arial" w:eastAsia="Arial" w:hAnsi="Arial"/>
          <w:sz w:val="17"/>
          <w:szCs w:val="17"/>
          <w:i w:val="1"/>
          <w:iCs w:val="1"/>
          <w:color w:val="auto"/>
        </w:rPr>
        <w:t>Statement of Cash Flows - Restricted Cash</w:t>
      </w:r>
      <w:r>
        <w:rPr>
          <w:rFonts w:ascii="Arial" w:cs="Arial" w:eastAsia="Arial" w:hAnsi="Arial"/>
          <w:sz w:val="17"/>
          <w:szCs w:val="17"/>
          <w:color w:val="auto"/>
        </w:rPr>
        <w:t>, during the first quarter of 2018, and the standard has been retrospectively applied to all periods presented. The following provides a reconciliation of cash, cash equivalents, and restricted cash reported within the Condensed Consolidated Balance Sheet to the total of the same such amounts shown in the Condensed Consolidated Statement of Cash Flows:</w:t>
      </w:r>
    </w:p>
    <w:p>
      <w:pPr>
        <w:spacing w:after="0" w:line="37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792,065</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Total cash, cash equivalents, and restricted cash shown in the Condensed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1,100,343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804,565</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Included in accounts payable, accrued expenses, and other liabilities as of September 30, 2018 and December 31, 2017 were $40.5 million and $41.8 million, respectively, of accrued capital expenditures. Included in accounts payable, accrued expenses, and other liabilities as of September 30, 2017 and December 31, 2016 were $24.5 million and $28.2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in Note 3, during the nine months ended September 30, 2018, we purchased (by issuing a credit towards the amount owed by Sanofi) 215,387 shares of our Common Stock from Sanofi to satisfy Sanofi's funding obligation related to Libtayo development costs, and recorded the cost of the shares received, or $75.8 million, as Treasury Stock.</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nine months ended September 30,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Unless otherwise noted below, the Company is unable to predict the outcome, or estimate a range of possible loss or possible gain, of the respective proceedings. If the Company were unable to prevail in any such proceedings, its consolidated financial position, results of operations, and future cash flows may be materially impacted.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September 25, 2013, the Company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The hearing for the Company's appeal and Kymab's cross-appeal was held on October 17–20, 2017. On March 28, 2018, the Court of Appeal (Civil Division of England and Wales) reversed the English High Court's decision and held that the '287 Patent and '163 Patent are both valid and infringed by Kymab. On June 5, 2018, the Court of Appeal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 provisions of the final order are stayed pending final determination of Kymab's application for permission to appeal to the Supreme Court of the United Kingdom and, if permission is granted, Kymab's appeal. The Company has also been awarded a portion of the legal fees incurred by it in connection with the proceedings in the English High Court of Justice and the Court of Appeal described above.</w:t>
      </w:r>
    </w:p>
    <w:p>
      <w:pPr>
        <w:spacing w:after="0" w:line="23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March 11, 2014, the Company commenced '287 Patent infringement litigation and '018 Patent infringement litigation against Merus N.V., a company based in Utrecht, The Netherlands, in the District Court of The Hague (currently stayed by agreement of the parties)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w:t>
      </w:r>
    </w:p>
    <w:p>
      <w:pPr>
        <w:sectPr>
          <w:pgSz w:w="11900" w:h="16838" w:orient="portrait"/>
          <w:cols w:equalWidth="0" w:num="1">
            <w:col w:w="11420"/>
          </w:cols>
          <w:pgMar w:left="240" w:top="130"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"Federal Circuit") affirmed the District Court's decision regarding inequitable conduct without deciding the issues of validity and infringement; and, on December 26, 2017, the Federal Circuit denied the Company's petition for panel rehearing and rehearing </w:t>
      </w:r>
      <w:r>
        <w:rPr>
          <w:rFonts w:ascii="Arial" w:cs="Arial" w:eastAsia="Arial" w:hAnsi="Arial"/>
          <w:sz w:val="18"/>
          <w:szCs w:val="18"/>
          <w:i w:val="1"/>
          <w:iCs w:val="1"/>
          <w:color w:val="auto"/>
        </w:rPr>
        <w:t>en banc</w:t>
      </w:r>
      <w:r>
        <w:rPr>
          <w:rFonts w:ascii="Arial" w:cs="Arial" w:eastAsia="Arial" w:hAnsi="Arial"/>
          <w:sz w:val="18"/>
          <w:szCs w:val="18"/>
          <w:color w:val="auto"/>
        </w:rPr>
        <w:t>. On October 1, 2018, the United States Supreme Court denied the Company's petition for a writ of certiorari.</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The Company's response to the oppositions was filed on December 30, 2016.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w:t>
      </w:r>
    </w:p>
    <w:p>
      <w:pPr>
        <w:spacing w:after="0" w:line="10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With respect to the '018 Patent infringement litigation against Merus N.V., on June 25, 2018, the United States District Court for the Southern District of New York granted Merus's motion for attorneys' fees and costs in the amount of $10.5 million, plus pre- and post-judgment interest. On July 25, 2018, the Company filed a notice of appeal with the Federal Circuit. If the Company is ultimately required to pay such amounts, this payment is not expected to have a material impact on the Company's financial statements.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 xml:space="preserve">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 On February 23, 2018, the Federal Circuit denied Amgen's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and on March 2, 2018 the Federal Circuit issued a mandate to transfer jurisdiction of the case back to the District Court. On July 23, 2018, Amgen filed a petition for a writ of certiorari with the United States Supreme Court. Oral argument on the parties' motions for summary judgment and the Company and the Sanofi defendants' motion for judgment on the pleadings regarding Amgen's willful infringement claim is scheduled for January 3, 2019. A new jury trial is currently scheduled to begin on February 19, 2019.</w:t>
      </w:r>
    </w:p>
    <w:p>
      <w:pPr>
        <w:spacing w:after="0" w:line="200" w:lineRule="exact"/>
        <w:rPr>
          <w:sz w:val="20"/>
          <w:szCs w:val="20"/>
          <w:color w:val="auto"/>
        </w:rPr>
      </w:pPr>
    </w:p>
    <w:p>
      <w:pPr>
        <w:spacing w:after="0" w:line="25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0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that the infringement proceedings continue to be stayed. The Düsseldorf Regional Court has also scheduled December 11, 2018 as the date for issuing a decision on Amgen's request for an injunction.</w:t>
      </w:r>
    </w:p>
    <w:p>
      <w:pPr>
        <w:spacing w:after="0" w:line="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in the provisional compulsory license proceedings and denied Sanofi's request for the provisional compulsory license. The compulsory license proceedings are continuing.</w:t>
      </w:r>
    </w:p>
    <w:p>
      <w:pPr>
        <w:spacing w:after="0" w:line="10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February 12, 2019.</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The Preliminary Opinion was accompanied by a summons to oral hearing to be held on November 28–30, 2018.</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 on the Additional IPR Petitions has been scheduled for November 14, 2018.</w:t>
      </w:r>
    </w:p>
    <w:p>
      <w:pPr>
        <w:spacing w:after="0" w:line="241"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A jury trial has been scheduled to start on July 23, 2019.</w:t>
      </w:r>
    </w:p>
    <w:p>
      <w:pPr>
        <w:spacing w:after="0" w:line="9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6"/>
          <w:szCs w:val="16"/>
          <w:i w:val="1"/>
          <w:iCs w:val="1"/>
          <w:color w:val="auto"/>
        </w:rPr>
        <w:t>i.e.</w:t>
      </w:r>
      <w:r>
        <w:rPr>
          <w:rFonts w:ascii="Arial" w:cs="Arial" w:eastAsia="Arial" w:hAnsi="Arial"/>
          <w:sz w:val="16"/>
          <w:szCs w:val="16"/>
          <w:color w:val="auto"/>
        </w:rPr>
        <w:t>, a patent that shares the same priority date, disclosure, and patent term of the parent '665 Patent but contains claims to a different invention). An oral hearing before the EPO on the '420 Patent opposition proceedings has been scheduled for February 14–15, 2019. The original patent term of the Immunex patents is set to expire in 2021.</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EYLEA (aflibercept) Injection and ZALTRAP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(ziv-aflibercept) Injection for Intravenous Infusion</w:t>
      </w:r>
    </w:p>
    <w:p>
      <w:pPr>
        <w:spacing w:after="0" w:line="1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 On November 8, 2017, another alleged shareholder filed a second shareholder derivative complaint in the New York Supreme Court, naming the then current and certain former non-employee members of the Company's board of directors, the Chairman of the board of directors, the Company's Chief Executive Officer, the Company's Chief Scientific Officer, and Regeneron as defendants. The complaint asserts that the individual defendants breached their fiduciary duties and were unjustly enriched when they approved and/or received allegedly excessive compensation in 2014, 2015, and 2016.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the imposition of meaningful limits on the amount of equity payable to the individual defendants; a shareholder vote regarding the individual defendants' equity compensation; equitable relief, including an equitable accounting with disgorgement; and award of the costs of the action, including attorneys' fees. On December 4, 2017, the plaintiff in the second action moved to consolidate both actions, to be appointed lead plaintiff, and to have its counsel be appointed lead counsel in the proposed consolidated action. The court heard oral argument on March 7, 2018 and denied the motion. The parties in both the first derivative action and the second derivative action agreed to a schedule for document discovery and the filing of defendants' appeal of the court's June 28, 2017 decision, as well as a stay of all non-document discovery pending a decision on defendants' appeal. On March 19, 2018, the defendants appealed the court's June 28, 2017 decision to the Appellate Division of the Supreme Court, First Department. On April 19, 2018, the Appellate Division granted the second plaintiff's motion to intervene in this appeal. On October 9, 2018, the parties to both derivative actions filed with the court a stipulation of compromise and settlement of both derivative actions. The stipulation requires Regeneron to, among other things, impose specified limitations on certain director compensation for the five years starting in December 2018, implement certain corporate governance measures, and pay the agreed-upon amount of attorneys' fees and expenses. On October 10, 2018, the court entered an order scheduling a hearing for final approval of the settlement to be held on December 3, 2018 and providing for notice to Regeneron shareholders. The settlement remains subject to court approval; if approved, both derivative actions will be dismissed with prejudice. By agreement of the parties, the defendants' appeal of the court's June 28, 2017 decision has been adjourned to the Appellate Division's February 2019 term pending final approval of the settlement. Pursuant to the Company's By-Laws and the New York Business Corporation Law, expenses in connection with the foregoing are being advanced by the Company for the individual defendants.</w:t>
      </w:r>
    </w:p>
    <w:p>
      <w:pPr>
        <w:spacing w:after="0" w:line="200" w:lineRule="exact"/>
        <w:rPr>
          <w:sz w:val="20"/>
          <w:szCs w:val="20"/>
          <w:color w:val="auto"/>
        </w:rPr>
      </w:pPr>
    </w:p>
    <w:p>
      <w:pPr>
        <w:spacing w:after="0" w:line="23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was substantially similar to the December 15, 2015 shareholder litigation demand. The demands asserted that the then current and certain former non-employee members of the board of directors and the Chairman of the board of directors excessively compensated themselves in 2013 and 2014. The demands requested that the board of directors investigate and bring legal action against these directors for breach of fiduciary duty, unjust enrichment, and corporate waste, and implement internal controls and systems designed to prohibit and prevent similar actions in the future. On December 20, 2017, the parties to the shareholder derivative action filed on December 30, 2015 entered into a stipulation with the second demanding shareholder. The stipulation provides that the purported shareholder will intervene as a plaintiff in the action, and that the purported shareholder's litigation demand will be withdrawn and deemed null and void. The stipulation was approved by the court on January 18, 2018. The first shareholder litigation demand has also since been withdrawn.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Recently Issued Accounting Standards</w:t>
      </w:r>
    </w:p>
    <w:p>
      <w:pPr>
        <w:spacing w:after="0" w:line="28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a lessee to recognize on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We plan to adopt this new standard on January 1, 2019 (the "effective date") and use the effective date as our date of initial application. As such, we will not adjust prior period amounts. Furthermore, we expect to elect the practical expedients upon transition, which permit companies to not reassess lease identification, classification, and initial direct costs under the new standard for leases that commenced prior to the effective date. We are currently evaluating the impact that this guidance will have on our financial statements, including related disclosures. The new standard will result in the Company recording additional assets and corresponding liabilities related to operating leases; however, we do not expect the standard to have a material impact to our Consolidated Balance Sheets. The ultimate impact that the new standard will have will depend on the total amount of the Company's lease commitments as of the adoption date. We are in process of implementing a new lease accounting software system and updating our internal controls and processes.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4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Libtayo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(cemiplimab) Injection,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described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further in Note 11 to our Condensed Consolidated Financial Statements included in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4,289.8</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1,025.0</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59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Territory</w:t>
            </w: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Certain other</w:t>
            </w: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countries outside</w:t>
            </w:r>
          </w:p>
        </w:tc>
      </w:tr>
      <w:tr>
        <w:trPr>
          <w:trHeight w:val="261"/>
        </w:trPr>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tcPr>
          <w:p>
            <w:pPr>
              <w:spacing w:after="0"/>
              <w:rPr>
                <w:sz w:val="22"/>
                <w:szCs w:val="22"/>
                <w:color w:val="auto"/>
              </w:rPr>
            </w:pPr>
          </w:p>
        </w:tc>
        <w:tc>
          <w:tcPr>
            <w:tcW w:w="3220" w:type="dxa"/>
            <w:vAlign w:val="bottom"/>
            <w:tcBorders>
              <w:bottom w:val="single" w:sz="8" w:color="auto"/>
            </w:tcBorders>
          </w:tcPr>
          <w:p>
            <w:pPr>
              <w:ind w:left="1040"/>
              <w:spacing w:after="0" w:line="262"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U.S.</w:t>
            </w:r>
          </w:p>
        </w:tc>
      </w:tr>
      <w:tr>
        <w:trPr>
          <w:trHeight w:val="222"/>
        </w:trPr>
        <w:tc>
          <w:tcPr>
            <w:tcW w:w="306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Neovascular age-related macular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degeneration (wet AMD)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0"/>
        </w:trPr>
        <w:tc>
          <w:tcPr>
            <w:tcW w:w="306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0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occlusion (RVO), which includes macular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edema following central retinal vein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(CRVO) and macular edema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following branch retinal vein occlusion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(BRVO)</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6"/>
        </w:trPr>
        <w:tc>
          <w:tcPr>
            <w:tcW w:w="30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Myopic choroidal neovascularization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(mCNV)</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Diabetic retinopathy in patients with DME</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83"/>
        </w:trPr>
        <w:tc>
          <w:tcPr>
            <w:tcW w:w="3060" w:type="dxa"/>
            <w:vAlign w:val="bottom"/>
          </w:tcPr>
          <w:p>
            <w:pPr>
              <w:ind w:left="20"/>
              <w:spacing w:after="0" w:line="283"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Atopic dermatitis (in adults)</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Asthma (in adults and adolescents)</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Heterozygous familial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 (HeFH) or clinical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atherosclerotic cardiovascular disease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(ASCVD) (in adults)</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Kevzara (sarilumab) Solution for</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Rheumatoid arthritis (RA) (in adults)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060" w:type="dxa"/>
            <w:vAlign w:val="bottom"/>
          </w:tcPr>
          <w:p>
            <w:pPr>
              <w:ind w:left="2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Libtayo (cemiplimab) Injection</w:t>
            </w:r>
            <w:r>
              <w:rPr>
                <w:rFonts w:ascii="Arial" w:cs="Arial" w:eastAsia="Arial" w:hAnsi="Arial"/>
                <w:sz w:val="25"/>
                <w:szCs w:val="25"/>
                <w:color w:val="auto"/>
                <w:vertAlign w:val="superscript"/>
              </w:rPr>
              <w:t>(3)(5)</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Ÿ Metastatic or locally advanced cutaneous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(rilonacept) Injection for</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4"/>
              </w:rPr>
              <w:t>Ÿ Cryopyrin-Associated Periodic Syndromes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Subcutaneous Use</w:t>
            </w:r>
          </w:p>
        </w:tc>
        <w:tc>
          <w:tcPr>
            <w:tcW w:w="2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(CAPS), including Familial Cold Auto-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inflammatory Syndrome (FCAS)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Muckle-Wells Syndrome (MWS)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(ziv-aflibercept) Injection</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Metastatic colorectal cancer (mCRC)</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0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for Intravenous Infusion</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ind w:left="720" w:hanging="199"/>
        <w:spacing w:after="0"/>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Refer to label information in each territory for specific indication</w:t>
      </w:r>
    </w:p>
    <w:p>
      <w:pPr>
        <w:spacing w:after="0" w:line="55"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collaboration with Bayer (outside the United States)</w:t>
      </w:r>
    </w:p>
    <w:p>
      <w:pPr>
        <w:spacing w:after="0" w:line="56"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collaboration with Sanofi</w:t>
      </w:r>
    </w:p>
    <w:p>
      <w:pPr>
        <w:spacing w:after="0" w:line="56" w:lineRule="exact"/>
        <w:rPr>
          <w:rFonts w:ascii="Arial" w:cs="Arial" w:eastAsia="Arial" w:hAnsi="Arial"/>
          <w:sz w:val="24"/>
          <w:szCs w:val="24"/>
          <w:color w:val="auto"/>
          <w:vertAlign w:val="superscript"/>
        </w:rPr>
      </w:pPr>
    </w:p>
    <w:p>
      <w:pPr>
        <w:ind w:left="520" w:right="540" w:firstLine="1"/>
        <w:spacing w:after="0" w:line="262" w:lineRule="auto"/>
        <w:tabs>
          <w:tab w:leader="none" w:pos="698"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sales of ZALTRAP</w:t>
      </w:r>
    </w:p>
    <w:p>
      <w:pPr>
        <w:spacing w:after="0" w:line="7" w:lineRule="exact"/>
        <w:rPr>
          <w:rFonts w:ascii="Arial" w:cs="Arial" w:eastAsia="Arial" w:hAnsi="Arial"/>
          <w:sz w:val="21"/>
          <w:szCs w:val="21"/>
          <w:color w:val="auto"/>
          <w:vertAlign w:val="superscript"/>
        </w:rPr>
      </w:pPr>
    </w:p>
    <w:p>
      <w:pPr>
        <w:ind w:left="700" w:hanging="179"/>
        <w:spacing w:after="0"/>
        <w:tabs>
          <w:tab w:leader="none" w:pos="70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Marketed as Libtayo (cemiplimab-rwlc) Injection in the United States</w:t>
      </w:r>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240" w:top="130" w:right="39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5"/>
          </w:tcPr>
          <w:p>
            <w:pPr>
              <w:spacing w:after="0"/>
              <w:rPr>
                <w:sz w:val="20"/>
                <w:szCs w:val="20"/>
                <w:color w:val="auto"/>
              </w:rPr>
            </w:pPr>
            <w:r>
              <w:rPr>
                <w:rFonts w:ascii="Arial" w:cs="Arial" w:eastAsia="Arial" w:hAnsi="Arial"/>
                <w:sz w:val="18"/>
                <w:szCs w:val="18"/>
                <w:b w:val="1"/>
                <w:bCs w:val="1"/>
                <w:color w:val="auto"/>
              </w:rPr>
              <w:t>Marketed Products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Net Product Sales of Regeneron-</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5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auto"/>
                <w:w w:val="86"/>
              </w:rPr>
              <w:t>Discovered Products</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(2)</w:t>
            </w:r>
          </w:p>
        </w:tc>
        <w:tc>
          <w:tcPr>
            <w:tcW w:w="164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center"/>
              <w:ind w:right="70"/>
              <w:spacing w:after="0" w:line="196"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rPr>
                <w:sz w:val="2"/>
                <w:szCs w:val="2"/>
                <w:color w:val="auto"/>
              </w:rPr>
            </w:pPr>
          </w:p>
        </w:tc>
        <w:tc>
          <w:tcPr>
            <w:tcW w:w="15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center"/>
              <w:ind w:right="7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center"/>
              <w:ind w:right="7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3360" w:type="dxa"/>
            <w:vAlign w:val="bottom"/>
            <w:gridSpan w:val="4"/>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1,676.4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3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w w:val="95"/>
              </w:rPr>
              <w:t>Net product sales recorded by Regeneron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441"/>
        </w:trPr>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 w:type="dxa"/>
            <w:vAlign w:val="bottom"/>
            <w:tcBorders>
              <w:right w:val="single" w:sz="8" w:color="CCEEFF"/>
            </w:tcBorders>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center"/>
              <w:ind w:right="7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center"/>
              <w:ind w:right="7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3360" w:type="dxa"/>
            <w:vAlign w:val="bottom"/>
            <w:gridSpan w:val="4"/>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2,997.8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4,942.3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2,727.1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4,317.1</w:t>
            </w:r>
          </w:p>
        </w:tc>
        <w:tc>
          <w:tcPr>
            <w:tcW w:w="0" w:type="dxa"/>
            <w:vAlign w:val="bottom"/>
          </w:tcPr>
          <w:p>
            <w:pPr>
              <w:spacing w:after="0"/>
              <w:rPr>
                <w:sz w:val="1"/>
                <w:szCs w:val="1"/>
                <w:color w:val="auto"/>
              </w:rPr>
            </w:pPr>
          </w:p>
        </w:tc>
      </w:tr>
      <w:tr>
        <w:trPr>
          <w:trHeight w:val="270"/>
        </w:trPr>
        <w:tc>
          <w:tcPr>
            <w:tcW w:w="780" w:type="dxa"/>
            <w:vAlign w:val="bottom"/>
            <w:tcBorders>
              <w:right w:val="single" w:sz="8" w:color="CCEEFF"/>
            </w:tcBorders>
          </w:tcPr>
          <w:p>
            <w:pPr>
              <w:spacing w:after="0"/>
              <w:rPr>
                <w:sz w:val="23"/>
                <w:szCs w:val="23"/>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3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w w:val="95"/>
              </w:rPr>
              <w:t>Net product sales recorded by Regeneron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2,739.7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tcBorders>
              <w:right w:val="single" w:sz="8" w:color="CCEEFF"/>
            </w:tcBorders>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36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220" w:hanging="192"/>
        <w:spacing w:after="0"/>
        <w:tabs>
          <w:tab w:leader="none" w:pos="122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Rest of world</w:t>
      </w:r>
    </w:p>
    <w:p>
      <w:pPr>
        <w:spacing w:after="0" w:line="55" w:lineRule="exact"/>
        <w:rPr>
          <w:rFonts w:ascii="Arial" w:cs="Arial" w:eastAsia="Arial" w:hAnsi="Arial"/>
          <w:sz w:val="23"/>
          <w:szCs w:val="23"/>
          <w:color w:val="auto"/>
          <w:vertAlign w:val="superscript"/>
        </w:rPr>
      </w:pPr>
    </w:p>
    <w:p>
      <w:pPr>
        <w:ind w:left="1020" w:right="1180" w:firstLine="8"/>
        <w:spacing w:after="0" w:line="236" w:lineRule="auto"/>
        <w:tabs>
          <w:tab w:leader="none" w:pos="121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"Overview" above and "Collaboration Agreements" below for further details.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 - Additional Information on 2018 Developments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Libtayo</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28, 2018, the FDA approved Libtayo for the treatment of patients with metastatic or locally advanced CSCC who are not candidates for curative surgery or curative radiation. Libtayo is the first and currently only treatment specifically approved and available for advanced CSCC in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these parties that includes the right to develop and sell Libtayo. Under the agreement, we and Sanofi became obligated to make an up-front payment of $20.0 million and pay royalties of 8.0% on worldwide sales of Libtayo through December 31, 2023, and royalties of 2.5% from January 1, 2024 through December 31, 2026. The up-front payment and royalties are shared equally by us and Sanofi.</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October 2018, the FDA approved Dupixent as an add-on maintenance therapy in patients with moderate-to-severe asthma aged 12 years and older with an eosinophilic phenotype or with oral corticosteroid-dependent asthma. Dupixent is currently the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biologic approved for both moderate and severe asthma patients with eosinophilic phenotype and the only biologic approved for oral corticosteroid-dependent asthma, regardless of phenotype. In addition, Dupixent is currently the only asthma biologic that offers patient self-administration at home and the only asthma biologic also approved for adult patients with moderate-to-severe atopic dermatitis.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 xml:space="preserve">All 20 of our product candidates in clinical development were discovered in our research laboratories and are summarized below. We used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to generate each of the antibodies in the table below. There are numerous uncertainties associated with drug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26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Clinical Program</w:t>
            </w:r>
          </w:p>
        </w:tc>
        <w:tc>
          <w:tcPr>
            <w:tcW w:w="18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Phase 1</w:t>
            </w:r>
          </w:p>
        </w:tc>
        <w:tc>
          <w:tcPr>
            <w:tcW w:w="18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Phase 2</w:t>
            </w:r>
          </w:p>
        </w:tc>
        <w:tc>
          <w:tcPr>
            <w:tcW w:w="20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Phase 3</w:t>
            </w:r>
          </w:p>
        </w:tc>
        <w:tc>
          <w:tcPr>
            <w:tcW w:w="2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Regulatory Review</w:t>
            </w:r>
            <w:r>
              <w:rPr>
                <w:rFonts w:ascii="Arial" w:cs="Arial" w:eastAsia="Arial" w:hAnsi="Arial"/>
                <w:sz w:val="25"/>
                <w:szCs w:val="25"/>
                <w:b w:val="1"/>
                <w:bCs w:val="1"/>
                <w:color w:val="auto"/>
                <w:w w:val="97"/>
                <w:vertAlign w:val="superscript"/>
              </w:rPr>
              <w:t>(i)</w:t>
            </w:r>
          </w:p>
        </w:tc>
      </w:tr>
      <w:tr>
        <w:trPr>
          <w:trHeight w:val="222"/>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EYLEA</w:t>
            </w:r>
          </w:p>
        </w:tc>
        <w:tc>
          <w:tcPr>
            <w:tcW w:w="1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Non-proliferative diabetic</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retinopathy</w:t>
            </w:r>
          </w:p>
        </w:tc>
      </w:tr>
      <w:tr>
        <w:trPr>
          <w:trHeight w:val="216"/>
        </w:trPr>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retinopathy (NPDR) in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30"/>
        </w:trPr>
        <w:tc>
          <w:tcPr>
            <w:tcW w:w="2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patients without DME</w:t>
            </w: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7"/>
        </w:trPr>
        <w:tc>
          <w:tcPr>
            <w:tcW w:w="2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420"/>
          </w:cols>
          <w:pgMar w:left="240" w:top="130" w:right="239" w:bottom="1440" w:gutter="0" w:footer="0" w:header="0"/>
        </w:sectPr>
      </w:pPr>
    </w:p>
    <w:tbl>
      <w:tblPr>
        <w:tblLayout w:type="fixed"/>
        <w:tblInd w:w="60" w:type="dxa"/>
        <w:tblCellMar>
          <w:top w:w="0" w:type="dxa"/>
          <w:left w:w="0" w:type="dxa"/>
          <w:bottom w:w="0" w:type="dxa"/>
          <w:right w:w="0" w:type="dxa"/>
        </w:tblCellMar>
      </w:tblPr>
      <w:tr>
        <w:trPr>
          <w:trHeight w:val="229"/>
        </w:trPr>
        <w:tc>
          <w:tcPr>
            <w:tcW w:w="3580" w:type="dxa"/>
            <w:vAlign w:val="bottom"/>
          </w:tcPr>
          <w:p>
            <w:pPr>
              <w:spacing w:after="0" w:line="228" w:lineRule="exact"/>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5"/>
                <w:szCs w:val="25"/>
                <w:b w:val="1"/>
                <w:bCs w:val="1"/>
                <w:color w:val="auto"/>
                <w:vertAlign w:val="superscript"/>
              </w:rPr>
              <w:t>(a)</w:t>
            </w:r>
          </w:p>
        </w:tc>
        <w:tc>
          <w:tcPr>
            <w:tcW w:w="2460" w:type="dxa"/>
            <w:vAlign w:val="bottom"/>
          </w:tcPr>
          <w:p>
            <w:pPr>
              <w:ind w:left="1240"/>
              <w:spacing w:after="0"/>
              <w:rPr>
                <w:sz w:val="20"/>
                <w:szCs w:val="20"/>
                <w:color w:val="auto"/>
              </w:rPr>
            </w:pPr>
            <w:r>
              <w:rPr>
                <w:rFonts w:ascii="Arial" w:cs="Arial" w:eastAsia="Arial" w:hAnsi="Arial"/>
                <w:sz w:val="18"/>
                <w:szCs w:val="18"/>
                <w:color w:val="auto"/>
                <w:w w:val="97"/>
              </w:rPr>
              <w:t>Ÿ Grass allergy</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i w:val="1"/>
                <w:iCs w:val="1"/>
                <w:color w:val="auto"/>
              </w:rPr>
              <w:t>Antibody to IL-4R alpha subunit</w:t>
            </w:r>
          </w:p>
        </w:tc>
        <w:tc>
          <w:tcPr>
            <w:tcW w:w="2460" w:type="dxa"/>
            <w:vAlign w:val="bottom"/>
            <w:vMerge w:val="restart"/>
          </w:tcPr>
          <w:p>
            <w:pPr>
              <w:ind w:left="1240"/>
              <w:spacing w:after="0"/>
              <w:rPr>
                <w:sz w:val="20"/>
                <w:szCs w:val="20"/>
                <w:color w:val="auto"/>
              </w:rPr>
            </w:pPr>
            <w:r>
              <w:rPr>
                <w:rFonts w:ascii="Arial" w:cs="Arial" w:eastAsia="Arial" w:hAnsi="Arial"/>
                <w:sz w:val="18"/>
                <w:szCs w:val="18"/>
                <w:color w:val="auto"/>
                <w:w w:val="90"/>
              </w:rPr>
              <w:t>Ÿ Peanut allergy</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1577975</wp:posOffset>
            </wp:positionV>
            <wp:extent cx="7212330" cy="892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Praluent (alirocumab)</w:t>
      </w:r>
      <w:r>
        <w:rPr>
          <w:rFonts w:ascii="Arial" w:cs="Arial" w:eastAsia="Arial" w:hAnsi="Arial"/>
          <w:sz w:val="25"/>
          <w:szCs w:val="25"/>
          <w:b w:val="1"/>
          <w:bCs w:val="1"/>
          <w:color w:val="auto"/>
          <w:vertAlign w:val="superscript"/>
        </w:rPr>
        <w:t>(a)</w:t>
      </w:r>
    </w:p>
    <w:p>
      <w:pPr>
        <w:ind w:left="60"/>
        <w:spacing w:after="0"/>
        <w:rPr>
          <w:sz w:val="20"/>
          <w:szCs w:val="20"/>
          <w:color w:val="auto"/>
        </w:rPr>
      </w:pPr>
      <w:r>
        <w:rPr>
          <w:rFonts w:ascii="Arial" w:cs="Arial" w:eastAsia="Arial" w:hAnsi="Arial"/>
          <w:sz w:val="18"/>
          <w:szCs w:val="18"/>
          <w:i w:val="1"/>
          <w:iCs w:val="1"/>
          <w:color w:val="auto"/>
        </w:rPr>
        <w:t>Antibody to PCSK9</w:t>
      </w:r>
    </w:p>
    <w:p>
      <w:pPr>
        <w:spacing w:after="0" w:line="20" w:lineRule="exact"/>
        <w:rPr>
          <w:sz w:val="20"/>
          <w:szCs w:val="20"/>
          <w:color w:val="auto"/>
        </w:rPr>
      </w:pPr>
      <w:r>
        <w:rPr>
          <w:sz w:val="20"/>
          <w:szCs w:val="20"/>
          <w:color w:val="auto"/>
        </w:rPr>
        <w:br w:type="column"/>
      </w:r>
    </w:p>
    <w:p>
      <w:pPr>
        <w:ind w:left="188" w:right="60" w:hanging="188"/>
        <w:spacing w:after="0" w:line="293" w:lineRule="auto"/>
        <w:tabs>
          <w:tab w:leader="none" w:pos="188" w:val="left"/>
        </w:tabs>
        <w:numPr>
          <w:ilvl w:val="0"/>
          <w:numId w:val="5"/>
        </w:numPr>
        <w:rPr>
          <w:rFonts w:ascii="Arial" w:cs="Arial" w:eastAsia="Arial" w:hAnsi="Arial"/>
          <w:sz w:val="15"/>
          <w:szCs w:val="15"/>
          <w:color w:val="auto"/>
        </w:rPr>
      </w:pPr>
      <w:r>
        <w:rPr>
          <w:rFonts w:ascii="Arial" w:cs="Arial" w:eastAsia="Arial" w:hAnsi="Arial"/>
          <w:sz w:val="15"/>
          <w:szCs w:val="15"/>
          <w:color w:val="auto"/>
        </w:rPr>
        <w:t>Atopic dermatitis in adolescents and pediatrics (6–17 years of age)</w:t>
      </w:r>
      <w:r>
        <w:rPr>
          <w:rFonts w:ascii="Arial" w:cs="Arial" w:eastAsia="Arial" w:hAnsi="Arial"/>
          <w:sz w:val="21"/>
          <w:szCs w:val="21"/>
          <w:color w:val="auto"/>
          <w:vertAlign w:val="superscript"/>
        </w:rPr>
        <w:t>(d)</w:t>
      </w:r>
    </w:p>
    <w:p>
      <w:pPr>
        <w:spacing w:after="0" w:line="2" w:lineRule="exact"/>
        <w:rPr>
          <w:rFonts w:ascii="Arial" w:cs="Arial" w:eastAsia="Arial" w:hAnsi="Arial"/>
          <w:sz w:val="15"/>
          <w:szCs w:val="15"/>
          <w:color w:val="auto"/>
        </w:rPr>
      </w:pPr>
    </w:p>
    <w:p>
      <w:pPr>
        <w:ind w:left="188" w:hanging="188"/>
        <w:spacing w:after="0" w:line="287" w:lineRule="auto"/>
        <w:tabs>
          <w:tab w:leader="none" w:pos="188" w:val="left"/>
        </w:tabs>
        <w:numPr>
          <w:ilvl w:val="0"/>
          <w:numId w:val="5"/>
        </w:numPr>
        <w:rPr>
          <w:rFonts w:ascii="Arial" w:cs="Arial" w:eastAsia="Arial" w:hAnsi="Arial"/>
          <w:sz w:val="15"/>
          <w:szCs w:val="15"/>
          <w:color w:val="auto"/>
        </w:rPr>
      </w:pPr>
      <w:r>
        <w:rPr>
          <w:rFonts w:ascii="Arial" w:cs="Arial" w:eastAsia="Arial" w:hAnsi="Arial"/>
          <w:sz w:val="15"/>
          <w:szCs w:val="15"/>
          <w:color w:val="auto"/>
        </w:rPr>
        <w:t>Atopic dermatitis in pediatrics (6 months–5 years of age) (Phase 2/3)</w:t>
      </w:r>
      <w:r>
        <w:rPr>
          <w:rFonts w:ascii="Arial" w:cs="Arial" w:eastAsia="Arial" w:hAnsi="Arial"/>
          <w:sz w:val="21"/>
          <w:szCs w:val="21"/>
          <w:color w:val="auto"/>
          <w:vertAlign w:val="superscript"/>
        </w:rPr>
        <w:t>(d)</w:t>
      </w:r>
    </w:p>
    <w:p>
      <w:pPr>
        <w:ind w:left="188" w:hanging="188"/>
        <w:spacing w:after="0" w:line="259" w:lineRule="auto"/>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Asthma in pediatrics (6–11 years of age)</w:t>
      </w:r>
    </w:p>
    <w:p>
      <w:pPr>
        <w:spacing w:after="0" w:line="23" w:lineRule="exact"/>
        <w:rPr>
          <w:rFonts w:ascii="Arial" w:cs="Arial" w:eastAsia="Arial" w:hAnsi="Arial"/>
          <w:sz w:val="18"/>
          <w:szCs w:val="18"/>
          <w:color w:val="auto"/>
        </w:rPr>
      </w:pPr>
    </w:p>
    <w:p>
      <w:pPr>
        <w:ind w:left="188" w:right="340" w:hanging="188"/>
        <w:spacing w:after="0" w:line="305" w:lineRule="auto"/>
        <w:tabs>
          <w:tab w:leader="none" w:pos="188" w:val="left"/>
        </w:tabs>
        <w:numPr>
          <w:ilvl w:val="0"/>
          <w:numId w:val="5"/>
        </w:numPr>
        <w:rPr>
          <w:rFonts w:ascii="Arial" w:cs="Arial" w:eastAsia="Arial" w:hAnsi="Arial"/>
          <w:sz w:val="16"/>
          <w:szCs w:val="16"/>
          <w:color w:val="auto"/>
        </w:rPr>
      </w:pPr>
      <w:r>
        <w:rPr>
          <w:rFonts w:ascii="Arial" w:cs="Arial" w:eastAsia="Arial" w:hAnsi="Arial"/>
          <w:sz w:val="16"/>
          <w:szCs w:val="16"/>
          <w:color w:val="auto"/>
        </w:rPr>
        <w:t>Chronic rhinosinusitis with nasal polyps (CRSwNP)</w:t>
      </w:r>
    </w:p>
    <w:p>
      <w:pPr>
        <w:ind w:left="188" w:right="180" w:hanging="188"/>
        <w:spacing w:after="0" w:line="275" w:lineRule="auto"/>
        <w:tabs>
          <w:tab w:leader="none" w:pos="188" w:val="left"/>
        </w:tabs>
        <w:numPr>
          <w:ilvl w:val="0"/>
          <w:numId w:val="5"/>
        </w:numPr>
        <w:rPr>
          <w:rFonts w:ascii="Arial" w:cs="Arial" w:eastAsia="Arial" w:hAnsi="Arial"/>
          <w:sz w:val="16"/>
          <w:szCs w:val="16"/>
          <w:color w:val="auto"/>
        </w:rPr>
      </w:pPr>
      <w:r>
        <w:rPr>
          <w:rFonts w:ascii="Arial" w:cs="Arial" w:eastAsia="Arial" w:hAnsi="Arial"/>
          <w:sz w:val="16"/>
          <w:szCs w:val="16"/>
          <w:color w:val="auto"/>
        </w:rPr>
        <w:t>Eosinophilic esophagitis (EOE) (Phase 2/3)</w:t>
      </w:r>
      <w:r>
        <w:rPr>
          <w:rFonts w:ascii="Arial" w:cs="Arial" w:eastAsia="Arial" w:hAnsi="Arial"/>
          <w:sz w:val="22"/>
          <w:szCs w:val="22"/>
          <w:color w:val="auto"/>
          <w:vertAlign w:val="superscript"/>
        </w:rPr>
        <w:t>(c)</w:t>
      </w:r>
    </w:p>
    <w:p>
      <w:pPr>
        <w:spacing w:after="0" w:line="1" w:lineRule="exact"/>
        <w:rPr>
          <w:rFonts w:ascii="Arial" w:cs="Arial" w:eastAsia="Arial" w:hAnsi="Arial"/>
          <w:sz w:val="16"/>
          <w:szCs w:val="16"/>
          <w:color w:val="auto"/>
        </w:rPr>
      </w:pPr>
    </w:p>
    <w:p>
      <w:pPr>
        <w:ind w:left="188" w:right="280" w:hanging="188"/>
        <w:spacing w:after="0"/>
        <w:tabs>
          <w:tab w:leader="none" w:pos="188" w:val="left"/>
        </w:tabs>
        <w:numPr>
          <w:ilvl w:val="0"/>
          <w:numId w:val="5"/>
        </w:numPr>
        <w:rPr>
          <w:rFonts w:ascii="Arial" w:cs="Arial" w:eastAsia="Arial" w:hAnsi="Arial"/>
          <w:sz w:val="17"/>
          <w:szCs w:val="17"/>
          <w:color w:val="auto"/>
        </w:rPr>
      </w:pPr>
      <w:r>
        <w:rPr>
          <w:rFonts w:ascii="Arial" w:cs="Arial" w:eastAsia="Arial" w:hAnsi="Arial"/>
          <w:sz w:val="17"/>
          <w:szCs w:val="17"/>
          <w:color w:val="auto"/>
        </w:rPr>
        <w:t>Homozygous familial hypercholesterolemia (HoFH)</w:t>
      </w:r>
      <w:r>
        <w:rPr>
          <w:rFonts w:ascii="Arial" w:cs="Arial" w:eastAsia="Arial" w:hAnsi="Arial"/>
          <w:sz w:val="24"/>
          <w:szCs w:val="24"/>
          <w:color w:val="auto"/>
          <w:vertAlign w:val="superscript"/>
        </w:rPr>
        <w:t>(c)</w:t>
      </w:r>
      <w:r>
        <w:rPr>
          <w:rFonts w:ascii="Arial" w:cs="Arial" w:eastAsia="Arial" w:hAnsi="Arial"/>
          <w:sz w:val="17"/>
          <w:szCs w:val="17"/>
          <w:color w:val="auto"/>
        </w:rPr>
        <w:t xml:space="preserve"> in adults and pediatrics</w:t>
      </w:r>
    </w:p>
    <w:p>
      <w:pPr>
        <w:spacing w:after="0" w:line="20" w:lineRule="exact"/>
        <w:rPr>
          <w:sz w:val="20"/>
          <w:szCs w:val="20"/>
          <w:color w:val="auto"/>
        </w:rPr>
      </w:pPr>
      <w:r>
        <w:rPr>
          <w:sz w:val="20"/>
          <w:szCs w:val="20"/>
          <w:color w:val="auto"/>
        </w:rPr>
        <w:br w:type="column"/>
      </w:r>
    </w:p>
    <w:p>
      <w:pPr>
        <w:jc w:val="both"/>
        <w:ind w:left="186" w:right="360" w:hanging="186"/>
        <w:spacing w:after="0" w:line="264"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Asthma in adults and adolescents (EU and Japan)</w:t>
      </w:r>
    </w:p>
    <w:p>
      <w:pPr>
        <w:spacing w:after="0" w:line="19" w:lineRule="exact"/>
        <w:rPr>
          <w:rFonts w:ascii="Arial" w:cs="Arial" w:eastAsia="Arial" w:hAnsi="Arial"/>
          <w:sz w:val="18"/>
          <w:szCs w:val="18"/>
          <w:color w:val="auto"/>
        </w:rPr>
      </w:pPr>
    </w:p>
    <w:p>
      <w:pPr>
        <w:ind w:left="186" w:right="60" w:hanging="186"/>
        <w:spacing w:after="0" w:line="325" w:lineRule="auto"/>
        <w:tabs>
          <w:tab w:leader="none" w:pos="186" w:val="left"/>
        </w:tabs>
        <w:numPr>
          <w:ilvl w:val="0"/>
          <w:numId w:val="6"/>
        </w:numPr>
        <w:rPr>
          <w:rFonts w:ascii="Arial" w:cs="Arial" w:eastAsia="Arial" w:hAnsi="Arial"/>
          <w:sz w:val="15"/>
          <w:szCs w:val="15"/>
          <w:color w:val="auto"/>
        </w:rPr>
      </w:pPr>
      <w:r>
        <w:rPr>
          <w:rFonts w:ascii="Arial" w:cs="Arial" w:eastAsia="Arial" w:hAnsi="Arial"/>
          <w:sz w:val="15"/>
          <w:szCs w:val="15"/>
          <w:color w:val="auto"/>
        </w:rPr>
        <w:t>Atopic dermatitis in adolescents (12–17 years of age) (U.S. and EU)</w:t>
      </w:r>
    </w:p>
    <w:p>
      <w:pPr>
        <w:spacing w:after="0" w:line="1" w:lineRule="exact"/>
        <w:rPr>
          <w:rFonts w:ascii="Arial" w:cs="Arial" w:eastAsia="Arial" w:hAnsi="Arial"/>
          <w:sz w:val="15"/>
          <w:szCs w:val="15"/>
          <w:color w:val="auto"/>
        </w:rPr>
      </w:pPr>
    </w:p>
    <w:p>
      <w:pPr>
        <w:ind w:left="186" w:right="60" w:hanging="186"/>
        <w:spacing w:after="0" w:line="277"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Auto-injector for 200 mg dose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ind w:left="186" w:right="120" w:hanging="186"/>
        <w:spacing w:after="0" w:line="342" w:lineRule="auto"/>
        <w:tabs>
          <w:tab w:leader="none" w:pos="186" w:val="left"/>
        </w:tabs>
        <w:numPr>
          <w:ilvl w:val="0"/>
          <w:numId w:val="6"/>
        </w:numPr>
        <w:rPr>
          <w:rFonts w:ascii="Arial" w:cs="Arial" w:eastAsia="Arial" w:hAnsi="Arial"/>
          <w:sz w:val="16"/>
          <w:szCs w:val="16"/>
          <w:color w:val="auto"/>
        </w:rPr>
      </w:pPr>
      <w:r>
        <w:rPr>
          <w:rFonts w:ascii="Arial" w:cs="Arial" w:eastAsia="Arial" w:hAnsi="Arial"/>
          <w:sz w:val="16"/>
          <w:szCs w:val="16"/>
          <w:color w:val="auto"/>
        </w:rPr>
        <w:t>Cardiovascular risk reduction (U.S. and EU)</w:t>
      </w:r>
    </w:p>
    <w:p>
      <w:pPr>
        <w:spacing w:after="0" w:line="381" w:lineRule="exact"/>
        <w:rPr>
          <w:sz w:val="20"/>
          <w:szCs w:val="20"/>
          <w:color w:val="auto"/>
        </w:rPr>
      </w:pPr>
    </w:p>
    <w:p>
      <w:pPr>
        <w:sectPr>
          <w:pgSz w:w="11900" w:h="16838" w:orient="portrait"/>
          <w:cols w:equalWidth="0" w:num="3">
            <w:col w:w="6432" w:space="720"/>
            <w:col w:w="2128" w:space="74"/>
            <w:col w:w="2066"/>
          </w:cols>
          <w:pgMar w:left="240" w:top="130" w:right="23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HeFH in pediatrics</w:t>
            </w:r>
          </w:p>
        </w:tc>
        <w:tc>
          <w:tcPr>
            <w:tcW w:w="2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 First-line treatment of</w:t>
            </w:r>
          </w:p>
        </w:tc>
      </w:tr>
      <w:tr>
        <w:trPr>
          <w:trHeight w:val="237"/>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hyperlipidemia (U.S.)</w:t>
            </w:r>
          </w:p>
        </w:tc>
      </w:tr>
      <w:tr>
        <w:trPr>
          <w:trHeight w:val="229"/>
        </w:trPr>
        <w:tc>
          <w:tcPr>
            <w:tcW w:w="266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Kevzara (sarilumab)</w:t>
            </w:r>
            <w:r>
              <w:rPr>
                <w:rFonts w:ascii="Arial" w:cs="Arial" w:eastAsia="Arial" w:hAnsi="Arial"/>
                <w:sz w:val="25"/>
                <w:szCs w:val="25"/>
                <w:b w:val="1"/>
                <w:bCs w:val="1"/>
                <w:color w:val="auto"/>
                <w:vertAlign w:val="superscript"/>
              </w:rPr>
              <w:t>(a)</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380" w:type="dxa"/>
            <w:vAlign w:val="bottom"/>
          </w:tcPr>
          <w:p>
            <w:pPr>
              <w:ind w:left="180"/>
              <w:spacing w:after="0"/>
              <w:rPr>
                <w:sz w:val="20"/>
                <w:szCs w:val="20"/>
                <w:color w:val="auto"/>
              </w:rPr>
            </w:pPr>
            <w:r>
              <w:rPr>
                <w:rFonts w:ascii="Arial" w:cs="Arial" w:eastAsia="Arial" w:hAnsi="Arial"/>
                <w:sz w:val="18"/>
                <w:szCs w:val="18"/>
                <w:color w:val="auto"/>
              </w:rPr>
              <w:t>Ÿ Polyarticular-course</w:t>
            </w:r>
          </w:p>
        </w:tc>
        <w:tc>
          <w:tcPr>
            <w:tcW w:w="2220" w:type="dxa"/>
            <w:vAlign w:val="bottom"/>
          </w:tcPr>
          <w:p>
            <w:pPr>
              <w:ind w:left="80"/>
              <w:spacing w:after="0"/>
              <w:rPr>
                <w:sz w:val="20"/>
                <w:szCs w:val="20"/>
                <w:color w:val="auto"/>
              </w:rPr>
            </w:pPr>
            <w:r>
              <w:rPr>
                <w:rFonts w:ascii="Arial" w:cs="Arial" w:eastAsia="Arial" w:hAnsi="Arial"/>
                <w:sz w:val="18"/>
                <w:szCs w:val="18"/>
                <w:color w:val="auto"/>
              </w:rPr>
              <w:t>Ÿ Polymyalgia rheumatica</w:t>
            </w:r>
          </w:p>
        </w:tc>
        <w:tc>
          <w:tcPr>
            <w:tcW w:w="2100" w:type="dxa"/>
            <w:vAlign w:val="bottom"/>
          </w:tcPr>
          <w:p>
            <w:pPr>
              <w:spacing w:after="0"/>
              <w:rPr>
                <w:sz w:val="19"/>
                <w:szCs w:val="19"/>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Antibody to IL-6R</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w w:val="96"/>
              </w:rPr>
              <w:t>juvenile idiopathic arthritis</w:t>
            </w:r>
          </w:p>
        </w:tc>
        <w:tc>
          <w:tcPr>
            <w:tcW w:w="22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(pcJIA)</w:t>
            </w:r>
          </w:p>
        </w:tc>
        <w:tc>
          <w:tcPr>
            <w:tcW w:w="22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6"/>
        </w:trPr>
        <w:tc>
          <w:tcPr>
            <w:tcW w:w="2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380" w:type="dxa"/>
            <w:vAlign w:val="bottom"/>
          </w:tcPr>
          <w:p>
            <w:pPr>
              <w:ind w:left="180"/>
              <w:spacing w:after="0"/>
              <w:rPr>
                <w:sz w:val="20"/>
                <w:szCs w:val="20"/>
                <w:color w:val="auto"/>
              </w:rPr>
            </w:pPr>
            <w:r>
              <w:rPr>
                <w:rFonts w:ascii="Arial" w:cs="Arial" w:eastAsia="Arial" w:hAnsi="Arial"/>
                <w:sz w:val="18"/>
                <w:szCs w:val="18"/>
                <w:color w:val="auto"/>
              </w:rPr>
              <w:t>Ÿ Systemic juvenile</w:t>
            </w:r>
          </w:p>
        </w:tc>
        <w:tc>
          <w:tcPr>
            <w:tcW w:w="2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idiopathic arthritis (sJIA)</w:t>
            </w:r>
          </w:p>
        </w:tc>
        <w:tc>
          <w:tcPr>
            <w:tcW w:w="22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26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w w:val="95"/>
              </w:rPr>
              <w:t>Libtayo (cemiplimab)</w:t>
            </w:r>
            <w:r>
              <w:rPr>
                <w:rFonts w:ascii="Arial" w:cs="Arial" w:eastAsia="Arial" w:hAnsi="Arial"/>
                <w:sz w:val="25"/>
                <w:szCs w:val="25"/>
                <w:b w:val="1"/>
                <w:bCs w:val="1"/>
                <w:color w:val="auto"/>
                <w:w w:val="95"/>
                <w:vertAlign w:val="superscript"/>
              </w:rPr>
              <w:t>(a)</w:t>
            </w:r>
            <w:r>
              <w:rPr>
                <w:rFonts w:ascii="Arial" w:cs="Arial" w:eastAsia="Arial" w:hAnsi="Arial"/>
                <w:sz w:val="18"/>
                <w:szCs w:val="18"/>
                <w:b w:val="1"/>
                <w:bCs w:val="1"/>
                <w:color w:val="auto"/>
                <w:w w:val="95"/>
              </w:rPr>
              <w:t xml:space="preserve"> </w:t>
            </w:r>
            <w:r>
              <w:rPr>
                <w:rFonts w:ascii="Arial" w:cs="Arial" w:eastAsia="Arial" w:hAnsi="Arial"/>
                <w:sz w:val="18"/>
                <w:szCs w:val="18"/>
                <w:i w:val="1"/>
                <w:iCs w:val="1"/>
                <w:color w:val="auto"/>
                <w:w w:val="95"/>
              </w:rPr>
              <w:t>Antibody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Solid tumors and</w:t>
            </w:r>
          </w:p>
        </w:tc>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Ÿ Metastatic or locally</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Ÿ First-line and second-line</w:t>
            </w:r>
          </w:p>
        </w:tc>
        <w:tc>
          <w:tcPr>
            <w:tcW w:w="2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 Metastatic or locally</w:t>
            </w:r>
          </w:p>
        </w:tc>
      </w:tr>
      <w:tr>
        <w:trPr>
          <w:trHeight w:val="216"/>
        </w:trPr>
        <w:tc>
          <w:tcPr>
            <w:tcW w:w="26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i w:val="1"/>
                <w:iCs w:val="1"/>
                <w:color w:val="auto"/>
              </w:rPr>
              <w:t>to PD-1</w:t>
            </w:r>
            <w:r>
              <w:rPr>
                <w:rFonts w:ascii="Arial" w:cs="Arial" w:eastAsia="Arial" w:hAnsi="Arial"/>
                <w:sz w:val="25"/>
                <w:szCs w:val="25"/>
                <w:i w:val="1"/>
                <w:iCs w:val="1"/>
                <w:color w:val="auto"/>
                <w:vertAlign w:val="superscript"/>
              </w:rPr>
              <w:t>(h)</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advanced hematologic</w:t>
            </w:r>
          </w:p>
        </w:tc>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advanced and unresectable</w:t>
            </w:r>
          </w:p>
        </w:tc>
        <w:tc>
          <w:tcPr>
            <w:tcW w:w="22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non-small cell lung cancer</w:t>
            </w:r>
          </w:p>
        </w:tc>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advanced CSCC (EU)</w:t>
            </w:r>
          </w:p>
        </w:tc>
      </w:tr>
      <w:tr>
        <w:trPr>
          <w:trHeight w:val="257"/>
        </w:trPr>
        <w:tc>
          <w:tcPr>
            <w:tcW w:w="2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malignancies</w:t>
            </w:r>
          </w:p>
        </w:tc>
        <w:tc>
          <w:tcPr>
            <w:tcW w:w="238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CSCC</w:t>
            </w:r>
            <w:r>
              <w:rPr>
                <w:rFonts w:ascii="Arial" w:cs="Arial" w:eastAsia="Arial" w:hAnsi="Arial"/>
                <w:sz w:val="25"/>
                <w:szCs w:val="25"/>
                <w:color w:val="auto"/>
                <w:vertAlign w:val="superscript"/>
              </w:rPr>
              <w:t>(d)</w:t>
            </w:r>
          </w:p>
        </w:tc>
        <w:tc>
          <w:tcPr>
            <w:tcW w:w="2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(NSCLC)</w:t>
            </w:r>
          </w:p>
        </w:tc>
        <w:tc>
          <w:tcPr>
            <w:tcW w:w="2100" w:type="dxa"/>
            <w:vAlign w:val="bottom"/>
            <w:shd w:val="clear" w:color="auto" w:fill="CCEEFF"/>
          </w:tcPr>
          <w:p>
            <w:pPr>
              <w:spacing w:after="0"/>
              <w:rPr>
                <w:sz w:val="22"/>
                <w:szCs w:val="22"/>
                <w:color w:val="auto"/>
              </w:rPr>
            </w:pPr>
          </w:p>
        </w:tc>
      </w:tr>
      <w:tr>
        <w:trPr>
          <w:trHeight w:val="229"/>
        </w:trPr>
        <w:tc>
          <w:tcPr>
            <w:tcW w:w="2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Ÿ Basal cell carcinoma (BCC) Ÿ Second-line cervical</w:t>
            </w:r>
          </w:p>
        </w:tc>
        <w:tc>
          <w:tcPr>
            <w:tcW w:w="2100" w:type="dxa"/>
            <w:vAlign w:val="bottom"/>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(potentially pivotal study)</w:t>
            </w:r>
          </w:p>
        </w:tc>
        <w:tc>
          <w:tcPr>
            <w:tcW w:w="2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cancer</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5"/>
        </w:trPr>
        <w:tc>
          <w:tcPr>
            <w:tcW w:w="2660" w:type="dxa"/>
            <w:vAlign w:val="bottom"/>
          </w:tcPr>
          <w:p>
            <w:pPr>
              <w:ind w:left="20"/>
              <w:spacing w:after="0" w:line="224" w:lineRule="exact"/>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w w:val="94"/>
              </w:rPr>
              <w:t>Ÿ Osteoarthritis of knee and</w:t>
            </w:r>
          </w:p>
        </w:tc>
        <w:tc>
          <w:tcPr>
            <w:tcW w:w="2100" w:type="dxa"/>
            <w:vAlign w:val="bottom"/>
          </w:tcPr>
          <w:p>
            <w:pPr>
              <w:spacing w:after="0"/>
              <w:rPr>
                <w:sz w:val="19"/>
                <w:szCs w:val="19"/>
                <w:color w:val="auto"/>
              </w:rPr>
            </w:pPr>
          </w:p>
        </w:tc>
      </w:tr>
      <w:tr>
        <w:trPr>
          <w:trHeight w:val="236"/>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(REGN475)</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hip</w:t>
            </w:r>
            <w:r>
              <w:rPr>
                <w:rFonts w:ascii="Arial" w:cs="Arial" w:eastAsia="Arial" w:hAnsi="Arial"/>
                <w:sz w:val="11"/>
                <w:szCs w:val="11"/>
                <w:color w:val="auto"/>
              </w:rPr>
              <w:t>(e)</w:t>
            </w:r>
          </w:p>
        </w:tc>
        <w:tc>
          <w:tcPr>
            <w:tcW w:w="2100" w:type="dxa"/>
            <w:vAlign w:val="bottom"/>
          </w:tcPr>
          <w:p>
            <w:pPr>
              <w:spacing w:after="0"/>
              <w:rPr>
                <w:sz w:val="20"/>
                <w:szCs w:val="20"/>
                <w:color w:val="auto"/>
              </w:rPr>
            </w:pPr>
          </w:p>
        </w:tc>
      </w:tr>
    </w:tbl>
    <w:p>
      <w:pPr>
        <w:ind w:left="60"/>
        <w:spacing w:after="0"/>
        <w:rPr>
          <w:sz w:val="20"/>
          <w:szCs w:val="20"/>
          <w:color w:val="auto"/>
        </w:rPr>
      </w:pPr>
      <w:r>
        <w:rPr>
          <w:rFonts w:ascii="Arial" w:cs="Arial" w:eastAsia="Arial" w:hAnsi="Arial"/>
          <w:sz w:val="18"/>
          <w:szCs w:val="18"/>
          <w:i w:val="1"/>
          <w:iCs w:val="1"/>
          <w:color w:val="auto"/>
        </w:rPr>
        <w:t>Antibody to NGF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Clinical Program </w:t>
      </w:r>
      <w:r>
        <w:rPr>
          <w:rFonts w:ascii="Arial" w:cs="Arial" w:eastAsia="Arial" w:hAnsi="Arial"/>
          <w:sz w:val="17"/>
          <w:szCs w:val="17"/>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41910</wp:posOffset>
            </wp:positionV>
            <wp:extent cx="1800860"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626110"/>
                    </a:xfrm>
                    <a:prstGeom prst="rect">
                      <a:avLst/>
                    </a:prstGeom>
                    <a:noFill/>
                  </pic:spPr>
                </pic:pic>
              </a:graphicData>
            </a:graphic>
          </wp:anchor>
        </w:drawing>
      </w:r>
    </w:p>
    <w:p>
      <w:pPr>
        <w:spacing w:after="0" w:line="68" w:lineRule="exact"/>
        <w:rPr>
          <w:sz w:val="20"/>
          <w:szCs w:val="20"/>
          <w:color w:val="auto"/>
        </w:rPr>
      </w:pPr>
    </w:p>
    <w:p>
      <w:pPr>
        <w:ind w:left="60" w:right="880"/>
        <w:spacing w:after="0" w:line="265" w:lineRule="auto"/>
        <w:rPr>
          <w:sz w:val="20"/>
          <w:szCs w:val="20"/>
          <w:color w:val="auto"/>
        </w:rPr>
      </w:pPr>
      <w:r>
        <w:rPr>
          <w:rFonts w:ascii="Arial" w:cs="Arial" w:eastAsia="Arial" w:hAnsi="Arial"/>
          <w:sz w:val="16"/>
          <w:szCs w:val="16"/>
          <w:b w:val="1"/>
          <w:bCs w:val="1"/>
          <w:color w:val="auto"/>
        </w:rPr>
        <w:t>Evinacumab</w:t>
      </w:r>
      <w:r>
        <w:rPr>
          <w:rFonts w:ascii="Arial" w:cs="Arial" w:eastAsia="Arial" w:hAnsi="Arial"/>
          <w:sz w:val="22"/>
          <w:szCs w:val="22"/>
          <w:b w:val="1"/>
          <w:bCs w:val="1"/>
          <w:color w:val="auto"/>
          <w:vertAlign w:val="superscript"/>
        </w:rPr>
        <w:t>(f)</w:t>
      </w:r>
      <w:r>
        <w:rPr>
          <w:rFonts w:ascii="Arial" w:cs="Arial" w:eastAsia="Arial" w:hAnsi="Arial"/>
          <w:sz w:val="16"/>
          <w:szCs w:val="16"/>
          <w:b w:val="1"/>
          <w:bCs w:val="1"/>
          <w:color w:val="auto"/>
        </w:rPr>
        <w:t xml:space="preserve"> (REGN1500) </w:t>
      </w:r>
      <w:r>
        <w:rPr>
          <w:rFonts w:ascii="Arial" w:cs="Arial" w:eastAsia="Arial" w:hAnsi="Arial"/>
          <w:sz w:val="16"/>
          <w:szCs w:val="16"/>
          <w:i w:val="1"/>
          <w:iCs w:val="1"/>
          <w:color w:val="auto"/>
        </w:rPr>
        <w:t>Antibody to ANGPTL3</w:t>
      </w:r>
    </w:p>
    <w:p>
      <w:pPr>
        <w:spacing w:after="0" w:line="287" w:lineRule="exact"/>
        <w:rPr>
          <w:sz w:val="20"/>
          <w:szCs w:val="20"/>
          <w:color w:val="auto"/>
        </w:rPr>
      </w:pPr>
    </w:p>
    <w:p>
      <w:pPr>
        <w:ind w:left="60" w:right="980"/>
        <w:spacing w:after="0" w:line="265" w:lineRule="auto"/>
        <w:rPr>
          <w:sz w:val="20"/>
          <w:szCs w:val="20"/>
          <w:color w:val="auto"/>
        </w:rPr>
      </w:pPr>
      <w:r>
        <w:rPr>
          <w:rFonts w:ascii="Arial" w:cs="Arial" w:eastAsia="Arial" w:hAnsi="Arial"/>
          <w:sz w:val="16"/>
          <w:szCs w:val="16"/>
          <w:b w:val="1"/>
          <w:bCs w:val="1"/>
          <w:color w:val="auto"/>
        </w:rPr>
        <w:t>Garetosmab</w:t>
      </w:r>
      <w:r>
        <w:rPr>
          <w:rFonts w:ascii="Arial" w:cs="Arial" w:eastAsia="Arial" w:hAnsi="Arial"/>
          <w:sz w:val="22"/>
          <w:szCs w:val="22"/>
          <w:b w:val="1"/>
          <w:bCs w:val="1"/>
          <w:color w:val="auto"/>
          <w:vertAlign w:val="superscript"/>
        </w:rPr>
        <w:t>(f)</w:t>
      </w:r>
      <w:r>
        <w:rPr>
          <w:rFonts w:ascii="Arial" w:cs="Arial" w:eastAsia="Arial" w:hAnsi="Arial"/>
          <w:sz w:val="16"/>
          <w:szCs w:val="16"/>
          <w:b w:val="1"/>
          <w:bCs w:val="1"/>
          <w:color w:val="auto"/>
        </w:rPr>
        <w:t xml:space="preserve"> (REGN2477) </w:t>
      </w:r>
      <w:r>
        <w:rPr>
          <w:rFonts w:ascii="Arial" w:cs="Arial" w:eastAsia="Arial" w:hAnsi="Arial"/>
          <w:sz w:val="16"/>
          <w:szCs w:val="16"/>
          <w:i w:val="1"/>
          <w:iCs w:val="1"/>
          <w:color w:val="auto"/>
        </w:rPr>
        <w:t>Antibody to Activin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5080</wp:posOffset>
            </wp:positionV>
            <wp:extent cx="1800860"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582930"/>
                    </a:xfrm>
                    <a:prstGeom prst="rect">
                      <a:avLst/>
                    </a:prstGeom>
                    <a:noFill/>
                  </pic:spPr>
                </pic:pic>
              </a:graphicData>
            </a:graphic>
          </wp:anchor>
        </w:drawing>
      </w:r>
    </w:p>
    <w:p>
      <w:pPr>
        <w:ind w:left="60"/>
        <w:spacing w:after="0" w:line="211" w:lineRule="auto"/>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p>
      <w:pPr>
        <w:ind w:left="60" w:right="120"/>
        <w:spacing w:after="0" w:line="254" w:lineRule="auto"/>
        <w:rPr>
          <w:sz w:val="20"/>
          <w:szCs w:val="20"/>
          <w:color w:val="auto"/>
        </w:rPr>
      </w:pPr>
      <w:r>
        <w:rPr>
          <w:rFonts w:ascii="Arial" w:cs="Arial" w:eastAsia="Arial" w:hAnsi="Arial"/>
          <w:sz w:val="18"/>
          <w:szCs w:val="18"/>
          <w:i w:val="1"/>
          <w:iCs w:val="1"/>
          <w:color w:val="auto"/>
        </w:rPr>
        <w:t>Antibody to IL-33. Studied as monotherapy and in combination with Dupixent.</w:t>
      </w:r>
    </w:p>
    <w:p>
      <w:pPr>
        <w:ind w:left="60"/>
        <w:spacing w:after="0" w:line="218" w:lineRule="auto"/>
        <w:rPr>
          <w:sz w:val="20"/>
          <w:szCs w:val="20"/>
          <w:color w:val="auto"/>
        </w:rPr>
      </w:pPr>
      <w:r>
        <w:rPr>
          <w:rFonts w:ascii="Arial" w:cs="Arial" w:eastAsia="Arial" w:hAnsi="Arial"/>
          <w:sz w:val="18"/>
          <w:szCs w:val="18"/>
          <w:b w:val="1"/>
          <w:bCs w:val="1"/>
          <w:color w:val="auto"/>
        </w:rPr>
        <w:t>Trevogrumab</w:t>
      </w:r>
      <w:r>
        <w:rPr>
          <w:rFonts w:ascii="Arial" w:cs="Arial" w:eastAsia="Arial" w:hAnsi="Arial"/>
          <w:sz w:val="25"/>
          <w:szCs w:val="25"/>
          <w:b w:val="1"/>
          <w:bCs w:val="1"/>
          <w:color w:val="auto"/>
          <w:vertAlign w:val="superscript"/>
        </w:rPr>
        <w:t>(f)</w:t>
      </w:r>
    </w:p>
    <w:p>
      <w:pPr>
        <w:ind w:left="60"/>
        <w:spacing w:after="0"/>
        <w:rPr>
          <w:sz w:val="20"/>
          <w:szCs w:val="20"/>
          <w:color w:val="auto"/>
        </w:rPr>
      </w:pPr>
      <w:r>
        <w:rPr>
          <w:rFonts w:ascii="Arial" w:cs="Arial" w:eastAsia="Arial" w:hAnsi="Arial"/>
          <w:sz w:val="18"/>
          <w:szCs w:val="18"/>
          <w:b w:val="1"/>
          <w:bCs w:val="1"/>
          <w:color w:val="auto"/>
        </w:rPr>
        <w:t>(REGN1033)</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Antibody to myostatin (GDF8)</w:t>
      </w:r>
    </w:p>
    <w:p>
      <w:pPr>
        <w:spacing w:after="0" w:line="261" w:lineRule="exact"/>
        <w:rPr>
          <w:sz w:val="20"/>
          <w:szCs w:val="20"/>
          <w:color w:val="auto"/>
        </w:rPr>
      </w:pPr>
    </w:p>
    <w:p>
      <w:pPr>
        <w:ind w:left="60" w:right="200"/>
        <w:spacing w:after="0" w:line="218" w:lineRule="auto"/>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Multi-antibody therapy to Feld1</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REGN1979</w:t>
      </w:r>
    </w:p>
    <w:p>
      <w:pPr>
        <w:spacing w:after="0" w:line="27" w:lineRule="exact"/>
        <w:rPr>
          <w:sz w:val="20"/>
          <w:szCs w:val="20"/>
          <w:color w:val="auto"/>
        </w:rPr>
      </w:pPr>
    </w:p>
    <w:p>
      <w:pPr>
        <w:ind w:left="60" w:right="80"/>
        <w:spacing w:after="0" w:line="261" w:lineRule="auto"/>
        <w:rPr>
          <w:sz w:val="20"/>
          <w:szCs w:val="20"/>
          <w:color w:val="auto"/>
        </w:rPr>
      </w:pPr>
      <w:r>
        <w:rPr>
          <w:rFonts w:ascii="Arial" w:cs="Arial" w:eastAsia="Arial" w:hAnsi="Arial"/>
          <w:sz w:val="18"/>
          <w:szCs w:val="18"/>
          <w:i w:val="1"/>
          <w:iCs w:val="1"/>
          <w:color w:val="auto"/>
        </w:rPr>
        <w:t>Bispecific antibody against CD20 and CD3</w:t>
      </w:r>
    </w:p>
    <w:p>
      <w:pPr>
        <w:spacing w:after="0" w:line="200" w:lineRule="exact"/>
        <w:rPr>
          <w:sz w:val="20"/>
          <w:szCs w:val="20"/>
          <w:color w:val="auto"/>
        </w:rPr>
      </w:pPr>
    </w:p>
    <w:p>
      <w:pPr>
        <w:spacing w:after="0" w:line="250" w:lineRule="exact"/>
        <w:rPr>
          <w:sz w:val="20"/>
          <w:szCs w:val="20"/>
          <w:color w:val="auto"/>
        </w:rPr>
      </w:pPr>
    </w:p>
    <w:p>
      <w:pPr>
        <w:ind w:left="60"/>
        <w:spacing w:after="0" w:line="218" w:lineRule="auto"/>
        <w:rPr>
          <w:sz w:val="20"/>
          <w:szCs w:val="20"/>
          <w:color w:val="auto"/>
        </w:rPr>
      </w:pPr>
      <w:r>
        <w:rPr>
          <w:rFonts w:ascii="Arial" w:cs="Arial" w:eastAsia="Arial" w:hAnsi="Arial"/>
          <w:sz w:val="18"/>
          <w:szCs w:val="18"/>
          <w:b w:val="1"/>
          <w:bCs w:val="1"/>
          <w:color w:val="auto"/>
        </w:rPr>
        <w:t>REGN-EB3</w:t>
      </w: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(REGN3470-3471-3479)</w:t>
      </w:r>
    </w:p>
    <w:p>
      <w:pPr>
        <w:spacing w:after="0" w:line="1" w:lineRule="exact"/>
        <w:rPr>
          <w:sz w:val="20"/>
          <w:szCs w:val="20"/>
          <w:color w:val="auto"/>
        </w:rPr>
      </w:pPr>
    </w:p>
    <w:p>
      <w:pPr>
        <w:ind w:left="60" w:right="180"/>
        <w:spacing w:after="0" w:line="261" w:lineRule="auto"/>
        <w:rPr>
          <w:sz w:val="20"/>
          <w:szCs w:val="20"/>
          <w:color w:val="auto"/>
        </w:rPr>
      </w:pPr>
      <w:r>
        <w:rPr>
          <w:rFonts w:ascii="Arial" w:cs="Arial" w:eastAsia="Arial" w:hAnsi="Arial"/>
          <w:sz w:val="18"/>
          <w:szCs w:val="18"/>
          <w:i w:val="1"/>
          <w:iCs w:val="1"/>
          <w:color w:val="auto"/>
        </w:rPr>
        <w:t>Multi-antibody therapy to Ebola virus</w:t>
      </w:r>
    </w:p>
    <w:p>
      <w:pPr>
        <w:spacing w:after="0" w:line="18" w:lineRule="exact"/>
        <w:rPr>
          <w:sz w:val="20"/>
          <w:szCs w:val="20"/>
          <w:color w:val="auto"/>
        </w:rPr>
      </w:pPr>
    </w:p>
    <w:p>
      <w:pPr>
        <w:ind w:left="60" w:right="100"/>
        <w:spacing w:after="0" w:line="233" w:lineRule="auto"/>
        <w:rPr>
          <w:sz w:val="20"/>
          <w:szCs w:val="20"/>
          <w:color w:val="auto"/>
        </w:rPr>
      </w:pPr>
      <w:r>
        <w:rPr>
          <w:rFonts w:ascii="Arial" w:cs="Arial" w:eastAsia="Arial" w:hAnsi="Arial"/>
          <w:sz w:val="18"/>
          <w:szCs w:val="18"/>
          <w:b w:val="1"/>
          <w:bCs w:val="1"/>
          <w:color w:val="auto"/>
        </w:rPr>
        <w:t>REGN3048-3051</w:t>
      </w: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Multi-antibody therapy to Middle East Respiratory Syndrome (MERS) virus</w:t>
      </w:r>
    </w:p>
    <w:p>
      <w:pPr>
        <w:ind w:left="60"/>
        <w:spacing w:after="0" w:line="227" w:lineRule="auto"/>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(a)</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Antibody to LAG-3 protein</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p>
    <w:p>
      <w:pPr>
        <w:ind w:left="60"/>
        <w:spacing w:after="0"/>
        <w:rPr>
          <w:sz w:val="20"/>
          <w:szCs w:val="20"/>
          <w:color w:val="auto"/>
        </w:rPr>
      </w:pPr>
      <w:r>
        <w:rPr>
          <w:rFonts w:ascii="Arial" w:cs="Arial" w:eastAsia="Arial" w:hAnsi="Arial"/>
          <w:sz w:val="18"/>
          <w:szCs w:val="18"/>
          <w:b w:val="1"/>
          <w:bCs w:val="1"/>
          <w:color w:val="auto"/>
        </w:rPr>
        <w:t>(REGN3918)</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Antibody to C5</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REGN4461</w:t>
      </w:r>
    </w:p>
    <w:p>
      <w:pPr>
        <w:spacing w:after="0" w:line="27" w:lineRule="exact"/>
        <w:rPr>
          <w:sz w:val="20"/>
          <w:szCs w:val="20"/>
          <w:color w:val="auto"/>
        </w:rPr>
      </w:pPr>
    </w:p>
    <w:p>
      <w:pPr>
        <w:ind w:left="60"/>
        <w:spacing w:after="0" w:line="261" w:lineRule="auto"/>
        <w:rPr>
          <w:sz w:val="20"/>
          <w:szCs w:val="20"/>
          <w:color w:val="auto"/>
        </w:rPr>
      </w:pPr>
      <w:r>
        <w:rPr>
          <w:rFonts w:ascii="Arial" w:cs="Arial" w:eastAsia="Arial" w:hAnsi="Arial"/>
          <w:sz w:val="18"/>
          <w:szCs w:val="18"/>
          <w:i w:val="1"/>
          <w:iCs w:val="1"/>
          <w:color w:val="auto"/>
        </w:rPr>
        <w:t>Agonist antibody to leptin receptor (LEPR)</w:t>
      </w:r>
    </w:p>
    <w:p>
      <w:pPr>
        <w:ind w:left="60"/>
        <w:spacing w:after="0" w:line="211" w:lineRule="auto"/>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p>
      <w:pPr>
        <w:spacing w:after="0" w:line="1" w:lineRule="exact"/>
        <w:rPr>
          <w:sz w:val="20"/>
          <w:szCs w:val="20"/>
          <w:color w:val="auto"/>
        </w:rPr>
      </w:pPr>
    </w:p>
    <w:p>
      <w:pPr>
        <w:ind w:left="60" w:right="440"/>
        <w:spacing w:after="0" w:line="288" w:lineRule="auto"/>
        <w:rPr>
          <w:sz w:val="20"/>
          <w:szCs w:val="20"/>
          <w:color w:val="auto"/>
        </w:rPr>
      </w:pPr>
      <w:r>
        <w:rPr>
          <w:rFonts w:ascii="Arial" w:cs="Arial" w:eastAsia="Arial" w:hAnsi="Arial"/>
          <w:sz w:val="17"/>
          <w:szCs w:val="17"/>
          <w:i w:val="1"/>
          <w:iCs w:val="1"/>
          <w:color w:val="auto"/>
        </w:rPr>
        <w:t>Bispecific antibody targeting MUC16 and CD3</w:t>
      </w:r>
    </w:p>
    <w:p>
      <w:pPr>
        <w:spacing w:after="0" w:line="213" w:lineRule="exact"/>
        <w:rPr>
          <w:sz w:val="20"/>
          <w:szCs w:val="20"/>
          <w:color w:val="auto"/>
        </w:rPr>
      </w:pPr>
    </w:p>
    <w:p>
      <w:pPr>
        <w:ind w:left="60" w:right="1120"/>
        <w:spacing w:after="0" w:line="257" w:lineRule="auto"/>
        <w:rPr>
          <w:sz w:val="20"/>
          <w:szCs w:val="20"/>
          <w:color w:val="auto"/>
        </w:rPr>
      </w:pPr>
      <w:r>
        <w:rPr>
          <w:rFonts w:ascii="Arial" w:cs="Arial" w:eastAsia="Arial" w:hAnsi="Arial"/>
          <w:sz w:val="16"/>
          <w:szCs w:val="16"/>
          <w:b w:val="1"/>
          <w:bCs w:val="1"/>
          <w:color w:val="auto"/>
        </w:rPr>
        <w:t>REGN4659</w:t>
      </w:r>
      <w:r>
        <w:rPr>
          <w:rFonts w:ascii="Arial" w:cs="Arial" w:eastAsia="Arial" w:hAnsi="Arial"/>
          <w:sz w:val="22"/>
          <w:szCs w:val="22"/>
          <w:b w:val="1"/>
          <w:bCs w:val="1"/>
          <w:color w:val="auto"/>
          <w:vertAlign w:val="superscript"/>
        </w:rPr>
        <w:t>(a)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Antibody to CTLA4</w:t>
      </w:r>
    </w:p>
    <w:p>
      <w:pPr>
        <w:spacing w:after="0" w:line="200" w:lineRule="exact"/>
        <w:rPr>
          <w:sz w:val="20"/>
          <w:szCs w:val="20"/>
          <w:color w:val="auto"/>
        </w:rPr>
      </w:pPr>
    </w:p>
    <w:p>
      <w:pPr>
        <w:spacing w:after="0" w:line="250" w:lineRule="exact"/>
        <w:rPr>
          <w:sz w:val="20"/>
          <w:szCs w:val="20"/>
          <w:color w:val="auto"/>
        </w:rPr>
      </w:pPr>
    </w:p>
    <w:p>
      <w:pPr>
        <w:ind w:left="60" w:right="1100"/>
        <w:spacing w:after="0" w:line="347" w:lineRule="auto"/>
        <w:rPr>
          <w:sz w:val="20"/>
          <w:szCs w:val="20"/>
          <w:color w:val="auto"/>
        </w:rPr>
      </w:pPr>
      <w:r>
        <w:rPr>
          <w:rFonts w:ascii="Arial" w:cs="Arial" w:eastAsia="Arial" w:hAnsi="Arial"/>
          <w:sz w:val="16"/>
          <w:szCs w:val="16"/>
          <w:b w:val="1"/>
          <w:bCs w:val="1"/>
          <w:color w:val="auto"/>
        </w:rPr>
        <w:t xml:space="preserve">REGN5069 </w:t>
      </w:r>
      <w:r>
        <w:rPr>
          <w:rFonts w:ascii="Arial" w:cs="Arial" w:eastAsia="Arial" w:hAnsi="Arial"/>
          <w:sz w:val="16"/>
          <w:szCs w:val="16"/>
          <w:i w:val="1"/>
          <w:iCs w:val="1"/>
          <w:color w:val="auto"/>
        </w:rPr>
        <w:t>Antibody to GFRα3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200" w:type="dxa"/>
            <w:vAlign w:val="bottom"/>
          </w:tcPr>
          <w:p>
            <w:pPr>
              <w:spacing w:after="0"/>
              <w:rPr>
                <w:sz w:val="24"/>
                <w:szCs w:val="24"/>
                <w:color w:val="auto"/>
              </w:rPr>
            </w:pPr>
          </w:p>
        </w:tc>
        <w:tc>
          <w:tcPr>
            <w:tcW w:w="2000" w:type="dxa"/>
            <w:vAlign w:val="bottom"/>
          </w:tcPr>
          <w:p>
            <w:pPr>
              <w:ind w:left="700"/>
              <w:spacing w:after="0"/>
              <w:rPr>
                <w:sz w:val="20"/>
                <w:szCs w:val="20"/>
                <w:color w:val="auto"/>
              </w:rPr>
            </w:pPr>
            <w:r>
              <w:rPr>
                <w:rFonts w:ascii="Arial" w:cs="Arial" w:eastAsia="Arial" w:hAnsi="Arial"/>
                <w:sz w:val="18"/>
                <w:szCs w:val="18"/>
                <w:b w:val="1"/>
                <w:bCs w:val="1"/>
                <w:color w:val="auto"/>
              </w:rPr>
              <w:t>Phase 1</w:t>
            </w:r>
          </w:p>
        </w:tc>
        <w:tc>
          <w:tcPr>
            <w:tcW w:w="200" w:type="dxa"/>
            <w:vAlign w:val="bottom"/>
          </w:tcPr>
          <w:p>
            <w:pPr>
              <w:spacing w:after="0"/>
              <w:rPr>
                <w:sz w:val="24"/>
                <w:szCs w:val="24"/>
                <w:color w:val="auto"/>
              </w:rPr>
            </w:pPr>
          </w:p>
        </w:tc>
        <w:tc>
          <w:tcPr>
            <w:tcW w:w="2120" w:type="dxa"/>
            <w:vAlign w:val="bottom"/>
          </w:tcPr>
          <w:p>
            <w:pPr>
              <w:ind w:left="760"/>
              <w:spacing w:after="0"/>
              <w:rPr>
                <w:sz w:val="20"/>
                <w:szCs w:val="20"/>
                <w:color w:val="auto"/>
              </w:rPr>
            </w:pPr>
            <w:r>
              <w:rPr>
                <w:rFonts w:ascii="Arial" w:cs="Arial" w:eastAsia="Arial" w:hAnsi="Arial"/>
                <w:sz w:val="18"/>
                <w:szCs w:val="18"/>
                <w:b w:val="1"/>
                <w:bCs w:val="1"/>
                <w:color w:val="auto"/>
              </w:rPr>
              <w:t>Phase 2</w:t>
            </w:r>
          </w:p>
        </w:tc>
        <w:tc>
          <w:tcPr>
            <w:tcW w:w="200" w:type="dxa"/>
            <w:vAlign w:val="bottom"/>
          </w:tcPr>
          <w:p>
            <w:pPr>
              <w:spacing w:after="0"/>
              <w:rPr>
                <w:sz w:val="24"/>
                <w:szCs w:val="24"/>
                <w:color w:val="auto"/>
              </w:rPr>
            </w:pPr>
          </w:p>
        </w:tc>
        <w:tc>
          <w:tcPr>
            <w:tcW w:w="2100" w:type="dxa"/>
            <w:vAlign w:val="bottom"/>
            <w:gridSpan w:val="2"/>
          </w:tcPr>
          <w:p>
            <w:pPr>
              <w:ind w:left="700"/>
              <w:spacing w:after="0"/>
              <w:rPr>
                <w:sz w:val="20"/>
                <w:szCs w:val="20"/>
                <w:color w:val="auto"/>
              </w:rPr>
            </w:pPr>
            <w:r>
              <w:rPr>
                <w:rFonts w:ascii="Arial" w:cs="Arial" w:eastAsia="Arial" w:hAnsi="Arial"/>
                <w:sz w:val="18"/>
                <w:szCs w:val="18"/>
                <w:b w:val="1"/>
                <w:bCs w:val="1"/>
                <w:color w:val="auto"/>
              </w:rPr>
              <w:t>Phase 3</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w w:val="97"/>
              </w:rPr>
              <w:t>Regulatory Review</w:t>
            </w:r>
            <w:r>
              <w:rPr>
                <w:rFonts w:ascii="Arial" w:cs="Arial" w:eastAsia="Arial" w:hAnsi="Arial"/>
                <w:sz w:val="25"/>
                <w:szCs w:val="25"/>
                <w:b w:val="1"/>
                <w:bCs w:val="1"/>
                <w:color w:val="auto"/>
                <w:w w:val="97"/>
                <w:vertAlign w:val="superscript"/>
              </w:rPr>
              <w:t>(i)</w:t>
            </w:r>
          </w:p>
        </w:tc>
        <w:tc>
          <w:tcPr>
            <w:tcW w:w="0" w:type="dxa"/>
            <w:vAlign w:val="bottom"/>
          </w:tcPr>
          <w:p>
            <w:pPr>
              <w:spacing w:after="0"/>
              <w:rPr>
                <w:sz w:val="1"/>
                <w:szCs w:val="1"/>
                <w:color w:val="auto"/>
              </w:rPr>
            </w:pPr>
          </w:p>
        </w:tc>
      </w:tr>
      <w:tr>
        <w:trPr>
          <w:trHeight w:val="222"/>
        </w:trPr>
        <w:tc>
          <w:tcPr>
            <w:tcW w:w="2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Refractory</w:t>
            </w:r>
          </w:p>
        </w:tc>
        <w:tc>
          <w:tcPr>
            <w:tcW w:w="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2000" w:type="dxa"/>
            <w:vAlign w:val="bottom"/>
            <w:tcBorders>
              <w:top w:val="single" w:sz="8" w:color="auto"/>
            </w:tcBorders>
            <w:shd w:val="clear" w:color="auto" w:fill="CCEEFF"/>
          </w:tcPr>
          <w:p>
            <w:pPr>
              <w:ind w:left="20"/>
              <w:spacing w:after="0" w:line="222" w:lineRule="exact"/>
              <w:rPr>
                <w:sz w:val="20"/>
                <w:szCs w:val="20"/>
                <w:color w:val="auto"/>
              </w:rPr>
            </w:pPr>
            <w:r>
              <w:rPr>
                <w:rFonts w:ascii="Arial" w:cs="Arial" w:eastAsia="Arial" w:hAnsi="Arial"/>
                <w:sz w:val="25"/>
                <w:szCs w:val="25"/>
                <w:color w:val="auto"/>
                <w:vertAlign w:val="subscript"/>
              </w:rPr>
              <w:t>HoFH</w:t>
            </w:r>
            <w:r>
              <w:rPr>
                <w:rFonts w:ascii="Arial" w:cs="Arial" w:eastAsia="Arial" w:hAnsi="Arial"/>
                <w:sz w:val="11"/>
                <w:szCs w:val="11"/>
                <w:color w:val="auto"/>
              </w:rPr>
              <w:t>(c)(d)</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hypercholesterolemia (both</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HeFH and non-FH)</w:t>
            </w:r>
          </w:p>
        </w:tc>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Ÿ Severe hypertriglyceridemia</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Arial" w:cs="Arial" w:eastAsia="Arial" w:hAnsi="Arial"/>
                <w:sz w:val="18"/>
                <w:szCs w:val="18"/>
                <w:color w:val="auto"/>
                <w:w w:val="99"/>
              </w:rPr>
              <w:t>Ÿ Muscle-wasting diseases</w:t>
            </w:r>
          </w:p>
        </w:tc>
        <w:tc>
          <w:tcPr>
            <w:tcW w:w="2320" w:type="dxa"/>
            <w:vAlign w:val="bottom"/>
            <w:gridSpan w:val="2"/>
          </w:tcPr>
          <w:p>
            <w:pPr>
              <w:ind w:left="40"/>
              <w:spacing w:after="0"/>
              <w:rPr>
                <w:sz w:val="20"/>
                <w:szCs w:val="20"/>
                <w:color w:val="auto"/>
              </w:rPr>
            </w:pPr>
            <w:r>
              <w:rPr>
                <w:rFonts w:ascii="Arial" w:cs="Arial" w:eastAsia="Arial" w:hAnsi="Arial"/>
                <w:sz w:val="18"/>
                <w:szCs w:val="18"/>
                <w:color w:val="auto"/>
              </w:rPr>
              <w:t>Ÿ Fibrodysplasia ossificans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(in combination with</w:t>
            </w:r>
          </w:p>
        </w:tc>
        <w:tc>
          <w:tcPr>
            <w:tcW w:w="200" w:type="dxa"/>
            <w:vAlign w:val="bottom"/>
          </w:tcPr>
          <w:p>
            <w:pPr>
              <w:spacing w:after="0"/>
              <w:rPr>
                <w:sz w:val="18"/>
                <w:szCs w:val="18"/>
                <w:color w:val="auto"/>
              </w:rPr>
            </w:pPr>
          </w:p>
        </w:tc>
        <w:tc>
          <w:tcPr>
            <w:tcW w:w="2120" w:type="dxa"/>
            <w:vAlign w:val="bottom"/>
          </w:tcPr>
          <w:p>
            <w:pPr>
              <w:ind w:left="20"/>
              <w:spacing w:after="0" w:line="216" w:lineRule="exact"/>
              <w:rPr>
                <w:sz w:val="20"/>
                <w:szCs w:val="20"/>
                <w:color w:val="auto"/>
              </w:rPr>
            </w:pPr>
            <w:r>
              <w:rPr>
                <w:rFonts w:ascii="Arial" w:cs="Arial" w:eastAsia="Arial" w:hAnsi="Arial"/>
                <w:sz w:val="18"/>
                <w:szCs w:val="18"/>
                <w:color w:val="auto"/>
              </w:rPr>
              <w:t>progressiva (FOP)</w:t>
            </w:r>
            <w:r>
              <w:rPr>
                <w:rFonts w:ascii="Arial" w:cs="Arial" w:eastAsia="Arial" w:hAnsi="Arial"/>
                <w:sz w:val="25"/>
                <w:szCs w:val="25"/>
                <w:color w:val="auto"/>
                <w:vertAlign w:val="superscript"/>
              </w:rPr>
              <w:t>(c)(e)</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trevogrumab)</w:t>
            </w:r>
          </w:p>
        </w:tc>
        <w:tc>
          <w:tcPr>
            <w:tcW w:w="20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(potentially pivotal study)</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Asthma</w:t>
            </w: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23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Ÿ Chronic obstructive</w:t>
            </w:r>
          </w:p>
        </w:tc>
        <w:tc>
          <w:tcPr>
            <w:tcW w:w="2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pulmonary disease (COPD)</w:t>
            </w: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right="6660" w:hanging="191"/>
        <w:spacing w:after="0" w:line="299"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Muscle-wasting diseases (in combination with garetosmab) (on clinical hold in the United States)</w:t>
      </w:r>
    </w:p>
    <w:p>
      <w:pPr>
        <w:spacing w:after="0" w:line="1" w:lineRule="exact"/>
        <w:rPr>
          <w:rFonts w:ascii="Arial" w:cs="Arial" w:eastAsia="Arial" w:hAnsi="Arial"/>
          <w:sz w:val="16"/>
          <w:szCs w:val="16"/>
          <w:color w:val="auto"/>
        </w:rPr>
      </w:pPr>
    </w:p>
    <w:p>
      <w:pPr>
        <w:ind w:left="220" w:hanging="19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 allergy</w:t>
      </w:r>
    </w:p>
    <w:p>
      <w:pPr>
        <w:spacing w:after="0" w:line="279" w:lineRule="exact"/>
        <w:rPr>
          <w:rFonts w:ascii="Arial" w:cs="Arial" w:eastAsia="Arial" w:hAnsi="Arial"/>
          <w:sz w:val="18"/>
          <w:szCs w:val="18"/>
          <w:color w:val="auto"/>
        </w:rPr>
      </w:pPr>
    </w:p>
    <w:p>
      <w:pPr>
        <w:ind w:left="220" w:right="7000" w:hanging="191"/>
        <w:spacing w:after="0" w:line="261" w:lineRule="auto"/>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B-cell malignancies (monotherapy and in combination with cemiplimab)</w:t>
      </w:r>
      <w:r>
        <w:rPr>
          <w:rFonts w:ascii="Arial" w:cs="Arial" w:eastAsia="Arial" w:hAnsi="Arial"/>
          <w:sz w:val="24"/>
          <w:szCs w:val="24"/>
          <w:color w:val="auto"/>
          <w:vertAlign w:val="superscript"/>
        </w:rPr>
        <w:t>(c)</w:t>
      </w:r>
    </w:p>
    <w:p>
      <w:pPr>
        <w:jc w:val="both"/>
        <w:ind w:left="220" w:right="7680" w:hanging="191"/>
        <w:spacing w:after="0" w:line="327"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Ebola virus infection</w:t>
      </w:r>
      <w:r>
        <w:rPr>
          <w:rFonts w:ascii="Arial" w:cs="Arial" w:eastAsia="Arial" w:hAnsi="Arial"/>
          <w:sz w:val="22"/>
          <w:szCs w:val="22"/>
          <w:color w:val="auto"/>
          <w:vertAlign w:val="superscript"/>
        </w:rPr>
        <w:t>(c)</w:t>
      </w:r>
    </w:p>
    <w:p>
      <w:pPr>
        <w:spacing w:after="0" w:line="307" w:lineRule="exact"/>
        <w:rPr>
          <w:rFonts w:ascii="Arial" w:cs="Arial" w:eastAsia="Arial" w:hAnsi="Arial"/>
          <w:sz w:val="16"/>
          <w:szCs w:val="16"/>
          <w:color w:val="auto"/>
        </w:rPr>
      </w:pPr>
    </w:p>
    <w:p>
      <w:pPr>
        <w:ind w:left="220" w:hanging="19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MERS virus infection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220" w:right="6700" w:hanging="191"/>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cancers (administered alone or in combination with cemiplimab)</w:t>
      </w:r>
    </w:p>
    <w:p>
      <w:pPr>
        <w:spacing w:after="0" w:line="24" w:lineRule="exact"/>
        <w:rPr>
          <w:rFonts w:ascii="Arial" w:cs="Arial" w:eastAsia="Arial" w:hAnsi="Arial"/>
          <w:sz w:val="18"/>
          <w:szCs w:val="18"/>
          <w:color w:val="auto"/>
        </w:rPr>
      </w:pPr>
    </w:p>
    <w:p>
      <w:pPr>
        <w:ind w:left="220" w:right="6840" w:hanging="191"/>
        <w:spacing w:after="0" w:line="342"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Paroxysmal nocturnal hemoglobinuria (PNH)</w:t>
      </w:r>
    </w:p>
    <w:p>
      <w:pPr>
        <w:spacing w:after="0" w:line="177" w:lineRule="exact"/>
        <w:rPr>
          <w:rFonts w:ascii="Arial" w:cs="Arial" w:eastAsia="Arial" w:hAnsi="Arial"/>
          <w:sz w:val="16"/>
          <w:szCs w:val="16"/>
          <w:color w:val="auto"/>
        </w:rPr>
      </w:pPr>
    </w:p>
    <w:p>
      <w:pPr>
        <w:ind w:left="220" w:hanging="19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Lipodystrophy and obesity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20" w:right="6560" w:hanging="191"/>
        <w:spacing w:after="0" w:line="299"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Platinum-resistant ovarian cancer (administered alone or in combination with cemiplimab)</w:t>
      </w:r>
    </w:p>
    <w:p>
      <w:pPr>
        <w:spacing w:after="0" w:line="1" w:lineRule="exact"/>
        <w:rPr>
          <w:rFonts w:ascii="Arial" w:cs="Arial" w:eastAsia="Arial" w:hAnsi="Arial"/>
          <w:sz w:val="16"/>
          <w:szCs w:val="16"/>
          <w:color w:val="auto"/>
        </w:rPr>
      </w:pPr>
    </w:p>
    <w:p>
      <w:pPr>
        <w:ind w:left="220" w:right="6700" w:hanging="191"/>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NSCLC (administered alone or in combination with cemiplimab)</w:t>
      </w:r>
    </w:p>
    <w:p>
      <w:pPr>
        <w:spacing w:after="0" w:line="24" w:lineRule="exact"/>
        <w:rPr>
          <w:rFonts w:ascii="Arial" w:cs="Arial" w:eastAsia="Arial" w:hAnsi="Arial"/>
          <w:sz w:val="18"/>
          <w:szCs w:val="18"/>
          <w:color w:val="auto"/>
        </w:rPr>
      </w:pPr>
    </w:p>
    <w:p>
      <w:pPr>
        <w:ind w:left="220" w:hanging="19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-4975860</wp:posOffset>
            </wp:positionV>
            <wp:extent cx="721233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30861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-3946525</wp:posOffset>
            </wp:positionV>
            <wp:extent cx="72123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58293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-2780030</wp:posOffset>
            </wp:positionV>
            <wp:extent cx="721233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58293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-1751330</wp:posOffset>
            </wp:positionV>
            <wp:extent cx="721233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4577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-721995</wp:posOffset>
            </wp:positionV>
            <wp:extent cx="721233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580" w:space="100"/>
            <w:col w:w="8720"/>
          </w:cols>
          <w:pgMar w:left="240" w:top="130" w:right="25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hanging="114"/>
        <w:spacing w:after="0"/>
        <w:tabs>
          <w:tab w:leader="none" w:pos="46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U.S. Food and Drug Administration (FDA) granted orphan drug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40" w:right="300" w:firstLine="6"/>
        <w:spacing w:after="0" w:line="253" w:lineRule="auto"/>
        <w:tabs>
          <w:tab w:leader="none" w:pos="466"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1" w:lineRule="exact"/>
        <w:rPr>
          <w:rFonts w:ascii="Arial" w:cs="Arial" w:eastAsia="Arial" w:hAnsi="Arial"/>
          <w:sz w:val="9"/>
          <w:szCs w:val="9"/>
          <w:color w:val="auto"/>
        </w:rPr>
      </w:pPr>
    </w:p>
    <w:p>
      <w:pPr>
        <w:ind w:left="340" w:right="300" w:firstLine="6"/>
        <w:spacing w:after="0" w:line="238" w:lineRule="auto"/>
        <w:tabs>
          <w:tab w:leader="none" w:pos="481"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20"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60" w:hanging="114"/>
        <w:spacing w:after="0"/>
        <w:tabs>
          <w:tab w:leader="none" w:pos="460" w:val="left"/>
        </w:tabs>
        <w:numPr>
          <w:ilvl w:val="0"/>
          <w:numId w:val="8"/>
        </w:numPr>
        <w:rPr>
          <w:rFonts w:ascii="Arial" w:cs="Arial" w:eastAsia="Arial" w:hAnsi="Arial"/>
          <w:sz w:val="9"/>
          <w:szCs w:val="9"/>
          <w:color w:val="auto"/>
        </w:rPr>
      </w:pPr>
      <w:r>
        <w:rPr>
          <w:rFonts w:ascii="Arial" w:cs="Arial" w:eastAsia="Arial" w:hAnsi="Arial"/>
          <w:sz w:val="14"/>
          <w:szCs w:val="14"/>
          <w:color w:val="auto"/>
        </w:rPr>
        <w:t>Regulatory application submitted. Information in this column relates to U.S., EU, and Japan submissions only.</w:t>
      </w:r>
    </w:p>
    <w:p>
      <w:pPr>
        <w:spacing w:after="0" w:line="2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Kevzara,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2018 to date were, and plans for the next twelve months are, as follows:</w:t>
      </w:r>
    </w:p>
    <w:p>
      <w:pPr>
        <w:sectPr>
          <w:pgSz w:w="11900" w:h="16838" w:orient="portrait"/>
          <w:cols w:equalWidth="0" w:num="1">
            <w:col w:w="11400"/>
          </w:cols>
          <w:pgMar w:left="240" w:top="130" w:right="259" w:bottom="1440" w:gutter="0" w:footer="0" w:header="0"/>
        </w:sect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1140"/>
              <w:spacing w:after="0"/>
              <w:rPr>
                <w:sz w:val="20"/>
                <w:szCs w:val="20"/>
                <w:color w:val="auto"/>
              </w:rPr>
            </w:pPr>
            <w:r>
              <w:rPr>
                <w:rFonts w:ascii="Arial" w:cs="Arial" w:eastAsia="Arial" w:hAnsi="Arial"/>
                <w:sz w:val="18"/>
                <w:szCs w:val="18"/>
                <w:b w:val="1"/>
                <w:bCs w:val="1"/>
                <w:color w:val="auto"/>
              </w:rPr>
              <w:t>Clinical Program</w:t>
            </w:r>
          </w:p>
        </w:tc>
        <w:tc>
          <w:tcPr>
            <w:tcW w:w="180" w:type="dxa"/>
            <w:vAlign w:val="bottom"/>
          </w:tcPr>
          <w:p>
            <w:pPr>
              <w:spacing w:after="0"/>
              <w:rPr>
                <w:sz w:val="20"/>
                <w:szCs w:val="20"/>
                <w:color w:val="auto"/>
              </w:rPr>
            </w:pPr>
          </w:p>
        </w:tc>
        <w:tc>
          <w:tcPr>
            <w:tcW w:w="3740" w:type="dxa"/>
            <w:vAlign w:val="bottom"/>
          </w:tcPr>
          <w:p>
            <w:pPr>
              <w:ind w:left="1120"/>
              <w:spacing w:after="0"/>
              <w:rPr>
                <w:sz w:val="20"/>
                <w:szCs w:val="20"/>
                <w:color w:val="auto"/>
              </w:rPr>
            </w:pPr>
            <w:r>
              <w:rPr>
                <w:rFonts w:ascii="Arial" w:cs="Arial" w:eastAsia="Arial" w:hAnsi="Arial"/>
                <w:sz w:val="18"/>
                <w:szCs w:val="18"/>
                <w:b w:val="1"/>
                <w:bCs w:val="1"/>
                <w:color w:val="auto"/>
              </w:rPr>
              <w:t>2018 Events to Date</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r>
      <w:tr>
        <w:trPr>
          <w:trHeight w:val="222"/>
        </w:trPr>
        <w:tc>
          <w:tcPr>
            <w:tcW w:w="3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Chinese State Food and Drug Administration</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(CFDA) approved EYLEA for DME and wet</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AMD</w:t>
            </w:r>
          </w:p>
        </w:tc>
      </w:tr>
      <w:tr>
        <w:trPr>
          <w:trHeight w:val="27"/>
        </w:trPr>
        <w:tc>
          <w:tcPr>
            <w:tcW w:w="3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40" w:type="dxa"/>
            <w:vAlign w:val="bottom"/>
          </w:tcPr>
          <w:p>
            <w:pPr>
              <w:spacing w:after="0"/>
              <w:rPr>
                <w:sz w:val="2"/>
                <w:szCs w:val="2"/>
                <w:color w:val="auto"/>
              </w:rPr>
            </w:pPr>
          </w:p>
        </w:tc>
      </w:tr>
      <w:tr>
        <w:trPr>
          <w:trHeight w:val="229"/>
        </w:trPr>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Reported 24-week positive top-line results from</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Phase 3 PANORAMA study for the treatment of</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NPDR in patients without DME</w:t>
            </w:r>
          </w:p>
        </w:tc>
      </w:tr>
      <w:tr>
        <w:trPr>
          <w:trHeight w:val="526"/>
        </w:trPr>
        <w:tc>
          <w:tcPr>
            <w:tcW w:w="36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Reported that the Phase 3 PANORAMA study met</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its one-year primary endpoint and key secondary</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endpoints</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the treatment of diabetic</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retinopathy</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FDA issued Complete Response Letter (CRL)</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regarding the sBLA for pre-filled syringe</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Treat and Extend dosing regimen approved in the</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 for wet AMD</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FDA approved sBLA for every 12-week dosing</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regimen option after one year of effective therapy</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patients with wet AMD</w:t>
            </w:r>
          </w:p>
        </w:tc>
      </w:tr>
      <w:tr>
        <w:trPr>
          <w:trHeight w:val="277"/>
        </w:trPr>
        <w:tc>
          <w:tcPr>
            <w:tcW w:w="36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FDA approved sBLA for vial-only presentation</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Dupixent (dupilumab; IL-4R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9"/>
              </w:rPr>
              <w:t>Ÿ Ministry of Health, Labor and Welfare (MHLW)</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w w:val="96"/>
              </w:rPr>
              <w:t>in Japan approved Dupixent for the treatment of</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atopic dermatitis in adults not adequately</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controlled with existing therapies</w:t>
            </w: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7"/>
              </w:rPr>
              <w:t>Ÿ Initiated Phase 2/3 study in pediatric patients (6</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months–5 years of age) with severe atopic</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dermatitis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-4072890</wp:posOffset>
            </wp:positionV>
            <wp:extent cx="4965700"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65700"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714"/>
        <w:spacing w:after="0"/>
        <w:rPr>
          <w:sz w:val="20"/>
          <w:szCs w:val="20"/>
          <w:color w:val="auto"/>
        </w:rPr>
      </w:pPr>
      <w:r>
        <w:rPr>
          <w:rFonts w:ascii="Arial" w:cs="Arial" w:eastAsia="Arial" w:hAnsi="Arial"/>
          <w:sz w:val="18"/>
          <w:szCs w:val="18"/>
          <w:b w:val="1"/>
          <w:bCs w:val="1"/>
          <w:color w:val="auto"/>
        </w:rPr>
        <w:t>2018–2019 Plans (next 12 months)</w:t>
      </w:r>
    </w:p>
    <w:p>
      <w:pPr>
        <w:spacing w:after="0" w:line="81" w:lineRule="exact"/>
        <w:rPr>
          <w:sz w:val="20"/>
          <w:szCs w:val="20"/>
          <w:color w:val="auto"/>
        </w:rPr>
      </w:pPr>
    </w:p>
    <w:p>
      <w:pPr>
        <w:ind w:left="194" w:right="60" w:hanging="194"/>
        <w:spacing w:after="0" w:line="264"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decision on sBLA for the treatment of diabetic retinopathy (target action date of May 13, 2019)</w:t>
      </w:r>
    </w:p>
    <w:p>
      <w:pPr>
        <w:spacing w:after="0" w:line="19" w:lineRule="exact"/>
        <w:rPr>
          <w:rFonts w:ascii="Arial" w:cs="Arial" w:eastAsia="Arial" w:hAnsi="Arial"/>
          <w:sz w:val="18"/>
          <w:szCs w:val="18"/>
          <w:color w:val="auto"/>
        </w:rPr>
      </w:pPr>
    </w:p>
    <w:p>
      <w:pPr>
        <w:ind w:left="194" w:right="360" w:hanging="194"/>
        <w:spacing w:after="0" w:line="277"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Re-submission of Prior-Approval Supplement (PAS) for pre-filled syringe</w:t>
      </w:r>
    </w:p>
    <w:p>
      <w:pPr>
        <w:spacing w:after="0" w:line="8" w:lineRule="exact"/>
        <w:rPr>
          <w:rFonts w:ascii="Arial" w:cs="Arial" w:eastAsia="Arial" w:hAnsi="Arial"/>
          <w:sz w:val="18"/>
          <w:szCs w:val="18"/>
          <w:color w:val="auto"/>
        </w:rPr>
      </w:pPr>
    </w:p>
    <w:p>
      <w:pPr>
        <w:ind w:left="194" w:right="360" w:hanging="194"/>
        <w:spacing w:after="0" w:line="277"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 study of higher dose formulations of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-619760</wp:posOffset>
            </wp:positionV>
            <wp:extent cx="4845050" cy="260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4505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4" w:right="40" w:hanging="194"/>
        <w:spacing w:after="0" w:line="259"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decision on sBLA for expanded atopic dermatitis indication in adolescent patients (12–17 years of age) (target action date of March 11, 2019)</w:t>
      </w:r>
    </w:p>
    <w:p>
      <w:pPr>
        <w:spacing w:after="0" w:line="24" w:lineRule="exact"/>
        <w:rPr>
          <w:rFonts w:ascii="Arial" w:cs="Arial" w:eastAsia="Arial" w:hAnsi="Arial"/>
          <w:sz w:val="18"/>
          <w:szCs w:val="18"/>
          <w:color w:val="auto"/>
        </w:rPr>
      </w:pPr>
    </w:p>
    <w:p>
      <w:pPr>
        <w:ind w:left="194" w:right="520" w:hanging="194"/>
        <w:spacing w:after="0" w:line="277"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 decision on regulatory application for asthma</w:t>
      </w:r>
    </w:p>
    <w:p>
      <w:pPr>
        <w:spacing w:after="0" w:line="224" w:lineRule="exact"/>
        <w:rPr>
          <w:sz w:val="20"/>
          <w:szCs w:val="20"/>
          <w:color w:val="auto"/>
        </w:rPr>
      </w:pPr>
    </w:p>
    <w:p>
      <w:pPr>
        <w:sectPr>
          <w:pgSz w:w="11900" w:h="16838" w:orient="portrait"/>
          <w:cols w:equalWidth="0" w:num="2">
            <w:col w:w="7520" w:space="26"/>
            <w:col w:w="3854"/>
          </w:cols>
          <w:pgMar w:left="240" w:top="130" w:right="259" w:bottom="1440" w:gutter="0" w:footer="0" w:header="0"/>
          <w:type w:val="continuous"/>
        </w:sectPr>
      </w:pPr>
    </w:p>
    <w:p>
      <w:pPr>
        <w:ind w:left="3640"/>
        <w:spacing w:after="0"/>
        <w:tabs>
          <w:tab w:leader="none" w:pos="7520" w:val="left"/>
        </w:tabs>
        <w:rPr>
          <w:sz w:val="20"/>
          <w:szCs w:val="20"/>
          <w:color w:val="auto"/>
        </w:rPr>
      </w:pPr>
      <w:r>
        <w:rPr>
          <w:rFonts w:ascii="Arial" w:cs="Arial" w:eastAsia="Arial" w:hAnsi="Arial"/>
          <w:sz w:val="18"/>
          <w:szCs w:val="18"/>
          <w:color w:val="auto"/>
        </w:rPr>
        <w:t>Ÿ Reported positive results from Phase 3 study in</w:t>
      </w:r>
      <w:r>
        <w:rPr>
          <w:sz w:val="20"/>
          <w:szCs w:val="20"/>
          <w:color w:val="auto"/>
        </w:rPr>
        <w:tab/>
      </w:r>
      <w:r>
        <w:rPr>
          <w:rFonts w:ascii="Arial" w:cs="Arial" w:eastAsia="Arial" w:hAnsi="Arial"/>
          <w:sz w:val="17"/>
          <w:szCs w:val="17"/>
          <w:color w:val="auto"/>
        </w:rPr>
        <w:t>Ÿ Submit sBLA for CRSwNP</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adolescent patients (12–17 years of age) with</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atopic dermatitis</w:t>
      </w:r>
    </w:p>
    <w:p>
      <w:pPr>
        <w:spacing w:after="0" w:line="49" w:lineRule="exact"/>
        <w:rPr>
          <w:sz w:val="20"/>
          <w:szCs w:val="20"/>
          <w:color w:val="auto"/>
        </w:rPr>
      </w:pPr>
    </w:p>
    <w:p>
      <w:pPr>
        <w:ind w:left="3640"/>
        <w:spacing w:after="0"/>
        <w:tabs>
          <w:tab w:leader="none" w:pos="7520" w:val="left"/>
        </w:tabs>
        <w:rPr>
          <w:sz w:val="20"/>
          <w:szCs w:val="20"/>
          <w:color w:val="auto"/>
        </w:rPr>
      </w:pPr>
      <w:r>
        <w:rPr>
          <w:rFonts w:ascii="Arial" w:cs="Arial" w:eastAsia="Arial" w:hAnsi="Arial"/>
          <w:sz w:val="18"/>
          <w:szCs w:val="18"/>
          <w:color w:val="auto"/>
        </w:rPr>
        <w:t>Ÿ FDA accepted for priority review sBLA for</w:t>
      </w:r>
      <w:r>
        <w:rPr>
          <w:sz w:val="20"/>
          <w:szCs w:val="20"/>
          <w:color w:val="auto"/>
        </w:rPr>
        <w:tab/>
      </w:r>
      <w:r>
        <w:rPr>
          <w:rFonts w:ascii="Arial" w:cs="Arial" w:eastAsia="Arial" w:hAnsi="Arial"/>
          <w:sz w:val="16"/>
          <w:szCs w:val="16"/>
          <w:color w:val="auto"/>
        </w:rPr>
        <w:t>Ÿ Initiate Phase 2/3 program in COPD</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expanded atopic dermatitis indication in</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adolescent patients (12–17 years of age)</w:t>
      </w:r>
    </w:p>
    <w:p>
      <w:pPr>
        <w:spacing w:after="0" w:line="49" w:lineRule="exact"/>
        <w:rPr>
          <w:sz w:val="20"/>
          <w:szCs w:val="20"/>
          <w:color w:val="auto"/>
        </w:rPr>
      </w:pPr>
    </w:p>
    <w:p>
      <w:pPr>
        <w:ind w:left="3820" w:right="4040" w:hanging="190"/>
        <w:spacing w:after="0" w:line="305" w:lineRule="auto"/>
        <w:tabs>
          <w:tab w:leader="none" w:pos="3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Submitted Marketing Authorization Application (MAA) for expanded atopic dermatitis indication in adolescent patients (12–17 years of age)</w:t>
      </w:r>
    </w:p>
    <w:p>
      <w:pPr>
        <w:ind w:left="3820" w:right="4340" w:hanging="190"/>
        <w:spacing w:after="0" w:line="317" w:lineRule="auto"/>
        <w:tabs>
          <w:tab w:leader="none" w:pos="3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FDA approved sBLA for moderate-to-severe asthma in patients 12 years of age and older</w:t>
      </w:r>
    </w:p>
    <w:p>
      <w:pPr>
        <w:ind w:left="3820" w:right="3960" w:hanging="190"/>
        <w:spacing w:after="0" w:line="259" w:lineRule="auto"/>
        <w:tabs>
          <w:tab w:leader="none" w:pos="3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application for asthma accepted for review by the European Medicines Agency (EMA) and Pharmaceuticals and Medical Devices Agency (PMDA) in Japan</w:t>
      </w:r>
    </w:p>
    <w:p>
      <w:pPr>
        <w:spacing w:after="0" w:line="24" w:lineRule="exact"/>
        <w:rPr>
          <w:rFonts w:ascii="Arial" w:cs="Arial" w:eastAsia="Arial" w:hAnsi="Arial"/>
          <w:sz w:val="18"/>
          <w:szCs w:val="18"/>
          <w:color w:val="auto"/>
        </w:rPr>
      </w:pPr>
    </w:p>
    <w:p>
      <w:pPr>
        <w:ind w:left="3820" w:right="3980" w:hanging="190"/>
        <w:spacing w:after="0" w:line="305" w:lineRule="auto"/>
        <w:tabs>
          <w:tab w:leader="none" w:pos="3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Positive results from two Phase 3 trials for the treatment of moderate-to-severe asthma published in the </w:t>
      </w:r>
      <w:r>
        <w:rPr>
          <w:rFonts w:ascii="Arial" w:cs="Arial" w:eastAsia="Arial" w:hAnsi="Arial"/>
          <w:sz w:val="16"/>
          <w:szCs w:val="16"/>
          <w:i w:val="1"/>
          <w:iCs w:val="1"/>
          <w:color w:val="auto"/>
        </w:rPr>
        <w:t>New England Journal of Medicine</w:t>
      </w:r>
    </w:p>
    <w:p>
      <w:pPr>
        <w:ind w:left="3820" w:hanging="190"/>
        <w:spacing w:after="0"/>
        <w:tabs>
          <w:tab w:leader="none" w:pos="3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Initiated Phase 2 study in grass allergy</w:t>
      </w:r>
    </w:p>
    <w:p>
      <w:pPr>
        <w:sectPr>
          <w:pgSz w:w="11900" w:h="16838" w:orient="portrait"/>
          <w:cols w:equalWidth="0" w:num="1">
            <w:col w:w="11400"/>
          </w:cols>
          <w:pgMar w:left="240" w:top="130" w:right="25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30" w:right="25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68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40" w:type="dxa"/>
            <w:vAlign w:val="bottom"/>
          </w:tcPr>
          <w:p>
            <w:pPr>
              <w:ind w:left="1120"/>
              <w:spacing w:after="0"/>
              <w:rPr>
                <w:sz w:val="20"/>
                <w:szCs w:val="20"/>
                <w:color w:val="auto"/>
              </w:rPr>
            </w:pPr>
            <w:r>
              <w:rPr>
                <w:rFonts w:ascii="Arial" w:cs="Arial" w:eastAsia="Arial" w:hAnsi="Arial"/>
                <w:sz w:val="18"/>
                <w:szCs w:val="18"/>
                <w:b w:val="1"/>
                <w:bCs w:val="1"/>
                <w:color w:val="auto"/>
              </w:rPr>
              <w:t>2018 Events to Date</w:t>
            </w:r>
          </w:p>
        </w:tc>
        <w:tc>
          <w:tcPr>
            <w:tcW w:w="180" w:type="dxa"/>
            <w:vAlign w:val="bottom"/>
          </w:tcPr>
          <w:p>
            <w:pPr>
              <w:spacing w:after="0"/>
              <w:rPr>
                <w:sz w:val="20"/>
                <w:szCs w:val="20"/>
                <w:color w:val="auto"/>
              </w:rPr>
            </w:pPr>
          </w:p>
        </w:tc>
        <w:tc>
          <w:tcPr>
            <w:tcW w:w="3720" w:type="dxa"/>
            <w:vAlign w:val="bottom"/>
          </w:tcPr>
          <w:p>
            <w:pPr>
              <w:ind w:left="56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2"/>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Dupixent (dupilumab; IL-4R Antibody)</w:t>
            </w:r>
          </w:p>
        </w:tc>
        <w:tc>
          <w:tcPr>
            <w:tcW w:w="180" w:type="dxa"/>
            <w:vAlign w:val="bottom"/>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Initiated Phase 2/3 study in eosinophilic</w:t>
            </w:r>
          </w:p>
        </w:tc>
        <w:tc>
          <w:tcPr>
            <w:tcW w:w="180" w:type="dxa"/>
            <w:vAlign w:val="bottom"/>
          </w:tcPr>
          <w:p>
            <w:pPr>
              <w:spacing w:after="0"/>
              <w:rPr>
                <w:sz w:val="19"/>
                <w:szCs w:val="19"/>
                <w:color w:val="auto"/>
              </w:rPr>
            </w:pPr>
          </w:p>
        </w:tc>
        <w:tc>
          <w:tcPr>
            <w:tcW w:w="3720" w:type="dxa"/>
            <w:vAlign w:val="bottom"/>
            <w:tcBorders>
              <w:top w:val="single" w:sz="8" w:color="auto"/>
            </w:tcBorders>
          </w:tcPr>
          <w:p>
            <w:pPr>
              <w:spacing w:after="0"/>
              <w:rPr>
                <w:sz w:val="19"/>
                <w:szCs w:val="19"/>
                <w:color w:val="auto"/>
              </w:rPr>
            </w:pP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esophagitis</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2 study in peanut allergy</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3"/>
              </w:rPr>
              <w:t>Ÿ Submitted sBLA for auto-injector for 200 mg dose</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2"/>
              </w:rPr>
              <w:t>Ÿ Reported positive top-line results from both Phase</w:t>
            </w:r>
          </w:p>
        </w:tc>
        <w:tc>
          <w:tcPr>
            <w:tcW w:w="18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3 trials of patients with CRSwNP</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Praluent (alirocumab; PCSK9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Reported positive results from ODYSSEY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FDA (target action date of April 28, 2019) and</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OUTCOMES study</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EMA decisions on applications for cardiovascular</w:t>
            </w:r>
          </w:p>
        </w:tc>
      </w:tr>
      <w:tr>
        <w:trPr>
          <w:trHeight w:val="270"/>
        </w:trPr>
        <w:tc>
          <w:tcPr>
            <w:tcW w:w="36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Submitted sBLA and MAA for cardiovascular risk</w:t>
            </w:r>
          </w:p>
        </w:tc>
        <w:tc>
          <w:tcPr>
            <w:tcW w:w="180" w:type="dxa"/>
            <w:vAlign w:val="bottom"/>
            <w:shd w:val="clear" w:color="auto" w:fill="CCEEFF"/>
          </w:tcPr>
          <w:p>
            <w:pPr>
              <w:spacing w:after="0"/>
              <w:rPr>
                <w:sz w:val="23"/>
                <w:szCs w:val="23"/>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reduction</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first-line treatment of</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FDA decision on sBLA for first-line treatment of</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hyperlipidemia</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hyperlipidemia (target action date of April 29,</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Initiated Phase 3 pediatric studies in HeFH and</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HoFH</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77"/>
        </w:trPr>
        <w:tc>
          <w:tcPr>
            <w:tcW w:w="36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FDA approved sBLA for use with apheresis</w:t>
            </w:r>
          </w:p>
        </w:tc>
        <w:tc>
          <w:tcPr>
            <w:tcW w:w="18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shd w:val="clear" w:color="auto" w:fill="CCEEFF"/>
          </w:tcPr>
          <w:p>
            <w:pPr>
              <w:spacing w:after="0"/>
              <w:rPr>
                <w:sz w:val="24"/>
                <w:szCs w:val="24"/>
                <w:color w:val="auto"/>
              </w:rPr>
            </w:pP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Kevzara (sarilumab; IL-6R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FDA approved sBLA for single-dose pre-filled</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3 study in giant cell arteritis</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pen presentation</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2 study in sJIA</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0"/>
        </w:trPr>
        <w:tc>
          <w:tcPr>
            <w:tcW w:w="3600" w:type="dxa"/>
            <w:vAlign w:val="bottom"/>
          </w:tcPr>
          <w:p>
            <w:pPr>
              <w:spacing w:after="0"/>
              <w:rPr>
                <w:sz w:val="23"/>
                <w:szCs w:val="23"/>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3"/>
              </w:rPr>
              <w:t>Ÿ Initiated Phase 3 study in polymyalgia rheumatica</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3900" w:type="dxa"/>
            <w:vAlign w:val="bottom"/>
            <w:gridSpan w:val="2"/>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Libtayo (cemiplimab; PD-1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EMA accepted for review MAA for advanced</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Ÿ Regulatory agency decision for advanced CSCC</w:t>
            </w: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CSCC</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the EU</w:t>
            </w:r>
          </w:p>
        </w:tc>
      </w:tr>
      <w:tr>
        <w:trPr>
          <w:trHeight w:val="229"/>
        </w:trPr>
        <w:tc>
          <w:tcPr>
            <w:tcW w:w="3600" w:type="dxa"/>
            <w:vAlign w:val="bottom"/>
          </w:tcPr>
          <w:p>
            <w:pPr>
              <w:spacing w:after="0"/>
              <w:rPr>
                <w:sz w:val="19"/>
                <w:szCs w:val="19"/>
                <w:color w:val="auto"/>
              </w:rPr>
            </w:pP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Positive results from pivotal trial in advanced</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Ÿ Initiate additional studies in various indications</w:t>
            </w:r>
          </w:p>
        </w:tc>
      </w:tr>
      <w:tr>
        <w:trPr>
          <w:trHeight w:val="216"/>
        </w:trPr>
        <w:tc>
          <w:tcPr>
            <w:tcW w:w="36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CSCC published in the New England Journal of</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37"/>
        </w:trPr>
        <w:tc>
          <w:tcPr>
            <w:tcW w:w="36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Medicine</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29"/>
        </w:trPr>
        <w:tc>
          <w:tcPr>
            <w:tcW w:w="36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99"/>
              </w:rPr>
              <w:t>Ÿ</w:t>
            </w:r>
          </w:p>
        </w:tc>
        <w:tc>
          <w:tcPr>
            <w:tcW w:w="7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FDA approved BLA for the treatment of advanced Ÿ Continue patient enrollment in NSCLC and</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CSCC</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various other studies</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246620" cy="1680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18"/>
          <w:szCs w:val="18"/>
          <w:color w:val="auto"/>
        </w:rPr>
        <w:t>Ÿ Reported positive results from Phase 1 study in</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advanced NSCLC</w:t>
      </w:r>
    </w:p>
    <w:p>
      <w:pPr>
        <w:spacing w:after="0" w:line="4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Ÿ Initiated additional Phase 3 studies in advanced</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NSCLC</w:t>
      </w:r>
    </w:p>
    <w:p>
      <w:pPr>
        <w:sectPr>
          <w:pgSz w:w="11900" w:h="16838" w:orient="portrait"/>
          <w:cols w:equalWidth="0" w:num="1">
            <w:col w:w="11420"/>
          </w:cols>
          <w:pgMar w:left="240" w:top="130" w:right="239" w:bottom="1440" w:gutter="0" w:footer="0" w:header="0"/>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3800" w:type="dxa"/>
            <w:vAlign w:val="bottom"/>
          </w:tcPr>
          <w:p>
            <w:pPr>
              <w:ind w:left="40"/>
              <w:spacing w:after="0"/>
              <w:rPr>
                <w:sz w:val="20"/>
                <w:szCs w:val="20"/>
                <w:color w:val="auto"/>
              </w:rPr>
            </w:pPr>
            <w:r>
              <w:rPr>
                <w:rFonts w:ascii="Arial" w:cs="Arial" w:eastAsia="Arial" w:hAnsi="Arial"/>
                <w:sz w:val="18"/>
                <w:szCs w:val="18"/>
                <w:color w:val="auto"/>
                <w:w w:val="91"/>
              </w:rPr>
              <w:t>Ÿ Completed patient enrollment in the efficacy sub-</w:t>
            </w:r>
          </w:p>
        </w:tc>
      </w:tr>
      <w:tr>
        <w:trPr>
          <w:trHeight w:val="216"/>
        </w:trPr>
        <w:tc>
          <w:tcPr>
            <w:tcW w:w="360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w w:val="97"/>
              </w:rPr>
              <w:t>study of the Phase 3 long-term safety study in</w:t>
            </w:r>
          </w:p>
        </w:tc>
      </w:tr>
      <w:tr>
        <w:trPr>
          <w:trHeight w:val="230"/>
        </w:trPr>
        <w:tc>
          <w:tcPr>
            <w:tcW w:w="360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osteoarthritis</w:t>
            </w:r>
          </w:p>
        </w:tc>
      </w:tr>
      <w:tr>
        <w:trPr>
          <w:trHeight w:val="256"/>
        </w:trPr>
        <w:tc>
          <w:tcPr>
            <w:tcW w:w="3600" w:type="dxa"/>
            <w:vAlign w:val="bottom"/>
          </w:tcPr>
          <w:p>
            <w:pPr>
              <w:spacing w:after="0"/>
              <w:rPr>
                <w:sz w:val="22"/>
                <w:szCs w:val="22"/>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w w:val="93"/>
              </w:rPr>
              <w:t>Ÿ Independent Data Monitoring Committee (DMC)</w:t>
            </w:r>
          </w:p>
        </w:tc>
      </w:tr>
      <w:tr>
        <w:trPr>
          <w:trHeight w:val="216"/>
        </w:trPr>
        <w:tc>
          <w:tcPr>
            <w:tcW w:w="360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recommended higher dose-regimens be</w:t>
            </w:r>
          </w:p>
        </w:tc>
      </w:tr>
      <w:tr>
        <w:trPr>
          <w:trHeight w:val="216"/>
        </w:trPr>
        <w:tc>
          <w:tcPr>
            <w:tcW w:w="360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w w:val="97"/>
              </w:rPr>
              <w:t>discontinued, and osteoarthritis trials modified</w:t>
            </w:r>
          </w:p>
        </w:tc>
      </w:tr>
      <w:tr>
        <w:trPr>
          <w:trHeight w:val="230"/>
        </w:trPr>
        <w:tc>
          <w:tcPr>
            <w:tcW w:w="360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accordingly</w:t>
            </w:r>
          </w:p>
        </w:tc>
      </w:tr>
      <w:tr>
        <w:trPr>
          <w:trHeight w:val="256"/>
        </w:trPr>
        <w:tc>
          <w:tcPr>
            <w:tcW w:w="3600" w:type="dxa"/>
            <w:vAlign w:val="bottom"/>
          </w:tcPr>
          <w:p>
            <w:pPr>
              <w:spacing w:after="0"/>
              <w:rPr>
                <w:sz w:val="22"/>
                <w:szCs w:val="22"/>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w w:val="94"/>
              </w:rPr>
              <w:t>Ÿ Discontinued dosing in chronic low back pain in</w:t>
            </w:r>
          </w:p>
        </w:tc>
      </w:tr>
      <w:tr>
        <w:trPr>
          <w:trHeight w:val="216"/>
        </w:trPr>
        <w:tc>
          <w:tcPr>
            <w:tcW w:w="360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w w:val="98"/>
              </w:rPr>
              <w:t>patients with concomitant osteoarthritis of the</w:t>
            </w:r>
          </w:p>
        </w:tc>
      </w:tr>
      <w:tr>
        <w:trPr>
          <w:trHeight w:val="230"/>
        </w:trPr>
        <w:tc>
          <w:tcPr>
            <w:tcW w:w="360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knee and hip</w:t>
            </w:r>
          </w:p>
        </w:tc>
      </w:tr>
      <w:tr>
        <w:trPr>
          <w:trHeight w:val="256"/>
        </w:trPr>
        <w:tc>
          <w:tcPr>
            <w:tcW w:w="3600" w:type="dxa"/>
            <w:vAlign w:val="bottom"/>
          </w:tcPr>
          <w:p>
            <w:pPr>
              <w:spacing w:after="0"/>
              <w:rPr>
                <w:sz w:val="22"/>
                <w:szCs w:val="22"/>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w w:val="91"/>
              </w:rPr>
              <w:t>Ÿ Reported positive top-line results from first Phase</w:t>
            </w:r>
          </w:p>
        </w:tc>
      </w:tr>
      <w:tr>
        <w:trPr>
          <w:trHeight w:val="230"/>
        </w:trPr>
        <w:tc>
          <w:tcPr>
            <w:tcW w:w="360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3 efficacy study in osteoarthritis</w:t>
            </w:r>
          </w:p>
        </w:tc>
      </w:tr>
      <w:tr>
        <w:trPr>
          <w:trHeight w:val="27"/>
        </w:trPr>
        <w:tc>
          <w:tcPr>
            <w:tcW w:w="360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3800" w:type="dxa"/>
            <w:vAlign w:val="bottom"/>
          </w:tcPr>
          <w:p>
            <w:pPr>
              <w:ind w:left="40"/>
              <w:spacing w:after="0"/>
              <w:rPr>
                <w:sz w:val="20"/>
                <w:szCs w:val="20"/>
                <w:color w:val="auto"/>
              </w:rPr>
            </w:pPr>
            <w:r>
              <w:rPr>
                <w:rFonts w:ascii="Arial" w:cs="Arial" w:eastAsia="Arial" w:hAnsi="Arial"/>
                <w:sz w:val="18"/>
                <w:szCs w:val="18"/>
                <w:color w:val="auto"/>
              </w:rPr>
              <w:t>Ÿ Initiated Phase 3 study in HoFH</w:t>
            </w:r>
          </w:p>
        </w:tc>
      </w:tr>
      <w:tr>
        <w:trPr>
          <w:trHeight w:val="256"/>
        </w:trPr>
        <w:tc>
          <w:tcPr>
            <w:tcW w:w="3600" w:type="dxa"/>
            <w:vAlign w:val="bottom"/>
            <w:shd w:val="clear" w:color="auto" w:fill="CCEEFF"/>
          </w:tcPr>
          <w:p>
            <w:pPr>
              <w:spacing w:after="0"/>
              <w:rPr>
                <w:sz w:val="22"/>
                <w:szCs w:val="22"/>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Ÿ Initiated Phase 2 study in severe</w:t>
            </w:r>
          </w:p>
        </w:tc>
      </w:tr>
      <w:tr>
        <w:trPr>
          <w:trHeight w:val="230"/>
        </w:trPr>
        <w:tc>
          <w:tcPr>
            <w:tcW w:w="3600" w:type="dxa"/>
            <w:vAlign w:val="bottom"/>
            <w:shd w:val="clear" w:color="auto" w:fill="CCEEFF"/>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hypertriglyceridemia</w:t>
            </w:r>
          </w:p>
        </w:tc>
      </w:tr>
      <w:tr>
        <w:trPr>
          <w:trHeight w:val="27"/>
        </w:trPr>
        <w:tc>
          <w:tcPr>
            <w:tcW w:w="3600" w:type="dxa"/>
            <w:vAlign w:val="bottom"/>
            <w:shd w:val="clear" w:color="auto" w:fill="CCEEFF"/>
          </w:tcPr>
          <w:p>
            <w:pPr>
              <w:spacing w:after="0"/>
              <w:rPr>
                <w:sz w:val="2"/>
                <w:szCs w:val="2"/>
                <w:color w:val="auto"/>
              </w:rPr>
            </w:pPr>
          </w:p>
        </w:tc>
        <w:tc>
          <w:tcPr>
            <w:tcW w:w="38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94" w:right="120" w:hanging="194"/>
        <w:spacing w:after="0" w:line="264" w:lineRule="auto"/>
        <w:tabs>
          <w:tab w:leader="none" w:pos="1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patient enrollment in Phase 3 long-term safety study and Phase 3 efficacy studies in osteoarthritis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1513205</wp:posOffset>
            </wp:positionV>
            <wp:extent cx="496570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65700" cy="308610"/>
                    </a:xfrm>
                    <a:prstGeom prst="rect">
                      <a:avLst/>
                    </a:prstGeom>
                    <a:noFill/>
                  </pic:spPr>
                </pic:pic>
              </a:graphicData>
            </a:graphic>
          </wp:anchor>
        </w:drawing>
      </w:r>
    </w:p>
    <w:p>
      <w:pPr>
        <w:spacing w:after="0" w:line="2882" w:lineRule="exact"/>
        <w:rPr>
          <w:sz w:val="20"/>
          <w:szCs w:val="20"/>
          <w:color w:val="auto"/>
        </w:rPr>
      </w:pPr>
    </w:p>
    <w:p>
      <w:pPr>
        <w:sectPr>
          <w:pgSz w:w="11900" w:h="16838" w:orient="portrait"/>
          <w:cols w:equalWidth="0" w:num="2">
            <w:col w:w="7400" w:space="146"/>
            <w:col w:w="3874"/>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Garetosmab (REGN2477; Activin A Antibody)</w:t>
            </w:r>
          </w:p>
        </w:tc>
        <w:tc>
          <w:tcPr>
            <w:tcW w:w="3660" w:type="dxa"/>
            <w:vAlign w:val="bottom"/>
          </w:tcPr>
          <w:p>
            <w:pPr>
              <w:ind w:left="40"/>
              <w:spacing w:after="0"/>
              <w:rPr>
                <w:sz w:val="20"/>
                <w:szCs w:val="20"/>
                <w:color w:val="auto"/>
              </w:rPr>
            </w:pPr>
            <w:r>
              <w:rPr>
                <w:rFonts w:ascii="Arial" w:cs="Arial" w:eastAsia="Arial" w:hAnsi="Arial"/>
                <w:sz w:val="18"/>
                <w:szCs w:val="18"/>
                <w:color w:val="auto"/>
                <w:w w:val="98"/>
              </w:rPr>
              <w:t>Ÿ Initiated Phase 2 study in patients with FOP</w:t>
            </w:r>
          </w:p>
        </w:tc>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REGN3500 (IL-33 Antibody)</w:t>
            </w: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 Initiated Phase 2 study in asthma</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 Phase 2 study in atopic dermatitis</w:t>
            </w:r>
          </w:p>
        </w:tc>
      </w:tr>
      <w:tr>
        <w:trPr>
          <w:trHeight w:val="270"/>
        </w:trPr>
        <w:tc>
          <w:tcPr>
            <w:tcW w:w="3600" w:type="dxa"/>
            <w:vAlign w:val="bottom"/>
            <w:shd w:val="clear" w:color="auto" w:fill="CCEEFF"/>
          </w:tcPr>
          <w:p>
            <w:pPr>
              <w:spacing w:after="0"/>
              <w:rPr>
                <w:sz w:val="23"/>
                <w:szCs w:val="23"/>
                <w:color w:val="auto"/>
              </w:rPr>
            </w:pPr>
          </w:p>
        </w:tc>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 Initiated Phase 2 study in COPD</w:t>
            </w:r>
          </w:p>
        </w:tc>
        <w:tc>
          <w:tcPr>
            <w:tcW w:w="44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r>
      <w:tr>
        <w:trPr>
          <w:trHeight w:val="27"/>
        </w:trPr>
        <w:tc>
          <w:tcPr>
            <w:tcW w:w="36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68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40" w:type="dxa"/>
            <w:vAlign w:val="bottom"/>
          </w:tcPr>
          <w:p>
            <w:pPr>
              <w:ind w:left="1120"/>
              <w:spacing w:after="0"/>
              <w:rPr>
                <w:sz w:val="20"/>
                <w:szCs w:val="20"/>
                <w:color w:val="auto"/>
              </w:rPr>
            </w:pPr>
            <w:r>
              <w:rPr>
                <w:rFonts w:ascii="Arial" w:cs="Arial" w:eastAsia="Arial" w:hAnsi="Arial"/>
                <w:sz w:val="18"/>
                <w:szCs w:val="18"/>
                <w:b w:val="1"/>
                <w:bCs w:val="1"/>
                <w:color w:val="auto"/>
              </w:rPr>
              <w:t>2018 Events to Date</w:t>
            </w:r>
          </w:p>
        </w:tc>
        <w:tc>
          <w:tcPr>
            <w:tcW w:w="180" w:type="dxa"/>
            <w:vAlign w:val="bottom"/>
          </w:tcPr>
          <w:p>
            <w:pPr>
              <w:spacing w:after="0"/>
              <w:rPr>
                <w:sz w:val="20"/>
                <w:szCs w:val="20"/>
                <w:color w:val="auto"/>
              </w:rPr>
            </w:pPr>
          </w:p>
        </w:tc>
        <w:tc>
          <w:tcPr>
            <w:tcW w:w="3720" w:type="dxa"/>
            <w:vAlign w:val="bottom"/>
          </w:tcPr>
          <w:p>
            <w:pPr>
              <w:ind w:left="560"/>
              <w:spacing w:after="0"/>
              <w:rPr>
                <w:sz w:val="20"/>
                <w:szCs w:val="20"/>
                <w:color w:val="auto"/>
              </w:rPr>
            </w:pPr>
            <w:r>
              <w:rPr>
                <w:rFonts w:ascii="Arial" w:cs="Arial" w:eastAsia="Arial" w:hAnsi="Arial"/>
                <w:sz w:val="18"/>
                <w:szCs w:val="18"/>
                <w:b w:val="1"/>
                <w:bCs w:val="1"/>
                <w:color w:val="auto"/>
              </w:rPr>
              <w:t>2018–2019 Plans (next 12 months)</w:t>
            </w:r>
          </w:p>
        </w:tc>
      </w:tr>
      <w:tr>
        <w:trPr>
          <w:trHeight w:val="27"/>
        </w:trPr>
        <w:tc>
          <w:tcPr>
            <w:tcW w:w="378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r>
      <w:tr>
        <w:trPr>
          <w:trHeight w:val="222"/>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89"/>
              </w:rPr>
              <w:t>Trevogrumab (GDF8 Antibody) in combination</w:t>
            </w:r>
          </w:p>
        </w:tc>
        <w:tc>
          <w:tcPr>
            <w:tcW w:w="180" w:type="dxa"/>
            <w:vAlign w:val="bottom"/>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Reported positive results from single-dose portion</w:t>
            </w:r>
          </w:p>
        </w:tc>
        <w:tc>
          <w:tcPr>
            <w:tcW w:w="180" w:type="dxa"/>
            <w:vAlign w:val="bottom"/>
          </w:tcPr>
          <w:p>
            <w:pPr>
              <w:ind w:left="20"/>
              <w:spacing w:after="0"/>
              <w:rPr>
                <w:sz w:val="20"/>
                <w:szCs w:val="20"/>
                <w:color w:val="auto"/>
              </w:rPr>
            </w:pPr>
            <w:r>
              <w:rPr>
                <w:rFonts w:ascii="Arial" w:cs="Arial" w:eastAsia="Arial" w:hAnsi="Arial"/>
                <w:sz w:val="18"/>
                <w:szCs w:val="18"/>
                <w:color w:val="auto"/>
              </w:rPr>
              <w:t>Ÿ</w:t>
            </w:r>
          </w:p>
        </w:tc>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Report results from multi-dose portion of Phase 1</w:t>
            </w: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with REGN2477</w:t>
            </w: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of Phase 1 study</w:t>
            </w: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study</w:t>
            </w:r>
          </w:p>
        </w:tc>
      </w:tr>
      <w:tr>
        <w:trPr>
          <w:trHeight w:val="256"/>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programs in type 2 diabetes,</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w w:val="93"/>
              </w:rPr>
              <w:t>sarcopenia, and sporadic inclusion body myositis</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(sIBM)</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1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Ÿ Initiate Phase 2 study in cat allergic asthmatics</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REGN1979 (CD20 and CD3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4"/>
              </w:rPr>
              <w:t>Ÿ FDA granted orphan drug designation in follicular</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6"/>
              </w:rPr>
              <w:t>Ÿ Continue evaluation in non-Hodgkin lymphomas</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lymphoma (FL)</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potentially pivotal Phase 2 study in FL</w:t>
            </w:r>
          </w:p>
        </w:tc>
      </w:tr>
      <w:tr>
        <w:trPr>
          <w:trHeight w:val="256"/>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study in diffuse large B-cell</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lymphoma (DLBCL)</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REGN-EB3 (REGN3470-3471-3479; Multi-</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Being used investigationally in the Democratic</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Initiate pivotal healthy volunteer safety study</w:t>
            </w:r>
          </w:p>
        </w:tc>
      </w:tr>
      <w:tr>
        <w:trPr>
          <w:trHeight w:val="216"/>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antibody therapy to Ebola virus)</w:t>
            </w: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Republic of the Congo in Ebola virus infection</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outbreak</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29"/>
        </w:trPr>
        <w:tc>
          <w:tcPr>
            <w:tcW w:w="75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7"/>
              </w:rPr>
              <w:t xml:space="preserve">REGN3048-3051 (Multiple-antibody therapy to </w:t>
            </w:r>
            <w:r>
              <w:rPr>
                <w:rFonts w:ascii="Arial" w:cs="Arial" w:eastAsia="Arial" w:hAnsi="Arial"/>
                <w:sz w:val="18"/>
                <w:szCs w:val="18"/>
                <w:color w:val="auto"/>
                <w:w w:val="97"/>
              </w:rPr>
              <w:t>Ÿ Initiated Phase 1 study in healthy volunteers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Complete Phase 1 study in healthy volunteers</w:t>
            </w: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MERS)</w:t>
            </w: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REGN3767 (LAG-3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Ÿ Opened monotherapy expansion cohorts as well as</w:t>
            </w:r>
          </w:p>
        </w:tc>
        <w:tc>
          <w:tcPr>
            <w:tcW w:w="1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combination with cemiplimab in multiple</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indications</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Pozelimab (REGN3918; C5 Antibody)</w:t>
            </w:r>
          </w:p>
        </w:tc>
        <w:tc>
          <w:tcPr>
            <w:tcW w:w="1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Complete Phase 1 study in healthy volunteers</w:t>
            </w:r>
          </w:p>
        </w:tc>
      </w:tr>
      <w:tr>
        <w:trPr>
          <w:trHeight w:val="270"/>
        </w:trPr>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study in PNH</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REGN4461 (LEPR Agonist Antibody)</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Ÿ Initiate Phase 2 study in generalized lipodystrophy</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REGN4018 (MUC16 and CD3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1 study in platinum-resistant</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ovarian cancer</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REGN4659 (CTLA4 Antibody)</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advanced NSCLC</w:t>
            </w:r>
          </w:p>
        </w:tc>
        <w:tc>
          <w:tcPr>
            <w:tcW w:w="18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REGN5069 (GFRα3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Complete Phase 1 study in healthy volunteers</w:t>
            </w:r>
          </w:p>
        </w:tc>
      </w:tr>
      <w:tr>
        <w:trPr>
          <w:trHeight w:val="270"/>
        </w:trPr>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study in osteoarthritis</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Additional Information on 2018 Developments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2018, we announced that the Phase 3 PANORAMA trial evaluating EYLEA in NPDR met its 24-week primary endpoint. PANORAMA is an ongoing, pivotal, double-masked, randomized two-year trial that enrolled 402 patients and is designed to investigate EYLEA for the improvement of moderately severe and severe NPDR without DME, compared to sham injection. In October 2018, we announced that the Phase 3 PANORAMA trial met its one-year (52-week) primary endpoint and key secondary endpoints.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2018, we also announced that the FDA issued a CRL regarding the Chemistry, Manufacturing, and Controls (CMC) PAS for the EYLEA pre-filled syringe. The CRL requested additional information regarding manufacturing and supply processes and the completion of a usability study evaluating a single injection of the EYLEA pre-filled syringe in approximately 30 patients. We expect to compile all the requested information and resubmit the PAS in the first half of 2019.</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May 2018, we and Sanofi announced that a pivotal Phase 3 trial evaluating Dupixent to treat moderate-to-severe atopic dermatitis in adolescents (ages 12–17) met its primary and key secondary endpoints. In the trial, treatment with Dupixent as monotherapy significantly improved measures of overall disease severity, skin clearing, itching and certain health-related quality of life measures. Patients treated with Dupixent had significant improvement in disease severity at 16 weeks. The primary endpoints were the proportion of patients achieving Investigator's Global Assessment (IGA) score of 0 (clear) or 1 (almost clear) and 75% improvement in Eczema Area and Severity Index (EASI-75, co-primary endpoint outside of the U.S.) at 16 weeks.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2018, we and Sanofi announced that both pivotal Phase 3 placebo-controlled trials evaluating Dupixent in adults with inadequately-controlled chronic rhinosinusitis with nasal polyps met all their primary and secondary endpoints. In these trials, Dupixent significantly reduced nasal polyp size, nasal congestion severity, and need for systemic corticosteroids and/or surgery. The rates of adverse events were generally similar across Dupixent and placebo, and no new or unexpected side effects related to Dupixent were observed.</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2018, we and Sanofi announced that the ODYSSEY OUTCOMES trial met its primary endpoint, demonstrating that high-risk patients who added Praluent to maximally-tolerated statins experienced significantly fewer major adverse cardiovascular events compared to those on maximally-tolerated statins alone. For the first time, adding a lipid-lowering therapy to maximally-tolerated statins was associated with reduced death from any cause. A more pronounced effect was observed in patients with baseline LDL-cholesterol (LDL-C) levels at or above 100 mg/dL despite maximally-tolerated statins, who are at high risk of suffering a future event; in this group, Praluent reduced risk of major adverse cardiovascular events by 24% and was associated with a 29% reduced death from any cause. In this 18,924-patient, long-term trial, the safety profile of Praluent was consistent with previous trials and no new safety issues were observed.</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Based on the positive results from this trial, an sBLA and an MAA for cardiovascular risk reduction have been submitted.</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September 2018, we and Sanofi announced that the FDA approved an update to the Praluent prescribing information to include clinical information regarding its use in patients with HeFH who require additional lowering of LDL-C along with diet and maximally-tolerated statin therapy and who are undergoing apheresis treatment. The recommended dose of Praluent in patients undergoing LDL apheresis is 150 mg once every two weeks.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several ongoing Phase 3 clinical studies of fasinumab in patients with pain due to osteoarthritis of the knee or hip. In April 2018, an independent DMC monitoring the ongoing safety and efficacy of the fasinumab clinical trials recommended that the higher dose-regimens be discontinued based on the risk benefit assessment and that the program may continue with the lower dose-regimens of fasinumab. The ongoing osteoarthritis trials have been modified accordingly. Since the Phase 3 clinical study in chronic low back pain in patients with concomitant osteoarthritis was using only higher doses, we discontinued dosing patients in this study.</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August 2018, we and Teva announced positive top-line results from our Phase 3 study of fasinumab in patients with chronic pain from osteoarthritis of the knee or hip. At the week 16 primary efficacy analysis, the study met both co-primary endpoints and all key secondary endpoints. Fasinumab-treated patients experienced significantly less pain and significantly improved functional ability from baseline compared to placebo. Interim safety data indicate that fasinumab was generally well tolerated, with similar adverse events as those observed in previous fasinumab trials. After the primary efficacy assessment at week 16, patients continue on therapy for an additional 36 weeks, followed by a subsequent 20-week off study drug follow-up period for further safety assessment.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Development Technologies and Programs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preclinical research programs include the areas of oncology and immuno-oncology, angiogenesis, ophthalmology, metabolic and related diseases, muscle diseases and disorders, inflammation and immune diseases, bone and cartilage, pain and neurobiology, cardiovascular diseases, and infectious diseases.</w:t>
      </w:r>
    </w:p>
    <w:p>
      <w:pPr>
        <w:spacing w:after="0" w:line="235"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We have formed a consortium to fund the generation of genetic exome sequence data from 500,000 volunteer participants who make up the UK Biobank health resource. The current members of the consortium consist of AbbVie Inc., Alnylam Pharmaceuticals Inc., AstraZeneca PLC, Biogen Inc., Pfizer Inc., Millennium Pharmaceuticals, Inc. (a subsidiary of Takeda Pharmaceutical Company Unlimited), and Bristol-Myers Squibb. The consortium members have each committed up to $10.0 million in funding for Regeneron to sequence the UK Biobank's samples, which will be performed at the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(RGC) facility. Consortium members will have a limited period of exclusive access to the sequencing data before the data will be made available to other health researchers by UK Biobank.</w:t>
      </w:r>
    </w:p>
    <w:p>
      <w:pPr>
        <w:spacing w:after="0" w:line="26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Researchers from the RGC discovered a potential new therapeutic target to reduce the risk of chronic liver disease and progression to more advanced stages of disease, such as nonalcoholic steatohepatitis (NASH), by analyzing extensive genetic sequencing data linked with electronic health records. In March 2018, we announced a publication describing this discovery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which identified for the first time a variant in the HSD17B13 gene that is associated with reduced risk of, or protection from, various chronic liver diseases for which there are currently no approved therapeutics.</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collaborating with Sanofi on the global development and commercialization of various antibodies and antibody product candidates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Under the terms of the Antibody License and Collaboration Agreement (LCA), following receipt of the first positive Phase 3 trial results for a co-developed drug candidate, subsequent Phase 3 trial-related costs for that drug candidate are shared 80% by Sanofi and 20% by us. All other agreed-upon development costs incurred by both companies are funded by Sanofi.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4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589,234 currently remains available) of our Common Stock directly or indirectly owned by Sanofi. Refer to the </w:t>
      </w:r>
      <w:r>
        <w:rPr>
          <w:rFonts w:ascii="Arial" w:cs="Arial" w:eastAsia="Arial" w:hAnsi="Arial"/>
          <w:sz w:val="17"/>
          <w:szCs w:val="17"/>
          <w:i w:val="1"/>
          <w:iCs w:val="1"/>
          <w:color w:val="auto"/>
        </w:rPr>
        <w:t xml:space="preserve">"Immuno-Oncology" </w:t>
      </w:r>
      <w:r>
        <w:rPr>
          <w:rFonts w:ascii="Arial" w:cs="Arial" w:eastAsia="Arial" w:hAnsi="Arial"/>
          <w:sz w:val="17"/>
          <w:szCs w:val="17"/>
          <w:color w:val="auto"/>
        </w:rPr>
        <w:t>section below for further details regarding the Letter Agreement.</w:t>
      </w:r>
    </w:p>
    <w:p>
      <w:pPr>
        <w:spacing w:after="0" w:line="2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not exercised any of our options to co-promote these antibodies outside the United States; however, we retain the right to do so at a future date subject to the terms of the collaboration agreement.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global strategic collaboration to discover, develop, and commercialize antibody-based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Investigational New Drug Applications (INDs),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00" w:lineRule="exact"/>
        <w:rPr>
          <w:sz w:val="20"/>
          <w:szCs w:val="20"/>
          <w:color w:val="auto"/>
        </w:rPr>
      </w:pP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licensed products in countries where it is not the lead commercialization party. The parties will share equally in profits and losses in connection with the commercialization of collaboration products.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are also co-developing Libtayo (cemiplimab), an antibody targeting PD-1. We have principal control over the development of Libtayo, and the parties share equally, on an ongoing basis, development expenses for Libtayo. Pursuant to the January 7, 2018 Letter Agreement with Sanofi, the Libtayo development budget has been increased to a total of $1.640 billion, $990.0 million over the budget originally set forth in the IO License and Collaboration Agreement. Under the Letter Agreement, we have also agreed to allow Sanofi to satisfy in whole or in part its funding obligation with respect to Libtayo development costs for the quarterly periods commencing on October 1, 2017 and ending on September 30, 2020 by selling up to an aggregate of 800,000 shares (of which 584,613 currently remains available) of our Common Stock directly or indirectly owned by Sanofi.</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regard to Libtayo, we lead commercialization activities in the United States, while Sanofi will lead commercialization activities outside of the United States and the parties will equally share profits from worldwide sales. Sanofi has exercised its option to co-promote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 xml:space="preserve">Fasinumab. </w:t>
      </w:r>
      <w:r>
        <w:rPr>
          <w:rFonts w:ascii="Arial" w:cs="Arial" w:eastAsia="Arial" w:hAnsi="Arial"/>
          <w:sz w:val="18"/>
          <w:szCs w:val="18"/>
          <w:color w:val="auto"/>
        </w:rPr>
        <w:t>In September 2015, we entered into a collaboration agreement with Mitsubishi Tanabe Pharma Corporation (MTPC) providing MTPC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During the third quarter of 2018, we achieved a development milestone of $20.0 million. We had earned an aggregate of $135.0 million in development milestones and other contingent payments from MTPC through September 30, 2018, and are entitled to receive up to an aggregate of $80.0 million in additional contingent payments.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Fasinumab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2016, we entered into a collaboration agreement with Teva to develop and commercialize fasinumab globally, except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MTPC territories (as described above). In connection with the agreement, Teva made a $250.0 million non-refundable up-front payment in 2016. We lead global development activities, and the parties will share equally, on an ongoing basis, development costs under a global development plan. During the third quarter of 2018, we achieved a development milestone of $60.0 million. We had earned an aggregate of $120.0 million of development milestones from Teva through September 30, 2018,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47"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bluebird</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August 2018, we entered into a collaboration agreement with bluebird bio, Inc. to research, develop, and commercialize novel immune cell therapies for cancer. Under the terms of the agreement, the parties have jointly selected six initial targets and will equally share the costs of research and development, which will be led by bluebird, up to IND acceptance. Additional targets may be selected over the five-year research collaboration term. With respect to certain targets, upon the acceptance of an IND, we will have the option to co-develop and co-commercialize product candidates directed to such target; if we exercise this option, the parties will share equally in the costs of development and commercialization, and will share in any profits or losses therefrom. If we do not exercise our option or we do not have an option to a target, we are entitled to receive milestone payments and royalties on any future sales of products developed and commercialized by bluebird under the terms of the agreement.</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execution of the collaboration agreement, we also agreed to purchase 420,000 shares of bluebird common stock for $100.0 million. The purchase was completed in the third quarter of 2018. As part of the agreement, $37.0 million, the amount paid in excess of the fair market value of the shares purchased based upon bluebird's closing price on August 3, 2018 of $150.00 per share, will be credited against our funding obligation for collaboration research.</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Nine Months Ended September 30,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7"/>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4"/>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jc w:val="right"/>
              <w:ind w:right="700"/>
              <w:spacing w:after="0" w:line="194"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tcPr>
          <w:p>
            <w:pPr>
              <w:jc w:val="right"/>
              <w:ind w:right="510"/>
              <w:spacing w:after="0" w:line="194" w:lineRule="exact"/>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8"/>
        </w:trPr>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(In millions, except per share data)</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Borders>
              <w:right w:val="single" w:sz="8" w:color="CCEEFF"/>
            </w:tcBorders>
          </w:tcPr>
          <w:p>
            <w:pPr>
              <w:spacing w:after="0"/>
              <w:rPr>
                <w:sz w:val="21"/>
                <w:szCs w:val="21"/>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7"/>
              </w:rPr>
              <w:t>(1,036.6)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(2,749.0)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Borders>
              <w:right w:val="single" w:sz="8" w:color="CCEEFF"/>
            </w:tcBorders>
          </w:tcPr>
          <w:p>
            <w:pPr>
              <w:spacing w:after="0"/>
              <w:rPr>
                <w:sz w:val="23"/>
                <w:szCs w:val="23"/>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20" w:type="dxa"/>
            <w:vAlign w:val="bottom"/>
            <w:gridSpan w:val="2"/>
          </w:tcPr>
          <w:p>
            <w:pPr>
              <w:ind w:left="240"/>
              <w:spacing w:after="0"/>
              <w:rPr>
                <w:sz w:val="20"/>
                <w:szCs w:val="20"/>
                <w:color w:val="auto"/>
              </w:rPr>
            </w:pPr>
            <w:r>
              <w:rPr>
                <w:rFonts w:ascii="Arial" w:cs="Arial" w:eastAsia="Arial" w:hAnsi="Arial"/>
                <w:sz w:val="18"/>
                <w:szCs w:val="18"/>
                <w:color w:val="auto"/>
                <w:w w:val="99"/>
              </w:rPr>
              <w:t>Income before income taxes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Borders>
              <w:right w:val="single" w:sz="8" w:color="CCEEFF"/>
            </w:tcBorders>
          </w:tcPr>
          <w:p>
            <w:pPr>
              <w:spacing w:after="0"/>
              <w:rPr>
                <w:sz w:val="23"/>
                <w:szCs w:val="23"/>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7"/>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1"/>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right w:val="single" w:sz="8" w:color="CCEEFF"/>
            </w:tcBorders>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13"/>
        </w:trPr>
        <w:tc>
          <w:tcPr>
            <w:tcW w:w="41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6"/>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9"/>
              </w:rPr>
              <w:t>Nine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4"/>
        </w:trPr>
        <w:tc>
          <w:tcPr>
            <w:tcW w:w="440" w:type="dxa"/>
            <w:vAlign w:val="bottom"/>
          </w:tcPr>
          <w:p>
            <w:pPr>
              <w:spacing w:after="0"/>
              <w:rPr>
                <w:sz w:val="16"/>
                <w:szCs w:val="16"/>
                <w:color w:val="auto"/>
              </w:rPr>
            </w:pPr>
          </w:p>
        </w:tc>
        <w:tc>
          <w:tcPr>
            <w:tcW w:w="37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6"/>
                <w:szCs w:val="16"/>
                <w:color w:val="auto"/>
              </w:rPr>
            </w:pPr>
          </w:p>
        </w:tc>
        <w:tc>
          <w:tcPr>
            <w:tcW w:w="1980" w:type="dxa"/>
            <w:vAlign w:val="bottom"/>
            <w:gridSpan w:val="6"/>
          </w:tcPr>
          <w:p>
            <w:pPr>
              <w:jc w:val="right"/>
              <w:ind w:right="500"/>
              <w:spacing w:after="0" w:line="194" w:lineRule="exact"/>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Increase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tcPr>
          <w:p>
            <w:pPr>
              <w:jc w:val="right"/>
              <w:ind w:right="410"/>
              <w:spacing w:after="0" w:line="194" w:lineRule="exact"/>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8"/>
              </w:rPr>
              <w:t>Increase</w:t>
            </w:r>
          </w:p>
        </w:tc>
      </w:tr>
      <w:tr>
        <w:trPr>
          <w:trHeight w:val="48"/>
        </w:trPr>
        <w:tc>
          <w:tcPr>
            <w:tcW w:w="4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44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(Decrease)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44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40" w:type="dxa"/>
            <w:vAlign w:val="bottom"/>
            <w:tcBorders>
              <w:right w:val="single" w:sz="8" w:color="CCEEFF"/>
            </w:tcBorders>
          </w:tcPr>
          <w:p>
            <w:pPr>
              <w:spacing w:after="0"/>
              <w:rPr>
                <w:sz w:val="21"/>
                <w:szCs w:val="21"/>
                <w:color w:val="auto"/>
              </w:rPr>
            </w:pPr>
          </w:p>
        </w:tc>
        <w:tc>
          <w:tcPr>
            <w:tcW w:w="3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3720" w:type="dxa"/>
            <w:vAlign w:val="bottom"/>
            <w:gridSpan w:val="4"/>
          </w:tcPr>
          <w:p>
            <w:pPr>
              <w:ind w:left="240"/>
              <w:spacing w:after="0"/>
              <w:rPr>
                <w:sz w:val="20"/>
                <w:szCs w:val="20"/>
                <w:color w:val="auto"/>
              </w:rPr>
            </w:pPr>
            <w:r>
              <w:rPr>
                <w:rFonts w:ascii="Arial" w:cs="Arial" w:eastAsia="Arial" w:hAnsi="Arial"/>
                <w:sz w:val="18"/>
                <w:szCs w:val="18"/>
                <w:color w:val="auto"/>
              </w:rPr>
              <w:t>EYLEA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953.3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2,727.1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0" w:type="dxa"/>
            <w:vAlign w:val="bottom"/>
            <w:tcBorders>
              <w:right w:val="single" w:sz="8" w:color="CCEEFF"/>
            </w:tcBorders>
          </w:tcPr>
          <w:p>
            <w:pPr>
              <w:spacing w:after="0"/>
              <w:rPr>
                <w:sz w:val="21"/>
                <w:szCs w:val="21"/>
                <w:color w:val="auto"/>
              </w:rPr>
            </w:pPr>
          </w:p>
        </w:tc>
        <w:tc>
          <w:tcPr>
            <w:tcW w:w="3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ARCALYST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4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Sanofi and Bayer collaboration revenue:</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0" w:type="dxa"/>
            <w:vAlign w:val="bottom"/>
            <w:tcBorders>
              <w:right w:val="single" w:sz="8" w:color="CCEEFF"/>
            </w:tcBorders>
          </w:tcPr>
          <w:p>
            <w:pPr>
              <w:spacing w:after="0"/>
              <w:rPr>
                <w:sz w:val="21"/>
                <w:szCs w:val="21"/>
                <w:color w:val="auto"/>
              </w:rPr>
            </w:pPr>
          </w:p>
        </w:tc>
        <w:tc>
          <w:tcPr>
            <w:tcW w:w="3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Sanofi</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440" w:type="dxa"/>
            <w:vAlign w:val="bottom"/>
          </w:tcPr>
          <w:p>
            <w:pPr>
              <w:spacing w:after="0"/>
              <w:rPr>
                <w:sz w:val="21"/>
                <w:szCs w:val="21"/>
                <w:color w:val="auto"/>
              </w:rPr>
            </w:pPr>
          </w:p>
        </w:tc>
        <w:tc>
          <w:tcPr>
            <w:tcW w:w="3720" w:type="dxa"/>
            <w:vAlign w:val="bottom"/>
            <w:gridSpan w:val="4"/>
          </w:tcPr>
          <w:p>
            <w:pPr>
              <w:ind w:left="240"/>
              <w:spacing w:after="0"/>
              <w:rPr>
                <w:sz w:val="20"/>
                <w:szCs w:val="20"/>
                <w:color w:val="auto"/>
              </w:rPr>
            </w:pPr>
            <w:r>
              <w:rPr>
                <w:rFonts w:ascii="Arial" w:cs="Arial" w:eastAsia="Arial" w:hAnsi="Arial"/>
                <w:sz w:val="18"/>
                <w:szCs w:val="18"/>
                <w:color w:val="auto"/>
              </w:rPr>
              <w:t>Bayer</w:t>
            </w:r>
          </w:p>
        </w:tc>
        <w:tc>
          <w:tcPr>
            <w:tcW w:w="18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134.3</w:t>
            </w:r>
          </w:p>
        </w:tc>
      </w:tr>
      <w:tr>
        <w:trPr>
          <w:trHeight w:val="27"/>
        </w:trPr>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0" w:type="dxa"/>
            <w:vAlign w:val="bottom"/>
            <w:tcBorders>
              <w:right w:val="single" w:sz="8" w:color="CCEEFF"/>
            </w:tcBorders>
          </w:tcPr>
          <w:p>
            <w:pPr>
              <w:spacing w:after="0"/>
              <w:rPr>
                <w:sz w:val="23"/>
                <w:szCs w:val="23"/>
                <w:color w:val="auto"/>
              </w:rPr>
            </w:pPr>
          </w:p>
        </w:tc>
        <w:tc>
          <w:tcPr>
            <w:tcW w:w="3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57"/>
        </w:trPr>
        <w:tc>
          <w:tcPr>
            <w:tcW w:w="440" w:type="dxa"/>
            <w:vAlign w:val="bottom"/>
          </w:tcPr>
          <w:p>
            <w:pPr>
              <w:spacing w:after="0"/>
              <w:rPr>
                <w:sz w:val="22"/>
                <w:szCs w:val="22"/>
                <w:color w:val="auto"/>
              </w:rPr>
            </w:pPr>
          </w:p>
        </w:tc>
        <w:tc>
          <w:tcPr>
            <w:tcW w:w="3720" w:type="dxa"/>
            <w:vAlign w:val="bottom"/>
            <w:gridSpan w:val="4"/>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1,663.5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1,500.7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162.8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4,783.0</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493.2</w:t>
            </w: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product sales of EYLEA in the United States increased for the three and nine months ended September 30, 2018, compared to the same periods in 2017, due to higher sales volume.</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Rebates,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Chargebacks, and</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Discounts</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Balance as of March 31, 2018</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37"/>
        </w:trPr>
        <w:tc>
          <w:tcPr>
            <w:tcW w:w="324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9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2018</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r>
      <w:tr>
        <w:trPr>
          <w:trHeight w:val="217"/>
        </w:trPr>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37"/>
        </w:trPr>
        <w:tc>
          <w:tcPr>
            <w:tcW w:w="324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Balance as of June 30, 2017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43"/>
        </w:trPr>
        <w:tc>
          <w:tcPr>
            <w:tcW w:w="32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2017</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81"/>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340"/>
          </w:cols>
          <w:pgMar w:left="240" w:top="130" w:right="1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30"/>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30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w w:val="93"/>
              </w:rPr>
              <w:t>development expenses - Discovery Agreement</w:t>
            </w:r>
          </w:p>
        </w:tc>
        <w:tc>
          <w:tcPr>
            <w:tcW w:w="2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expenses - License and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Collaboration Agreement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commercialization-related expenses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251.0</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Regeneron's share of losses in connection with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commercialization of antibodies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43"/>
        </w:trPr>
        <w:tc>
          <w:tcPr>
            <w:tcW w:w="1300" w:type="dxa"/>
            <w:vAlign w:val="bottom"/>
          </w:tcPr>
          <w:p>
            <w:pPr>
              <w:spacing w:after="0"/>
              <w:rPr>
                <w:sz w:val="21"/>
                <w:szCs w:val="21"/>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3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Antibody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w:t>
            </w:r>
          </w:p>
        </w:tc>
      </w:tr>
      <w:tr>
        <w:trPr>
          <w:trHeight w:val="237"/>
        </w:trPr>
        <w:tc>
          <w:tcPr>
            <w:tcW w:w="13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Immuno-oncology: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development expenses - Discovery Agreement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29"/>
        </w:trPr>
        <w:tc>
          <w:tcPr>
            <w:tcW w:w="130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development expenses - License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Collaboration Agreement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Reimbursement of Regeneron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commercialization-related expenses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1300" w:type="dxa"/>
            <w:vAlign w:val="bottom"/>
          </w:tcPr>
          <w:p>
            <w:pPr>
              <w:spacing w:after="0"/>
              <w:rPr>
                <w:sz w:val="21"/>
                <w:szCs w:val="21"/>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3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Immuno-oncology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r>
      <w:tr>
        <w:trPr>
          <w:trHeight w:val="257"/>
        </w:trPr>
        <w:tc>
          <w:tcPr>
            <w:tcW w:w="1300" w:type="dxa"/>
            <w:vAlign w:val="bottom"/>
          </w:tcPr>
          <w:p>
            <w:pPr>
              <w:spacing w:after="0"/>
              <w:rPr>
                <w:sz w:val="22"/>
                <w:szCs w:val="22"/>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677.7</w:t>
            </w:r>
          </w:p>
        </w:tc>
      </w:tr>
      <w:tr>
        <w:trPr>
          <w:trHeight w:val="20"/>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lower reimbursement of antibody research and development costs during the three and nine months ended September 30, 2018, compared to the same periods in 2017, was primarily due to the Company's Discovery and Preclinical Development Agreement with Sanofi ending on December 31, 2017 without any extension and, therefore, funding from Sanofi under the Antibody Discovery Agreement ceased after 2017. In addition, the lower reimbursement of antibody research and development costs during the nine months ended September 30, 2018, compared to the same period in 2017, was primarily related to the timing of clinical manufacturing for Dupixent and decreased reimbursement levels for Dupixent under our License and Collaboration Agreement subsequent to U.S. regulatory approval for atopic dermatitis.</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October 2018, the FDA also approved Dupixent as an add-on maintenance therapy in patients with moderate-to-severe asthma aged 12 years and older with an eosinophilic phenotype or with oral corticosteroid-dependent asthma. In May 2017, the FDA approved Kevzara for the treatment of rheumatoid arthritis in adult patients, and in June 2017, the European Commission granted marketing authorization for Kevzara for the treatment of rheumatoid arthritis in adult patients.</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antibody commercialization-related expenses represents reimbursement of internal and external costs incurred by Regeneron in connection with commercializing Praluent, Kevzara, and Dupixent.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During the three and nine months ended September 30, 2018 and 2017,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commercializing Praluent, Kevzara, and Dupixent within Sanofi collaboration revenue. During the three and nine months ended September 30, 2018, Sanofi collaboration revenues in connection with commercialization of antibodies were primarily impacted, compared to the same periods in 2017, by (i) our share of higher net sales of Dupixent (as the product was launched at the end of March 2017) and Praluent and (ii) a reduction in commercialization expenses for Praluent. These increases in collaboration revenue were partly offset by an increase in the collaborations' Dupixent commercialization expenses in support of the launch of Dupixent in atopic dermatitis and the preparation for launch in asthma. See "Overview" section above for a summary of global net product sales recorded by Sanofi in connection with our Antibody License and Collaboration Agreement. Sanofi provides us with an estimate of our share of the losses from commercialization of antibodies for the most recent fiscal quarter; these estimates are reconciled to actual results in the subsequent fiscal quarter, and our portion of the profit or loss is adjusted accordingly, as necessary. Other Sanofi antibody revenue in the table above primarily includes reimbursement of commercial supplies which were manufactured by the Company.</w:t>
      </w:r>
    </w:p>
    <w:p>
      <w:pPr>
        <w:spacing w:after="0" w:line="23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Sanofi's reimbursement of immuno-oncology research and development costs under our IO License and Collaboration Agreement increased in the first nine months of 2018, compared to the same periods in 2017, due to an increase in late-stage clinical development activities for Libtayo.</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28, 2018, the FDA approved Libtayo for the treatment of patients with metastatic or locally advanced CSCC. Other Sanofi immuno-oncology revenue primarily includes recognition of deferred revenue from $640.0 million of up-front payments received in 2015 in connection with the execution of the IO Collaboration agreements.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95"/>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06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12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122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Regeneron's net profit in connection with</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commercialization of EYLEA outside the United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12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w:t>
            </w:r>
          </w:p>
        </w:tc>
      </w:tr>
      <w:tr>
        <w:trPr>
          <w:trHeight w:val="243"/>
        </w:trPr>
        <w:tc>
          <w:tcPr>
            <w:tcW w:w="1220" w:type="dxa"/>
            <w:vAlign w:val="bottom"/>
          </w:tcPr>
          <w:p>
            <w:pPr>
              <w:spacing w:after="0"/>
              <w:rPr>
                <w:sz w:val="21"/>
                <w:szCs w:val="21"/>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w w:val="96"/>
              </w:rPr>
              <w:t>Reimbursement of Regeneron development expenses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22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37"/>
        </w:trPr>
        <w:tc>
          <w:tcPr>
            <w:tcW w:w="1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640.9</w:t>
            </w: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outside the United States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Regeneron's share of collaboration profit from sales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Reimbursement of development expenses incurred by</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Bayer in accordance with Regeneron's payment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commercialization of EYLEA outside the United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721.5</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42"/>
        </w:trPr>
        <w:tc>
          <w:tcPr>
            <w:tcW w:w="4300" w:type="dxa"/>
            <w:vAlign w:val="bottom"/>
          </w:tcPr>
          <w:p>
            <w:pPr>
              <w:ind w:left="180"/>
              <w:spacing w:after="0"/>
              <w:rPr>
                <w:sz w:val="20"/>
                <w:szCs w:val="20"/>
                <w:color w:val="auto"/>
              </w:rPr>
            </w:pPr>
            <w:r>
              <w:rPr>
                <w:rFonts w:ascii="Arial" w:cs="Arial" w:eastAsia="Arial" w:hAnsi="Arial"/>
                <w:sz w:val="18"/>
                <w:szCs w:val="18"/>
                <w:color w:val="auto"/>
              </w:rPr>
              <w:t>States</w:t>
            </w: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discontinued clinical development of REGN2176-3 in the first quarter of 2017. In the fourth quarter of 2017, we reported that two REGN910-3 Phase 2 studies did not provide sufficient differentiation to warrant Phase 3 development.</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6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Teva collaboration revenue: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43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340" w:type="dxa"/>
            <w:vAlign w:val="bottom"/>
          </w:tcPr>
          <w:p>
            <w:pPr>
              <w:ind w:left="340"/>
              <w:spacing w:after="0"/>
              <w:rPr>
                <w:sz w:val="20"/>
                <w:szCs w:val="20"/>
                <w:color w:val="auto"/>
              </w:rPr>
            </w:pPr>
            <w:r>
              <w:rPr>
                <w:rFonts w:ascii="Arial" w:cs="Arial" w:eastAsia="Arial" w:hAnsi="Arial"/>
                <w:sz w:val="18"/>
                <w:szCs w:val="18"/>
                <w:color w:val="auto"/>
              </w:rPr>
              <w:t>development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37"/>
        </w:trPr>
        <w:tc>
          <w:tcPr>
            <w:tcW w:w="4340" w:type="dxa"/>
            <w:vAlign w:val="bottom"/>
          </w:tcPr>
          <w:p>
            <w:pPr>
              <w:ind w:left="260"/>
              <w:spacing w:after="0"/>
              <w:rPr>
                <w:sz w:val="20"/>
                <w:szCs w:val="20"/>
                <w:color w:val="auto"/>
              </w:rPr>
            </w:pPr>
            <w:r>
              <w:rPr>
                <w:rFonts w:ascii="Arial" w:cs="Arial" w:eastAsia="Arial" w:hAnsi="Arial"/>
                <w:sz w:val="18"/>
                <w:szCs w:val="18"/>
                <w:color w:val="auto"/>
              </w:rPr>
              <w:t>Total Teva collaboration revenue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r>
      <w:tr>
        <w:trPr>
          <w:trHeight w:val="257"/>
        </w:trPr>
        <w:tc>
          <w:tcPr>
            <w:tcW w:w="4340" w:type="dxa"/>
            <w:vAlign w:val="bottom"/>
          </w:tcPr>
          <w:p>
            <w:pPr>
              <w:ind w:left="20"/>
              <w:spacing w:after="0"/>
              <w:rPr>
                <w:sz w:val="20"/>
                <w:szCs w:val="20"/>
                <w:color w:val="auto"/>
              </w:rPr>
            </w:pPr>
            <w:r>
              <w:rPr>
                <w:rFonts w:ascii="Arial" w:cs="Arial" w:eastAsia="Arial" w:hAnsi="Arial"/>
                <w:sz w:val="18"/>
                <w:szCs w:val="18"/>
                <w:color w:val="auto"/>
              </w:rPr>
              <w:t>Total other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231.5</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The change in other Teva collaboration revenue for both the three and nine month periods ended September 30, 2018, compared to the same periods in 2017, was positively impacted by the recognition of a higher amount of deferred revenue, including a portion related to the achievement of a $60.0 million development milestone in the third quarter of 2018. The nine month period ended September 30, 2017 also includes the recognition of a substantive development milestone of $25.0 million from Teva.</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to Teva collaboration revenue, "Total other revenue" in the table above includes:</w:t>
      </w:r>
    </w:p>
    <w:p>
      <w:pPr>
        <w:spacing w:after="0" w:line="144"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a portion of deferred revenue from up-front and other payments received from MTPC, including a portion related to the achievement of a $20.0 development milestone in the third quarter of 2018, and, in the nine-month period ended September 30, 2017, recognition of a substantive development milestone of $30.0 million from MTPC, in connection with our fasinumab collaboration.</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jc w:val="both"/>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Recognition of revenue related to the $165.0 million up-front payment we received in August 2010, which was deferred upon receipt and was being recognized as revenue through mid-2018, in connection with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accordance with the terms of the license agreement, Astellas terminated the agreement effective June 2018.</w:t>
      </w:r>
    </w:p>
    <w:p>
      <w:pPr>
        <w:spacing w:after="0" w:line="1"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 with BARDA to develop, test, and manufacture an antibody therapy (REGN3470-3471-3479) for the treatment of Ebola virus infection.</w:t>
      </w:r>
    </w:p>
    <w:p>
      <w:pPr>
        <w:spacing w:after="0" w:line="10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The $117.3 million and $314.5 million in total other revenue for the three and nine months ended September 30, 2018, respectively, also includes the impact of adopting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of January 1, 2018. Prior period amounts have not been adjusted in connection with the adoption of this standard. See Note 1 to our Condensed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5"/>
        </w:trPr>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c>
          <w:tcPr>
            <w:tcW w:w="240" w:type="dxa"/>
            <w:vAlign w:val="bottom"/>
          </w:tcPr>
          <w:p>
            <w:pPr>
              <w:spacing w:after="0"/>
              <w:rPr>
                <w:sz w:val="20"/>
                <w:szCs w:val="20"/>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260" w:type="dxa"/>
            <w:vAlign w:val="bottom"/>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r>
      <w:tr>
        <w:trPr>
          <w:trHeight w:val="243"/>
        </w:trPr>
        <w:tc>
          <w:tcPr>
            <w:tcW w:w="26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154.4</w:t>
            </w:r>
          </w:p>
        </w:tc>
      </w:tr>
      <w:tr>
        <w:trPr>
          <w:trHeight w:val="27"/>
        </w:trPr>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26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w w:val="97"/>
              </w:rPr>
              <w:t>Cost of collaboration and contract manufacturing</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39.4</w:t>
            </w:r>
          </w:p>
        </w:tc>
      </w:tr>
      <w:tr>
        <w:trPr>
          <w:trHeight w:val="27"/>
        </w:trPr>
        <w:tc>
          <w:tcPr>
            <w:tcW w:w="260" w:type="dxa"/>
            <w:vAlign w:val="bottom"/>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r>
      <w:tr>
        <w:trPr>
          <w:trHeight w:val="20"/>
        </w:trPr>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26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headcount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r>
      <w:tr>
        <w:trPr>
          <w:trHeight w:val="459"/>
        </w:trPr>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Our average headcount in 2018 increased compared to 2017 principally in connection with expanding our manufacturing activities and, to a lesser extent, increased research and development activities and preparing for the launch of Libtayo and Dupixent for asthma in the United States.</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included a total of $111.4 million in the third quarter and $300.7 million in the first nine months of 2018, respectively, and $125.1 million in the third quarter and $380.1 million in the first nine months of 2017, respectively, of non-cash compensation expense related to employee stock options and restricted stock. The decrease in total non-cash compensation expense in the first nine months of 2018 was primarily attributable to a revision in our estimate of the number of stock options that are expected to be forfeited.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25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Increase</w:t>
            </w:r>
          </w:p>
        </w:tc>
        <w:tc>
          <w:tcPr>
            <w:tcW w:w="24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(Decrease)</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Dupixent (dupilumab)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Libtayo (cemiplimab)</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Fasinumab</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Praluent (alirocumab)</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w w:val="98"/>
              </w:rPr>
              <w:t>Other product candidates in clinical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40"/>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4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direct research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 supplies, licensing,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research and 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rPr>
              <w:t>Occupancy and other operating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4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0"/>
              </w:rPr>
              <w:t>Total indirect research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529.7</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1,584.8</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1,547.2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2"/>
        </w:trPr>
        <w:tc>
          <w:tcPr>
            <w:tcW w:w="29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included non-cash compensation expense of $60.4 million and $160.8 million in the third quarter and first nine months of 2018, respectively, and $70.1 million and $213.2 million in the third quarter and first nine months of 2017, respectively.</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opportunities and/or uncertainties related to future indications to be studied, and the estimated cost and scope of the projects.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in the third quarter and first nine months of 2018, compared to the same periods in 2017, primarily due to higher headcount and headcount-related costs, higher contributions to independent not-for-profit patient assistance organizations, and, for the first nine months of 2018, an increase in commercialization-related expenses for Dupixent. Selling, general, and administrative expenses also included non-cash compensation expense of $42.9 million and $118.4 million in the third quarter and first nine months of 2018, respectively, and $47.7 million and $146.2 million in the third quarter and first nine months of 2017,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Cost of collaboration and contract manufacturing primarily includes costs we incur in connection with producing commercial drug supplies for Sanofi and Bayer. The change in cost of collaboration and contract manufacturing for the three months ended September 30, 2018, compared to the same period in 2017, was impacted primarily due to the recognition of manufacturing costs associated with our agreement with BARDA, and higher sales volumes of (i) EYLEA outside the United States and (ii) Sanofi collaboration antibodies. These increases were partly offset by lower expenses recorded in connection with validating our Limerick manufacturing commercial facility. The change in cost of collaboration and contract manufacturing for the nine months ended September 30, 2018, compared to the same period in 2017, was also impacted by lower inventory write-offs and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Other income (expense), net, in the first nine months of 2018 increased primarily due to (i) the recognition of unrealized gains on equity securities and (ii) increased interest income earned on available-for-sale debt securities due to higher average investment balances and rising interest rates. In the first quarter of 2018, we adopted Accounting Standards Update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 of January 1, 2018, which requires us to measure equity investments at fair value with changes in fair value recognized in net income; previously, such changes in fair value were recognized in Other comprehensive income (loss).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expenses in the first nine months of 2017 included a $30.1 million loss on debt extinguishment related to the 2017 Tarrytown lease transaction.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18"/>
                <w:szCs w:val="18"/>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498.8</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9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December 22, 2017, the bill known as the "Tax Cuts and Jobs Act" (the Act) was signed into law. The Act, which became effective with respect to most of its provisions as of January 1, 2018, includes a number of provisions that impact us, including reducing the U.S. federal corporate income tax rate from 35% to 21%, changing the taxation of foreign earnings (including taxation of certain global intangible low-taxed income (GILTI)), allowing for a foreign-derived intangible income deduction and immediate expensing of the cost for qualified assets, repealing the deduction for domestic manufacturing, and imposing further limitations on the deductibility of executive compensation. Changes in tax rates and tax laws are accounted for in the period of enactment. Therefore, as a result of the Act being signed into law, we recognized a provisional charge of $326.2 million in the fourth quarter of 2017 related to the re-measurement of our U.S. net deferred tax assets at the lower enacted corporate tax rate. The provisional charge recorded in the fourth quarter of 2017 is an estimate and subject to further analysis, interpretation, and clarification of the Act. During the third quarter of 2018, we recorded an income tax benefit of $11.9 million as an adjustment to the provisional amount recorded as of December 31, 2017. Additional changes to this estimate may occur during the fourth quarter of 2018.</w:t>
      </w:r>
    </w:p>
    <w:p>
      <w:pPr>
        <w:spacing w:after="0" w:line="19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effective tax rate for the three and nine months ended September 30, 2018 was positively impacted, compared to the U.S. federal statutory rate, primarily by the tax benefit associated with tax planning in connection with the Act, the federal tax credit for research activities, and, to a lesser extent, stock-based compensation and income earned in foreign jurisdictions with tax rates lower than the U.S. federal statutory rate. Our effective tax rate for the three and nine months ended September 30, 2017 was positively impacted, compared to the U.S. federal statutory rate, by the tax benefit associated with stock-based compensation, the domestic manufacturing deduction, and the federal tax credit for increased research activities, offset by losses incurred in foreign jurisdictions with rates lower than the U.S. federal statutory rate and the non-tax deductible Branded Prescription Drug Fee.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 current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Marketable securities - noncurrent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387.1</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5,719.6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1,384.6</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Additionally, as of September 30, 2018, we had borrowing availability of $750.0 million under a revolving credit facility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2018 and 2017</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48"/>
        </w:trPr>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04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(Decrease)</w:t>
            </w:r>
          </w:p>
        </w:tc>
      </w:tr>
      <w:tr>
        <w:trPr>
          <w:trHeight w:val="27"/>
        </w:trPr>
        <w:tc>
          <w:tcPr>
            <w:tcW w:w="10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0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726.1</w:t>
            </w:r>
          </w:p>
        </w:tc>
      </w:tr>
      <w:tr>
        <w:trPr>
          <w:trHeight w:val="243"/>
        </w:trPr>
        <w:tc>
          <w:tcPr>
            <w:tcW w:w="10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7"/>
        </w:trPr>
        <w:tc>
          <w:tcPr>
            <w:tcW w:w="10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040" w:type="dxa"/>
            <w:vAlign w:val="bottom"/>
          </w:tcPr>
          <w:p>
            <w:pPr>
              <w:spacing w:after="0"/>
              <w:rPr>
                <w:sz w:val="21"/>
                <w:szCs w:val="21"/>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7"/>
        </w:trPr>
        <w:tc>
          <w:tcPr>
            <w:tcW w:w="104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total operating cash flows for the first nine months of 2018, compared to the same period of 2017, were positively impacted by an increase in our net income by $599.1 million. Our net income of $1,624.0 million in the first nine months of 2018 included non-cash compensation expense of $300.7 million and other non-cash items, including non-cash revenue of $75.8 million in connection with Sanofi satisfying its Libtayo development funding obligation in shares of Regeneron stock (see "Sanofi Funding of Certain Development Costs" below) and non-cash income of $21.0 million related to unrealized gains (net) on equity securities. The increase in prepaid expenses and other assets of $87.8 million as of September 30, 2018, compared to December 31, 2017, was partly due to development milestone receivables from Teva and MTPC as of September 30, 2018 (see "Results of Operations - </w:t>
      </w:r>
      <w:r>
        <w:rPr>
          <w:rFonts w:ascii="Arial" w:cs="Arial" w:eastAsia="Arial" w:hAnsi="Arial"/>
          <w:sz w:val="18"/>
          <w:szCs w:val="18"/>
          <w:i w:val="1"/>
          <w:iCs w:val="1"/>
          <w:color w:val="auto"/>
        </w:rPr>
        <w:t>Other Revenue</w:t>
      </w:r>
      <w:r>
        <w:rPr>
          <w:rFonts w:ascii="Arial" w:cs="Arial" w:eastAsia="Arial" w:hAnsi="Arial"/>
          <w:sz w:val="18"/>
          <w:szCs w:val="18"/>
          <w:color w:val="auto"/>
        </w:rPr>
        <w:t>" above for further details).</w:t>
      </w:r>
    </w:p>
    <w:p>
      <w:pPr>
        <w:spacing w:after="0" w:line="24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Our net income of $1,025.0 million in the first nine months of 2017 included non-cash compensation expense of $380.1 million. Deferred tax assets as of September 30, 2017 increased by $108.2 million, compared to December 31, 2016, primarily due to non-cash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Capital expenditures were $297.6 million and $165.0 million in the first nine months of 2018 and 2017, respectively. Capital expenditures increased primarily due to higher capital expenditures in connection with renovations and additions at our Limerick, Ireland and Rensselaer, New York manufacturing facilities, and laboratory expansion and renovations at our Tarrytown, New York facilities. We expect to incur capital expenditures of approximately $62 million to $92 million during the fourth quarter of 2018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nine months of 2017, proceeds in connection with capital and facility lease obligations relate to our receipt of $57.0 million in connection with the March 2017 lease transaction as described below under "Tarrytown, New York Leases".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September 30, 2018.</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September 30, 2018.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Participants), which provided for lease financing in connection with the acquisition by BAL of the Facility and our lease of the Facility from BAL. In March 2017, we assigned our right to take title to the Facility under the Purchase Agreement to BAL, and the Participants advanced $720.0 million, which was used by BAL to finance the purchase price for the Facility.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September 30,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described above in "Collaborations - Collaborations with Sanofi," effective January 7, 2018, we and Sanofi entered into a Letter Agreement in connection with, among other matters, increasing the development budget amount for Libtayo and allocating additional funds to certain proposed activities relating to dupilumab and REGN3500. Pursuant to the Letter Agreement, we have agreed to allow Sanofi to satisfy in whole or in part its funding obligations with respect to Libtayo development and/or Dupilumab/REGN3500 Eligible Investments by selling up to an aggregate of 1,400,000 shares (of which 1,173,847 shares remain available to be sold as of September 30, 2018)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first nine months of 2018, Sanofi elected to sell, and we elected to purchase (by issuing a credit towards the amount owed by Sanofi), 215,387 shares of the Company's Common Stock to satisfy Sanofi's funding obligation related to Libtayo development costs. Consequently, we recorded $75.8 million related to the shares received as Treasury Stock during the first nine months of 2018. In addition, during the first nine months of 2018, Sanofi elected to sell, and we elected to purchase (in cash), 10,766 shares of the Company's Common Stock in connection with Sanofi's funding obligation for Dupilumab/REGN3500 Eligible Investments. Consequently, we recorded the cost of the shares received, or $4.4 million, as Treasury Stock during the first nine months of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2017 (filed February 8, 2018). Except as described in Note 1 and Note 3 to our Condensed Consolidated Financial Statements included in this report related to the adoption of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there were no material changes to our critical accounting policies and use of estimates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 for a summary of recently issued accounting standards.</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2017 (filed February 8, 2018). There have been no material changes to our market risks or to our management of such risks as of September 30,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2018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11 to our Condensed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nine months ended September 30, 2018 and 2017, EYLEA net sales in the United States represented 63% and 64%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expect that the continued commercial success of our marketed products (in particular, EYLEA, Dupixent, Praluent, Kevzara, and Libtayo) will depend on many factors, including the following (as applicable):</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payer restrictions on eligible patient populations and the reimbursement process, both in the United States and abroad;</w:t>
      </w:r>
    </w:p>
    <w:p>
      <w:pPr>
        <w:spacing w:after="0" w:line="1" w:lineRule="exact"/>
        <w:rPr>
          <w:rFonts w:ascii="Arial" w:cs="Arial" w:eastAsia="Arial" w:hAnsi="Arial"/>
          <w:sz w:val="18"/>
          <w:szCs w:val="18"/>
          <w:color w:val="auto"/>
        </w:rPr>
      </w:pPr>
    </w:p>
    <w:p>
      <w:pPr>
        <w:jc w:val="both"/>
        <w:ind w:left="660" w:hanging="328"/>
        <w:spacing w:after="0" w:line="20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 or off-label use of repackaged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to EYLEA or to start treatment with EYLEA;</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EYLEA, Dupixent, and Praluent (described further in Note 11 to our Condensed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ind w:left="660" w:right="20" w:hanging="328"/>
        <w:spacing w:after="0" w:line="32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279"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marketed products subject to such collaborations.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We and our collaborators are subject to significant ongoing regulatory obligations and oversight with respect to the marketed products subject to such collaborations (such as EYLEA, Dupixent, Praluent, Kevzara, and Libtayo)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w:t>
      </w:r>
      <w:r>
        <w:rPr>
          <w:rFonts w:ascii="Arial" w:cs="Arial" w:eastAsia="Arial" w:hAnsi="Arial"/>
          <w:sz w:val="16"/>
          <w:szCs w:val="16"/>
          <w:color w:val="auto"/>
        </w:rPr>
        <w:t>"), the applicable marketing approval may be withdrawn, which would materially harm our business, prospects, operating results,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marketed products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 xml:space="preserve">Serious complications or serious, unexpected side effects in connection with the use of our marketed products (such as EYLEA, Dupixent, Praluent, Kevzara, and Libtayo)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0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of our marketed products (such as EYLEA, Dupixent, Praluent, Kevzara, and Libtayo)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addition, in order for private insurance and governmental payers (such as Medicare and Medicaid in the United States) to reimburse the cost of our marketed products, we must, among other things, maintain our FDA registration and our National Drug Code, maintain formulary approval by pharmacy benefits managers, and maintain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27"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federal Patient Protection and Affordable Care Act (PPACA) and a related reconciliation bill were enacted in the United States. This legislation imposes cost-containment and other measures affecting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9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Further, there have been several recent U.S.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the current administration's budget proposal for fiscal year 2019 contains drug price control measures that could be enacted during the 2019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already started the process of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in August 2018, CMS issued new guidance that recognizes that Medicare Advantage (MA) plans may use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medications are approved for coverage) for Part B drugs (such as EYLEA), beginning January 1, 2019, as part of a patient-centered care coordination program. CMS will also consider rulemaking related to step therapy that might be appropriate for 2020 and future years. On October 25, 2018, President Trump announced that CMS was evaluating a pilot program that proposes to set the Medicare payment amount for Part B single-source drugs and biologics to more closely align with international drug prices (also referred to as reference pricing) and pay physicians and hospitals participating in such program a set drug add-on payment for administered drugs. CMS has since issued an advance notice of proposed rulemaking that requests public comment on the pilot program, which is proposed to initially cover fifty percent of Medicare Part B spending on separately payable Part B drugs (such as EYLEA). Congress and the U.S. administration have each indicated that they will continue to seek new legislative and/or administrative measures to control drug costs.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1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Since our marketed products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our products will be materially adversely impacted. Our sales and potential profits and our business, prospects, operating results, and financial condition would be materially harmed.</w:t>
      </w:r>
    </w:p>
    <w:p>
      <w:pPr>
        <w:spacing w:after="0" w:line="10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strong competition.</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There is significant actual and potential future competition for each of our marketed products.</w:t>
      </w:r>
    </w:p>
    <w:p>
      <w:pPr>
        <w:spacing w:after="0" w:line="242"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i w:val="1"/>
          <w:iCs w:val="1"/>
          <w:color w:val="auto"/>
        </w:rPr>
        <w:t>EYLEA</w:t>
      </w:r>
      <w:r>
        <w:rPr>
          <w:rFonts w:ascii="Arial" w:cs="Arial" w:eastAsia="Arial" w:hAnsi="Arial"/>
          <w:sz w:val="18"/>
          <w:szCs w:val="18"/>
          <w:color w:val="auto"/>
        </w:rPr>
        <w:t>. The market for eye disease products is very competitive. For example, Novartis AG and Genentech/Roche are collaborating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Inc. (in partnership with Mylan N.V.) is developing M710 (currently in a pivotal trial in patients with DME). Competitors are also exploring the development of a biosimilar version of Lucentis; in particular, Pfenex Inc. is developing PF582 (a Phase 1b/2a trial in patients with wet AMD has been completed), Formycon AG (in collaboration with Bioeq GmbH) is developing FYB201 (currently in a Phase 3 trial in patients with wet AMD), and Samsung Bioepis Co., Ltd. is developing SB11 (currently in a Phase 3 trial in patients with wet AMD).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Other competitive or potentially competitive products include Allergan plc's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intravitreal implant) (approved by the FDA for the treatment of macular edema following RVO and for the treatment of DME) and Alimera Sciences, Inc.'s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3 study in patients with wet AMD). Novartis is developing RTH258 (brolucizumab), a humanized monoclonal single-chain FV (scFv) antibody fragment targeting VEGF-A for wet AMD and DME. Novartis announced in June 2017 that two Phase 3 studies of RTH258 met their primary endpoint of non-inferiority to EYLEA and has indicated that submissions to global regulatory authorities are expected by year-end 2018.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3 non-inferiority studies comparing RG7716 against EYLEA in DME). Additionally, Allergan is developing abicipar pegol for wet AMD and related conditions, and announced in July 2018 that two Phase 3 studies of abicipar pegol met their primary endpoint of non-inferiority to Lucentis. As recently reported, Chengdu Kanghong Pharmaceutical Industry Group Co., Ltd. is conducting a non-inferiority Phase 3 trial in the United States comparing conbercept, an anti-VEGF fusion protein, against EYLEA in wet AMD. Conbercept is approved in the wet AMD and myopic choroidal neovascularization indications in China. Kodiak Sciences Inc. is developing KSI-301, an anti-VEGF biologic therapy that is conjugated to a phosphorylcholine-based biopolymer to extend its half-life, for wet AMD, DME, and RVO. A Phase 1 study of KSI-301 in patients with DME met its primary safety and tolerability endpoint, and Kodiak has indicated that such Phase 1 study will be expanded into a Phase 1b open label study in patients with wet AMD, DME, and RVO in the fourth quarter of 2018. Products that are being developed for use in combination with EYLEA and/or Lucentis may also pose a competitive threat. Opthea Limited is developing OPT-302, a VEGFR-3 large molecule trap in combination with Lucentis in a Phase 2 trial for wet AMD.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in a Phase 1/2 trial for wet AMD. PanOptica, Inc. is developing PAN-90806, a topically administered tyrosine kinase inhibitor currently in a Phase 1/2 trial for wet AMD. Competitors are also developing other eye-drop formulations, devices, oral therapies, and gene/cell therapies (such as REGENXBIO Inc.'s RGX-314) for various indications that, if approved, would compete with EYLEA in one or more of its currently approved indications.</w:t>
      </w:r>
    </w:p>
    <w:p>
      <w:pPr>
        <w:spacing w:after="0" w:line="23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Avastin is also being evaluated in eye diseases in clinical trials in certain countries. Furthermore, Lucentis and off-label use of repackaged Avastin present significant competitive challenges as doctors and patients have had significant experience using these medicines. The relatively low cost of repackaged Avastin in treating patients may exacerbate the competitive challenge which EYLEA faces in the eye indications for which it is approved.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w:t>
      </w:r>
    </w:p>
    <w:p>
      <w:pPr>
        <w:spacing w:after="0" w:line="23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41" w:lineRule="exact"/>
        <w:rPr>
          <w:sz w:val="20"/>
          <w:szCs w:val="20"/>
          <w:color w:val="auto"/>
        </w:rPr>
      </w:pPr>
    </w:p>
    <w:p>
      <w:pPr>
        <w:jc w:val="both"/>
        <w:ind w:firstLine="216"/>
        <w:spacing w:after="0" w:line="225" w:lineRule="auto"/>
        <w:rPr>
          <w:sz w:val="20"/>
          <w:szCs w:val="20"/>
          <w:color w:val="auto"/>
        </w:rPr>
      </w:pPr>
      <w:r>
        <w:rPr>
          <w:rFonts w:ascii="Arial" w:cs="Arial" w:eastAsia="Arial" w:hAnsi="Arial"/>
          <w:sz w:val="18"/>
          <w:szCs w:val="18"/>
          <w:i w:val="1"/>
          <w:iCs w:val="1"/>
          <w:color w:val="auto"/>
        </w:rPr>
        <w:t>Dupixent</w:t>
      </w:r>
      <w:r>
        <w:rPr>
          <w:rFonts w:ascii="Arial" w:cs="Arial" w:eastAsia="Arial" w:hAnsi="Arial"/>
          <w:sz w:val="18"/>
          <w:szCs w:val="18"/>
          <w:color w:val="auto"/>
        </w:rPr>
        <w:t>. A number of companies are developing antibodies that, if approved, may compete with Dupixent in its current or potential future indications,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Roche (in collaboration with Dermira, Inc.) (an antibody against IL-13); LEO Pharma A/S (in collaboration with AstraZeneca PLC) (IL-13 antibody tralokinumab being developed in the atopic dermatitis indication); AstraZeneca (antibodies against IL-33 and IL-5R); Galderma S.A. (an antibody against IL-31R); AnaptysBio, Inc. (an antibody against IL-33); and Amgen (in collaboration with AstraZeneca) (an antibody against thymic stromal lymphopoietin, or TSLP). GlaxoSmithKline plc's 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 and Teva Pharmaceutical Industries Ltd.'s 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 both of which are antibodies against IL-5, may also compete with Dupixent in its current or potential future indications. Inhaled products may also compete with Dupixent in its current and potential future indications, including Pieris Pharmaceuticals, Inc.'s PRS-060 (an anticalin being developed in partnership with AstraZeneca against IL-4R) and Novartis' CJM112 (an antibody fragment against thymic stromal lymphopoietin). We are also aware of companies developing or marketing small molecules that may compete with Dupixent in its current or potential future indications. These include Pfizer Inc.'s Eucrisa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(crisaborole), a topical ointment that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competes with Dupixent in the atopic dermatitis indication; and JAK inhibitors, such as AbbVie Inc.'s upadacitinib, Pfizer's PF-04965842, and Eli Lilly and Company's Olumiant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(baricitinib).</w:t>
      </w:r>
    </w:p>
    <w:p>
      <w:pPr>
        <w:spacing w:after="0" w:line="121" w:lineRule="exact"/>
        <w:rPr>
          <w:sz w:val="20"/>
          <w:szCs w:val="20"/>
          <w:color w:val="auto"/>
        </w:rPr>
      </w:pPr>
    </w:p>
    <w:p>
      <w:pPr>
        <w:jc w:val="both"/>
        <w:ind w:firstLine="216"/>
        <w:spacing w:after="0" w:line="241" w:lineRule="auto"/>
        <w:rPr>
          <w:sz w:val="20"/>
          <w:szCs w:val="20"/>
          <w:color w:val="auto"/>
        </w:rPr>
      </w:pPr>
      <w:r>
        <w:rPr>
          <w:rFonts w:ascii="Arial" w:cs="Arial" w:eastAsia="Arial" w:hAnsi="Arial"/>
          <w:sz w:val="18"/>
          <w:szCs w:val="18"/>
          <w:i w:val="1"/>
          <w:iCs w:val="1"/>
          <w:color w:val="auto"/>
        </w:rPr>
        <w:t>Praluent</w:t>
      </w:r>
      <w:r>
        <w:rPr>
          <w:rFonts w:ascii="Arial" w:cs="Arial" w:eastAsia="Arial" w:hAnsi="Arial"/>
          <w:sz w:val="18"/>
          <w:szCs w:val="18"/>
          <w:color w:val="auto"/>
        </w:rPr>
        <w:t>. Amgen's Repatha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(evolocumab) has already received regulatory approvals in jurisdictions including the U.S., the EU, and Japan,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captured a significant market share in certain jurisdictions. Amgen may obtain marketing approval for Repatha in one or more additional countries before Praluent is approved in those countries. Repatha has also received regulatory approval for cardiovascular risk reduction.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(currently in Phase 3 clinical development).</w:t>
      </w:r>
    </w:p>
    <w:p>
      <w:pPr>
        <w:spacing w:after="0" w:line="255" w:lineRule="exact"/>
        <w:rPr>
          <w:sz w:val="20"/>
          <w:szCs w:val="20"/>
          <w:color w:val="auto"/>
        </w:rPr>
      </w:pPr>
    </w:p>
    <w:p>
      <w:pPr>
        <w:jc w:val="both"/>
        <w:ind w:firstLine="162"/>
        <w:spacing w:after="0" w:line="219" w:lineRule="auto"/>
        <w:rPr>
          <w:sz w:val="20"/>
          <w:szCs w:val="20"/>
          <w:color w:val="auto"/>
        </w:rPr>
      </w:pPr>
      <w:r>
        <w:rPr>
          <w:rFonts w:ascii="Arial" w:cs="Arial" w:eastAsia="Arial" w:hAnsi="Arial"/>
          <w:sz w:val="18"/>
          <w:szCs w:val="18"/>
          <w:i w:val="1"/>
          <w:iCs w:val="1"/>
          <w:color w:val="auto"/>
        </w:rPr>
        <w:t>Kevzara</w:t>
      </w:r>
      <w:r>
        <w:rPr>
          <w:rFonts w:ascii="Arial" w:cs="Arial" w:eastAsia="Arial" w:hAnsi="Arial"/>
          <w:sz w:val="18"/>
          <w:szCs w:val="18"/>
          <w:color w:val="auto"/>
        </w:rPr>
        <w:t>. Genentech/Roche and Chugai Pharmaceutical Co., Ltd. are marketing an antibody against IL-6R (Actemra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(tocilizumab))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rheumatoid arthritis that competes with Kevzara. In addition, several other companies, including Alder Biopharmaceuticals, Inc. (in collaboration with Vitaeris Inc. and CSL Limited), R-Pharm JSC, BIOCAD, Mycenax Biotech Inc., MICROBIO Group, and Bird Rock Bio, Inc. have antibodies against IL-6 or IL-6R in clinical development. Further, oral, small-molecule JAK inhibitors such as Pfizer's 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 Eli Lilly's Olumiant, Gilead Sciences, Inc.'s filgotinib, and AbbVie's upadacitinib may pose a competitive threat for Kevzara.</w:t>
      </w:r>
    </w:p>
    <w:p>
      <w:pPr>
        <w:spacing w:after="0" w:line="259" w:lineRule="exact"/>
        <w:rPr>
          <w:sz w:val="20"/>
          <w:szCs w:val="20"/>
          <w:color w:val="auto"/>
        </w:rPr>
      </w:pPr>
    </w:p>
    <w:p>
      <w:pPr>
        <w:jc w:val="both"/>
        <w:ind w:firstLine="162"/>
        <w:spacing w:after="0" w:line="203" w:lineRule="auto"/>
        <w:rPr>
          <w:sz w:val="20"/>
          <w:szCs w:val="20"/>
          <w:color w:val="auto"/>
        </w:rPr>
      </w:pPr>
      <w:r>
        <w:rPr>
          <w:rFonts w:ascii="Arial" w:cs="Arial" w:eastAsia="Arial" w:hAnsi="Arial"/>
          <w:sz w:val="18"/>
          <w:szCs w:val="18"/>
          <w:i w:val="1"/>
          <w:iCs w:val="1"/>
          <w:color w:val="auto"/>
        </w:rPr>
        <w:t>Libtayo</w:t>
      </w:r>
      <w:r>
        <w:rPr>
          <w:rFonts w:ascii="Arial" w:cs="Arial" w:eastAsia="Arial" w:hAnsi="Arial"/>
          <w:sz w:val="18"/>
          <w:szCs w:val="18"/>
          <w:color w:val="auto"/>
        </w:rPr>
        <w:t>. There are several competitors that are marketing or developing antibodies against PD-1 and/or PDL-1, including Bristol-Myers Squibb's Opdivo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(nivolumab), Merck &amp; Co., Inc.'s 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 Roche's 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 AstraZeneca's 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 Pfizer's Bavencio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(avelumab), Novartis's PDR001, and Celgene Corporation/BeiGene Ltd.'s BGB-A317.</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other late-stage and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Competitors to evinacumab include Ionis Pharmaceuticals, Inc./Akcea Therapeutics, Inc.’s AKCEA-ANGPTL3-LRx, a ligand conjugated antisense drug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47"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rely on our collaborations with Bayer and Sanofi for commercializing EYLEA and Dupixent, Praluent, Kevzara, and Libtayo, respectively.</w:t>
      </w:r>
    </w:p>
    <w:p>
      <w:pPr>
        <w:spacing w:after="0" w:line="30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for such products. Moreover, even though we lead commercialization efforts for Libtayo in the United States, Sanofi has exercised its option to co-promote Libtayo in the United States in accordance with the terms of our IO Collaboration. If we and Sanofi fail to coordinate our United States sales and marketing efforts effectively, sales of Dupixent, Praluent, Kevzara, or Libtayo</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30"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6"/>
          <w:szCs w:val="16"/>
          <w:i w:val="1"/>
          <w:iCs w:val="1"/>
          <w:color w:val="auto"/>
        </w:rPr>
        <w:t>e.g.</w:t>
      </w:r>
      <w:r>
        <w:rPr>
          <w:rFonts w:ascii="Arial" w:cs="Arial" w:eastAsia="Arial" w:hAnsi="Arial"/>
          <w:sz w:val="16"/>
          <w:szCs w:val="16"/>
          <w:color w:val="auto"/>
        </w:rPr>
        <w:t>,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Kevzara, and (in the future) Libtayo in countries outside the United States.</w:t>
      </w:r>
    </w:p>
    <w:p>
      <w:pPr>
        <w:spacing w:after="0" w:line="212"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6"/>
          <w:szCs w:val="16"/>
          <w:i w:val="1"/>
          <w:iCs w:val="1"/>
          <w:color w:val="auto"/>
        </w:rPr>
        <w:t>If our collaboration with Bayer for EYLEA is terminated, or Bayer materially breaches its</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6"/>
          <w:szCs w:val="16"/>
          <w:color w:val="auto"/>
        </w:rPr>
        <w:t>" below and "Risks Related to Our Reliance on Third Parties -</w:t>
      </w:r>
      <w:r>
        <w:rPr>
          <w:rFonts w:ascii="Arial" w:cs="Arial" w:eastAsia="Arial" w:hAnsi="Arial"/>
          <w:sz w:val="16"/>
          <w:szCs w:val="16"/>
          <w:i w:val="1"/>
          <w:iCs w:val="1"/>
          <w:color w:val="auto"/>
        </w:rPr>
        <w:t xml:space="preserve"> 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6"/>
          <w:szCs w:val="16"/>
          <w:color w:val="auto"/>
        </w:rPr>
        <w:t>" below.</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 In addition, there are proposals to legalize the import of pharmaceuticals from outside the United States into the United States. If such proposals were implemented, our future revenues derived from sales of our marketed products could be reduced.</w:t>
      </w:r>
    </w:p>
    <w:p>
      <w:pPr>
        <w:spacing w:after="0" w:line="22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nine months ended September 30, 2018, product sales to two customers accounted on a combined basis for 93%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will be materially harmed.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w:t>
      </w:r>
    </w:p>
    <w:p>
      <w:pPr>
        <w:sectPr>
          <w:pgSz w:w="11900" w:h="16838" w:orient="portrait"/>
          <w:cols w:equalWidth="0" w:num="1">
            <w:col w:w="11420"/>
          </w:cols>
          <w:pgMar w:left="240" w:top="130"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0"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by the FDA to make our applications approvable. If any of these outcomes occur, we may be forced to delay or abandon our applications for approval.</w:t>
      </w:r>
    </w:p>
    <w:p>
      <w:pPr>
        <w:spacing w:after="0" w:line="156"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If we fail to meet the stringent requirements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 result of noncompliance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and regulations described in this paragraph.</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4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4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42"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Dupixent is being studied in additional indications, including atopic dermatitis in pediatric patients, CRSwNP, and eosinophilic esophagitis. There is no guarantee that marketing approval of Dupixent in any of these indications will be successfully obtained. The side effects previously reported for Dupixent include hypersensitivity reactions, conjunctivitis and keratitis, injection-site reactions, eye and eyelid inflammation, and cold sores. These and other complications or side effects could harm further development and/or commercialization of Dupixent.</w:t>
      </w:r>
    </w:p>
    <w:p>
      <w:pPr>
        <w:spacing w:after="0" w:line="241"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Libtayo is also being studied in additional indications, including non-small cell lung cancer, basal cell carcinoma, cervical cancer, squamous cell carcinoma of the head and neck, melanoma, colorectal cancer, prostate cancer, multiple myeloma, Hodgkin lymphoma, and non-Hodgkin lymphoma. There is no guarantee that marketing approval of Libtayo in any of these indications will be successfully obtained.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EPO (currently pending before its Boards of Appeal), as described in Note 11 to our Condensed Consolidated Financial Statements included in this report.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11 to our Condensed Consolidated Financial Statements.</w:t>
      </w:r>
    </w:p>
    <w:p>
      <w:pPr>
        <w:spacing w:after="0" w:line="21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Kevzara (sarilumab), and Libtayo (cemiplimab), our late-stage antibody-based pipeline includes fasinumab, an antibody to NGF, and evinacumab, an antibody to ANGPTL3.</w:t>
      </w:r>
    </w:p>
    <w:p>
      <w:pPr>
        <w:spacing w:after="0" w:line="22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as discussed further under Part I, Item 2. "Management's Discussion and Analysis of Financial Condition and Results of Operations - Marketed Products - Additional Information on 2018 Developments."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4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19"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Kevzara, and Libtayo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Kevzara, and Libtayo,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Kevzara, and Libtayo,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Kevzara, or Libtayo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6"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currently manufacture all of our bulk drug materials at our manufacturing facilities in Rensselaer, New York and Limerick, Ireland. We would be unable to manufacture these materials if our Rensselaer and Limerick facilities were to cease production due to regulatory requirements or actions, business interruptions, labor shortages or disputes, contaminations, fire, natural disasters, acts of war or terrorism, or other problems.</w:t>
      </w:r>
    </w:p>
    <w:p>
      <w:pPr>
        <w:spacing w:after="0" w:line="22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3"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3"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 xml:space="preserve">The current U.S. administration and Congress could carry out significant changes in legislation, regulation, and government policy (including with respect to the possible repeal of all or portions of the PPACA, possible government reimbursement changes and drug price control measures, and possible changes in the existing treaty and trade relationships with other countries), as evidenced by statements and recent actions of President Trump and certain members of Congress (including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 extent of reimbursement from third-party payers, and</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such reimbursement may materially harm our business, prospects, operating results, and financial condition</w:t>
      </w:r>
      <w:r>
        <w:rPr>
          <w:rFonts w:ascii="Arial" w:cs="Arial" w:eastAsia="Arial" w:hAnsi="Arial"/>
          <w:sz w:val="16"/>
          <w:szCs w:val="16"/>
          <w:color w:val="auto"/>
        </w:rPr>
        <w:t>"). While it is not possible to predict</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For example, in a referendum held in the United Kingdom, voters have approved an exit from the EU, commonly referred to as "Brexit." As a result of the referendum, the British government has begun negotiating the terms of the United Kingdom's future relationship with the EU. We do not know to what extent Brexit will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On December 22, 2017, President Trump signed into law H.R.1., "An Act to provide for reconciliation pursuant to titles II and V of the concurrent resolution on the budget for fiscal year 2018" (also known as the "Tax Cuts and Jobs Act") (the Act). Most of the provisions of the Act went into effect on January 1, 2018. The Act includes a number of provisions that are expected to impact our operating results, cash flows, and financial condition, including reducing the U.S. federal corporate tax rate from 35% to 21%, changing the taxation of foreign earnings (including taxation of certain global intangible low-taxed income), allowing for a foreign-derived intangible income deduction and immediate expensing of qualified assets, repealing the deduction for domestic manufacturing, and imposing further limitations on the deductibility of executive compensation.</w:t>
      </w:r>
    </w:p>
    <w:p>
      <w:pPr>
        <w:spacing w:after="0" w:line="23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1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General Data Protection Regulation (GDPR) that recently replaced the EU Data Protection Directive and is being enforced in the European Union.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3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rely heavily on funding from Sanofi to support certain research and development programs, including our immuno-oncology research and development programs. Sanofi has committed to reimburse us for up to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for which</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(subject to, in the case of Libtayo, a development budget amount of $1.64 billion). We rely on Sanofi to fund these activities. In addition, with respect to Dupixent, Praluent, Kevzara, and REGN3500, which Sanofi co-develops with us under our Antibody Collaboration, or for products or product candidates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of Dupixent, Praluent, Kevzara, and REGN3500 under our Antibody Collaboration and (ii) the commercialization efforts outside the Unites States to support all products that are co-developed by Sanofi and us under our IO Collaboration (such as Libtayo) (as well as the commercialization efforts in the United States to support all products for which Sanofi is the principal controlling party under our IO Collaboration).</w:t>
      </w:r>
    </w:p>
    <w:p>
      <w:pPr>
        <w:spacing w:after="0" w:line="23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If Sanofi does not elect to co-develop the product candidates discovered under our IO Collaboration or opts out of their development, unless we enter into a collaboration agreement with another party, we would be required to fund and conduct on our own the clinical trials, regulatory activities, and the ensuing commercialization efforts to support those antibody-based products. For example, under our Antibody Collaboration, Sanofi elected not to continue co-development of fasinumab and trevogrumab, and decided not to opt in to the evinacumab and other programs. In addition, as previously reported, we will now be required to fund all of our antibody discovery activities and the research and preclinical development activities of our drug candidates (other than those funded under the IO Discovery and Development Agreement or other collaboration agreements), as Sanofi's funding obligations under the Antibody Discovery Agreement have ceased.</w:t>
      </w:r>
    </w:p>
    <w:p>
      <w:pPr>
        <w:spacing w:after="0" w:line="243"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or our IO Collaboration, such as Libtayo (see also "Risks Related to Commercialization of Products - </w:t>
      </w:r>
      <w:r>
        <w:rPr>
          <w:rFonts w:ascii="Arial" w:cs="Arial" w:eastAsia="Arial" w:hAnsi="Arial"/>
          <w:sz w:val="17"/>
          <w:szCs w:val="17"/>
          <w:i w:val="1"/>
          <w:iCs w:val="1"/>
          <w:color w:val="auto"/>
        </w:rPr>
        <w:t>If we need to establish commercial capabilities outside the United States and are unable to do so, our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prospects, operating results, and financial condition may be adversely affected</w:t>
      </w:r>
      <w:r>
        <w:rPr>
          <w:rFonts w:ascii="Arial" w:cs="Arial" w:eastAsia="Arial" w:hAnsi="Arial"/>
          <w:sz w:val="17"/>
          <w:szCs w:val="17"/>
          <w:color w:val="auto"/>
        </w:rPr>
        <w:t>" above). Termination of the License and Collaboration Agreement or the IO</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and Collaboration Agreement would create substantial new and additional risks to the successful development and commercialization of (i) Dupixent, Praluent, and Kevzara and (ii) Libtayo, respectively, particularly outside the United States.</w:t>
      </w:r>
    </w:p>
    <w:p>
      <w:pPr>
        <w:spacing w:after="0" w:line="237"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7"/>
          <w:szCs w:val="17"/>
          <w:i w:val="1"/>
          <w:iCs w:val="1"/>
          <w:color w:val="auto"/>
        </w:rPr>
        <w:t>If we need to establish commercial capabilities outside</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and are unable to do so, our business, prospects, operating results, and financial condition may be adversely affected</w:t>
      </w:r>
      <w:r>
        <w:rPr>
          <w:rFonts w:ascii="Arial" w:cs="Arial" w:eastAsia="Arial" w:hAnsi="Arial"/>
          <w:sz w:val="17"/>
          <w:szCs w:val="17"/>
          <w:color w:val="auto"/>
        </w:rPr>
        <w:t>" above).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Bayer collaboration agreement would create substantial new and additional risks to the successful commercialization of EYLEA outside the United States.</w:t>
      </w:r>
    </w:p>
    <w:p>
      <w:pPr>
        <w:spacing w:after="0" w:line="24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47"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Kevzara, and Libtayo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As of September 30, 2018, we had $1,087.8 million in cash and cash equivalents and $2,977.9 million in marketable securities (including $143.7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experiences an adverse development. Furthermore, our equity investments could be subject to dilution (and decline in value) as a result of the issuance of additional equity interests. If any of our investments suffer market price declines, such declines may have an adverse effect on our financial condition and operating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right="4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Arial" w:cs="Arial" w:eastAsia="Arial" w:hAnsi="Arial"/>
          <w:sz w:val="16"/>
          <w:szCs w:val="16"/>
          <w:i w:val="1"/>
          <w:iCs w:val="1"/>
          <w:color w:val="auto"/>
        </w:rPr>
        <w:t>Our existing shareholders may be able</w:t>
      </w:r>
      <w:r>
        <w:rPr>
          <w:rFonts w:ascii="Arial" w:cs="Arial" w:eastAsia="Arial" w:hAnsi="Arial"/>
          <w:sz w:val="16"/>
          <w:szCs w:val="16"/>
          <w:color w:val="auto"/>
        </w:rPr>
        <w:t xml:space="preserve"> </w:t>
      </w:r>
      <w:r>
        <w:rPr>
          <w:rFonts w:ascii="Arial" w:cs="Arial" w:eastAsia="Arial" w:hAnsi="Arial"/>
          <w:sz w:val="16"/>
          <w:szCs w:val="16"/>
          <w:i w:val="1"/>
          <w:iCs w:val="1"/>
          <w:color w:val="auto"/>
        </w:rPr>
        <w:t>to exert significant influence over matters requiring shareholder approval and over our management</w:t>
      </w:r>
      <w:r>
        <w:rPr>
          <w:rFonts w:ascii="Arial" w:cs="Arial" w:eastAsia="Arial" w:hAnsi="Arial"/>
          <w:sz w:val="16"/>
          <w:szCs w:val="16"/>
          <w:color w:val="auto"/>
        </w:rPr>
        <w:t>"). As a result, the public float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4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2018, our five largest shareholders plus Dr. Schleifer, our Chief Executive Officer, beneficially owned approximately 43.9% of our outstanding shares of Common Stock, assuming, in the case of our Chief Executive Officer, the conversion of his Class A Stock into Common Stock and the exercise of all options held by him which are exercisable within 60 days of September 30, 2018. As of September 30, 2018, Sanofi beneficially owned 23,654,384 shares of our Common Stock, representing approximately 22.3%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1,173,847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 influence over matters requiring 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and over our management</w:t>
      </w:r>
      <w:r>
        <w:rPr>
          <w:rFonts w:ascii="Arial" w:cs="Arial" w:eastAsia="Arial" w:hAnsi="Arial"/>
          <w:sz w:val="16"/>
          <w:szCs w:val="16"/>
          <w:color w:val="auto"/>
        </w:rPr>
        <w:t>" and which currently remain available to be sold in accordance with the letter agreement). These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dispositions are subject to earlier 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2018, holders of Class A Stock held 15.2%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2018:</w:t>
      </w:r>
    </w:p>
    <w:p>
      <w:pPr>
        <w:spacing w:after="0" w:line="97" w:lineRule="exact"/>
        <w:rPr>
          <w:sz w:val="20"/>
          <w:szCs w:val="20"/>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9.5% of our outstanding shares of Common Stock, assuming conversion of their Class A Stock into Common Stock and the exercise of all options held by such persons which are exercisable within 60 days of September 30, 2018, and 20.3% of the combined voting power of our outstanding shares of Common Stock and Class A Stock, assuming the exercise of all options held by such persons which are exercisable within 60 days of September 30, 2018;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43.9% of our outstanding shares of Common Stock, assuming, in the case of our Chief Executive Officer, the conversion of his Class A Stock into Common Stock and the exercise of all options held by him which are exercisable within 60 days of September 30, 2018. In addition, these five shareholders plus our Chief Executive Officer held approximately 50.1% of the combined voting power of our outstanding shares of Common Stock and Class A Stock, assuming the exercise of all options held by our Chief Executive Officer which are exercisable within 60 days of September 30, 2018.</w:t>
      </w:r>
    </w:p>
    <w:p>
      <w:pPr>
        <w:spacing w:after="0" w:line="9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0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98"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584,613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589,234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6"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2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one of our long-term incentive plans in the third quarter of 2018.</w:t>
      </w: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(or Units) Purchased as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(or Units) that</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Average Price Paid per</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Purchased</w:t>
            </w:r>
          </w:p>
        </w:tc>
        <w:tc>
          <w:tcPr>
            <w:tcW w:w="26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Share (or Unit)</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58"/>
        </w:trPr>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9/1/2018–9/30/2018</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394.53</w:t>
            </w:r>
          </w:p>
        </w:tc>
        <w:tc>
          <w:tcPr>
            <w:tcW w:w="120" w:type="dxa"/>
            <w:vAlign w:val="bottom"/>
          </w:tcPr>
          <w:p>
            <w:pPr>
              <w:spacing w:after="0"/>
              <w:rPr>
                <w:sz w:val="24"/>
                <w:szCs w:val="24"/>
                <w:color w:val="auto"/>
              </w:rPr>
            </w:pPr>
          </w:p>
        </w:tc>
        <w:tc>
          <w:tcPr>
            <w:tcW w:w="20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180" w:type="dxa"/>
            <w:vAlign w:val="bottom"/>
          </w:tcPr>
          <w:p>
            <w:pPr>
              <w:ind w:left="190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following table reflects shares of Common Stock we elected to purchase from Sanofi during the third quarter of 2018 pursuant to the terms of the Letter Agreement relating to Sanofi's funding obligation in connection with (i) Libtayo development costs incurred under the IO License and Collaboration Agreement and (ii) certain activities relating to dupilumab and REGN3500 incurred under the LCA. See Part I, Item 2. "Management's Discussion and Analysis of Financial Condition and Results of Operations - Collaboration Agreements - Collaborations with Sanofi" for further information.</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(or Units) Purchased as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of Shares (or Units) that</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Average Price Paid per</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Units) Purchased</w:t>
            </w:r>
          </w:p>
        </w:tc>
        <w:tc>
          <w:tcPr>
            <w:tcW w:w="26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Share (or Unit)</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58"/>
        </w:trPr>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9/1/2018–9/30/2018</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104,552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406.68</w:t>
            </w:r>
          </w:p>
        </w:tc>
        <w:tc>
          <w:tcPr>
            <w:tcW w:w="120" w:type="dxa"/>
            <w:vAlign w:val="bottom"/>
          </w:tcPr>
          <w:p>
            <w:pPr>
              <w:spacing w:after="0"/>
              <w:rPr>
                <w:sz w:val="24"/>
                <w:szCs w:val="24"/>
                <w:color w:val="auto"/>
              </w:rPr>
            </w:pPr>
          </w:p>
        </w:tc>
        <w:tc>
          <w:tcPr>
            <w:tcW w:w="20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180" w:type="dxa"/>
            <w:vAlign w:val="bottom"/>
          </w:tcPr>
          <w:p>
            <w:pPr>
              <w:ind w:left="1900"/>
              <w:spacing w:after="0"/>
              <w:rPr>
                <w:sz w:val="20"/>
                <w:szCs w:val="20"/>
                <w:color w:val="auto"/>
              </w:rPr>
            </w:pPr>
            <w:r>
              <w:rPr>
                <w:rFonts w:ascii="Arial" w:cs="Arial" w:eastAsia="Arial" w:hAnsi="Arial"/>
                <w:sz w:val="18"/>
                <w:szCs w:val="18"/>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Ang2 Agreement with Bayer</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November 1, 2018, we and Bayer HealthCare LLC (Bayer) agreed to terminate the License and Collaboration Agreement, dated as of March 23, 2016 (the Ang2 Agreement). The Ang2 Agreement governed our collaboration with Bayer for the joint development and commercialization outside the United States of an antibody product candidate to angiopoietin-2 (Ang2), REGN910-3, for the treatment of ocular diseases or disorders. As we previously reported, in the fourth quarter of 2017, the Company reported that results from two Phase 2 studies of REGN910-3 did not provide sufficient differentiation to warrant Phase 3 development.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3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3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spacing w:after="0" w:line="202"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Certification of Principal Executive Officer pursuant to Rule 13a-14(a) under the Securities Exchange Act of</w:t>
              </w:r>
            </w:hyperlink>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8"/>
              </w:rPr>
            </w:pPr>
            <w:hyperlink w:anchor="page81">
              <w:r>
                <w:rPr>
                  <w:rFonts w:ascii="Arial" w:cs="Arial" w:eastAsia="Arial" w:hAnsi="Arial"/>
                  <w:sz w:val="18"/>
                  <w:szCs w:val="18"/>
                  <w:color w:val="0000FF"/>
                  <w:w w:val="88"/>
                </w:rPr>
                <w:t>1934.</w:t>
              </w:r>
            </w:hyperlink>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73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4"/>
          </w:tcPr>
          <w:p>
            <w:pPr>
              <w:spacing w:after="0" w:line="202"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Principal Financial Officer pursuant to Rule 13a-14(a) under the Securities Exchange Act of 1934.</w:t>
              </w:r>
            </w:hyperlink>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593471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spacing w:after="0" w:line="47" w:lineRule="exact"/>
        <w:rPr>
          <w:sz w:val="20"/>
          <w:szCs w:val="20"/>
          <w:color w:val="auto"/>
        </w:rPr>
      </w:pPr>
    </w:p>
    <w:p>
      <w:pPr>
        <w:ind w:left="2100" w:hanging="1032"/>
        <w:spacing w:after="0"/>
        <w:tabs>
          <w:tab w:leader="none" w:pos="2100" w:val="left"/>
        </w:tabs>
        <w:numPr>
          <w:ilvl w:val="0"/>
          <w:numId w:val="23"/>
        </w:numPr>
        <w:rPr>
          <w:rFonts w:ascii="Arial" w:cs="Arial" w:eastAsia="Arial" w:hAnsi="Arial"/>
          <w:sz w:val="17"/>
          <w:szCs w:val="17"/>
          <w:u w:val="single" w:color="auto"/>
          <w:color w:val="0000FF"/>
        </w:rPr>
      </w:pPr>
      <w:hyperlink w:anchor="page85">
        <w:r>
          <w:rPr>
            <w:rFonts w:ascii="Arial" w:cs="Arial" w:eastAsia="Arial" w:hAnsi="Arial"/>
            <w:sz w:val="17"/>
            <w:szCs w:val="17"/>
            <w:u w:val="single" w:color="auto"/>
            <w:color w:val="0000FF"/>
          </w:rPr>
          <w:t>Certification of Principal Executive Officer and Principal Financial Officer pursuant to 18 U.S.C. Section 1350.</w:t>
        </w:r>
      </w:hyperlink>
    </w:p>
    <w:p>
      <w:pPr>
        <w:spacing w:after="0" w:line="75"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8480" w:type="dxa"/>
            <w:vAlign w:val="bottom"/>
          </w:tcPr>
          <w:p>
            <w:pPr>
              <w:ind w:left="180"/>
              <w:spacing w:after="0"/>
              <w:rPr>
                <w:sz w:val="20"/>
                <w:szCs w:val="20"/>
                <w:color w:val="auto"/>
              </w:rPr>
            </w:pPr>
            <w:r>
              <w:rPr>
                <w:rFonts w:ascii="Arial" w:cs="Arial" w:eastAsia="Arial" w:hAnsi="Arial"/>
                <w:sz w:val="18"/>
                <w:szCs w:val="18"/>
                <w:color w:val="auto"/>
              </w:rPr>
              <w:t>Interactive Data File</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84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8480" w:type="dxa"/>
            <w:vAlign w:val="bottom"/>
          </w:tcPr>
          <w:p>
            <w:pPr>
              <w:ind w:left="1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8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84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880" w:type="dxa"/>
            <w:vAlign w:val="bottom"/>
          </w:tcPr>
          <w:p>
            <w:pPr>
              <w:ind w:left="20"/>
              <w:spacing w:after="0"/>
              <w:rPr>
                <w:sz w:val="20"/>
                <w:szCs w:val="20"/>
                <w:color w:val="auto"/>
              </w:rPr>
            </w:pPr>
            <w:r>
              <w:rPr>
                <w:rFonts w:ascii="Arial" w:cs="Arial" w:eastAsia="Arial" w:hAnsi="Arial"/>
                <w:sz w:val="18"/>
                <w:szCs w:val="18"/>
                <w:color w:val="auto"/>
              </w:rPr>
              <w:t>______</w:t>
            </w:r>
          </w:p>
        </w:tc>
        <w:tc>
          <w:tcPr>
            <w:tcW w:w="8480" w:type="dxa"/>
            <w:vAlign w:val="bottom"/>
          </w:tcPr>
          <w:p>
            <w:pPr>
              <w:spacing w:after="0"/>
              <w:rPr>
                <w:sz w:val="23"/>
                <w:szCs w:val="23"/>
                <w:color w:val="auto"/>
              </w:rPr>
            </w:pPr>
          </w:p>
        </w:tc>
      </w:tr>
      <w:tr>
        <w:trPr>
          <w:trHeight w:val="824"/>
        </w:trPr>
        <w:tc>
          <w:tcPr>
            <w:tcW w:w="880" w:type="dxa"/>
            <w:vAlign w:val="bottom"/>
          </w:tcPr>
          <w:p>
            <w:pPr>
              <w:spacing w:after="0"/>
              <w:rPr>
                <w:sz w:val="24"/>
                <w:szCs w:val="24"/>
                <w:color w:val="auto"/>
              </w:rPr>
            </w:pPr>
          </w:p>
        </w:tc>
        <w:tc>
          <w:tcPr>
            <w:tcW w:w="8480" w:type="dxa"/>
            <w:vAlign w:val="bottom"/>
          </w:tcPr>
          <w:p>
            <w:pPr>
              <w:ind w:left="370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0400"/>
          </w:cols>
          <w:pgMar w:left="240" w:top="130" w:right="1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November 6, 2018</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3" w:name="page84"/>
    <w:bookmarkEnd w:id="83"/>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2018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6, 2018</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6, 2018</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Ÿ"/>
      <w:numFmt w:val="bullet"/>
      <w:start w:val="1"/>
    </w:lvl>
  </w:abstractNum>
  <w:abstractNum w:abstractNumId="5">
    <w:nsid w:val="6B68079A"/>
    <w:multiLevelType w:val="hybridMultilevel"/>
    <w:lvl w:ilvl="0">
      <w:lvlJc w:val="left"/>
      <w:lvlText w:val="Ÿ"/>
      <w:numFmt w:val="bullet"/>
      <w:start w:val="1"/>
    </w:lvl>
  </w:abstractNum>
  <w:abstractNum w:abstractNumId="6">
    <w:nsid w:val="4E6AFB66"/>
    <w:multiLevelType w:val="hybridMultilevel"/>
    <w:lvl w:ilvl="0">
      <w:lvlJc w:val="left"/>
      <w:lvlText w:val="Ÿ"/>
      <w:numFmt w:val="bullet"/>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Ÿ"/>
      <w:numFmt w:val="bullet"/>
      <w:start w:val="1"/>
    </w:lvl>
  </w:abstractNum>
  <w:abstractNum w:abstractNumId="9">
    <w:nsid w:val="431BD7B7"/>
    <w:multiLevelType w:val="hybridMultilevel"/>
    <w:lvl w:ilvl="0">
      <w:lvlJc w:val="left"/>
      <w:lvlText w:val="Ÿ"/>
      <w:numFmt w:val="bullet"/>
      <w:start w:val="1"/>
    </w:lvl>
  </w:abstractNum>
  <w:abstractNum w:abstractNumId="10">
    <w:nsid w:val="3F2DBA31"/>
    <w:multiLevelType w:val="hybridMultilevel"/>
    <w:lvl w:ilvl="0">
      <w:lvlJc w:val="left"/>
      <w:lvlText w:val="Ÿ"/>
      <w:numFmt w:val="bullet"/>
      <w:start w:val="1"/>
    </w:lvl>
  </w:abstractNum>
  <w:abstractNum w:abstractNumId="11">
    <w:nsid w:val="7C83E458"/>
    <w:multiLevelType w:val="hybridMultilevel"/>
    <w:lvl w:ilvl="0">
      <w:lvlJc w:val="left"/>
      <w:lvlText w:val="Ÿ"/>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Roman"/>
      <w:start w:val="4"/>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2019-12-28T18:35:34Z</dcterms:created>
  <dcterms:modified xsi:type="dcterms:W3CDTF">2019-12-28T18:35:34Z</dcterms:modified>
</cp:coreProperties>
</file>