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360" w:right="2200" w:hanging="334"/>
        <w:spacing w:after="0" w:line="304"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2024</w:t>
      </w:r>
    </w:p>
    <w:p>
      <w:pPr>
        <w:spacing w:after="0" w:line="181" w:lineRule="exact"/>
        <w:rPr>
          <w:sz w:val="24"/>
          <w:szCs w:val="24"/>
          <w:color w:val="auto"/>
        </w:rPr>
      </w:pPr>
    </w:p>
    <w:p>
      <w:pPr>
        <w:ind w:left="360" w:right="2180" w:hanging="334"/>
        <w:spacing w:after="0" w:line="319"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000-19034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060" w:type="dxa"/>
            <w:vAlign w:val="bottom"/>
          </w:tcPr>
          <w:p>
            <w:pPr>
              <w:spacing w:after="0"/>
              <w:rPr>
                <w:sz w:val="20"/>
                <w:szCs w:val="20"/>
                <w:color w:val="auto"/>
              </w:rPr>
            </w:pPr>
          </w:p>
        </w:tc>
        <w:tc>
          <w:tcPr>
            <w:tcW w:w="29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2"/>
          </w:tcPr>
          <w:p>
            <w:pPr>
              <w:jc w:val="right"/>
              <w:ind w:right="1124"/>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gridSpan w:val="3"/>
          </w:tcPr>
          <w:p>
            <w:pPr>
              <w:jc w:val="center"/>
              <w:ind w:left="377"/>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60" w:type="dxa"/>
            <w:vAlign w:val="bottom"/>
          </w:tcPr>
          <w:p>
            <w:pPr>
              <w:spacing w:after="0"/>
              <w:rPr>
                <w:sz w:val="24"/>
                <w:szCs w:val="24"/>
                <w:color w:val="auto"/>
              </w:rPr>
            </w:pPr>
          </w:p>
        </w:tc>
        <w:tc>
          <w:tcPr>
            <w:tcW w:w="36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80" w:type="dxa"/>
            <w:vAlign w:val="bottom"/>
          </w:tcPr>
          <w:p>
            <w:pPr>
              <w:spacing w:after="0"/>
              <w:rPr>
                <w:sz w:val="21"/>
                <w:szCs w:val="21"/>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of 1934 during the preceding 12 months (or for such shorter period that the registrant was required to file such reports), and (2) has been subject</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 such filing requirements for the past 90 days.</w:t>
            </w: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303"/>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ind w:left="20" w:right="1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Large accelerated</w:t>
            </w:r>
          </w:p>
        </w:tc>
        <w:tc>
          <w:tcPr>
            <w:tcW w:w="170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7"/>
                <w:szCs w:val="17"/>
                <w:color w:val="auto"/>
              </w:rPr>
              <w:t>☐</w:t>
            </w:r>
          </w:p>
        </w:tc>
        <w:tc>
          <w:tcPr>
            <w:tcW w:w="2280" w:type="dxa"/>
            <w:vAlign w:val="bottom"/>
            <w:vMerge w:val="restart"/>
          </w:tcPr>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w:t>
            </w:r>
          </w:p>
        </w:tc>
        <w:tc>
          <w:tcPr>
            <w:tcW w:w="6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Emerging growth</w:t>
            </w:r>
          </w:p>
        </w:tc>
        <w:tc>
          <w:tcPr>
            <w:tcW w:w="560" w:type="dxa"/>
            <w:vAlign w:val="bottom"/>
            <w:vMerge w:val="restart"/>
          </w:tcPr>
          <w:p>
            <w:pPr>
              <w:jc w:val="right"/>
              <w:ind w:right="299"/>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780" w:type="dxa"/>
            <w:vAlign w:val="bottom"/>
          </w:tcPr>
          <w:p>
            <w:pPr>
              <w:ind w:left="1140"/>
              <w:spacing w:after="0" w:line="196"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7"/>
                <w:szCs w:val="17"/>
                <w:color w:val="auto"/>
              </w:rPr>
              <w:t>☒</w:t>
            </w:r>
          </w:p>
        </w:tc>
        <w:tc>
          <w:tcPr>
            <w:tcW w:w="170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62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560" w:type="dxa"/>
            <w:vAlign w:val="bottom"/>
            <w:vMerge w:val="restart"/>
          </w:tcPr>
          <w:p>
            <w:pPr>
              <w:jc w:val="right"/>
              <w:ind w:right="99"/>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jc w:val="right"/>
              <w:ind w:right="99"/>
              <w:spacing w:after="0" w:line="196" w:lineRule="exact"/>
              <w:rPr>
                <w:sz w:val="20"/>
                <w:szCs w:val="20"/>
                <w:color w:val="auto"/>
              </w:rPr>
            </w:pPr>
            <w:r>
              <w:rPr>
                <w:rFonts w:ascii="Times New Roman" w:cs="Times New Roman" w:eastAsia="Times New Roman" w:hAnsi="Times New Roman"/>
                <w:sz w:val="13"/>
                <w:szCs w:val="13"/>
                <w:color w:val="auto"/>
                <w:w w:val="88"/>
              </w:rPr>
              <w:t xml:space="preserve">Yes </w:t>
            </w:r>
            <w:r>
              <w:rPr>
                <w:rFonts w:ascii="MS PGothic" w:cs="MS PGothic" w:eastAsia="MS PGothic" w:hAnsi="MS PGothic"/>
                <w:sz w:val="17"/>
                <w:szCs w:val="17"/>
                <w:color w:val="auto"/>
                <w:w w:val="88"/>
              </w:rPr>
              <w:t>☐</w:t>
            </w:r>
          </w:p>
        </w:tc>
        <w:tc>
          <w:tcPr>
            <w:tcW w:w="520" w:type="dxa"/>
            <w:vAlign w:val="bottom"/>
          </w:tcPr>
          <w:p>
            <w:pPr>
              <w:ind w:left="18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October 23, 2024:</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Class of Common Stock</w:t>
            </w:r>
          </w:p>
        </w:tc>
        <w:tc>
          <w:tcPr>
            <w:tcW w:w="54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Number of Shares</w:t>
            </w:r>
          </w:p>
        </w:tc>
      </w:tr>
      <w:tr>
        <w:trPr>
          <w:trHeight w:val="207"/>
        </w:trPr>
        <w:tc>
          <w:tcPr>
            <w:tcW w:w="224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20" w:type="dxa"/>
            <w:vAlign w:val="bottom"/>
          </w:tcPr>
          <w:p>
            <w:pPr>
              <w:spacing w:after="0"/>
              <w:rPr>
                <w:sz w:val="17"/>
                <w:szCs w:val="17"/>
                <w:color w:val="auto"/>
              </w:rPr>
            </w:pPr>
          </w:p>
        </w:tc>
        <w:tc>
          <w:tcPr>
            <w:tcW w:w="320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rPr>
              <w:t>1,817,146</w:t>
            </w:r>
          </w:p>
        </w:tc>
        <w:tc>
          <w:tcPr>
            <w:tcW w:w="222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2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rPr>
              <w:t>108,072,385</w:t>
            </w:r>
          </w:p>
        </w:tc>
        <w:tc>
          <w:tcPr>
            <w:tcW w:w="2220" w:type="dxa"/>
            <w:vAlign w:val="bottom"/>
          </w:tcPr>
          <w:p>
            <w:pPr>
              <w:spacing w:after="0"/>
              <w:rPr>
                <w:sz w:val="18"/>
                <w:szCs w:val="18"/>
                <w:color w:val="auto"/>
              </w:rPr>
            </w:pPr>
          </w:p>
        </w:tc>
      </w:tr>
      <w:tr>
        <w:trPr>
          <w:trHeight w:val="1026"/>
        </w:trPr>
        <w:tc>
          <w:tcPr>
            <w:tcW w:w="2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26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gridSpan w:val="2"/>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189"/>
        </w:trPr>
        <w:tc>
          <w:tcPr>
            <w:tcW w:w="81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 PAGE</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"Altibodies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"Inmazeb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"Praluent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United States),</w:t>
      </w:r>
    </w:p>
    <w:p>
      <w:pPr>
        <w:jc w:val="both"/>
        <w:spacing w:after="0" w:line="188" w:lineRule="auto"/>
        <w:rPr>
          <w:sz w:val="20"/>
          <w:szCs w:val="20"/>
          <w:color w:val="auto"/>
        </w:rPr>
      </w:pPr>
      <w:r>
        <w:rPr>
          <w:rFonts w:ascii="Times New Roman" w:cs="Times New Roman" w:eastAsia="Times New Roman" w:hAnsi="Times New Roman"/>
          <w:sz w:val="17"/>
          <w:szCs w:val="17"/>
          <w:color w:val="auto"/>
        </w:rPr>
        <w:t>"REGEN-COV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"Veopoz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 companies appearing in this report are, to the knowledge of Regeneron Pharmaceuticals, Inc., the property of their respective owners. This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5,667.3</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19,479.2</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33,080.2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6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7,107.1</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shares issued and outstanding - none</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 outstanding -</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1.8 in 2024 and 2023</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- 135.3 in 2024 and 133.1 in</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11,354.0</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27,260.3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Treasury Stock, at cost; 27.0 shares in 2024 and 25.5 shares in 2023</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(12,560.4)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33,080.2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9"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7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5"/>
        </w:trPr>
        <w:tc>
          <w:tcPr>
            <w:tcW w:w="3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3"/>
                <w:szCs w:val="23"/>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37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5,226.2</w:t>
            </w:r>
          </w:p>
        </w:tc>
      </w:tr>
      <w:tr>
        <w:trPr>
          <w:trHeight w:val="229"/>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revenue</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4,133.1</w:t>
            </w:r>
          </w:p>
        </w:tc>
      </w:tr>
      <w:tr>
        <w:trPr>
          <w:trHeight w:val="229"/>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9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23"/>
        </w:trPr>
        <w:tc>
          <w:tcPr>
            <w:tcW w:w="37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9,682.9</w:t>
            </w:r>
          </w:p>
        </w:tc>
      </w:tr>
      <w:tr>
        <w:trPr>
          <w:trHeight w:val="196"/>
        </w:trPr>
        <w:tc>
          <w:tcPr>
            <w:tcW w:w="3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3,261.8</w:t>
            </w:r>
          </w:p>
        </w:tc>
      </w:tr>
      <w:tr>
        <w:trPr>
          <w:trHeight w:val="229"/>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30"/>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1,893.6</w:t>
            </w:r>
          </w:p>
        </w:tc>
      </w:tr>
      <w:tr>
        <w:trPr>
          <w:trHeight w:val="229"/>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r>
      <w:tr>
        <w:trPr>
          <w:trHeight w:val="229"/>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Cost of collaboration and contract manufacturing</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r>
      <w:tr>
        <w:trPr>
          <w:trHeight w:val="230"/>
        </w:trPr>
        <w:tc>
          <w:tcPr>
            <w:tcW w:w="3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7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6,608.7</w:t>
            </w:r>
          </w:p>
        </w:tc>
      </w:tr>
      <w:tr>
        <w:trPr>
          <w:trHeight w:val="196"/>
        </w:trPr>
        <w:tc>
          <w:tcPr>
            <w:tcW w:w="3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3,074.2</w:t>
            </w:r>
          </w:p>
        </w:tc>
      </w:tr>
      <w:tr>
        <w:trPr>
          <w:trHeight w:val="216"/>
        </w:trPr>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3"/>
        </w:trPr>
        <w:tc>
          <w:tcPr>
            <w:tcW w:w="37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196"/>
        </w:trPr>
        <w:tc>
          <w:tcPr>
            <w:tcW w:w="3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3,051.7</w:t>
            </w:r>
          </w:p>
        </w:tc>
      </w:tr>
      <w:tr>
        <w:trPr>
          <w:trHeight w:val="216"/>
        </w:trPr>
        <w:tc>
          <w:tcPr>
            <w:tcW w:w="3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196"/>
        </w:trPr>
        <w:tc>
          <w:tcPr>
            <w:tcW w:w="3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2,794.0</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7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16"/>
        </w:trPr>
        <w:tc>
          <w:tcPr>
            <w:tcW w:w="3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3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2,794.0</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 on debt securities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29"/>
        </w:trPr>
        <w:tc>
          <w:tcPr>
            <w:tcW w:w="3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Gain (loss) on foreign currency translation</w:t>
            </w:r>
          </w:p>
        </w:tc>
        <w:tc>
          <w:tcPr>
            <w:tcW w:w="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2,856.0</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19685</wp:posOffset>
            </wp:positionV>
            <wp:extent cx="6471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45720</wp:posOffset>
            </wp:positionV>
            <wp:extent cx="64719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19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369" w:right="8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jc w:val="right"/>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5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80" w:type="dxa"/>
            <w:vAlign w:val="bottom"/>
            <w:gridSpan w:val="3"/>
            <w:vMerge w:val="restart"/>
          </w:tcPr>
          <w:p>
            <w:pPr>
              <w:jc w:val="right"/>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$11,354.0</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$27,260.3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$(12,560.4)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11,942.6</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12,316.9</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0" w:type="dxa"/>
            <w:vAlign w:val="bottom"/>
          </w:tcPr>
          <w:p>
            <w:pPr>
              <w:spacing w:after="0"/>
              <w:rPr>
                <w:sz w:val="21"/>
                <w:szCs w:val="21"/>
                <w:color w:val="auto"/>
              </w:rPr>
            </w:pPr>
          </w:p>
        </w:tc>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12,702.8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30,755.2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(14,192.4)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STOCKHOLDERS' EQUITY (Unaudited) </w:t>
      </w:r>
      <w:r>
        <w:rPr>
          <w:rFonts w:ascii="Times New Roman" w:cs="Times New Roman" w:eastAsia="Times New Roman" w:hAnsi="Times New Roman"/>
          <w:sz w:val="18"/>
          <w:szCs w:val="18"/>
          <w:b w:val="1"/>
          <w:bCs w:val="1"/>
          <w:i w:val="1"/>
          <w:iCs w:val="1"/>
          <w:color w:val="auto"/>
        </w:rPr>
        <w:t>(continued)</w:t>
      </w:r>
    </w:p>
    <w:p>
      <w:pPr>
        <w:spacing w:after="0" w:line="6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5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9,949.3</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$23,306.7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$(10,353.3)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22,664.0</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2023</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10,597.7</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23,495.2</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2023</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10,888.5</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24,017.9</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2023</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11,251.5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26,100.7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(12,271.1)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8922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45720</wp:posOffset>
            </wp:positionV>
            <wp:extent cx="6892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1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79"/>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700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5"/>
        </w:trPr>
        <w:tc>
          <w:tcPr>
            <w:tcW w:w="80" w:type="dxa"/>
            <w:vAlign w:val="bottom"/>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80" w:type="dxa"/>
            <w:vAlign w:val="bottom"/>
          </w:tcPr>
          <w:p>
            <w:pPr>
              <w:spacing w:after="0"/>
              <w:rPr>
                <w:sz w:val="18"/>
                <w:szCs w:val="18"/>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2,794.0</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(Gains) losses on marketable and other securities,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non-cash items,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29"/>
        </w:trPr>
        <w:tc>
          <w:tcPr>
            <w:tcW w:w="80" w:type="dxa"/>
            <w:vAlign w:val="bottom"/>
          </w:tcPr>
          <w:p>
            <w:pPr>
              <w:spacing w:after="0"/>
              <w:rPr>
                <w:sz w:val="19"/>
                <w:szCs w:val="19"/>
                <w:color w:val="auto"/>
              </w:rPr>
            </w:pPr>
          </w:p>
        </w:tc>
        <w:tc>
          <w:tcPr>
            <w:tcW w:w="8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r>
      <w:tr>
        <w:trPr>
          <w:trHeight w:val="223"/>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3,504.3</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(9,514.2)</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7,059.3</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Libtayo intangible asset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(3,118.9)</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80" w:type="dxa"/>
            <w:vAlign w:val="bottom"/>
          </w:tcPr>
          <w:p>
            <w:pPr>
              <w:spacing w:after="0"/>
              <w:rPr>
                <w:sz w:val="18"/>
                <w:szCs w:val="18"/>
                <w:color w:val="auto"/>
              </w:rPr>
            </w:pPr>
          </w:p>
        </w:tc>
        <w:tc>
          <w:tcPr>
            <w:tcW w:w="8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r>
      <w:tr>
        <w:trPr>
          <w:trHeight w:val="216"/>
        </w:trPr>
        <w:tc>
          <w:tcPr>
            <w:tcW w:w="80" w:type="dxa"/>
            <w:vAlign w:val="bottom"/>
          </w:tcPr>
          <w:p>
            <w:pPr>
              <w:spacing w:after="0"/>
              <w:rPr>
                <w:sz w:val="18"/>
                <w:szCs w:val="18"/>
                <w:color w:val="auto"/>
              </w:rPr>
            </w:pPr>
          </w:p>
        </w:tc>
        <w:tc>
          <w:tcPr>
            <w:tcW w:w="8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3,119.4</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2,160.2</w:t>
            </w:r>
          </w:p>
        </w:tc>
      </w:tr>
      <w:tr>
        <w:trPr>
          <w:trHeight w:val="21"/>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19685</wp:posOffset>
            </wp:positionV>
            <wp:extent cx="70294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45720</wp:posOffset>
            </wp:positionV>
            <wp:extent cx="7029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2023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No. 2023-07, </w:t>
      </w:r>
      <w:r>
        <w:rPr>
          <w:rFonts w:ascii="Times New Roman" w:cs="Times New Roman" w:eastAsia="Times New Roman" w:hAnsi="Times New Roman"/>
          <w:sz w:val="18"/>
          <w:szCs w:val="18"/>
          <w:i w:val="1"/>
          <w:iCs w:val="1"/>
          <w:color w:val="auto"/>
        </w:rPr>
        <w:t>Segment Reporting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amendments require disclosure of incremental segment information on an annual and interim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amendments also require companies with a single reportable segment to provide all disclosures required by this amendment and all existing segment disclosures in Accounting Standards Codification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amendments are effective for fiscal years beginning after December 15, 2023, and interim periods beginning after December 15, 2024. The Company does not expect the adoption of the amendments to have a significant impact on its financial statements.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The amendments require (i) enhanced disclosures in connection with an entity's effective tax rate reconciliation and (ii) income taxes paid disaggregated by jurisdiction. The amendments are effective for annual periods beginning after December 15, 2024. The Company does not expect the adoption of the amendments to have a significant impact on its financial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6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19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8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p>
        </w:tc>
        <w:tc>
          <w:tcPr>
            <w:tcW w:w="1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28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1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4,382.1</w:t>
            </w:r>
          </w:p>
        </w:tc>
      </w:tr>
      <w:tr>
        <w:trPr>
          <w:trHeight w:val="223"/>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EYLEA HD and EYLEA</w:t>
            </w:r>
          </w:p>
        </w:tc>
        <w:tc>
          <w:tcPr>
            <w:tcW w:w="1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4,424.8</w:t>
            </w:r>
          </w:p>
        </w:tc>
      </w:tr>
      <w:tr>
        <w:trPr>
          <w:trHeight w:val="230"/>
        </w:trPr>
        <w:tc>
          <w:tcPr>
            <w:tcW w:w="2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1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r>
      <w:tr>
        <w:trPr>
          <w:trHeight w:val="22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Libtayo</w:t>
            </w:r>
          </w:p>
        </w:tc>
        <w:tc>
          <w:tcPr>
            <w:tcW w:w="1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Global</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r>
      <w:tr>
        <w:trPr>
          <w:trHeight w:val="229"/>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1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2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1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2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Inmazeb</w:t>
            </w:r>
            <w:r>
              <w:rPr>
                <w:rFonts w:ascii="Times New Roman" w:cs="Times New Roman" w:eastAsia="Times New Roman" w:hAnsi="Times New Roman"/>
                <w:sz w:val="23"/>
                <w:szCs w:val="23"/>
                <w:color w:val="auto"/>
                <w:vertAlign w:val="superscript"/>
              </w:rPr>
              <w:t>®</w:t>
            </w:r>
          </w:p>
        </w:tc>
        <w:tc>
          <w:tcPr>
            <w:tcW w:w="1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Global</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2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5,226.2</w:t>
            </w:r>
          </w:p>
        </w:tc>
      </w:tr>
      <w:tr>
        <w:trPr>
          <w:trHeight w:val="21"/>
        </w:trPr>
        <w:tc>
          <w:tcPr>
            <w:tcW w:w="2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$4.142 billion and $3.888 billion, respectively, of trade accounts receivable that were recorded within Accounts receivable, net.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product sales to certain customers that each accounted for more than 10% of total gross product revenue for the three and nine months ended September 30, 2024 and 2023. Sales to each of these customers as a percentage of the Company's total gross product revenue are as follows:</w:t>
      </w:r>
    </w:p>
    <w:p>
      <w:pPr>
        <w:spacing w:after="0" w:line="189"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24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040" w:type="dxa"/>
            <w:vAlign w:val="bottom"/>
          </w:tcPr>
          <w:p>
            <w:pPr>
              <w:spacing w:after="0"/>
              <w:rPr>
                <w:sz w:val="20"/>
                <w:szCs w:val="20"/>
                <w:color w:val="auto"/>
              </w:rPr>
            </w:pPr>
          </w:p>
        </w:tc>
        <w:tc>
          <w:tcPr>
            <w:tcW w:w="2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3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304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55"/>
        </w:trPr>
        <w:tc>
          <w:tcPr>
            <w:tcW w:w="30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Besse Medical, a subsidiary of Cencora,</w:t>
            </w: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43"/>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6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Sanofi is generally responsible for funding 80% to 100% of agreed-upon development costs. The Company is obligated to reimburse Sanofi for 30% to 50% of worldwide development expenses that were funded by Sanofi (i.e., "development balance") based on the Company's share of collaboration profits; however, the Company is only required to apply 20% of its share of profits from the collaboration each calendar quarter to reimburse Sanofi for these development expenses. As of September 30, 2024, the Company's contingent reimbursement obligation to Sanofi under the collaboration was approximately $1.810 billion.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Sanofi leads commercialization activities for products under the collaboration, subject to the Company's right to co-commercialize such products. During the three months ended September 30, 2023, the Company earned the final $50.0 million sales-based milestone from Sanofi upon aggregate annual sales of antibodies outside the United States exceeding $3.0 billion on a rolling twelve-month basis.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Sanofi collaboration are as follows:</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19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720" w:type="dxa"/>
            <w:vAlign w:val="bottom"/>
          </w:tcPr>
          <w:p>
            <w:pPr>
              <w:spacing w:after="0"/>
              <w:rPr>
                <w:sz w:val="20"/>
                <w:szCs w:val="20"/>
                <w:color w:val="auto"/>
              </w:rPr>
            </w:pPr>
          </w:p>
        </w:tc>
        <w:tc>
          <w:tcPr>
            <w:tcW w:w="2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0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2"/>
        </w:trPr>
        <w:tc>
          <w:tcPr>
            <w:tcW w:w="3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w:t>
            </w: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Sales-based milestones earned</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176"/>
        </w:trPr>
        <w:tc>
          <w:tcPr>
            <w:tcW w:w="3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r>
      <w:tr>
        <w:trPr>
          <w:trHeight w:val="176"/>
        </w:trPr>
        <w:tc>
          <w:tcPr>
            <w:tcW w:w="3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37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R&amp;D expenses, net of reimbursement of R&amp;D</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175"/>
        </w:trPr>
        <w:tc>
          <w:tcPr>
            <w:tcW w:w="3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Reduction of SG&amp;A expense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Sanofi collaboration:</w:t>
      </w:r>
    </w:p>
    <w:p>
      <w:pPr>
        <w:spacing w:after="0" w:line="194" w:lineRule="exact"/>
        <w:rPr>
          <w:sz w:val="20"/>
          <w:szCs w:val="20"/>
          <w:color w:val="auto"/>
        </w:rPr>
      </w:pPr>
    </w:p>
    <w:tbl>
      <w:tblPr>
        <w:tblLayout w:type="fixed"/>
        <w:tblInd w:w="250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8 mg (aflibercept 8 mg) and EYLEA (aflibercept) outside the United States. Agreed-upon development expenses incurred by the Company and Bayer are generally shared equally. Bayer is responsible for commercialization activities outside the United States, and the companies share equally in profits from such sales. Within the United States, the Company is responsible for commercialization and retains profits from such sales.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Bayer collaboration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9"/>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24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480" w:type="dxa"/>
            <w:vAlign w:val="bottom"/>
          </w:tcPr>
          <w:p>
            <w:pPr>
              <w:spacing w:after="0"/>
              <w:rPr>
                <w:sz w:val="20"/>
                <w:szCs w:val="20"/>
                <w:color w:val="auto"/>
              </w:rPr>
            </w:pPr>
          </w:p>
        </w:tc>
        <w:tc>
          <w:tcPr>
            <w:tcW w:w="1780" w:type="dxa"/>
            <w:vAlign w:val="bottom"/>
            <w:gridSpan w:val="8"/>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24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52"/>
        </w:trPr>
        <w:tc>
          <w:tcPr>
            <w:tcW w:w="30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40" w:type="dxa"/>
            <w:vAlign w:val="bottom"/>
          </w:tcPr>
          <w:p>
            <w:pPr>
              <w:spacing w:after="0"/>
              <w:rPr>
                <w:sz w:val="21"/>
                <w:szCs w:val="21"/>
                <w:color w:val="auto"/>
              </w:rPr>
            </w:pPr>
          </w:p>
        </w:tc>
        <w:tc>
          <w:tcPr>
            <w:tcW w:w="20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020" w:type="dxa"/>
            <w:vAlign w:val="bottom"/>
            <w:tcBorders>
              <w:top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r>
      <w:tr>
        <w:trPr>
          <w:trHeight w:val="223"/>
        </w:trPr>
        <w:tc>
          <w:tcPr>
            <w:tcW w:w="300" w:type="dxa"/>
            <w:vAlign w:val="bottom"/>
          </w:tcPr>
          <w:p>
            <w:pPr>
              <w:spacing w:after="0"/>
              <w:rPr>
                <w:sz w:val="19"/>
                <w:szCs w:val="19"/>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3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280" w:type="dxa"/>
            <w:vAlign w:val="bottom"/>
          </w:tcPr>
          <w:p>
            <w:pPr>
              <w:spacing w:after="0"/>
              <w:rPr>
                <w:sz w:val="19"/>
                <w:szCs w:val="19"/>
                <w:color w:val="auto"/>
              </w:rPr>
            </w:pPr>
          </w:p>
        </w:tc>
      </w:tr>
      <w:tr>
        <w:trPr>
          <w:trHeight w:val="175"/>
        </w:trPr>
        <w:tc>
          <w:tcPr>
            <w:tcW w:w="300" w:type="dxa"/>
            <w:vAlign w:val="bottom"/>
          </w:tcPr>
          <w:p>
            <w:pPr>
              <w:spacing w:after="0"/>
              <w:rPr>
                <w:sz w:val="15"/>
                <w:szCs w:val="15"/>
                <w:color w:val="auto"/>
              </w:rPr>
            </w:pPr>
          </w:p>
        </w:tc>
        <w:tc>
          <w:tcPr>
            <w:tcW w:w="3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24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43"/>
        </w:trPr>
        <w:tc>
          <w:tcPr>
            <w:tcW w:w="300" w:type="dxa"/>
            <w:vAlign w:val="bottom"/>
          </w:tcPr>
          <w:p>
            <w:pPr>
              <w:spacing w:after="0"/>
              <w:rPr>
                <w:sz w:val="21"/>
                <w:szCs w:val="21"/>
                <w:color w:val="auto"/>
              </w:rPr>
            </w:pPr>
          </w:p>
        </w:tc>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supplies</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80" w:type="dxa"/>
            <w:vAlign w:val="bottom"/>
          </w:tcPr>
          <w:p>
            <w:pPr>
              <w:spacing w:after="0"/>
              <w:rPr>
                <w:sz w:val="21"/>
                <w:szCs w:val="21"/>
                <w:color w:val="auto"/>
              </w:rPr>
            </w:pPr>
          </w:p>
        </w:tc>
      </w:tr>
      <w:tr>
        <w:trPr>
          <w:trHeight w:val="175"/>
        </w:trPr>
        <w:tc>
          <w:tcPr>
            <w:tcW w:w="300" w:type="dxa"/>
            <w:vAlign w:val="bottom"/>
          </w:tcPr>
          <w:p>
            <w:pPr>
              <w:spacing w:after="0"/>
              <w:rPr>
                <w:sz w:val="15"/>
                <w:szCs w:val="15"/>
                <w:color w:val="auto"/>
              </w:rPr>
            </w:pPr>
          </w:p>
        </w:tc>
        <w:tc>
          <w:tcPr>
            <w:tcW w:w="3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Bayer</w:t>
            </w:r>
          </w:p>
        </w:tc>
        <w:tc>
          <w:tcPr>
            <w:tcW w:w="24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r>
      <w:tr>
        <w:trPr>
          <w:trHeight w:val="184"/>
        </w:trPr>
        <w:tc>
          <w:tcPr>
            <w:tcW w:w="300" w:type="dxa"/>
            <w:vAlign w:val="bottom"/>
          </w:tcPr>
          <w:p>
            <w:pPr>
              <w:spacing w:after="0"/>
              <w:rPr>
                <w:sz w:val="16"/>
                <w:szCs w:val="16"/>
                <w:color w:val="auto"/>
              </w:rPr>
            </w:pPr>
          </w:p>
        </w:tc>
        <w:tc>
          <w:tcPr>
            <w:tcW w:w="37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R&amp;D expenses, net of reimbursement of R&amp;D</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3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tcPr>
          <w:p>
            <w:pPr>
              <w:spacing w:after="0"/>
              <w:rPr>
                <w:sz w:val="20"/>
                <w:szCs w:val="20"/>
                <w:color w:val="auto"/>
              </w:rPr>
            </w:pPr>
          </w:p>
        </w:tc>
      </w:tr>
      <w:tr>
        <w:trPr>
          <w:trHeight w:val="445"/>
        </w:trPr>
        <w:tc>
          <w:tcPr>
            <w:tcW w:w="7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The following table summarizes contract balances in connection with the Company's Bayer collaboration:</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96"/>
        </w:trPr>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40" w:type="dxa"/>
            <w:vAlign w:val="bottom"/>
          </w:tcPr>
          <w:p>
            <w:pPr>
              <w:spacing w:after="0"/>
              <w:rPr>
                <w:sz w:val="20"/>
                <w:szCs w:val="20"/>
                <w:color w:val="auto"/>
              </w:rPr>
            </w:pPr>
          </w:p>
        </w:tc>
        <w:tc>
          <w:tcPr>
            <w:tcW w:w="2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381.7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4"/>
        </w:trPr>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Pr>
          <w:p>
            <w:pPr>
              <w:spacing w:after="0"/>
              <w:rPr>
                <w:sz w:val="20"/>
                <w:szCs w:val="20"/>
                <w:color w:val="auto"/>
              </w:rPr>
            </w:pPr>
          </w:p>
        </w:tc>
        <w:tc>
          <w:tcPr>
            <w:tcW w:w="19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5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138.2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657"/>
        </w:trPr>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8"/>
        </w:trPr>
        <w:tc>
          <w:tcPr>
            <w:tcW w:w="3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Roche</w:t>
      </w:r>
    </w:p>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is a party to a collaboration agreement with Roche to develop, manufacture, and distribute the casirivimab and imdevimab antibody cocktail (known as REGEN-COV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the United States and Ronapreve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other countries). Under the terms of the collaboration agreement, the Company has the right to distribute the product in the United States while Roche has the right to distribute the product outside the United States. The parties share gross profits from worldwide sales.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Roche collaboration are as follows:</w:t>
      </w:r>
    </w:p>
    <w:p>
      <w:pPr>
        <w:spacing w:after="0" w:line="27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180" w:type="dxa"/>
            <w:vAlign w:val="bottom"/>
          </w:tcPr>
          <w:p>
            <w:pPr>
              <w:spacing w:after="0"/>
              <w:rPr>
                <w:sz w:val="20"/>
                <w:szCs w:val="20"/>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9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Global gross profits earned in connection with</w:t>
            </w:r>
          </w:p>
        </w:tc>
        <w:tc>
          <w:tcPr>
            <w:tcW w:w="23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of Ronapreve</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balances in the Company's Balance Sheets in connection with the Roche collaboration were not material as of September 30, 2024 and December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Other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collaboration and license agreements discussed above, the Company has various other collaboration and license agreements that are not individually significant to its operating results or financial condition at this time. Pursuant to the terms of those agreements, the Company may be required to pay, or it may receive, additional amounts contingent upon the occurrence of various future events (e.g., upon the achievement of various development and commercial milestones), which in the aggregate could be significant. The Company may also incur, or get reimbursed for, significant research and development costs.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to Acquired in-process research and development expense a $45.0 million development milestone in connection with the Company's collaboration agreement with Sonoma Biotherapeutics, Inc.</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recorded to Acquired in-process research and development expense a $100.0 million development milestone in connection with the Company's collaboration agreement with Alnylam Pharmaceuticals, Inc. Acquired in-process research and development expense for the nine months ended September 30, 2023 also included a $45.0 million up-front payment in connection with the Company's collaboration agreement with Sonoma.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1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2,794.0</w:t>
            </w:r>
          </w:p>
        </w:tc>
      </w:tr>
      <w:tr>
        <w:trPr>
          <w:trHeight w:val="270"/>
        </w:trPr>
        <w:tc>
          <w:tcPr>
            <w:tcW w:w="4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4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6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9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1900" w:type="dxa"/>
            <w:vAlign w:val="bottom"/>
          </w:tcPr>
          <w:p>
            <w:pPr>
              <w:spacing w:after="0"/>
              <w:rPr>
                <w:sz w:val="19"/>
                <w:szCs w:val="19"/>
                <w:color w:val="auto"/>
              </w:rPr>
            </w:pPr>
          </w:p>
        </w:tc>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00" w:type="dxa"/>
            <w:vAlign w:val="bottom"/>
          </w:tcPr>
          <w:p>
            <w:pPr>
              <w:spacing w:after="0"/>
              <w:rPr>
                <w:sz w:val="19"/>
                <w:szCs w:val="19"/>
                <w:color w:val="auto"/>
              </w:rPr>
            </w:pPr>
          </w:p>
        </w:tc>
      </w:tr>
      <w:tr>
        <w:trPr>
          <w:trHeight w:val="223"/>
        </w:trPr>
        <w:tc>
          <w:tcPr>
            <w:tcW w:w="1900" w:type="dxa"/>
            <w:vAlign w:val="bottom"/>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900" w:type="dxa"/>
            <w:vAlign w:val="bottom"/>
          </w:tcPr>
          <w:p>
            <w:pPr>
              <w:spacing w:after="0"/>
              <w:rPr>
                <w:sz w:val="19"/>
                <w:szCs w:val="19"/>
                <w:color w:val="auto"/>
              </w:rPr>
            </w:pPr>
          </w:p>
        </w:tc>
      </w:tr>
      <w:tr>
        <w:trPr>
          <w:trHeight w:val="797"/>
        </w:trPr>
        <w:tc>
          <w:tcPr>
            <w:tcW w:w="19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58"/>
        </w:trPr>
        <w:tc>
          <w:tcPr>
            <w:tcW w:w="19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securities as of September 30, 2024 and December 31, 2023 consist of both available-for-sale debt securities of investment grade issuers (see below and Note 6) as well as equity securities of publicly traded companies (see Note 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0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80" w:type="dxa"/>
            <w:vAlign w:val="bottom"/>
          </w:tcPr>
          <w:p>
            <w:pPr>
              <w:spacing w:after="0"/>
              <w:rPr>
                <w:sz w:val="15"/>
                <w:szCs w:val="15"/>
                <w:color w:val="auto"/>
              </w:rPr>
            </w:pPr>
          </w:p>
        </w:tc>
        <w:tc>
          <w:tcPr>
            <w:tcW w:w="124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280" w:type="dxa"/>
            <w:vAlign w:val="bottom"/>
          </w:tcPr>
          <w:p>
            <w:pPr>
              <w:spacing w:after="0"/>
              <w:rPr>
                <w:sz w:val="15"/>
                <w:szCs w:val="15"/>
                <w:color w:val="auto"/>
              </w:rPr>
            </w:pPr>
          </w:p>
        </w:tc>
        <w:tc>
          <w:tcPr>
            <w:tcW w:w="114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380" w:type="dxa"/>
            <w:vAlign w:val="bottom"/>
          </w:tcPr>
          <w:p>
            <w:pPr>
              <w:spacing w:after="0"/>
              <w:rPr>
                <w:sz w:val="15"/>
                <w:szCs w:val="15"/>
                <w:color w:val="auto"/>
              </w:rPr>
            </w:pPr>
          </w:p>
        </w:tc>
        <w:tc>
          <w:tcPr>
            <w:tcW w:w="940" w:type="dxa"/>
            <w:vAlign w:val="bottom"/>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7,767.3</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5,998.6</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229"/>
        </w:trPr>
        <w:tc>
          <w:tcPr>
            <w:tcW w:w="2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31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6,398.0</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4,833.4</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12,533.9</w:t>
            </w: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as of September 30, 2024 mature at various dates through October 2029. The fair values of available-for-sale debt securities by contractual maturity consist of the following:</w:t>
      </w:r>
    </w:p>
    <w:p>
      <w:pPr>
        <w:spacing w:after="0" w:line="226" w:lineRule="exact"/>
        <w:rPr>
          <w:sz w:val="20"/>
          <w:szCs w:val="20"/>
          <w:color w:val="auto"/>
        </w:rPr>
      </w:pPr>
    </w:p>
    <w:tbl>
      <w:tblPr>
        <w:tblLayout w:type="fixed"/>
        <w:tblInd w:w="200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8,114.8</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after five years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40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14,967.4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12,533.9</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and gross unrealized losses by category and disaggregated by the length of time that the Company's available-for-sale debt securities have been in a continuous unrealized loss position.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4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00" w:type="dxa"/>
            <w:vAlign w:val="bottom"/>
            <w:gridSpan w:val="4"/>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98"/>
        </w:trPr>
        <w:tc>
          <w:tcPr>
            <w:tcW w:w="350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84"/>
        </w:trPr>
        <w:tc>
          <w:tcPr>
            <w:tcW w:w="350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184"/>
        </w:trPr>
        <w:tc>
          <w:tcPr>
            <w:tcW w:w="3500" w:type="dxa"/>
            <w:vAlign w:val="bottom"/>
            <w:gridSpan w:val="4"/>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3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3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unrealized losses on corporate bonds were primarily driven by changes in interest rates. The Company has reviewed its portfolio of available-for-sale debt securities and determined that the decline in fair value below cost did not result from credit-related factors. In addition, the Company does not intend to sell, and it is not more likely than not that the Company will be required to sell, such securities before recovery of their amortized cost bases.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marketable securities, for the three and nine months ended September 30, 2024 and 2023, amounts reclassified from Accumulated other comprehensive income (loss) into Other income (expense), net were related to realized gains/losses on sales of available-for-sale debt securities. For the three and nine months ended September 30, 2024 and 2023, realized gains/losses on sales of marketable securities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assets and liabilities which are measured at fair value on a recurring basis. The following fair value hierarchy is used to classify assets and liabilities, based on inputs to valuation techniques utilized to measure fair value:</w:t>
      </w:r>
    </w:p>
    <w:p>
      <w:pPr>
        <w:spacing w:after="0" w:line="8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Reporting Date</w:t>
            </w:r>
          </w:p>
        </w:tc>
      </w:tr>
      <w:tr>
        <w:trPr>
          <w:trHeight w:val="183"/>
        </w:trPr>
        <w:tc>
          <w:tcPr>
            <w:tcW w:w="42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60" w:type="dxa"/>
            <w:vAlign w:val="bottom"/>
          </w:tcPr>
          <w:p>
            <w:pPr>
              <w:spacing w:after="0"/>
              <w:rPr>
                <w:sz w:val="15"/>
                <w:szCs w:val="15"/>
                <w:color w:val="auto"/>
              </w:rPr>
            </w:pPr>
          </w:p>
        </w:tc>
        <w:tc>
          <w:tcPr>
            <w:tcW w:w="148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15"/>
                <w:szCs w:val="15"/>
                <w:color w:val="auto"/>
              </w:rPr>
            </w:pPr>
          </w:p>
        </w:tc>
        <w:tc>
          <w:tcPr>
            <w:tcW w:w="144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5"/>
                <w:szCs w:val="15"/>
                <w:color w:val="auto"/>
              </w:rPr>
            </w:pPr>
          </w:p>
        </w:tc>
        <w:tc>
          <w:tcPr>
            <w:tcW w:w="1440" w:type="dxa"/>
            <w:vAlign w:val="bottom"/>
            <w:gridSpan w:val="2"/>
          </w:tcPr>
          <w:p>
            <w:pPr>
              <w:jc w:val="center"/>
              <w:ind w:right="440"/>
              <w:spacing w:after="0" w:line="182"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5"/>
                <w:szCs w:val="15"/>
                <w:color w:val="auto"/>
              </w:rPr>
            </w:pPr>
          </w:p>
        </w:tc>
        <w:tc>
          <w:tcPr>
            <w:tcW w:w="132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0"/>
        </w:trPr>
        <w:tc>
          <w:tcPr>
            <w:tcW w:w="19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Equity securities (restricted)</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17,210.4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15,384.9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1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70"/>
        </w:trPr>
        <w:tc>
          <w:tcPr>
            <w:tcW w:w="1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09"/>
        </w:trPr>
        <w:tc>
          <w:tcPr>
            <w:tcW w:w="19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34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30"/>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bl>
    <w:p>
      <w:pPr>
        <w:spacing w:after="0" w:line="29" w:lineRule="exact"/>
        <w:rPr>
          <w:sz w:val="20"/>
          <w:szCs w:val="20"/>
          <w:color w:val="auto"/>
        </w:rPr>
      </w:pPr>
    </w:p>
    <w:p>
      <w:pPr>
        <w:ind w:left="400" w:hanging="151"/>
        <w:spacing w:after="0"/>
        <w:tabs>
          <w:tab w:leader="none" w:pos="40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equity securities which are subject to transfer restrictions that expire in April 2026</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investments summarized in the table above, as of September 30, 2024 and December 31, 2023, the Company had $159.8 million and $74.3 million, respectively, in equity investments that do not have a readily determinable fair value. These investments are recorded within Other noncurrent assets. Also recorded within Other noncurrent assets as of September 30, 2024 were equity investments of $47.0 million which are measured at fair value based on Level 3 inputs; no such investments were held by the Company as of December 31, 2023.</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$134.5 million and $330.8 million of net unrealized gains, respectively, on equity securities in Other income (expense), net; and during the three and nine months ended September 30, 2023, the Company recorded $100.3 million and $295.9 million of net unrealized losses, respectively, on equity securities in Other income (expense), net. In addition, during the three months ended September 30, 2023, the Company recorded a write-down of $29.0 million in Other income (expense), net related to the Company's investments in private companies.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which was determined based on Level 2 inputs, was estimated to be $1.577 billion and $1.528 billion as of September 30, 2024 and December 31, 2023,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94" w:lineRule="exact"/>
        <w:rPr>
          <w:sz w:val="20"/>
          <w:szCs w:val="20"/>
          <w:color w:val="auto"/>
        </w:rPr>
      </w:pPr>
    </w:p>
    <w:tbl>
      <w:tblPr>
        <w:tblLayout w:type="fixed"/>
        <w:tblInd w:w="2680"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w:t>
            </w: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30"/>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w:t>
            </w:r>
          </w:p>
        </w:tc>
      </w:tr>
      <w:tr>
        <w:trPr>
          <w:trHeight w:val="248"/>
        </w:trPr>
        <w:tc>
          <w:tcPr>
            <w:tcW w:w="2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Company's effective tax rate was 10.2% and 9.3% for the three months ended September 30, 2024 and 2023, respectively, and 8.6% and 8.4% for the nine months ended September 30, 2024 and 2023, respectively. The Company's effective tax rate for the three and nine months ended September 30, 2024 was positively impacted, compared to the U.S. federal statutory rate, primarily by income earned in foreign jurisdictions with tax rates lower than the U.S. federal statutory rate and stock-based compensation. The Company's effective tax rate for the nine months ended September 30, 2024 was negatively impacted by the remeasurement of existing uncertain tax positions.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2023 was positively impacted, compared to the U.S. federal statutory rate, primarily by income earned in foreign jurisdictions with tax rates lower than the U.S. federal statutory rate and, to a lesser extent, stock-based compensation and federal tax credits for research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Company's board of directors authorized a share repurchase program to repurchase up to $3.0 billion of the Company's Common Stock. As of September 30, 2024, the Company had repurchased the entire $3.0 billion of its Common Stock it was authorized to repurchase under the program.</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2024, the Company's board of directors authorized a share repurchase program to repurchase up to an additional $3.0 billion of the Company's Common Stock. The share repurchase program permits the Company to make repurchases through a variety of methods, including open-market transactions (including pursuant to a trading plan adopted in accordance with Rule 10b5-1 of the Securities Exchange Act of 1934, as amended (the "Exchange Act")), privately negotiated transactions, accelerated share repurchases, block trades, and other transactions in compliance with Rule 10b-18 of the Exchange Act.</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the Company's Common Stock that the Company repurchased and the cost of such shares, which were recorded as Treasury Stock.</w:t>
      </w:r>
    </w:p>
    <w:p>
      <w:pPr>
        <w:spacing w:after="0" w:line="99" w:lineRule="exact"/>
        <w:rPr>
          <w:sz w:val="20"/>
          <w:szCs w:val="20"/>
          <w:color w:val="auto"/>
        </w:rPr>
      </w:pPr>
    </w:p>
    <w:tbl>
      <w:tblPr>
        <w:tblLayout w:type="fixed"/>
        <w:tblInd w:w="1920" w:type="dxa"/>
        <w:tblCellMar>
          <w:top w:w="0" w:type="dxa"/>
          <w:left w:w="0" w:type="dxa"/>
          <w:bottom w:w="0" w:type="dxa"/>
          <w:right w:w="0" w:type="dxa"/>
        </w:tblCellMar>
      </w:tblPr>
      <w:tr>
        <w:trPr>
          <w:trHeight w:val="20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20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$2.893 billion remained available for share repurchases under the April 2024 program.</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Statement of Cash Flows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Sheets to the total of the same such amounts shown in the Condensed Consolidated Statements of Cash Flows:</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4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55"/>
        </w:trPr>
        <w:tc>
          <w:tcPr>
            <w:tcW w:w="64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w:t>
            </w:r>
          </w:p>
        </w:tc>
        <w:tc>
          <w:tcPr>
            <w:tcW w:w="420" w:type="dxa"/>
            <w:vAlign w:val="bottom"/>
            <w:tcBorders>
              <w:top w:val="single" w:sz="8" w:color="auto"/>
            </w:tcBorders>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2,160.2</w:t>
            </w:r>
          </w:p>
        </w:tc>
        <w:tc>
          <w:tcPr>
            <w:tcW w:w="0" w:type="dxa"/>
            <w:vAlign w:val="bottom"/>
          </w:tcPr>
          <w:p>
            <w:pPr>
              <w:spacing w:after="0"/>
              <w:rPr>
                <w:sz w:val="1"/>
                <w:szCs w:val="1"/>
                <w:color w:val="auto"/>
              </w:rPr>
            </w:pPr>
          </w:p>
        </w:tc>
      </w:tr>
      <w:tr>
        <w:trPr>
          <w:trHeight w:val="236"/>
        </w:trPr>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Statements of Cash Flows</w:t>
            </w: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consisted of amounts held by financial institutions pursuant to contractual arrangements.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9"/>
                <w:szCs w:val="19"/>
                <w:color w:val="auto"/>
              </w:rPr>
            </w:pP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176"/>
        </w:trPr>
        <w:tc>
          <w:tcPr>
            <w:tcW w:w="3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contingent consideration in connection</w:t>
            </w: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acquisitions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Legal Matters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outcome of any such proceedings, regardless of the merits, is inherently uncertain. If the Company is unable to prevail in one or more of such proceedings, its consolidated financial position, results of operations, and future cash flows may be materially adversely impacted. Costs associated with the Company's involvement in legal proceedings are expensed as incurred. The Company recognizes accruals for loss contingencies associated with such proceedings when it is probable that a liability will be incurred and the amount of loss can be reasonably estimated. As of September 30, 2024 and December 31, 2023, the Company's accruals for loss contingencies were not material. There are certain loss contingencies that the Company deems reasonably possible for which the possible loss or range of possible loss is not estimable at this time.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Inc.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On August 1 and 11, 2022, Amgen filed a motion to dismiss the complaint and a motion to stay these proceedings, respectively. On February 10, 2023, the court denied Amgen's motion to stay; and on March 21, 2023, the court denied Amgen's motion to dismiss. On August 28, 2023, the Company filed an amended complaint in this matter; and, as part of its response, on September 20, 2023, Amgen filed a counterclaim alleging that the Company engaged in unfair business practices in violation of state law. On May 22, 2024, Amgen filed a motion for summary judgment. An oral hearing on Amgen's motion for summary judgment has been scheduled for November 20, 2024.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 2023, Sanofi filed an action in the Munich Central Division of the Unified Patent Court (the "UPC") seeking revocation of Amgen's European Patent No. 3,666,797 (the "'797 Patent"). The '797 Patent is a divisional patent of European Patent No. 2,215,124 (the "'124 Patent") (i.e., a patent that shares the same priority date, disclosure, and patent term of the parent '124 Patent), which was previously invalidated by Technical Board of Appeal (the "TBA") of the European Patent Office (the "EPO"). A trial on the revocation action before the Munich Central Division of the UPC was held on June 4, 2024. On July 16, 2024, the Munich Central Division of the UPC issued a decision revoking the '797 Patent in its entirety. On September 16, 2024, Amgen appealed the decision of the Munich Central Division of the UPC to the Court of Appeal of the UPC.</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June 1, 2023, Amgen filed a lawsuit against the Company and certain of Sanofi's affiliated entities in the Munich Local Division of the UPC alleging infringement of the '797 Patent. The lawsuit seeks, among other things, a permanent injunction in several countries in Europe and monetary damages. On July 29, 2024, the Munich Local Division of the UPC ordered a stay of the infringement lawsuit in light of the decision of the Munich Central Division of the UPC to revoke the '797 Patent in its entirety (discussed above).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patents pertaining to EYLEA are subject to post-grant proceedings before the United States Patent and Trademark Office ("USPTO"), EPO, or other comparable foreign authorities, including those described in greater detail below. In addition, the Company has filed patent infringement lawsuits in several jurisdictions alleging infringement of certain Company patents pertaining to EYLEA, including those described in greater detail below.</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Post-Grant Proceedings Before USPTO</w:t>
      </w:r>
    </w:p>
    <w:p>
      <w:pPr>
        <w:sectPr>
          <w:pgSz w:w="11900" w:h="16838" w:orient="portrait"/>
          <w:cols w:equalWidth="0" w:num="1">
            <w:col w:w="11240"/>
          </w:cols>
          <w:pgMar w:left="320" w:top="369" w:right="339" w:bottom="1440" w:gutter="0" w:footer="0" w:header="0"/>
        </w:sect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Company Patent(s)</w:t>
            </w:r>
          </w:p>
        </w:tc>
        <w:tc>
          <w:tcPr>
            <w:tcW w:w="100" w:type="dxa"/>
            <w:vAlign w:val="bottom"/>
          </w:tcPr>
          <w:p>
            <w:pPr>
              <w:spacing w:after="0"/>
              <w:rPr>
                <w:sz w:val="20"/>
                <w:szCs w:val="20"/>
                <w:color w:val="auto"/>
              </w:rPr>
            </w:pPr>
          </w:p>
        </w:tc>
        <w:tc>
          <w:tcPr>
            <w:tcW w:w="15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Challenger(s)</w:t>
            </w:r>
          </w:p>
        </w:tc>
        <w:tc>
          <w:tcPr>
            <w:tcW w:w="100" w:type="dxa"/>
            <w:vAlign w:val="bottom"/>
          </w:tcPr>
          <w:p>
            <w:pPr>
              <w:spacing w:after="0"/>
              <w:rPr>
                <w:sz w:val="20"/>
                <w:szCs w:val="20"/>
                <w:color w:val="auto"/>
              </w:rPr>
            </w:pPr>
          </w:p>
        </w:tc>
        <w:tc>
          <w:tcPr>
            <w:tcW w:w="2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Type of Challenge</w:t>
            </w:r>
          </w:p>
        </w:tc>
      </w:tr>
      <w:tr>
        <w:trPr>
          <w:trHeight w:val="196"/>
        </w:trPr>
        <w:tc>
          <w:tcPr>
            <w:tcW w:w="1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U.S. Patent Nos.</w:t>
            </w:r>
          </w:p>
        </w:tc>
        <w:tc>
          <w:tcPr>
            <w:tcW w:w="100" w:type="dxa"/>
            <w:vAlign w:val="bottom"/>
          </w:tcPr>
          <w:p>
            <w:pPr>
              <w:spacing w:after="0"/>
              <w:rPr>
                <w:sz w:val="17"/>
                <w:szCs w:val="17"/>
                <w:color w:val="auto"/>
              </w:rPr>
            </w:pPr>
          </w:p>
        </w:tc>
        <w:tc>
          <w:tcPr>
            <w:tcW w:w="16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Mylan</w:t>
            </w:r>
          </w:p>
        </w:tc>
        <w:tc>
          <w:tcPr>
            <w:tcW w:w="2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IPR petitions seeking</w:t>
            </w:r>
          </w:p>
        </w:tc>
      </w:tr>
      <w:tr>
        <w:trPr>
          <w:trHeight w:val="189"/>
        </w:trPr>
        <w:tc>
          <w:tcPr>
            <w:tcW w:w="20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9,254,338 (the "'338</w:t>
            </w:r>
          </w:p>
        </w:tc>
        <w:tc>
          <w:tcPr>
            <w:tcW w:w="16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Pharmaceuticals Inc.,</w:t>
            </w:r>
          </w:p>
        </w:tc>
        <w:tc>
          <w:tcPr>
            <w:tcW w:w="2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declarations of invalidity</w:t>
            </w:r>
          </w:p>
        </w:tc>
      </w:tr>
      <w:tr>
        <w:trPr>
          <w:trHeight w:val="176"/>
        </w:trPr>
        <w:tc>
          <w:tcPr>
            <w:tcW w:w="2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Patent") and 9,669,069</w:t>
            </w:r>
          </w:p>
        </w:tc>
        <w:tc>
          <w:tcPr>
            <w:tcW w:w="1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joined by Apotex</w:t>
            </w:r>
          </w:p>
        </w:tc>
        <w:tc>
          <w:tcPr>
            <w:tcW w:w="2080" w:type="dxa"/>
            <w:vAlign w:val="bottom"/>
          </w:tcPr>
          <w:p>
            <w:pPr>
              <w:spacing w:after="0"/>
              <w:rPr>
                <w:sz w:val="15"/>
                <w:szCs w:val="15"/>
                <w:color w:val="auto"/>
              </w:rPr>
            </w:pPr>
          </w:p>
        </w:tc>
      </w:tr>
      <w:tr>
        <w:trPr>
          <w:trHeight w:val="234"/>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"'069 Patent")</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 and Celltrion</w:t>
            </w:r>
          </w:p>
        </w:tc>
        <w:tc>
          <w:tcPr>
            <w:tcW w:w="2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-516890</wp:posOffset>
            </wp:positionV>
            <wp:extent cx="7115175" cy="1465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465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firstLine="222"/>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Date of Challenge </w:t>
      </w:r>
      <w:r>
        <w:rPr>
          <w:rFonts w:ascii="Times New Roman" w:cs="Times New Roman" w:eastAsia="Times New Roman" w:hAnsi="Times New Roman"/>
          <w:sz w:val="18"/>
          <w:szCs w:val="18"/>
          <w:color w:val="auto"/>
        </w:rPr>
        <w:t>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1226185</wp:posOffset>
            </wp:positionV>
            <wp:extent cx="11747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Latest Events/Current Status</w:t>
      </w:r>
    </w:p>
    <w:p>
      <w:pPr>
        <w:spacing w:after="0" w:line="40" w:lineRule="exact"/>
        <w:rPr>
          <w:sz w:val="20"/>
          <w:szCs w:val="20"/>
          <w:color w:val="auto"/>
        </w:rPr>
      </w:pPr>
    </w:p>
    <w:p>
      <w:pPr>
        <w:ind w:right="280"/>
        <w:spacing w:after="0" w:line="216" w:lineRule="auto"/>
        <w:rPr>
          <w:sz w:val="20"/>
          <w:szCs w:val="20"/>
          <w:color w:val="auto"/>
        </w:rPr>
      </w:pPr>
      <w:r>
        <w:rPr>
          <w:rFonts w:ascii="Times New Roman" w:cs="Times New Roman" w:eastAsia="Times New Roman" w:hAnsi="Times New Roman"/>
          <w:sz w:val="18"/>
          <w:szCs w:val="18"/>
          <w:color w:val="auto"/>
        </w:rPr>
        <w:t>On November 9, 2022, the USPTO issued final written decisions finding that the challenged claims of the '338 and '069</w:t>
      </w:r>
    </w:p>
    <w:p>
      <w:pPr>
        <w:spacing w:after="0" w:line="1" w:lineRule="exact"/>
        <w:rPr>
          <w:sz w:val="20"/>
          <w:szCs w:val="20"/>
          <w:color w:val="auto"/>
        </w:rPr>
      </w:pPr>
    </w:p>
    <w:p>
      <w:pPr>
        <w:ind w:right="460"/>
        <w:spacing w:after="0" w:line="226" w:lineRule="auto"/>
        <w:rPr>
          <w:sz w:val="20"/>
          <w:szCs w:val="20"/>
          <w:color w:val="auto"/>
        </w:rPr>
      </w:pPr>
      <w:r>
        <w:rPr>
          <w:rFonts w:ascii="Times New Roman" w:cs="Times New Roman" w:eastAsia="Times New Roman" w:hAnsi="Times New Roman"/>
          <w:sz w:val="18"/>
          <w:szCs w:val="18"/>
          <w:color w:val="auto"/>
        </w:rPr>
        <w:t>Patents are unpatentable and, therefore, invalid.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10, 2023, the Company filed</w:t>
      </w:r>
    </w:p>
    <w:p>
      <w:pPr>
        <w:spacing w:after="0" w:line="2" w:lineRule="exact"/>
        <w:rPr>
          <w:sz w:val="20"/>
          <w:szCs w:val="20"/>
          <w:color w:val="auto"/>
        </w:rPr>
      </w:pPr>
    </w:p>
    <w:p>
      <w:pPr>
        <w:ind w:right="240"/>
        <w:spacing w:after="0" w:line="208" w:lineRule="auto"/>
        <w:rPr>
          <w:sz w:val="20"/>
          <w:szCs w:val="20"/>
          <w:color w:val="auto"/>
        </w:rPr>
      </w:pPr>
      <w:r>
        <w:rPr>
          <w:rFonts w:ascii="Times New Roman" w:cs="Times New Roman" w:eastAsia="Times New Roman" w:hAnsi="Times New Roman"/>
          <w:sz w:val="18"/>
          <w:szCs w:val="18"/>
          <w:color w:val="auto"/>
        </w:rPr>
        <w:t>notices of appeal of these decisions to the United States Court of Appeals for the Federal Circuit (the "Federal Circuit"). On</w:t>
      </w:r>
    </w:p>
    <w:p>
      <w:pPr>
        <w:spacing w:after="0" w:line="2" w:lineRule="exact"/>
        <w:rPr>
          <w:sz w:val="20"/>
          <w:szCs w:val="20"/>
          <w:color w:val="auto"/>
        </w:rPr>
      </w:pPr>
    </w:p>
    <w:p>
      <w:pPr>
        <w:ind w:right="420"/>
        <w:spacing w:after="0" w:line="226" w:lineRule="auto"/>
        <w:rPr>
          <w:sz w:val="20"/>
          <w:szCs w:val="20"/>
          <w:color w:val="auto"/>
        </w:rPr>
      </w:pPr>
      <w:r>
        <w:rPr>
          <w:rFonts w:ascii="Times New Roman" w:cs="Times New Roman" w:eastAsia="Times New Roman" w:hAnsi="Times New Roman"/>
          <w:sz w:val="18"/>
          <w:szCs w:val="18"/>
          <w:color w:val="auto"/>
        </w:rPr>
        <w:t>July 9, 2024, the Company's appeal was voluntarily dismissed.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8890</wp:posOffset>
            </wp:positionV>
            <wp:extent cx="2100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3">
            <w:col w:w="5860" w:space="120"/>
            <w:col w:w="1600" w:space="360"/>
            <w:col w:w="3300"/>
          </w:cols>
          <w:pgMar w:left="320" w:top="369" w:right="339" w:bottom="1440" w:gutter="0" w:footer="0" w:header="0"/>
          <w:type w:val="continuous"/>
        </w:sectPr>
      </w:pPr>
    </w:p>
    <w:p>
      <w:pPr>
        <w:ind w:left="40"/>
        <w:spacing w:after="0" w:line="229" w:lineRule="auto"/>
        <w:rPr>
          <w:sz w:val="20"/>
          <w:szCs w:val="20"/>
          <w:color w:val="auto"/>
        </w:rPr>
      </w:pPr>
      <w:r>
        <w:rPr>
          <w:rFonts w:ascii="Times New Roman" w:cs="Times New Roman" w:eastAsia="Times New Roman" w:hAnsi="Times New Roman"/>
          <w:sz w:val="17"/>
          <w:szCs w:val="17"/>
          <w:color w:val="auto"/>
        </w:rPr>
        <w:t>U.S. Patent Nos. 10,130,681 (the "'681 Patent") and 10,888,601</w:t>
      </w:r>
    </w:p>
    <w:p>
      <w:pPr>
        <w:ind w:left="40"/>
        <w:spacing w:after="0"/>
        <w:rPr>
          <w:sz w:val="20"/>
          <w:szCs w:val="20"/>
          <w:color w:val="auto"/>
        </w:rPr>
      </w:pPr>
      <w:r>
        <w:rPr>
          <w:rFonts w:ascii="Times New Roman" w:cs="Times New Roman" w:eastAsia="Times New Roman" w:hAnsi="Times New Roman"/>
          <w:sz w:val="18"/>
          <w:szCs w:val="18"/>
          <w:color w:val="auto"/>
        </w:rPr>
        <w:t>(the "'601 Patent")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Mylan, joined by Celltrion ('601 and '681 Patents) and Samsung Bioepis Co., Ltd. ('601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522605</wp:posOffset>
            </wp:positionV>
            <wp:extent cx="10026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Samsung Bioepis, joined by Biocon Biologics Inc. ('601 Patent)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IPR petitions seeking declarations of invalidity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1026160</wp:posOffset>
            </wp:positionV>
            <wp:extent cx="13112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IPR petitions seeking declarations of invalidity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803275</wp:posOffset>
            </wp:positionV>
            <wp:extent cx="7115175" cy="754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July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1200150</wp:posOffset>
            </wp:positionV>
            <wp:extent cx="1174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January 6, 2023 ('681 Patent)</w:t>
      </w:r>
    </w:p>
    <w:p>
      <w:pPr>
        <w:spacing w:after="0" w:line="18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March 26, 2023 ('601 Patent)</w:t>
      </w:r>
    </w:p>
    <w:p>
      <w:pPr>
        <w:spacing w:after="0" w:line="20" w:lineRule="exact"/>
        <w:rPr>
          <w:sz w:val="20"/>
          <w:szCs w:val="20"/>
          <w:color w:val="auto"/>
        </w:rPr>
      </w:pPr>
      <w:r>
        <w:rPr>
          <w:sz w:val="20"/>
          <w:szCs w:val="20"/>
          <w:color w:val="auto"/>
        </w:rPr>
        <w:br w:type="column"/>
      </w:r>
    </w:p>
    <w:p>
      <w:pPr>
        <w:ind w:right="100"/>
        <w:spacing w:after="0" w:line="216" w:lineRule="auto"/>
        <w:rPr>
          <w:sz w:val="20"/>
          <w:szCs w:val="20"/>
          <w:color w:val="auto"/>
        </w:rPr>
      </w:pPr>
      <w:r>
        <w:rPr>
          <w:rFonts w:ascii="Times New Roman" w:cs="Times New Roman" w:eastAsia="Times New Roman" w:hAnsi="Times New Roman"/>
          <w:sz w:val="18"/>
          <w:szCs w:val="18"/>
          <w:color w:val="auto"/>
        </w:rPr>
        <w:t>On January 9, 2024, the USPTO issued final written decisions finding that that the challenged claims of the '681 and '601</w:t>
      </w:r>
    </w:p>
    <w:p>
      <w:pPr>
        <w:spacing w:after="0" w:line="1" w:lineRule="exact"/>
        <w:rPr>
          <w:sz w:val="20"/>
          <w:szCs w:val="20"/>
          <w:color w:val="auto"/>
        </w:rPr>
      </w:pPr>
    </w:p>
    <w:p>
      <w:pPr>
        <w:ind w:right="460"/>
        <w:spacing w:after="0" w:line="226" w:lineRule="auto"/>
        <w:rPr>
          <w:sz w:val="20"/>
          <w:szCs w:val="20"/>
          <w:color w:val="auto"/>
        </w:rPr>
      </w:pPr>
      <w:r>
        <w:rPr>
          <w:rFonts w:ascii="Times New Roman" w:cs="Times New Roman" w:eastAsia="Times New Roman" w:hAnsi="Times New Roman"/>
          <w:sz w:val="18"/>
          <w:szCs w:val="18"/>
          <w:color w:val="auto"/>
        </w:rPr>
        <w:t>Patents are unpatentable and, therefore, invalid.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12, 2024, the Company filed</w:t>
      </w:r>
    </w:p>
    <w:p>
      <w:pPr>
        <w:spacing w:after="0" w:line="2" w:lineRule="exact"/>
        <w:rPr>
          <w:sz w:val="20"/>
          <w:szCs w:val="20"/>
          <w:color w:val="auto"/>
        </w:rPr>
      </w:pPr>
    </w:p>
    <w:p>
      <w:pPr>
        <w:jc w:val="both"/>
        <w:ind w:right="320"/>
        <w:spacing w:after="0" w:line="208" w:lineRule="auto"/>
        <w:rPr>
          <w:sz w:val="20"/>
          <w:szCs w:val="20"/>
          <w:color w:val="auto"/>
        </w:rPr>
      </w:pPr>
      <w:r>
        <w:rPr>
          <w:rFonts w:ascii="Times New Roman" w:cs="Times New Roman" w:eastAsia="Times New Roman" w:hAnsi="Times New Roman"/>
          <w:sz w:val="18"/>
          <w:szCs w:val="18"/>
          <w:color w:val="auto"/>
        </w:rPr>
        <w:t>notices of appeal of these decisions to the Federal Circuit. On August 20, 2024, the Company's appeal was voluntarily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dismissed.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wp:posOffset>
            </wp:positionV>
            <wp:extent cx="2100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ind w:right="140"/>
        <w:spacing w:after="0" w:line="216" w:lineRule="auto"/>
        <w:rPr>
          <w:sz w:val="20"/>
          <w:szCs w:val="20"/>
          <w:color w:val="auto"/>
        </w:rPr>
      </w:pPr>
      <w:r>
        <w:rPr>
          <w:rFonts w:ascii="Times New Roman" w:cs="Times New Roman" w:eastAsia="Times New Roman" w:hAnsi="Times New Roman"/>
          <w:sz w:val="18"/>
          <w:szCs w:val="18"/>
          <w:color w:val="auto"/>
        </w:rPr>
        <w:t>On July 19, 2023 and October 20, 2023, the USPTO instituted IPR proceedings concerning the '681 Patent and the '601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respectively.</w:t>
      </w:r>
    </w:p>
    <w:p>
      <w:pPr>
        <w:spacing w:after="0" w:line="19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On June 14, 2024, the USPTO issued a final written decision finding that the challenged</w:t>
      </w:r>
    </w:p>
    <w:p>
      <w:pPr>
        <w:ind w:right="300"/>
        <w:spacing w:after="0" w:line="226" w:lineRule="auto"/>
        <w:rPr>
          <w:sz w:val="20"/>
          <w:szCs w:val="20"/>
          <w:color w:val="auto"/>
        </w:rPr>
      </w:pPr>
      <w:r>
        <w:rPr>
          <w:rFonts w:ascii="Times New Roman" w:cs="Times New Roman" w:eastAsia="Times New Roman" w:hAnsi="Times New Roman"/>
          <w:sz w:val="18"/>
          <w:szCs w:val="18"/>
          <w:color w:val="auto"/>
        </w:rPr>
        <w:t>claims of the '681 Patent are unpatentable and, therefore, invalid.</w:t>
      </w:r>
    </w:p>
    <w:p>
      <w:pPr>
        <w:spacing w:after="0" w:line="1" w:lineRule="exact"/>
        <w:rPr>
          <w:sz w:val="20"/>
          <w:szCs w:val="20"/>
          <w:color w:val="auto"/>
        </w:rPr>
      </w:pPr>
    </w:p>
    <w:p>
      <w:pPr>
        <w:sectPr>
          <w:pgSz w:w="11900" w:h="16838" w:orient="portrait"/>
          <w:cols w:equalWidth="0" w:num="5">
            <w:col w:w="1780" w:space="340"/>
            <w:col w:w="1420" w:space="260"/>
            <w:col w:w="1800" w:space="380"/>
            <w:col w:w="1560" w:space="400"/>
            <w:col w:w="3300"/>
          </w:cols>
          <w:pgMar w:left="320" w:top="369" w:right="339" w:bottom="1440" w:gutter="0" w:footer="0" w:header="0"/>
          <w:type w:val="continuous"/>
        </w:sectPr>
      </w:pPr>
    </w:p>
    <w:tbl>
      <w:tblPr>
        <w:tblLayout w:type="fixed"/>
        <w:tblInd w:w="20" w:type="dxa"/>
        <w:tblCellMar>
          <w:top w:w="0" w:type="dxa"/>
          <w:left w:w="0" w:type="dxa"/>
          <w:bottom w:w="0" w:type="dxa"/>
          <w:right w:w="0" w:type="dxa"/>
        </w:tblCellMar>
      </w:tblPr>
      <w:tr>
        <w:trPr>
          <w:trHeight w:val="210"/>
        </w:trPr>
        <w:tc>
          <w:tcPr>
            <w:tcW w:w="1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Patent No.</w:t>
            </w:r>
          </w:p>
        </w:tc>
        <w:tc>
          <w:tcPr>
            <w:tcW w:w="100" w:type="dxa"/>
            <w:vAlign w:val="bottom"/>
          </w:tcPr>
          <w:p>
            <w:pPr>
              <w:spacing w:after="0"/>
              <w:rPr>
                <w:sz w:val="18"/>
                <w:szCs w:val="18"/>
                <w:color w:val="auto"/>
              </w:rPr>
            </w:pPr>
          </w:p>
        </w:tc>
        <w:tc>
          <w:tcPr>
            <w:tcW w:w="1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Samsung Bioepis</w:t>
            </w:r>
          </w:p>
        </w:tc>
        <w:tc>
          <w:tcPr>
            <w:tcW w:w="100" w:type="dxa"/>
            <w:vAlign w:val="bottom"/>
          </w:tcPr>
          <w:p>
            <w:pPr>
              <w:spacing w:after="0"/>
              <w:rPr>
                <w:sz w:val="18"/>
                <w:szCs w:val="18"/>
                <w:color w:val="auto"/>
              </w:rPr>
            </w:pPr>
          </w:p>
        </w:tc>
        <w:tc>
          <w:tcPr>
            <w:tcW w:w="2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IPR petition seeking</w:t>
            </w:r>
          </w:p>
        </w:tc>
      </w:tr>
      <w:tr>
        <w:trPr>
          <w:trHeight w:val="189"/>
        </w:trPr>
        <w:tc>
          <w:tcPr>
            <w:tcW w:w="20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11,253,572 (the "'572</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declaration of invalidity</w:t>
            </w:r>
          </w:p>
        </w:tc>
      </w:tr>
      <w:tr>
        <w:trPr>
          <w:trHeight w:val="234"/>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348615</wp:posOffset>
            </wp:positionV>
            <wp:extent cx="3703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600075</wp:posOffset>
            </wp:positionV>
            <wp:extent cx="1174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17, 2023, the USPTO</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instituted IPR proceedings concerning the '572 Patent. On July 11, 2024, the Company filed a Notice of Disclaimer with the</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USPTO, disclaiming all claims of the '572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8890</wp:posOffset>
            </wp:positionV>
            <wp:extent cx="2100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860" w:space="120"/>
            <w:col w:w="1240" w:space="720"/>
            <w:col w:w="3300"/>
          </w:cols>
          <w:pgMar w:left="320" w:top="369"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Patent Litigation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 2022, the Company filed a patent infringement lawsuit against Mylan, a wholly-owned subsidiary of Viatris Inc., in the United States District Court for the Northern District of West Virginia alleging that Mylan's filing for U.S. Food and Drug Administration ("FDA") approval of an aflibercept 2 mg biosimilar infringes certain Company patents. On April 20, 2023, Mylan filed a motion for summary judgment or partial summary judgment concerning four of the asserted patents. On April 26, 2023, the Company filed a stipulation accepting summary judgment of noninfringement of all asserted claims of the Company's U.S. Patent No. 11,104,715. On June 5, 2023, Biocon, as successor-in-interest to the aflibercept 2 mg biosimilar, was joined as a defendant to the lawsuit. A trial was held from June 12, 2023 through June 23, 2023 concerning certain claims of the '601 Patent, the '572 Patent, and the Company's U.S. Patent No. 11,084,865 (the "'865 Patent"). On December 27, 2023, the court issued a decision finding that (i) the asserted claims of the '865 Patent were valid and infringed by Mylan and Biocon and (ii) the asserted claims of the '601 and '572 Patents were infringed by Mylan and Biocon but were invalid as obvious. On June 11, 2024, the court granted the Company's motion for a permanent injunction, enjoining Mylan and Biocon from selling in the United States their aflibercept 2 mg biosimilar until the expiration of the '865 Patent. On June 21, 2024, Mylan and Biocon filed a notice of appeal of the court's December 27, 2023 and June 11, 2024 decisions to the Federal Circuit.</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8, November 22, and November 29, 2023, respectively, the Company filed patent infringement lawsuits against Celltrion, Samsung Bioepis, and Formycon AG in the United States District Court for the Northern District of West Virginia following service on Regeneron of each company's notice of commercial marketing. The lawsuits allege that each company has infringed certain Company patents, including based on each company's filing for FDA approval of an aflibercept 2 mg biosimilar. On December 27, 2023, the Company filed a second patent infringement lawsuit against Samsung Bioepis in the United States District Court for the Northern District of West Virginia alleging that Samsung's filing for FDA approval of an aflibercept 2 mg biosimilar infringes certain Company patents. On June 14, June 21, and June 28, 2024, respectively, the court granted the Company's motions for preliminary injunctions against Samsung Bioepis, Formycon, and Celltrion. On June 14, June 25, and July 8, 2024, respectively, Samsung Bioepis, Formycon, and Celltrion filed notices of appeal of the court's preliminary injunction decisions to the Federal Circuit. An oral hearing concerning the respective notices of appeal of Samsung Bioepis and Formycon has been scheduled for December 5, 2024.</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10, 2024, the Company filed a patent infringement lawsuit against Amgen in the United States District Court for the Central District of California alleging that Amgen's filing for FDA approval of an aflibercept 2 mg biosimilar infringes certain Company patents. On April 11, 2024, the United States Judicial Panel on Multidistrict Litigation granted the Company's motion to transfer this lawsuit to the United States District Court for the Northern District of West Virginia for coordinated and consolidated pretrial proceedings with the lawsuits described in the preceding paragraph. On June 7, 2024, the Company filed a motion for a preliminary injunction against Amgen. An oral hearing before the United States District Court for the Northern District of West Virginia was held on August 13, 2024. On September 23, 2024, the court denied the Company's motion for a preliminary injunction, and the Company filed (i) a notice of appeal of such decision to the Federal Circuit, (ii) a motion for an immediate administrative stay, and (iii) a motion for a temporary injunction preventing Amgen from launching its aflibercept 2 mg biosimilar during the pendency of such appeal. On September 25, 2024, the Federal Circuit issued an administrative stay pending its review of the Company's temporary injunction motion. On October 22, 2024, the Federal Circuit denied the Company's temporary injunction motion, lifted the administrative stay, and indicated that an expedited oral hearing on the Company's appeal to the Federal Circuit will be held in January 2025.</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26, 2024, the Company filed a patent infringement lawsuit against Sandoz Inc. in the United States District Court for the District of New Jersey alleging that Sandoz's filing for FDA approval of an aflibercept 2 mg biosimilar infringes certain Company patents. On September 12, 2024, the United States Judicial Panel on Multidistrict Litigation granted the Company's motion to transfer this lawsuit to the United States District Court for the Northern District of West Virginia for coordinated and consolidated pretrial proceedings with the lawsuits described in the preceding paragraphs.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Post-Grant Proceedings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7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Authority/Court</w:t>
            </w:r>
          </w:p>
        </w:tc>
        <w:tc>
          <w:tcPr>
            <w:tcW w:w="100" w:type="dxa"/>
            <w:vAlign w:val="bottom"/>
          </w:tcPr>
          <w:p>
            <w:pPr>
              <w:spacing w:after="0"/>
              <w:rPr>
                <w:sz w:val="17"/>
                <w:szCs w:val="17"/>
                <w:color w:val="auto"/>
              </w:rPr>
            </w:pPr>
          </w:p>
        </w:tc>
        <w:tc>
          <w:tcPr>
            <w:tcW w:w="1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Company Patent(s)</w:t>
            </w:r>
          </w:p>
        </w:tc>
        <w:tc>
          <w:tcPr>
            <w:tcW w:w="16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Challenger(s)</w:t>
            </w:r>
          </w:p>
        </w:tc>
        <w:tc>
          <w:tcPr>
            <w:tcW w:w="100" w:type="dxa"/>
            <w:vAlign w:val="bottom"/>
          </w:tcPr>
          <w:p>
            <w:pPr>
              <w:spacing w:after="0"/>
              <w:rPr>
                <w:sz w:val="17"/>
                <w:szCs w:val="17"/>
                <w:color w:val="auto"/>
              </w:rPr>
            </w:pPr>
          </w:p>
        </w:tc>
        <w:tc>
          <w:tcPr>
            <w:tcW w:w="1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Type of Challenge</w:t>
            </w:r>
          </w:p>
        </w:tc>
        <w:tc>
          <w:tcPr>
            <w:tcW w:w="1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Challenge</w:t>
            </w:r>
          </w:p>
        </w:tc>
        <w:tc>
          <w:tcPr>
            <w:tcW w:w="2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Latest Events/Current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21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7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EPO</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European Patent No.</w:t>
            </w: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Anonymous parties</w:t>
            </w: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Opposition</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26 and</w:t>
            </w:r>
          </w:p>
        </w:tc>
        <w:tc>
          <w:tcPr>
            <w:tcW w:w="12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Oral hearing scheduled for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2,944,306 (the "'306</w:t>
            </w: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proceedings</w:t>
            </w:r>
          </w:p>
        </w:tc>
        <w:tc>
          <w:tcPr>
            <w:tcW w:w="1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October 27, 2021</w:t>
            </w:r>
          </w:p>
        </w:tc>
        <w:tc>
          <w:tcPr>
            <w:tcW w:w="2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November 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7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EPO</w:t>
            </w:r>
          </w:p>
        </w:tc>
        <w:tc>
          <w:tcPr>
            <w:tcW w:w="100" w:type="dxa"/>
            <w:vAlign w:val="bottom"/>
          </w:tcPr>
          <w:p>
            <w:pPr>
              <w:spacing w:after="0"/>
              <w:rPr>
                <w:sz w:val="14"/>
                <w:szCs w:val="14"/>
                <w:color w:val="auto"/>
              </w:rPr>
            </w:pPr>
          </w:p>
        </w:tc>
        <w:tc>
          <w:tcPr>
            <w:tcW w:w="18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European Patent No.</w:t>
            </w:r>
          </w:p>
        </w:tc>
        <w:tc>
          <w:tcPr>
            <w:tcW w:w="120" w:type="dxa"/>
            <w:vAlign w:val="bottom"/>
          </w:tcPr>
          <w:p>
            <w:pPr>
              <w:spacing w:after="0"/>
              <w:rPr>
                <w:sz w:val="14"/>
                <w:szCs w:val="14"/>
                <w:color w:val="auto"/>
              </w:rPr>
            </w:pPr>
          </w:p>
        </w:tc>
        <w:tc>
          <w:tcPr>
            <w:tcW w:w="16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Amgen and three</w:t>
            </w:r>
          </w:p>
        </w:tc>
        <w:tc>
          <w:tcPr>
            <w:tcW w:w="100" w:type="dxa"/>
            <w:vAlign w:val="bottom"/>
          </w:tcPr>
          <w:p>
            <w:pPr>
              <w:spacing w:after="0"/>
              <w:rPr>
                <w:sz w:val="14"/>
                <w:szCs w:val="14"/>
                <w:color w:val="auto"/>
              </w:rPr>
            </w:pPr>
          </w:p>
        </w:tc>
        <w:tc>
          <w:tcPr>
            <w:tcW w:w="16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Opposition</w:t>
            </w:r>
          </w:p>
        </w:tc>
        <w:tc>
          <w:tcPr>
            <w:tcW w:w="100" w:type="dxa"/>
            <w:vAlign w:val="bottom"/>
          </w:tcPr>
          <w:p>
            <w:pPr>
              <w:spacing w:after="0"/>
              <w:rPr>
                <w:sz w:val="14"/>
                <w:szCs w:val="14"/>
                <w:color w:val="auto"/>
              </w:rPr>
            </w:pPr>
          </w:p>
        </w:tc>
        <w:tc>
          <w:tcPr>
            <w:tcW w:w="16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May 5–10, 2023</w:t>
            </w:r>
          </w:p>
        </w:tc>
        <w:tc>
          <w:tcPr>
            <w:tcW w:w="120" w:type="dxa"/>
            <w:vAlign w:val="bottom"/>
          </w:tcPr>
          <w:p>
            <w:pPr>
              <w:spacing w:after="0"/>
              <w:rPr>
                <w:sz w:val="14"/>
                <w:szCs w:val="14"/>
                <w:color w:val="auto"/>
              </w:rPr>
            </w:pPr>
          </w:p>
        </w:tc>
        <w:tc>
          <w:tcPr>
            <w:tcW w:w="21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Oral hearing to be scheduled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3,716,992 (the "'992</w:t>
            </w:r>
          </w:p>
        </w:tc>
        <w:tc>
          <w:tcPr>
            <w:tcW w:w="1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anonymous parties</w:t>
            </w:r>
          </w:p>
        </w:tc>
        <w:tc>
          <w:tcPr>
            <w:tcW w:w="100" w:type="dxa"/>
            <w:vAlign w:val="bottom"/>
          </w:tcPr>
          <w:p>
            <w:pPr>
              <w:spacing w:after="0"/>
              <w:rPr>
                <w:sz w:val="15"/>
                <w:szCs w:val="15"/>
                <w:color w:val="auto"/>
              </w:rPr>
            </w:pPr>
          </w:p>
        </w:tc>
        <w:tc>
          <w:tcPr>
            <w:tcW w:w="1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740" w:type="dxa"/>
            <w:vAlign w:val="bottom"/>
            <w:tcBorders>
              <w:top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EPO</w:t>
            </w: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European Patent No.</w:t>
            </w:r>
          </w:p>
        </w:tc>
        <w:tc>
          <w:tcPr>
            <w:tcW w:w="1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Amgen and</w:t>
            </w: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Opposition</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April 22–30, 2024</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Oral hearing to be scheduled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3,384,049 (the "'049</w:t>
            </w:r>
          </w:p>
        </w:tc>
        <w:tc>
          <w:tcPr>
            <w:tcW w:w="1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anonymous parties</w:t>
            </w: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7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German Federal Patent</w:t>
            </w:r>
          </w:p>
        </w:tc>
        <w:tc>
          <w:tcPr>
            <w:tcW w:w="100" w:type="dxa"/>
            <w:vAlign w:val="bottom"/>
          </w:tcPr>
          <w:p>
            <w:pPr>
              <w:spacing w:after="0"/>
              <w:rPr>
                <w:sz w:val="14"/>
                <w:szCs w:val="14"/>
                <w:color w:val="auto"/>
              </w:rPr>
            </w:pPr>
          </w:p>
        </w:tc>
        <w:tc>
          <w:tcPr>
            <w:tcW w:w="18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German designation of</w:t>
            </w:r>
          </w:p>
        </w:tc>
        <w:tc>
          <w:tcPr>
            <w:tcW w:w="120" w:type="dxa"/>
            <w:vAlign w:val="bottom"/>
          </w:tcPr>
          <w:p>
            <w:pPr>
              <w:spacing w:after="0"/>
              <w:rPr>
                <w:sz w:val="14"/>
                <w:szCs w:val="14"/>
                <w:color w:val="auto"/>
              </w:rPr>
            </w:pPr>
          </w:p>
        </w:tc>
        <w:tc>
          <w:tcPr>
            <w:tcW w:w="16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Samsung Bioepis NL</w:t>
            </w:r>
          </w:p>
        </w:tc>
        <w:tc>
          <w:tcPr>
            <w:tcW w:w="100" w:type="dxa"/>
            <w:vAlign w:val="bottom"/>
          </w:tcPr>
          <w:p>
            <w:pPr>
              <w:spacing w:after="0"/>
              <w:rPr>
                <w:sz w:val="14"/>
                <w:szCs w:val="14"/>
                <w:color w:val="auto"/>
              </w:rPr>
            </w:pPr>
          </w:p>
        </w:tc>
        <w:tc>
          <w:tcPr>
            <w:tcW w:w="16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Invalidation</w:t>
            </w:r>
          </w:p>
        </w:tc>
        <w:tc>
          <w:tcPr>
            <w:tcW w:w="100" w:type="dxa"/>
            <w:vAlign w:val="bottom"/>
          </w:tcPr>
          <w:p>
            <w:pPr>
              <w:spacing w:after="0"/>
              <w:rPr>
                <w:sz w:val="14"/>
                <w:szCs w:val="14"/>
                <w:color w:val="auto"/>
              </w:rPr>
            </w:pPr>
          </w:p>
        </w:tc>
        <w:tc>
          <w:tcPr>
            <w:tcW w:w="16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June 22, 2023</w:t>
            </w:r>
          </w:p>
        </w:tc>
        <w:tc>
          <w:tcPr>
            <w:tcW w:w="120" w:type="dxa"/>
            <w:vAlign w:val="bottom"/>
          </w:tcPr>
          <w:p>
            <w:pPr>
              <w:spacing w:after="0"/>
              <w:rPr>
                <w:sz w:val="14"/>
                <w:szCs w:val="14"/>
                <w:color w:val="auto"/>
              </w:rPr>
            </w:pPr>
          </w:p>
        </w:tc>
        <w:tc>
          <w:tcPr>
            <w:tcW w:w="21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Trial has been scheduled 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Court</w:t>
            </w:r>
          </w:p>
        </w:tc>
        <w:tc>
          <w:tcPr>
            <w:tcW w:w="100" w:type="dxa"/>
            <w:vAlign w:val="bottom"/>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European Patent No.</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B.V.</w:t>
            </w:r>
          </w:p>
        </w:tc>
        <w:tc>
          <w:tcPr>
            <w:tcW w:w="10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 in June 2025</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2,364,691 (the "'691</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7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High Court of Justice</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 Kingdom</w:t>
            </w: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Formycon AG and</w:t>
            </w: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Invalidation</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April 18, 2024</w:t>
            </w:r>
          </w:p>
        </w:tc>
        <w:tc>
          <w:tcPr>
            <w:tcW w:w="12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Trial has been scheduled 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7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of England and Wales</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designations of the '691</w:t>
            </w:r>
          </w:p>
        </w:tc>
        <w:tc>
          <w:tcPr>
            <w:tcW w:w="16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Klinge Biopharma</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proceedings and</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begin in June 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Patent and '306 Patent</w:t>
            </w:r>
          </w:p>
        </w:tc>
        <w:tc>
          <w:tcPr>
            <w:tcW w:w="1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GmbH</w:t>
            </w: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declaration of non-</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infringement by</w:t>
            </w: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challengers'</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aflibercept 2 mg</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biosimilar</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Amgen</w:t>
            </w: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Invalidation</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11, 2024</w:t>
            </w:r>
          </w:p>
        </w:tc>
        <w:tc>
          <w:tcPr>
            <w:tcW w:w="12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Trial has been scheduled 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proceedings and</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begin in June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declaration of non-</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infringement by</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challenger's</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aflibercept 2 mg</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biosimilar</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Samsung Bioepis UK</w:t>
            </w: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Invalidation</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2, 2024</w:t>
            </w:r>
          </w:p>
        </w:tc>
        <w:tc>
          <w:tcPr>
            <w:tcW w:w="12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Trial has been scheduled 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Limited</w:t>
            </w: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proceedings and</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begin in June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declaration of non-</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infringement by</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challenger's</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aflibercept 2 mg</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biosimilar</w:t>
            </w: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7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High Court of Justice</w:t>
            </w:r>
          </w:p>
        </w:tc>
        <w:tc>
          <w:tcPr>
            <w:tcW w:w="100" w:type="dxa"/>
            <w:vAlign w:val="bottom"/>
          </w:tcPr>
          <w:p>
            <w:pPr>
              <w:spacing w:after="0"/>
              <w:rPr>
                <w:sz w:val="14"/>
                <w:szCs w:val="14"/>
                <w:color w:val="auto"/>
              </w:rPr>
            </w:pPr>
          </w:p>
        </w:tc>
        <w:tc>
          <w:tcPr>
            <w:tcW w:w="18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 Kingdom</w:t>
            </w:r>
          </w:p>
        </w:tc>
        <w:tc>
          <w:tcPr>
            <w:tcW w:w="120" w:type="dxa"/>
            <w:vAlign w:val="bottom"/>
          </w:tcPr>
          <w:p>
            <w:pPr>
              <w:spacing w:after="0"/>
              <w:rPr>
                <w:sz w:val="14"/>
                <w:szCs w:val="14"/>
                <w:color w:val="auto"/>
              </w:rPr>
            </w:pPr>
          </w:p>
        </w:tc>
        <w:tc>
          <w:tcPr>
            <w:tcW w:w="16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Amgen</w:t>
            </w:r>
          </w:p>
        </w:tc>
        <w:tc>
          <w:tcPr>
            <w:tcW w:w="100" w:type="dxa"/>
            <w:vAlign w:val="bottom"/>
          </w:tcPr>
          <w:p>
            <w:pPr>
              <w:spacing w:after="0"/>
              <w:rPr>
                <w:sz w:val="14"/>
                <w:szCs w:val="14"/>
                <w:color w:val="auto"/>
              </w:rPr>
            </w:pPr>
          </w:p>
        </w:tc>
        <w:tc>
          <w:tcPr>
            <w:tcW w:w="16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Invalidation</w:t>
            </w:r>
          </w:p>
        </w:tc>
        <w:tc>
          <w:tcPr>
            <w:tcW w:w="100" w:type="dxa"/>
            <w:vAlign w:val="bottom"/>
          </w:tcPr>
          <w:p>
            <w:pPr>
              <w:spacing w:after="0"/>
              <w:rPr>
                <w:sz w:val="14"/>
                <w:szCs w:val="14"/>
                <w:color w:val="auto"/>
              </w:rPr>
            </w:pPr>
          </w:p>
        </w:tc>
        <w:tc>
          <w:tcPr>
            <w:tcW w:w="16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May 13, 2024</w:t>
            </w:r>
          </w:p>
        </w:tc>
        <w:tc>
          <w:tcPr>
            <w:tcW w:w="120" w:type="dxa"/>
            <w:vAlign w:val="bottom"/>
          </w:tcPr>
          <w:p>
            <w:pPr>
              <w:spacing w:after="0"/>
              <w:rPr>
                <w:sz w:val="14"/>
                <w:szCs w:val="14"/>
                <w:color w:val="auto"/>
              </w:rPr>
            </w:pPr>
          </w:p>
        </w:tc>
        <w:tc>
          <w:tcPr>
            <w:tcW w:w="21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Stayed pending final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of England and Wales</w:t>
            </w:r>
          </w:p>
        </w:tc>
        <w:tc>
          <w:tcPr>
            <w:tcW w:w="100" w:type="dxa"/>
            <w:vAlign w:val="bottom"/>
          </w:tcPr>
          <w:p>
            <w:pPr>
              <w:spacing w:after="0"/>
              <w:rPr>
                <w:sz w:val="17"/>
                <w:szCs w:val="17"/>
                <w:color w:val="auto"/>
              </w:rPr>
            </w:pPr>
          </w:p>
        </w:tc>
        <w:tc>
          <w:tcPr>
            <w:tcW w:w="19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designation of the '992</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resolution of the '992 Patent</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Patent</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EPO opposition proceedings</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listed above</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7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District Court of The</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Dutch designation of the</w:t>
            </w: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Samsung Bioepis NL</w:t>
            </w: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Invalidation</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July 17, 2024</w:t>
            </w:r>
          </w:p>
        </w:tc>
        <w:tc>
          <w:tcPr>
            <w:tcW w:w="12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Trial for both patents has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7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Hague, the</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'691 Patent and '306</w:t>
            </w:r>
          </w:p>
        </w:tc>
        <w:tc>
          <w:tcPr>
            <w:tcW w:w="16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B.V.</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been scheduled for July 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7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High Court of Justice</w:t>
            </w:r>
          </w:p>
        </w:tc>
        <w:tc>
          <w:tcPr>
            <w:tcW w:w="100" w:type="dxa"/>
            <w:vAlign w:val="bottom"/>
          </w:tcPr>
          <w:p>
            <w:pPr>
              <w:spacing w:after="0"/>
              <w:rPr>
                <w:sz w:val="14"/>
                <w:szCs w:val="14"/>
                <w:color w:val="auto"/>
              </w:rPr>
            </w:pPr>
          </w:p>
        </w:tc>
        <w:tc>
          <w:tcPr>
            <w:tcW w:w="18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 Kingdom</w:t>
            </w:r>
          </w:p>
        </w:tc>
        <w:tc>
          <w:tcPr>
            <w:tcW w:w="120" w:type="dxa"/>
            <w:vAlign w:val="bottom"/>
          </w:tcPr>
          <w:p>
            <w:pPr>
              <w:spacing w:after="0"/>
              <w:rPr>
                <w:sz w:val="14"/>
                <w:szCs w:val="14"/>
                <w:color w:val="auto"/>
              </w:rPr>
            </w:pPr>
          </w:p>
        </w:tc>
        <w:tc>
          <w:tcPr>
            <w:tcW w:w="16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Samsung Bioepis UK</w:t>
            </w:r>
          </w:p>
        </w:tc>
        <w:tc>
          <w:tcPr>
            <w:tcW w:w="100" w:type="dxa"/>
            <w:vAlign w:val="bottom"/>
          </w:tcPr>
          <w:p>
            <w:pPr>
              <w:spacing w:after="0"/>
              <w:rPr>
                <w:sz w:val="14"/>
                <w:szCs w:val="14"/>
                <w:color w:val="auto"/>
              </w:rPr>
            </w:pPr>
          </w:p>
        </w:tc>
        <w:tc>
          <w:tcPr>
            <w:tcW w:w="16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Invalidation</w:t>
            </w:r>
          </w:p>
        </w:tc>
        <w:tc>
          <w:tcPr>
            <w:tcW w:w="100" w:type="dxa"/>
            <w:vAlign w:val="bottom"/>
          </w:tcPr>
          <w:p>
            <w:pPr>
              <w:spacing w:after="0"/>
              <w:rPr>
                <w:sz w:val="14"/>
                <w:szCs w:val="14"/>
                <w:color w:val="auto"/>
              </w:rPr>
            </w:pPr>
          </w:p>
        </w:tc>
        <w:tc>
          <w:tcPr>
            <w:tcW w:w="16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July 24, 2024</w:t>
            </w:r>
          </w:p>
        </w:tc>
        <w:tc>
          <w:tcPr>
            <w:tcW w:w="120" w:type="dxa"/>
            <w:vAlign w:val="bottom"/>
          </w:tcPr>
          <w:p>
            <w:pPr>
              <w:spacing w:after="0"/>
              <w:rPr>
                <w:sz w:val="14"/>
                <w:szCs w:val="14"/>
                <w:color w:val="auto"/>
              </w:rPr>
            </w:pPr>
          </w:p>
        </w:tc>
        <w:tc>
          <w:tcPr>
            <w:tcW w:w="21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Stayed pending final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of England and Wales</w:t>
            </w:r>
          </w:p>
        </w:tc>
        <w:tc>
          <w:tcPr>
            <w:tcW w:w="100" w:type="dxa"/>
            <w:vAlign w:val="bottom"/>
          </w:tcPr>
          <w:p>
            <w:pPr>
              <w:spacing w:after="0"/>
              <w:rPr>
                <w:sz w:val="17"/>
                <w:szCs w:val="17"/>
                <w:color w:val="auto"/>
              </w:rPr>
            </w:pPr>
          </w:p>
        </w:tc>
        <w:tc>
          <w:tcPr>
            <w:tcW w:w="19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designation of the '992</w:t>
            </w:r>
          </w:p>
        </w:tc>
        <w:tc>
          <w:tcPr>
            <w:tcW w:w="1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Limited</w:t>
            </w:r>
          </w:p>
        </w:tc>
        <w:tc>
          <w:tcPr>
            <w:tcW w:w="100" w:type="dxa"/>
            <w:vAlign w:val="bottom"/>
          </w:tcPr>
          <w:p>
            <w:pPr>
              <w:spacing w:after="0"/>
              <w:rPr>
                <w:sz w:val="17"/>
                <w:szCs w:val="17"/>
                <w:color w:val="auto"/>
              </w:rPr>
            </w:pPr>
          </w:p>
        </w:tc>
        <w:tc>
          <w:tcPr>
            <w:tcW w:w="17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proceedings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resolution of the '992 Patent</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Patent</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EPO opposition proceedings</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listed above</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7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Judicial Court of Paris</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French designation of</w:t>
            </w: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Formycon AG</w:t>
            </w: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Invalidation</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19, 2024</w:t>
            </w:r>
          </w:p>
        </w:tc>
        <w:tc>
          <w:tcPr>
            <w:tcW w:w="12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Trial to be scheduled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the '691 Patent and '306</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proceedings and</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Patent</w:t>
            </w: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declaration of non-</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infringement by</w:t>
            </w: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challenger's</w:t>
            </w: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aflibercept 2 mg</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7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biosimilar</w:t>
            </w:r>
          </w:p>
        </w:tc>
        <w:tc>
          <w:tcPr>
            <w:tcW w:w="100" w:type="dxa"/>
            <w:vAlign w:val="bottom"/>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Amgen Canada</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9, 2023, Amgen Canada Inc. ("Amgen Canada") filed invalidation proceedings against the Company in the Federal Court of Canada seeking revocation of the Company's Canadian Patent Nos. 2,654,510 (the "'510 Patent") and 3,007,276 (the "'276 Patent"). On September 14, 2023, the Company, Bayer Inc., and Bayer Healthcare LLC filed patent infringement lawsuits against Amgen Canada in the Federal Court of Canada seeking a declaration that the making, constructing, using, or selling of an aflibercept 2 mg biosimilar would directly or indirectly infringe one or more claims of Bayer Healthcare LLC's Canadian Patent No. 2,970,315 (the "'315 Patent"). On September 14, 2023, the Company and Bayer Inc. filed three separate patent infringement lawsuits against Amgen Canada in the Federal Court of Canada seeking a declaration that the making, constructing, using, or selling of an aflibercept 2 mg biosimilar would directly or indirectly infringe one or more claims of the Company's Canadian Patent Nos. 3,129,193 (the "'193 Patent"), 2,965,495 (the "'495 Patent"), and 2,906,768 (the "'768 Patent"), respectively. On October 11, 2023, the Company, Bayer Inc., and Bayer Healthcare LLC filed two separate patent infringement lawsuits against Amgen Canada in the Federal Court of Canada seeking a declaration that the making, constructing, using, or selling of an aflibercept 2 mg biosimilar would directly or indirectly infringe one or more claims of the Company's '510 Patent and '276 Patent, respectively. On May 7, 2024 and June 28, 2024, respectively, Amgen filed a summary trial motion with respect to the '510 Patent and a motion to delist the '276 Patent from the Canada Patent Register. A hearing on the motion to delist the '276 Patent has been scheduled for November 2024. A trial for the lawsuits concerning the '510 Patent and the '276 Patent has been scheduled for May–June 2025; and a trial for the lawsuits concerning the '315 Patent and the '193 Patent has been scheduled for August–September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Samsung</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 2024, the Company, Bayer Inc., and Bayer Healthcare LLC filed patent infringement lawsuits against Samsung Bioepis Co., Ltd. in the Federal Court of Canada seeking a declaration that the making, constructing, using, or selling of an aflibercept 2 mg biosimilar would directly or indirectly infringe one or more claims of the '510 Patent, the '276 Patent, the '495 Patent, the '768 Patent, the '193 Patent, the '315 Patent, and Canadian Patent No. 3,137,326 (the "'326 Patent"). On October 28, 2024, the Company, Bayer Inc., Bayer Healthcare LLC, and Samsung Bioepis Co., Ltd. entered into a settlement agreement concerning these patent infringement lawsuits, pursuant to which each such lawsuit will be dismissed and Samsung will generally be precluded from launching its aflibercept 2 mg biosimilar product in Canada until July 1,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 Korea</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2022 and December 13, 2022, Samsung Bioepis Co., Ltd. initiated invalidation proceedings before the Intellectual Property Trial and Appeal Board of the Korean Intellectual Property Office against the Company's Korean Patent Nos. 1131429 and 1406811 (the "'811 Patent"), respectively, seeking revocation of each such patent in its entirety.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a summary of patent infringement lawsuits filed by the Company and, as applicable, Bayer Consumer Care AG before the Seoul Central District Court based on allegations that the making, constructing, using, or selling of an aflibercept 2 mg biosimilar by the relevant defendant(s) would infringe one or more claims of the Company's patents listed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Company Patent(s)</w:t>
            </w:r>
          </w:p>
        </w:tc>
        <w:tc>
          <w:tcPr>
            <w:tcW w:w="100" w:type="dxa"/>
            <w:vAlign w:val="bottom"/>
          </w:tcPr>
          <w:p>
            <w:pPr>
              <w:spacing w:after="0"/>
              <w:rPr>
                <w:sz w:val="20"/>
                <w:szCs w:val="20"/>
                <w:color w:val="auto"/>
              </w:rPr>
            </w:pPr>
          </w:p>
        </w:tc>
        <w:tc>
          <w:tcPr>
            <w:tcW w:w="28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Defendant(s)</w:t>
            </w:r>
          </w:p>
        </w:tc>
        <w:tc>
          <w:tcPr>
            <w:tcW w:w="29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Relief Sought</w:t>
            </w:r>
          </w:p>
        </w:tc>
        <w:tc>
          <w:tcPr>
            <w:tcW w:w="26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Date of Action</w:t>
            </w:r>
          </w:p>
        </w:tc>
      </w:tr>
      <w:tr>
        <w:trPr>
          <w:trHeight w:val="169"/>
        </w:trPr>
        <w:tc>
          <w:tcPr>
            <w:tcW w:w="28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Korean Patent No. 659477 (the "'477</w:t>
            </w:r>
          </w:p>
        </w:tc>
        <w:tc>
          <w:tcPr>
            <w:tcW w:w="10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Samsung Bioepis Co., Ltd. and its</w:t>
            </w:r>
          </w:p>
        </w:tc>
        <w:tc>
          <w:tcPr>
            <w:tcW w:w="100" w:type="dxa"/>
            <w:vAlign w:val="bottom"/>
            <w:tcBorders>
              <w:top w:val="single" w:sz="8" w:color="CCEEFF"/>
            </w:tcBorders>
            <w:shd w:val="clear" w:color="auto" w:fill="CCEEFF"/>
          </w:tcPr>
          <w:p>
            <w:pPr>
              <w:spacing w:after="0"/>
              <w:rPr>
                <w:sz w:val="14"/>
                <w:szCs w:val="14"/>
                <w:color w:val="auto"/>
              </w:rPr>
            </w:pPr>
          </w:p>
        </w:tc>
        <w:tc>
          <w:tcPr>
            <w:tcW w:w="28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Damages</w:t>
            </w:r>
          </w:p>
        </w:tc>
        <w:tc>
          <w:tcPr>
            <w:tcW w:w="10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January 16, 2023</w:t>
            </w:r>
          </w:p>
        </w:tc>
      </w:tr>
      <w:tr>
        <w:trPr>
          <w:trHeight w:val="176"/>
        </w:trPr>
        <w:tc>
          <w:tcPr>
            <w:tcW w:w="2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Patent")</w:t>
            </w:r>
          </w:p>
        </w:tc>
        <w:tc>
          <w:tcPr>
            <w:tcW w:w="10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parent company Samsung Biologics</w:t>
            </w:r>
          </w:p>
        </w:tc>
        <w:tc>
          <w:tcPr>
            <w:tcW w:w="2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75"/>
        </w:trPr>
        <w:tc>
          <w:tcPr>
            <w:tcW w:w="2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spacing w:after="0"/>
              <w:rPr>
                <w:sz w:val="23"/>
                <w:szCs w:val="23"/>
                <w:color w:val="auto"/>
              </w:rPr>
            </w:pPr>
          </w:p>
        </w:tc>
      </w:tr>
      <w:tr>
        <w:trPr>
          <w:trHeight w:val="169"/>
        </w:trPr>
        <w:tc>
          <w:tcPr>
            <w:tcW w:w="28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Sam Chun Dang Pharm. Co., Ltd.</w:t>
            </w:r>
          </w:p>
        </w:tc>
        <w:tc>
          <w:tcPr>
            <w:tcW w:w="100" w:type="dxa"/>
            <w:vAlign w:val="bottom"/>
            <w:tcBorders>
              <w:top w:val="single" w:sz="8" w:color="CCEEFF"/>
            </w:tcBorders>
            <w:shd w:val="clear" w:color="auto" w:fill="CCEEFF"/>
          </w:tcPr>
          <w:p>
            <w:pPr>
              <w:spacing w:after="0"/>
              <w:rPr>
                <w:sz w:val="14"/>
                <w:szCs w:val="14"/>
                <w:color w:val="auto"/>
              </w:rPr>
            </w:pPr>
          </w:p>
        </w:tc>
        <w:tc>
          <w:tcPr>
            <w:tcW w:w="28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Damages</w:t>
            </w:r>
          </w:p>
        </w:tc>
        <w:tc>
          <w:tcPr>
            <w:tcW w:w="10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January 8, 2024</w:t>
            </w:r>
          </w:p>
        </w:tc>
      </w:tr>
      <w:tr>
        <w:trPr>
          <w:trHeight w:val="176"/>
        </w:trPr>
        <w:tc>
          <w:tcPr>
            <w:tcW w:w="2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OPTUS Pharmaceutical Co.,</w:t>
            </w:r>
          </w:p>
        </w:tc>
        <w:tc>
          <w:tcPr>
            <w:tcW w:w="2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70"/>
        </w:trPr>
        <w:tc>
          <w:tcPr>
            <w:tcW w:w="2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spacing w:after="0"/>
              <w:rPr>
                <w:sz w:val="23"/>
                <w:szCs w:val="23"/>
                <w:color w:val="auto"/>
              </w:rPr>
            </w:pPr>
          </w:p>
        </w:tc>
      </w:tr>
      <w:tr>
        <w:trPr>
          <w:trHeight w:val="169"/>
        </w:trPr>
        <w:tc>
          <w:tcPr>
            <w:tcW w:w="28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'477 Patent, '811 Patent, and Korean</w:t>
            </w:r>
          </w:p>
        </w:tc>
        <w:tc>
          <w:tcPr>
            <w:tcW w:w="100" w:type="dxa"/>
            <w:vAlign w:val="bottom"/>
          </w:tcPr>
          <w:p>
            <w:pPr>
              <w:spacing w:after="0"/>
              <w:rPr>
                <w:sz w:val="14"/>
                <w:szCs w:val="14"/>
                <w:color w:val="auto"/>
              </w:rPr>
            </w:pPr>
          </w:p>
        </w:tc>
        <w:tc>
          <w:tcPr>
            <w:tcW w:w="27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Celltrion Inc.</w:t>
            </w:r>
          </w:p>
        </w:tc>
        <w:tc>
          <w:tcPr>
            <w:tcW w:w="100" w:type="dxa"/>
            <w:vAlign w:val="bottom"/>
          </w:tcPr>
          <w:p>
            <w:pPr>
              <w:spacing w:after="0"/>
              <w:rPr>
                <w:sz w:val="14"/>
                <w:szCs w:val="14"/>
                <w:color w:val="auto"/>
              </w:rPr>
            </w:pPr>
          </w:p>
        </w:tc>
        <w:tc>
          <w:tcPr>
            <w:tcW w:w="28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Damages and injunctive relief</w:t>
            </w:r>
          </w:p>
        </w:tc>
        <w:tc>
          <w:tcPr>
            <w:tcW w:w="100" w:type="dxa"/>
            <w:vAlign w:val="bottom"/>
          </w:tcPr>
          <w:p>
            <w:pPr>
              <w:spacing w:after="0"/>
              <w:rPr>
                <w:sz w:val="14"/>
                <w:szCs w:val="14"/>
                <w:color w:val="auto"/>
              </w:rPr>
            </w:pPr>
          </w:p>
        </w:tc>
        <w:tc>
          <w:tcPr>
            <w:tcW w:w="26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January 10, 2024</w:t>
            </w:r>
          </w:p>
        </w:tc>
      </w:tr>
      <w:tr>
        <w:trPr>
          <w:trHeight w:val="175"/>
        </w:trPr>
        <w:tc>
          <w:tcPr>
            <w:tcW w:w="2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Patent No. 2519234 (the "'234</w:t>
            </w: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39"/>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00" w:type="dxa"/>
            <w:vAlign w:val="bottom"/>
            <w:tcBorders>
              <w:bottom w:val="single" w:sz="8" w:color="CCEEFF"/>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173"/>
        </w:trPr>
        <w:tc>
          <w:tcPr>
            <w:tcW w:w="28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'811 Patent and '234 Patent</w:t>
            </w: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Sam Chun Dang Pharm. Co., Ltd.</w:t>
            </w:r>
          </w:p>
        </w:tc>
        <w:tc>
          <w:tcPr>
            <w:tcW w:w="100" w:type="dxa"/>
            <w:vAlign w:val="bottom"/>
            <w:shd w:val="clear" w:color="auto" w:fill="CCEEFF"/>
          </w:tcPr>
          <w:p>
            <w:pPr>
              <w:spacing w:after="0"/>
              <w:rPr>
                <w:sz w:val="15"/>
                <w:szCs w:val="15"/>
                <w:color w:val="auto"/>
              </w:rPr>
            </w:pPr>
          </w:p>
        </w:tc>
        <w:tc>
          <w:tcPr>
            <w:tcW w:w="280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Damages and injunctive relief</w:t>
            </w: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May 8, 2024</w:t>
            </w:r>
          </w:p>
        </w:tc>
      </w:tr>
      <w:tr>
        <w:trPr>
          <w:trHeight w:val="175"/>
        </w:trPr>
        <w:tc>
          <w:tcPr>
            <w:tcW w:w="2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OPTUS Pharmaceutical Co.,</w:t>
            </w:r>
          </w:p>
        </w:tc>
        <w:tc>
          <w:tcPr>
            <w:tcW w:w="2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75"/>
        </w:trPr>
        <w:tc>
          <w:tcPr>
            <w:tcW w:w="2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spacing w:after="0"/>
              <w:rPr>
                <w:sz w:val="23"/>
                <w:szCs w:val="23"/>
                <w:color w:val="auto"/>
              </w:rPr>
            </w:pPr>
          </w:p>
        </w:tc>
      </w:tr>
      <w:tr>
        <w:trPr>
          <w:trHeight w:val="169"/>
        </w:trPr>
        <w:tc>
          <w:tcPr>
            <w:tcW w:w="28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Samsung Bioepis Co., Ltd., its</w:t>
            </w:r>
          </w:p>
        </w:tc>
        <w:tc>
          <w:tcPr>
            <w:tcW w:w="100" w:type="dxa"/>
            <w:vAlign w:val="bottom"/>
            <w:tcBorders>
              <w:top w:val="single" w:sz="8" w:color="CCEEFF"/>
            </w:tcBorders>
            <w:shd w:val="clear" w:color="auto" w:fill="CCEEFF"/>
          </w:tcPr>
          <w:p>
            <w:pPr>
              <w:spacing w:after="0"/>
              <w:rPr>
                <w:sz w:val="14"/>
                <w:szCs w:val="14"/>
                <w:color w:val="auto"/>
              </w:rPr>
            </w:pPr>
          </w:p>
        </w:tc>
        <w:tc>
          <w:tcPr>
            <w:tcW w:w="28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Injunctive relief</w:t>
            </w:r>
          </w:p>
        </w:tc>
        <w:tc>
          <w:tcPr>
            <w:tcW w:w="10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May 14, 2024</w:t>
            </w:r>
          </w:p>
        </w:tc>
      </w:tr>
      <w:tr>
        <w:trPr>
          <w:trHeight w:val="176"/>
        </w:trPr>
        <w:tc>
          <w:tcPr>
            <w:tcW w:w="2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parent company Samsung Biologics</w:t>
            </w:r>
          </w:p>
        </w:tc>
        <w:tc>
          <w:tcPr>
            <w:tcW w:w="2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184"/>
        </w:trPr>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 Ltd., and Samil</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r>
      <w:tr>
        <w:trPr>
          <w:trHeight w:val="234"/>
        </w:trPr>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Pharmaceuticals Co., Ltd</w:t>
            </w:r>
          </w:p>
        </w:tc>
        <w:tc>
          <w:tcPr>
            <w:tcW w:w="2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r>
      <w:tr>
        <w:trPr>
          <w:trHeight w:val="189"/>
        </w:trPr>
        <w:tc>
          <w:tcPr>
            <w:tcW w:w="2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tcBorders>
              <w:bottom w:val="single" w:sz="8" w:color="auto"/>
            </w:tcBorders>
            <w:shd w:val="clear" w:color="auto" w:fill="CCEEFF"/>
          </w:tcPr>
          <w:p>
            <w:pPr>
              <w:spacing w:after="0"/>
              <w:rPr>
                <w:sz w:val="16"/>
                <w:szCs w:val="16"/>
                <w:color w:val="auto"/>
              </w:rPr>
            </w:pPr>
          </w:p>
        </w:tc>
      </w:tr>
      <w:tr>
        <w:trPr>
          <w:trHeight w:val="169"/>
        </w:trPr>
        <w:tc>
          <w:tcPr>
            <w:tcW w:w="28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'811 Patent</w:t>
            </w:r>
          </w:p>
        </w:tc>
        <w:tc>
          <w:tcPr>
            <w:tcW w:w="100" w:type="dxa"/>
            <w:vAlign w:val="bottom"/>
          </w:tcPr>
          <w:p>
            <w:pPr>
              <w:spacing w:after="0"/>
              <w:rPr>
                <w:sz w:val="14"/>
                <w:szCs w:val="14"/>
                <w:color w:val="auto"/>
              </w:rPr>
            </w:pPr>
          </w:p>
        </w:tc>
        <w:tc>
          <w:tcPr>
            <w:tcW w:w="27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Samsung Bioepis Co., Ltd., its</w:t>
            </w:r>
          </w:p>
        </w:tc>
        <w:tc>
          <w:tcPr>
            <w:tcW w:w="100" w:type="dxa"/>
            <w:vAlign w:val="bottom"/>
          </w:tcPr>
          <w:p>
            <w:pPr>
              <w:spacing w:after="0"/>
              <w:rPr>
                <w:sz w:val="14"/>
                <w:szCs w:val="14"/>
                <w:color w:val="auto"/>
              </w:rPr>
            </w:pPr>
          </w:p>
        </w:tc>
        <w:tc>
          <w:tcPr>
            <w:tcW w:w="28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Injunctive relief</w:t>
            </w:r>
          </w:p>
        </w:tc>
        <w:tc>
          <w:tcPr>
            <w:tcW w:w="100" w:type="dxa"/>
            <w:vAlign w:val="bottom"/>
          </w:tcPr>
          <w:p>
            <w:pPr>
              <w:spacing w:after="0"/>
              <w:rPr>
                <w:sz w:val="14"/>
                <w:szCs w:val="14"/>
                <w:color w:val="auto"/>
              </w:rPr>
            </w:pPr>
          </w:p>
        </w:tc>
        <w:tc>
          <w:tcPr>
            <w:tcW w:w="26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July 30, 2024</w:t>
            </w:r>
          </w:p>
        </w:tc>
      </w:tr>
      <w:tr>
        <w:trPr>
          <w:trHeight w:val="175"/>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parent company Samsung Biologics</w:t>
            </w: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4"/>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 Ltd., and Samil</w:t>
            </w: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34"/>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Pharmaceuticals Co., Ltd.</w:t>
            </w: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2"/>
          </w:tcPr>
          <w:p>
            <w:pPr>
              <w:spacing w:after="0"/>
              <w:rPr>
                <w:sz w:val="16"/>
                <w:szCs w:val="16"/>
                <w:color w:val="auto"/>
              </w:rPr>
            </w:pPr>
          </w:p>
        </w:tc>
        <w:tc>
          <w:tcPr>
            <w:tcW w:w="2900" w:type="dxa"/>
            <w:vAlign w:val="bottom"/>
            <w:gridSpan w:val="2"/>
          </w:tcPr>
          <w:p>
            <w:pPr>
              <w:spacing w:after="0"/>
              <w:rPr>
                <w:sz w:val="16"/>
                <w:szCs w:val="16"/>
                <w:color w:val="auto"/>
              </w:rPr>
            </w:pPr>
          </w:p>
        </w:tc>
        <w:tc>
          <w:tcPr>
            <w:tcW w:w="2620" w:type="dxa"/>
            <w:vAlign w:val="bottom"/>
          </w:tcPr>
          <w:p>
            <w:pPr>
              <w:spacing w:after="0"/>
              <w:rPr>
                <w:sz w:val="16"/>
                <w:szCs w:val="16"/>
                <w:color w:val="auto"/>
              </w:rPr>
            </w:pPr>
          </w:p>
        </w:tc>
      </w:tr>
      <w:tr>
        <w:trPr>
          <w:trHeight w:val="169"/>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Celltrion Inc. and Kukje</w:t>
            </w:r>
          </w:p>
        </w:tc>
        <w:tc>
          <w:tcPr>
            <w:tcW w:w="100" w:type="dxa"/>
            <w:vAlign w:val="bottom"/>
          </w:tcPr>
          <w:p>
            <w:pPr>
              <w:spacing w:after="0"/>
              <w:rPr>
                <w:sz w:val="14"/>
                <w:szCs w:val="14"/>
                <w:color w:val="auto"/>
              </w:rPr>
            </w:pPr>
          </w:p>
        </w:tc>
        <w:tc>
          <w:tcPr>
            <w:tcW w:w="28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Injunctive relief</w:t>
            </w:r>
          </w:p>
        </w:tc>
        <w:tc>
          <w:tcPr>
            <w:tcW w:w="100" w:type="dxa"/>
            <w:vAlign w:val="bottom"/>
          </w:tcPr>
          <w:p>
            <w:pPr>
              <w:spacing w:after="0"/>
              <w:rPr>
                <w:sz w:val="14"/>
                <w:szCs w:val="14"/>
                <w:color w:val="auto"/>
              </w:rPr>
            </w:pPr>
          </w:p>
        </w:tc>
        <w:tc>
          <w:tcPr>
            <w:tcW w:w="26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July 30, 2024</w:t>
            </w:r>
          </w:p>
        </w:tc>
      </w:tr>
      <w:tr>
        <w:trPr>
          <w:trHeight w:val="239"/>
        </w:trPr>
        <w:tc>
          <w:tcPr>
            <w:tcW w:w="2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Pharmaceuticals, Inc.</w:t>
            </w:r>
          </w:p>
        </w:tc>
        <w:tc>
          <w:tcPr>
            <w:tcW w:w="100" w:type="dxa"/>
            <w:vAlign w:val="bottom"/>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19, 2020, Novartis Pharma AG, Novartis Pharmaceuticals Corporation, and Novartis Technology LLC (collectively, "Novartis") filed a patent infringement lawsuit (as amended on August 2, 2021) in the U.S. District Court for the Northern District of New York asserting claims of Novartis's U.S. Patent No. 9,220,631 (the "'631 Patent") and seeking preliminary and permanent injunctions to prevent the Company from continuing to infringe the '631 Patent. Novartis also seeks a judgment of patent infringement of the '631 Patent, monetary damages (together with interest), an order of willful infringement of the '631 Patent (which would allow the court in its discretion to award damages up to three times the amount assessed), costs and expenses of the lawsuits, and attorneys' fees. On November 7, 2022, the Company and Novartis entered into a stipulation staying the lawsuit in light of the decision in the IPR proceeding discussed below.</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16, 2020, the Company initiated two IPR petitions in the USPTO seeking a declaration of invalidity of the '631 Patent on two separate grounds. On October 26, 2021, the USPTO issued a decision instituting the IPR proceeding. An oral hearing was held on July 21, 2022. On October 25, 2022, the Patent Trial and Appeal Board ("PTAB") of the USPTO issued a final written decision invalidating all claims of the '631 Patent. On December 23, 2022, Novartis filed a notice of appeal of the PTAB's decision to the Federal Circuit. An oral hearing was held on August 6, 2024. On September 23, 2024, the Federal Circuit affirmed the PTAB's decision invalidating all claims of the '631 Patent.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lawsuit; and on October 19, 2020, Novartis filed, and Vetter moved to join, a second motion to dismiss the complaint on different grounds. On January 25, 2021, the Company filed an amended complaint seeking a</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judgment that Novartis's conduct violates Section 2 of the Sherman Antitrust Act based on additional grounds, as well as a judgment of tortious interference with contract. On February 22, 2021, Novartis filed, and Vetter moved to join, a motion to dismiss the amended complaint. On September 21, 2021, the court granted Novartis and Vetter's motion to transfer this lawsuit to the Northern District of New York. As a result, this lawsuit was transferred to the same judge that had been assigned to the patent infringement lawsuit discussed above. On January 31, 2022, the court granted Novartis and Vetter's motion to dismiss the amended complaint. On June 10, 2022, the Company filed an appeal of the District Court's decision to dismiss the amended complaint with the U.S. Court of Appeals for the Second Circuit (the "Second Circuit"). On March 18, 2024, the Second Circuit reversed the District Court's decision to dismiss the amended complaint and remanded the lawsuit to the District Court for further proceedings consistent with the Second Circuit's opinion.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REGEN-COV (casirivimab and imdevimab)</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5, 2020, Allele Biotechnology and Pharmaceuticals, Inc. ("Allele") filed a lawsuit (as amended on April 8, 2021 and December 12, 2022) against the Company in the United States District Court for the Southern District of New York, asserting infringement of U.S. Patent No. 10,221,221 (the "'221 Patent"). Allele seeks a judgment of patent infringement of the '221 Patent, an award of monetary damages (together with interest), an order of willful infringement of the '221 Patent (which would allow the court in its discretion to award damages up to three times the amount assessed), costs and expenses of the lawsuit, and attorneys' fees. On July 16, 2021, the Company filed a motion to dismiss the complaint, which motion was denied on March 2, 2022. On September 18, 2023, the parties entered into a stipulation that narrowed the case to (i) whether any safe harbor defense under federal law applies to Regeneron's use of the invention covered, based on the court's claim construction, by the '221 Patent; (ii) damages for any use by Regeneron found to not be covered by such safe harbor defense; and (iii) whether any use referred to in clause (ii) above was willful. On October 4, 2024, the court granted Allele's motion for summary judgment and found that the safe harbor defense under federal law does not apply to Regeneron's use of the invention covered, based on the court's claim construction, by the '221 Patent. A trial date has not yet been scheduled.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ZALTRAP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(the "June 2020 Civil Complaint"). On August 24, 2020, the Company filed a motion to dismiss the June 2020 Civil Complaint in its entirety. On December 4, 2020, the court denied the motion to dismiss. On December 28, 2022, the U.S. Attorney's Office for the District of Massachusetts filed a motion for partial summary judgment. On January 31, 2023, the Company filed a motion for summary judgment. An oral hearing on the parties' respective motions for summary judgment was held on July 21, 2023. On September 27, 2023, the court (i) denied in part and granted in part the Company's motion for summary judgment and (ii) denied in its entirety the motion for partial summary judgment filed by the U.S. Attorney's Office for the District of Massachusetts. On October 25, 2023, the court certified for interlocutory appeal a portion of the court's September 27, 2023 order that addressed the causation standard applicable to the alleged violations of the federal Anti-Kickback Statute and federal False Claims Act; and on December 11, 2023, the U.S. Court of Appeals for the First Circuit certified for appeal (i.e., accepted for review) the court's September 27, 2023 order. An oral hearing concerning the appeal to the U.S. Court of Appeals for the First Circuit was held on July 22, 2024.</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qui tam complaint filed against the Company, Regeneron Healthcare Solutions, Inc., and Sanofi-Aventis U.S. LLC by two qui tam plaintiffs (known as relators) purportedly on behalf of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qui tam plaintiffs filed an amended complaint in this matter. On January 14, 2022, the Company filed a motion to dismiss the amended complaint in its entirety. On July 25, 2023, the court granted in part and denied in part the Company's motion to dismiss. On September 1, 2023, the Company filed a second motion to dismiss the amended complaint or, in the alternative, a motion for judgment on the pleadings. On July 31, 2024 and August 15, 2024, respectively, the District Court granted the Company's second motion to dismiss the amended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complaint with respect to the remaining causes of action under federal law and declined to exercise supplemental jurisdiction over the remaining causes of action under state law. On August 26, 2024, the qui tam plaintiffs filed a notice of appeal.</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the Centers for Medicare &amp; Medicaid Services. The CID covers the period from January 2011 through June 2021. On November 29, 2023, the U.S. Department of Justice informed the Company that it had filed a notice of partial intervention in this matter. On March 28, 2024, the Department of Justice and the U.S. Attorney's Office for the District of Massachusetts filed a civil complaint intervention (the "March 2024 Civil Complaint") in the U.S. District Court for the District of Massachusetts asserting causes of action under the federal False Claims Act and a claim for unjust enrichment. Also on March 28, 2024, the U.S. District Court of the District of Massachusetts unsealed a qui tam complaint against the Company, AmerisourceBergen, and Besse Medical by two qui tam plaintiffs (known as relators) purportedly on behalf of the United States and various states and municipalities, asserting causes of action under the federal False Claims Act and state and local laws, and alleging violations of the federal Anti-Kickback statute. On June 25, 2024, the States of Colorado, Georgia, Michigan, North Carolina, Texas, and Washington filed a civil complaint in partial intervention (the "June 2024 Civil Complaint") in the U.S. District Court for the District of Massachusetts asserting causes of action under various state laws. On July 18, 2024, the Company filed a motion to dismiss the March 2024 Civil Complaint and the June 2024 Civil Complaint. An oral hearing has been scheduled for December 16,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Department of Insurance Subpoena</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2022, the Company received a subpoena from the Insurance Commissioner for the State of California pursuant to the California Insurance Code. The subpoena seeks information relating to the marketing, sale, and distribution of EYLEA, including (i) discounts, rebates, credit card fees, and inventory management systems; (ii) Regeneron's relationships with distributors; (iii) price reporting; (iv) speaker programs; and (v) patient support programs. The subpoena covers the period from January 1, 2014 through August 1, 2021. The Company is cooperating with this investigation.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Initiated by Other Payors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June 2020 Civil Complaint discussed under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("RICO")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concerning the allegations in the June 2020 Civil Complaint. On September 27, 2022, the lawsuits filed by BCBS, MMO, and Horizon were stayed by the U.S. District Court for the District of Massachusetts pending resolution of the proceedings before the same court concerning the allegations in the June 2020 Civil Complaint; and, in light of these stays, the parties to the Local 464A action have also agreed to stay that matter.</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24, 2024, a group of plaintiffs purporting to be assignees of claims by various Medicare Advantage plans and related entities filed a putative class action complaint in the U.S. District Court for the District of Columbia on behalf of Medicare Advantage plans and other payors. The lawsuit relates to the conduct alleged in the June 2020 Civil Complaint, March 2024 Civil Complaint, and June 2024 Civil Complaint discussed under "Department of Justice Matters" above. The lawsuit alleges causes of action under state law and RICO and seeks monetary damages and equitable relief. On October 22, 2024, the Company filed a motion to transfer the proceedings to the U.S. District Court for the District of Massachusetts or, in the alternative, to stay the proceedings or dismiss the proceedings.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Shareholder Derivative Complaint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current and certain former members of the Company's board of directors and certain current and former executive officers of the Company as defendants and Regeneron as a nominal defendant. The complaint asserts that the individual defendants breached their fiduciary duties in relation to the allegations in the June 2020 Civil Complaint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plaintiff moved to remand the case to the New York Supreme Court. Also on September 23, 2021, the individual defendants moved to dismiss the complaint in its entirety. On December 19, 2022, the U.S. District Court for the Southern District of New York denied the plaintiff's motion to remand the case and granted a motion to stay the case pending resolution of the proceedings before the U.S. District Court for the District of Massachusetts concerning the allegations in the June 2020 Civil Complaint. As a result of the stay, the court also terminated the Company's motion to dismiss the complaint without prejudice. The Company can therefore renew the motion to dismiss upon conclusion of the stay.</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16" w:lineRule="exact"/>
        <w:rPr>
          <w:sz w:val="20"/>
          <w:szCs w:val="20"/>
          <w:color w:val="auto"/>
        </w:rPr>
      </w:pPr>
    </w:p>
    <w:p>
      <w:pPr>
        <w:jc w:val="both"/>
        <w:ind w:left="660" w:hanging="328"/>
        <w:spacing w:after="0" w:line="245"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those discussed or referenced in this report, Regeneron's and its collaborators' earlier-stage programs, and the use of human genetics in Regeneron's research programs;</w:t>
      </w:r>
    </w:p>
    <w:p>
      <w:pPr>
        <w:spacing w:after="0" w:line="3"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and timing of achieving any of our anticipated development milestones referenced in this report;</w:t>
      </w:r>
    </w:p>
    <w:p>
      <w:pPr>
        <w:ind w:left="660" w:hanging="328"/>
        <w:spacing w:after="0" w:line="241"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timing, and scope of possible regulatory approval and commercial launch of Regeneron's Product Candidates and new indications for Regeneron's Products, including without limitation those discussed or referenced in this report;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2"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ongoing regulatory obligations and oversight impacting Regeneron's Products, research and clinical programs, and business, including those relating to patient privacy;</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35"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determinations by regulatory and administrative governmental authorities which may delay or restrict our ability to continue to develop or commercialize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42"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competing drugs and product candidates that may be superior to, or more cost effective than, Regeneron's Products and Regeneron's Product Candidates (including biosimilar versions of Regeneron's Products);</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manufacture and manage supply chains for multiple products and product candidates;</w:t>
      </w:r>
    </w:p>
    <w:p>
      <w:pPr>
        <w:ind w:left="660" w:hanging="328"/>
        <w:spacing w:after="0" w:line="242"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collaborators, suppliers, or other third parties (as applicable) to perform manufacturing, filling, finishing, packaging, labeling, distribution, and other steps related to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availability and extent of reimbursement of Regeneron's Products from third-party payors, including private payor healthcare and insurance programs, health maintenance organizations, pharmacy benefit management companies, and government programs such as Medicare and Medicaid;</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coverage and reimbursement determinations by such payors and new policies and procedures adopted by such payors;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of developing, producing, and selling products or unanticipated expenses;</w:t>
      </w:r>
    </w:p>
    <w:p>
      <w:pPr>
        <w:ind w:left="660" w:hanging="328"/>
        <w:spacing w:after="0" w:line="242"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any of our financial projections or guidance, including without limitation capital expenditures, and changes to the assumptions underlying those projections or guidance;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for any license or collaboration agreement, including our agreements with Sanofi and Bayer (or their respective affiliated companies, as applicable), to be cancelled or terminated;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public health outbreaks, epidemics, or pandemics (such as the COVID-19 pandemic) on our business; and</w:t>
      </w:r>
    </w:p>
    <w:p>
      <w:pPr>
        <w:jc w:val="both"/>
        <w:ind w:left="660" w:hanging="328"/>
        <w:spacing w:after="0" w:line="242"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intellectual property of other parties and pending or future litigation relating thereto (including without limitation the patent litigation and other related proceedings described further in Note 11 to our Condensed Consolidated Financial Statements included in this report), other litigation and other proceedings and government investigations relating to the Company and/or its operations (including without limitation those described in Note 11 to our Condensed Consolidated Financial Statements included in this report), the ultimate outcome of any such proceedings and investigations, and the impact any of the foregoing may have on our business, prospects, operating results, and financial condition.</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those indicated by such forward-looking statements. We do not undertake any obligation to update (publicly or otherwise) any forward-looking statement, whether as a result of new information, future events, or otherwise.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hematologic conditions, infectious diseases, and rare diseases.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1"/>
        </w:trPr>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20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4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1460" w:type="dxa"/>
            <w:vAlign w:val="bottom"/>
          </w:tcPr>
          <w:p>
            <w:pPr>
              <w:spacing w:after="0"/>
              <w:rPr>
                <w:sz w:val="19"/>
                <w:szCs w:val="19"/>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146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9,682.9</w:t>
            </w:r>
          </w:p>
        </w:tc>
      </w:tr>
      <w:tr>
        <w:trPr>
          <w:trHeight w:val="229"/>
        </w:trPr>
        <w:tc>
          <w:tcPr>
            <w:tcW w:w="14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2,794.0</w:t>
            </w:r>
          </w:p>
        </w:tc>
      </w:tr>
      <w:tr>
        <w:trPr>
          <w:trHeight w:val="230"/>
        </w:trPr>
        <w:tc>
          <w:tcPr>
            <w:tcW w:w="146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 Certain products have also received marketing approval in countries outside the United States, European Union ("EU"), or Japan.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38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Borders>
              <w:bottom w:val="single" w:sz="8" w:color="CCEEFF"/>
            </w:tcBorders>
          </w:tcPr>
          <w:p>
            <w:pPr>
              <w:spacing w:after="0"/>
              <w:rPr>
                <w:sz w:val="20"/>
                <w:szCs w:val="20"/>
                <w:color w:val="auto"/>
              </w:rPr>
            </w:pPr>
          </w:p>
        </w:tc>
        <w:tc>
          <w:tcPr>
            <w:tcW w:w="39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 8 mg</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Wet age-related macular degeneration ("wAMD")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retinopathy ("DR")</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wAMD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DME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DR</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69"/>
        </w:trPr>
        <w:tc>
          <w:tcPr>
            <w:tcW w:w="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Macular edema following retinal vein occlusion</w:t>
            </w:r>
          </w:p>
        </w:tc>
        <w:tc>
          <w:tcPr>
            <w:tcW w:w="100" w:type="dxa"/>
            <w:vAlign w:val="bottom"/>
          </w:tcPr>
          <w:p>
            <w:pPr>
              <w:spacing w:after="0"/>
              <w:rPr>
                <w:sz w:val="14"/>
                <w:szCs w:val="14"/>
                <w:color w:val="auto"/>
              </w:rPr>
            </w:pPr>
          </w:p>
        </w:tc>
        <w:tc>
          <w:tcPr>
            <w:tcW w:w="1100" w:type="dxa"/>
            <w:vAlign w:val="bottom"/>
            <w:gridSpan w:val="2"/>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tcPr>
          <w:p>
            <w:pPr>
              <w:jc w:val="center"/>
              <w:ind w:right="120"/>
              <w:spacing w:after="0" w:line="169" w:lineRule="exact"/>
              <w:rPr>
                <w:sz w:val="20"/>
                <w:szCs w:val="20"/>
                <w:color w:val="auto"/>
              </w:rPr>
            </w:pPr>
            <w:r>
              <w:rPr>
                <w:rFonts w:ascii="Webdings" w:cs="Webdings" w:eastAsia="Webdings" w:hAnsi="Webdings"/>
                <w:sz w:val="18"/>
                <w:szCs w:val="18"/>
                <w:b w:val="1"/>
                <w:bCs w:val="1"/>
                <w:color w:val="auto"/>
                <w:w w:val="99"/>
              </w:rPr>
              <w:t>a</w:t>
            </w:r>
          </w:p>
        </w:tc>
        <w:tc>
          <w:tcPr>
            <w:tcW w:w="1020" w:type="dxa"/>
            <w:vAlign w:val="bottom"/>
            <w:gridSpan w:val="2"/>
          </w:tcPr>
          <w:p>
            <w:pPr>
              <w:jc w:val="center"/>
              <w:ind w:right="60"/>
              <w:spacing w:after="0" w:line="169" w:lineRule="exact"/>
              <w:rPr>
                <w:sz w:val="20"/>
                <w:szCs w:val="20"/>
                <w:color w:val="auto"/>
              </w:rPr>
            </w:pPr>
            <w:r>
              <w:rPr>
                <w:rFonts w:ascii="Webdings" w:cs="Webdings" w:eastAsia="Webdings" w:hAnsi="Webdings"/>
                <w:sz w:val="18"/>
                <w:szCs w:val="18"/>
                <w:b w:val="1"/>
                <w:bCs w:val="1"/>
                <w:color w:val="auto"/>
                <w:w w:val="88"/>
              </w:rPr>
              <w:t>a</w:t>
            </w:r>
          </w:p>
        </w:tc>
      </w:tr>
      <w:tr>
        <w:trPr>
          <w:trHeight w:val="176"/>
        </w:trPr>
        <w:tc>
          <w:tcPr>
            <w:tcW w:w="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("RVO"), which includes macular edema following</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central retinal vein occlusion ("CRVO") and macular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edema following branch retinal vein occlusion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9"/>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("BRVO")</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7"/>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Myopic choroidal neovascularization ("mCNV")</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8"/>
        </w:trPr>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Neovascular glaucoma ("NVG")</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36"/>
        </w:trPr>
        <w:tc>
          <w:tcPr>
            <w:tcW w:w="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57"/>
        </w:trPr>
        <w:tc>
          <w:tcPr>
            <w:tcW w:w="60" w:type="dxa"/>
            <w:vAlign w:val="bottom"/>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Retinopathy of prematurity ("ROP")</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22"/>
                <w:szCs w:val="22"/>
                <w:color w:val="auto"/>
              </w:rPr>
            </w:pPr>
          </w:p>
        </w:tc>
      </w:tr>
      <w:tr>
        <w:trPr>
          <w:trHeight w:val="175"/>
        </w:trPr>
        <w:tc>
          <w:tcPr>
            <w:tcW w:w="60" w:type="dxa"/>
            <w:vAlign w:val="bottom"/>
          </w:tcPr>
          <w:p>
            <w:pPr>
              <w:spacing w:after="0"/>
              <w:rPr>
                <w:sz w:val="15"/>
                <w:szCs w:val="15"/>
                <w:color w:val="auto"/>
              </w:rPr>
            </w:pPr>
          </w:p>
        </w:tc>
        <w:tc>
          <w:tcPr>
            <w:tcW w:w="3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Dupixent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(dupilumab) Injection</w:t>
            </w:r>
            <w:r>
              <w:rPr>
                <w:rFonts w:ascii="Times New Roman" w:cs="Times New Roman" w:eastAsia="Times New Roman" w:hAnsi="Times New Roman"/>
                <w:sz w:val="20"/>
                <w:szCs w:val="20"/>
                <w:color w:val="auto"/>
                <w:vertAlign w:val="superscript"/>
              </w:rPr>
              <w:t>(b)</w:t>
            </w:r>
          </w:p>
        </w:tc>
        <w:tc>
          <w:tcPr>
            <w:tcW w:w="12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Atopic dermatitis (in adults, adolescents, and</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jc w:val="center"/>
              <w:spacing w:after="0" w:line="175" w:lineRule="exact"/>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5"/>
                <w:szCs w:val="15"/>
                <w:color w:val="auto"/>
              </w:rPr>
            </w:pPr>
          </w:p>
        </w:tc>
      </w:tr>
      <w:tr>
        <w:trPr>
          <w:trHeight w:val="239"/>
        </w:trPr>
        <w:tc>
          <w:tcPr>
            <w:tcW w:w="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pediatrics aged 6 months 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7"/>
        </w:trPr>
        <w:tc>
          <w:tcPr>
            <w:tcW w:w="6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adults and adolescents)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952"/>
        </w:trPr>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2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60" w:type="dxa"/>
            <w:vAlign w:val="bottom"/>
          </w:tcPr>
          <w:p>
            <w:pPr>
              <w:spacing w:after="0"/>
              <w:rPr>
                <w:sz w:val="21"/>
                <w:szCs w:val="21"/>
                <w:color w:val="auto"/>
              </w:rPr>
            </w:pPr>
          </w:p>
        </w:tc>
        <w:tc>
          <w:tcPr>
            <w:tcW w:w="38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1"/>
                <w:szCs w:val="21"/>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Pr>
          <w:p>
            <w:pPr>
              <w:spacing w:after="0"/>
              <w:rPr>
                <w:sz w:val="21"/>
                <w:szCs w:val="21"/>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223"/>
        </w:trPr>
        <w:tc>
          <w:tcPr>
            <w:tcW w:w="60" w:type="dxa"/>
            <w:vAlign w:val="bottom"/>
          </w:tcPr>
          <w:p>
            <w:pPr>
              <w:spacing w:after="0"/>
              <w:rPr>
                <w:sz w:val="19"/>
                <w:szCs w:val="19"/>
                <w:color w:val="auto"/>
              </w:rPr>
            </w:pPr>
          </w:p>
        </w:tc>
        <w:tc>
          <w:tcPr>
            <w:tcW w:w="3860" w:type="dxa"/>
            <w:vAlign w:val="bottom"/>
            <w:tcBorders>
              <w:top w:val="single" w:sz="8" w:color="auto"/>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Dupixent (dupilumab) Injection</w:t>
            </w:r>
            <w:r>
              <w:rPr>
                <w:rFonts w:ascii="Times New Roman" w:cs="Times New Roman" w:eastAsia="Times New Roman" w:hAnsi="Times New Roman"/>
                <w:sz w:val="23"/>
                <w:szCs w:val="23"/>
                <w:color w:val="auto"/>
                <w:vertAlign w:val="superscript"/>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(continued)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pediatrics 6–11 years of age)</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("CRSwNP") (in adults)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CRSwNP (in 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Chronic obstructive pulmonary disease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("COPD")</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Eosinophilic esophagitis ("EoE") (in adults and</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EoE (in pediatrics 1–11 years of 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Prurigo nodularis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09"/>
        </w:trPr>
        <w:tc>
          <w:tcPr>
            <w:tcW w:w="6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Chronic spontaneous urticaria ("CSU") (in adults and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60" w:type="dxa"/>
            <w:vAlign w:val="bottom"/>
          </w:tcPr>
          <w:p>
            <w:pPr>
              <w:spacing w:after="0"/>
              <w:rPr>
                <w:sz w:val="18"/>
                <w:szCs w:val="18"/>
                <w:color w:val="auto"/>
              </w:rPr>
            </w:pPr>
          </w:p>
        </w:tc>
        <w:tc>
          <w:tcPr>
            <w:tcW w:w="386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(cemiplimab) Injection</w:t>
            </w: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first-line non-small</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cell lung cancer ("NSCLC")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first-line NSCLC (in</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combination with chemotherapy)</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basal cell carcinoma</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("BCC")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Metastatic or locally advanced cutaneous squamous</w:t>
            </w:r>
          </w:p>
        </w:tc>
        <w:tc>
          <w:tcPr>
            <w:tcW w:w="100" w:type="dxa"/>
            <w:vAlign w:val="bottom"/>
          </w:tcPr>
          <w:p>
            <w:pPr>
              <w:spacing w:after="0"/>
              <w:rPr>
                <w:sz w:val="15"/>
                <w:szCs w:val="15"/>
                <w:color w:val="auto"/>
              </w:rPr>
            </w:pPr>
          </w:p>
        </w:tc>
        <w:tc>
          <w:tcPr>
            <w:tcW w:w="100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cell carcinoma ("CSCC")</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64"/>
        </w:trPr>
        <w:tc>
          <w:tcPr>
            <w:tcW w:w="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recurrent second-line cervical cancer</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178"/>
        </w:trPr>
        <w:tc>
          <w:tcPr>
            <w:tcW w:w="60" w:type="dxa"/>
            <w:vAlign w:val="bottom"/>
          </w:tcPr>
          <w:p>
            <w:pPr>
              <w:spacing w:after="0"/>
              <w:rPr>
                <w:sz w:val="15"/>
                <w:szCs w:val="15"/>
                <w:color w:val="auto"/>
              </w:rPr>
            </w:pPr>
          </w:p>
        </w:tc>
        <w:tc>
          <w:tcPr>
            <w:tcW w:w="386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Praluent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(alirocumab) Injection</w:t>
            </w:r>
            <w:r>
              <w:rPr>
                <w:rFonts w:ascii="Times New Roman" w:cs="Times New Roman" w:eastAsia="Times New Roman" w:hAnsi="Times New Roman"/>
                <w:sz w:val="20"/>
                <w:szCs w:val="20"/>
                <w:color w:val="auto"/>
                <w:vertAlign w:val="superscript"/>
              </w:rPr>
              <w:t>(c)</w:t>
            </w:r>
          </w:p>
        </w:tc>
        <w:tc>
          <w:tcPr>
            <w:tcW w:w="1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atherosclerotic cardiovascular disease ("ASCVD")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HeFH in pediatrics and adolescents (8–17 years of</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Cardiovascular risk reduction in patients with</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Homozygous familial hypercholesterolemia</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("HoFH")</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Injection</w:t>
            </w:r>
            <w:r>
              <w:rPr>
                <w:rFonts w:ascii="Times New Roman" w:cs="Times New Roman" w:eastAsia="Times New Roman" w:hAnsi="Times New Roman"/>
                <w:sz w:val="23"/>
                <w:szCs w:val="23"/>
                <w:color w:val="auto"/>
                <w:vertAlign w:val="superscript"/>
              </w:rPr>
              <w:t>(b)</w:t>
            </w: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Rheumatoid arthritis ("RA")</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264"/>
        </w:trPr>
        <w:tc>
          <w:tcPr>
            <w:tcW w:w="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Polymyalgia rheumatica ("PMR")</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Polyarticular juvenile idiopathic arthritis ("pJIA")</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(evinacumab) Injection</w:t>
            </w:r>
            <w:r>
              <w:rPr>
                <w:rFonts w:ascii="Times New Roman" w:cs="Times New Roman" w:eastAsia="Times New Roman" w:hAnsi="Times New Roman"/>
                <w:sz w:val="23"/>
                <w:szCs w:val="23"/>
                <w:color w:val="auto"/>
                <w:vertAlign w:val="superscript"/>
              </w:rPr>
              <w:t>(e)</w:t>
            </w: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HoFH (in adults, adolescents, and pediatrics)</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263"/>
        </w:trPr>
        <w:tc>
          <w:tcPr>
            <w:tcW w:w="60" w:type="dxa"/>
            <w:vAlign w:val="bottom"/>
          </w:tcPr>
          <w:p>
            <w:pPr>
              <w:spacing w:after="0"/>
              <w:rPr>
                <w:sz w:val="22"/>
                <w:szCs w:val="22"/>
                <w:color w:val="auto"/>
              </w:rPr>
            </w:pPr>
          </w:p>
        </w:tc>
        <w:tc>
          <w:tcPr>
            <w:tcW w:w="3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(odronextamab)</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Follicular lymphoma ("FL")</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60" w:type="dxa"/>
            <w:vAlign w:val="bottom"/>
          </w:tcPr>
          <w:p>
            <w:pPr>
              <w:spacing w:after="0"/>
              <w:rPr>
                <w:sz w:val="22"/>
                <w:szCs w:val="22"/>
                <w:color w:val="auto"/>
              </w:rPr>
            </w:pPr>
          </w:p>
        </w:tc>
        <w:tc>
          <w:tcPr>
            <w:tcW w:w="38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Diffuse large B-cell lymphoma ("DLBCL")</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178"/>
        </w:trPr>
        <w:tc>
          <w:tcPr>
            <w:tcW w:w="60" w:type="dxa"/>
            <w:vAlign w:val="bottom"/>
          </w:tcPr>
          <w:p>
            <w:pPr>
              <w:spacing w:after="0"/>
              <w:rPr>
                <w:sz w:val="15"/>
                <w:szCs w:val="15"/>
                <w:color w:val="auto"/>
              </w:rPr>
            </w:pPr>
          </w:p>
        </w:tc>
        <w:tc>
          <w:tcPr>
            <w:tcW w:w="386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Inmazeb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(atoltivimab, maftivimab, and</w:t>
            </w: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0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odesivimab) Injection</w:t>
            </w:r>
          </w:p>
        </w:tc>
        <w:tc>
          <w:tcPr>
            <w:tcW w:w="120" w:type="dxa"/>
            <w:vAlign w:val="bottom"/>
            <w:tcBorders>
              <w:bottom w:val="single" w:sz="8" w:color="CCEEFF"/>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Veopoz</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(pozelimab) Injection</w:t>
            </w: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CD55-deficient protein-losing enteropathy</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("CHAPLE") (in adults, adolescents, and pediatrics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29"/>
        </w:trPr>
        <w:tc>
          <w:tcPr>
            <w:tcW w:w="6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aged 1 year and older)</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w:t>
            </w:r>
            <w:r>
              <w:rPr>
                <w:rFonts w:ascii="Times New Roman" w:cs="Times New Roman" w:eastAsia="Times New Roman" w:hAnsi="Times New Roman"/>
                <w:sz w:val="20"/>
                <w:szCs w:val="20"/>
                <w:color w:val="auto"/>
                <w:vertAlign w:val="superscript"/>
              </w:rPr>
              <w:t>(f)</w:t>
            </w: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Cryopyrin-associated periodic syndromes ("CAPS"),</w:t>
            </w:r>
          </w:p>
        </w:tc>
        <w:tc>
          <w:tcPr>
            <w:tcW w:w="10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including familial cold auto-inflammatory syndrome</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("FCAS") and Muckle-Wells syndrome ("MWS") (in</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adults and adolescents)</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749"/>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0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r>
      <w:tr>
        <w:trPr>
          <w:trHeight w:val="237"/>
        </w:trPr>
        <w:tc>
          <w:tcPr>
            <w:tcW w:w="38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0"/>
                <w:szCs w:val="20"/>
                <w:color w:val="auto"/>
              </w:rPr>
            </w:pPr>
          </w:p>
        </w:tc>
        <w:tc>
          <w:tcPr>
            <w:tcW w:w="38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178"/>
        </w:trPr>
        <w:tc>
          <w:tcPr>
            <w:tcW w:w="386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ARCALYST (rilonacept) Injection</w:t>
            </w:r>
            <w:r>
              <w:rPr>
                <w:rFonts w:ascii="Times New Roman" w:cs="Times New Roman" w:eastAsia="Times New Roman" w:hAnsi="Times New Roman"/>
                <w:sz w:val="20"/>
                <w:szCs w:val="20"/>
                <w:color w:val="auto"/>
                <w:vertAlign w:val="superscript"/>
              </w:rPr>
              <w:t>(f)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(continued)</w:t>
            </w: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("DIRA") (in adults, adolescents, and pediatrics)</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3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Recurrent pericarditis (in adults and adolescents)</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4"/>
        </w:trPr>
        <w:tc>
          <w:tcPr>
            <w:tcW w:w="38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w:t>
            </w: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jc w:val="center"/>
              <w:spacing w:after="0" w:line="175" w:lineRule="exact"/>
              <w:rPr>
                <w:sz w:val="20"/>
                <w:szCs w:val="20"/>
                <w:color w:val="auto"/>
              </w:rPr>
            </w:pPr>
            <w:r>
              <w:rPr>
                <w:rFonts w:ascii="Webdings" w:cs="Webdings" w:eastAsia="Webdings" w:hAnsi="Webdings"/>
                <w:sz w:val="18"/>
                <w:szCs w:val="18"/>
                <w:b w:val="1"/>
                <w:bCs w:val="1"/>
                <w:color w:val="auto"/>
                <w:w w:val="88"/>
              </w:rPr>
              <w:t>a</w:t>
            </w:r>
          </w:p>
        </w:tc>
      </w:tr>
      <w:tr>
        <w:trPr>
          <w:trHeight w:val="238"/>
        </w:trPr>
        <w:tc>
          <w:tcPr>
            <w:tcW w:w="3860" w:type="dxa"/>
            <w:vAlign w:val="bottom"/>
            <w:tcBorders>
              <w:bottom w:val="single" w:sz="8" w:color="auto"/>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(g)</w:t>
            </w:r>
          </w:p>
        </w:tc>
        <w:tc>
          <w:tcPr>
            <w:tcW w:w="120" w:type="dxa"/>
            <w:vAlign w:val="bottom"/>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bl>
    <w:p>
      <w:pPr>
        <w:spacing w:after="0" w:line="81" w:lineRule="exact"/>
        <w:rPr>
          <w:sz w:val="20"/>
          <w:szCs w:val="20"/>
          <w:color w:val="auto"/>
        </w:rPr>
      </w:pPr>
    </w:p>
    <w:p>
      <w:pPr>
        <w:ind w:left="240" w:right="440"/>
        <w:spacing w:after="0" w:line="242" w:lineRule="auto"/>
        <w:rPr>
          <w:sz w:val="20"/>
          <w:szCs w:val="20"/>
          <w:color w:val="auto"/>
        </w:rPr>
      </w:pPr>
      <w:r>
        <w:rPr>
          <w:rFonts w:ascii="Times New Roman" w:cs="Times New Roman" w:eastAsia="Times New Roman" w:hAnsi="Times New Roman"/>
          <w:sz w:val="16"/>
          <w:szCs w:val="16"/>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ind w:left="400" w:hanging="165"/>
        <w:spacing w:after="0" w:line="206" w:lineRule="auto"/>
        <w:tabs>
          <w:tab w:leader="none" w:pos="4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 Aflibercept 8 mg is known as EYLEA HD in the United States and EYLEA 8 mg in other countries.</w:t>
      </w:r>
    </w:p>
    <w:p>
      <w:pPr>
        <w:spacing w:after="0" w:line="23"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24" w:lineRule="exact"/>
        <w:rPr>
          <w:rFonts w:ascii="Times New Roman" w:cs="Times New Roman" w:eastAsia="Times New Roman" w:hAnsi="Times New Roman"/>
          <w:sz w:val="22"/>
          <w:szCs w:val="22"/>
          <w:color w:val="auto"/>
          <w:vertAlign w:val="superscript"/>
        </w:rPr>
      </w:pPr>
    </w:p>
    <w:p>
      <w:pPr>
        <w:ind w:left="240" w:right="300" w:hanging="5"/>
        <w:spacing w:after="0" w:line="189" w:lineRule="auto"/>
        <w:tabs>
          <w:tab w:leader="none" w:pos="41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Praluent in the United States and Sanofi is responsible for the development and commercialization of Praluent outside the United States.</w:t>
      </w:r>
    </w:p>
    <w:p>
      <w:pPr>
        <w:spacing w:after="0" w:line="1" w:lineRule="exact"/>
        <w:rPr>
          <w:rFonts w:ascii="Times New Roman" w:cs="Times New Roman" w:eastAsia="Times New Roman" w:hAnsi="Times New Roman"/>
          <w:sz w:val="23"/>
          <w:szCs w:val="23"/>
          <w:color w:val="auto"/>
          <w:vertAlign w:val="superscript"/>
        </w:rPr>
      </w:pPr>
    </w:p>
    <w:p>
      <w:pPr>
        <w:ind w:left="420" w:hanging="185"/>
        <w:spacing w:after="0" w:line="217" w:lineRule="auto"/>
        <w:tabs>
          <w:tab w:leader="none" w:pos="4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collaboration with Roche. Product is known as REGEN-COV in the United States and Ronapreve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in other countries.</w:t>
      </w:r>
    </w:p>
    <w:p>
      <w:pPr>
        <w:ind w:left="240" w:right="260" w:hanging="5"/>
        <w:spacing w:after="0" w:line="189" w:lineRule="auto"/>
        <w:tabs>
          <w:tab w:leader="none" w:pos="41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solely responsible for the development and commercialization of Evkeeza in the United States and Ultragenyx is responsible for the development and commercialization of Evkeeza outside the United States.</w:t>
      </w:r>
    </w:p>
    <w:p>
      <w:pPr>
        <w:spacing w:after="0" w:line="1" w:lineRule="exact"/>
        <w:rPr>
          <w:rFonts w:ascii="Times New Roman" w:cs="Times New Roman" w:eastAsia="Times New Roman" w:hAnsi="Times New Roman"/>
          <w:sz w:val="23"/>
          <w:szCs w:val="23"/>
          <w:color w:val="auto"/>
          <w:vertAlign w:val="superscript"/>
        </w:rPr>
      </w:pPr>
    </w:p>
    <w:p>
      <w:pPr>
        <w:ind w:left="400" w:hanging="165"/>
        <w:spacing w:after="0" w:line="208" w:lineRule="auto"/>
        <w:tabs>
          <w:tab w:leader="none" w:pos="4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Kiniksa is solely responsible for the development and commercialization of ARCALYST.</w:t>
      </w:r>
    </w:p>
    <w:p>
      <w:pPr>
        <w:spacing w:after="0" w:line="23" w:lineRule="exact"/>
        <w:rPr>
          <w:rFonts w:ascii="Times New Roman" w:cs="Times New Roman" w:eastAsia="Times New Roman" w:hAnsi="Times New Roman"/>
          <w:sz w:val="23"/>
          <w:szCs w:val="23"/>
          <w:color w:val="auto"/>
          <w:vertAlign w:val="superscript"/>
        </w:rPr>
      </w:pPr>
    </w:p>
    <w:p>
      <w:pPr>
        <w:ind w:left="420" w:hanging="185"/>
        <w:spacing w:after="0" w:line="182" w:lineRule="auto"/>
        <w:tabs>
          <w:tab w:leader="none" w:pos="4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solely responsible for the development and commercialization of ZALTRAP.</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includes net product sales of Regeneron-discovered products. Such net product sales are recorded by us or others, as further described in the footnotes to the table. We believe the information in the table is useful to investors as it demonstrates our pipeline productivity and our ability to innovate, discover, and develop new products, and bring those products to market either alone or based on contractual arrangements with other parties, which has a direct impact on our results of operations and financial condition. The table also shows the degree to which we, a collaborator, and/or a licensee is currently commercializing the products discovered by Regeneron. In addition, this information allows management and investors to assess the commercial trends and developments impacting Regeneron-discovered products. In arrangements where our collaborator or licensee is currently commercializing such products and is recording net product sales as a result, the net product sales shown in the table also are an important metric for management's review and assessment of (i) the revenues we record for our share of profits and/or royalties from such sales and (ii) the impact of our obligation to supply commercial product to certain of these collaborators or licensees.</w:t>
      </w:r>
    </w:p>
    <w:p>
      <w:pPr>
        <w:spacing w:after="0" w:line="1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980" w:type="dxa"/>
            <w:vAlign w:val="bottom"/>
            <w:gridSpan w:val="2"/>
          </w:tcPr>
          <w:p>
            <w:pPr>
              <w:jc w:val="center"/>
              <w:ind w:right="28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ROW</w:t>
            </w:r>
            <w:r>
              <w:rPr>
                <w:rFonts w:ascii="Times New Roman" w:cs="Times New Roman" w:eastAsia="Times New Roman" w:hAnsi="Times New Roman"/>
                <w:sz w:val="10"/>
                <w:szCs w:val="10"/>
                <w:b w:val="1"/>
                <w:bCs w:val="1"/>
                <w:color w:val="auto"/>
              </w:rPr>
              <w:t>(g)</w:t>
            </w:r>
          </w:p>
        </w:tc>
        <w:tc>
          <w:tcPr>
            <w:tcW w:w="220" w:type="dxa"/>
            <w:vAlign w:val="bottom"/>
          </w:tcPr>
          <w:p>
            <w:pPr>
              <w:spacing w:after="0"/>
              <w:rPr>
                <w:sz w:val="19"/>
                <w:szCs w:val="19"/>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ROW</w:t>
            </w:r>
          </w:p>
        </w:tc>
        <w:tc>
          <w:tcPr>
            <w:tcW w:w="22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r>
      <w:tr>
        <w:trPr>
          <w:trHeight w:val="223"/>
        </w:trPr>
        <w:tc>
          <w:tcPr>
            <w:tcW w:w="27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 and EYLEA</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2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2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2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2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56"/>
        </w:trPr>
        <w:tc>
          <w:tcPr>
            <w:tcW w:w="27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20"/>
                <w:szCs w:val="20"/>
                <w:color w:val="auto"/>
              </w:rPr>
              <w:t>*</w:t>
            </w:r>
          </w:p>
        </w:tc>
      </w:tr>
      <w:tr>
        <w:trPr>
          <w:trHeight w:val="230"/>
        </w:trPr>
        <w:tc>
          <w:tcPr>
            <w:tcW w:w="2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34"/>
        </w:trPr>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8"/>
        </w:trPr>
        <w:tc>
          <w:tcPr>
            <w:tcW w:w="2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2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20" w:type="dxa"/>
            <w:vAlign w:val="bottom"/>
          </w:tcPr>
          <w:p>
            <w:pPr>
              <w:spacing w:after="0"/>
              <w:rPr>
                <w:sz w:val="19"/>
                <w:szCs w:val="19"/>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ROW</w:t>
            </w:r>
          </w:p>
        </w:tc>
        <w:tc>
          <w:tcPr>
            <w:tcW w:w="22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r>
      <w:tr>
        <w:trPr>
          <w:trHeight w:val="223"/>
        </w:trPr>
        <w:tc>
          <w:tcPr>
            <w:tcW w:w="27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 and EYLEA</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2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2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2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0"/>
        </w:trPr>
        <w:tc>
          <w:tcPr>
            <w:tcW w:w="2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2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3"/>
                <w:szCs w:val="23"/>
                <w:color w:val="auto"/>
                <w:vertAlign w:val="superscript"/>
              </w:rPr>
              <w:t>(e)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9"/>
        </w:trPr>
        <w:tc>
          <w:tcPr>
            <w:tcW w:w="2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(f)</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bl>
    <w:p>
      <w:pPr>
        <w:spacing w:after="0" w:line="63" w:lineRule="exact"/>
        <w:rPr>
          <w:sz w:val="20"/>
          <w:szCs w:val="20"/>
          <w:color w:val="auto"/>
        </w:rPr>
      </w:pPr>
    </w:p>
    <w:p>
      <w:pPr>
        <w:ind w:left="360" w:hanging="91"/>
        <w:spacing w:after="0"/>
        <w:tabs>
          <w:tab w:leader="none" w:pos="36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not meaningful</w:t>
      </w:r>
    </w:p>
    <w:p>
      <w:pPr>
        <w:spacing w:after="0" w:line="10" w:lineRule="exact"/>
        <w:rPr>
          <w:sz w:val="20"/>
          <w:szCs w:val="20"/>
          <w:color w:val="auto"/>
        </w:rPr>
      </w:pPr>
    </w:p>
    <w:p>
      <w:pPr>
        <w:ind w:left="260" w:right="220" w:firstLine="9"/>
        <w:spacing w:after="0"/>
        <w:tabs>
          <w:tab w:leader="none" w:pos="43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We record net product sales of EYLEA HD and EYLEA in the United States, and Bayer records net product sales outside the United States. We record our share of profits in connection with sales outside the United States within Collaboration revenue; refer to "Results of Operations - Revenues - Bayer Collaboration Revenue" below for such amounts.</w:t>
      </w:r>
    </w:p>
    <w:p>
      <w:pPr>
        <w:spacing w:after="0" w:line="121" w:lineRule="exact"/>
        <w:rPr>
          <w:rFonts w:ascii="Times New Roman" w:cs="Times New Roman" w:eastAsia="Times New Roman" w:hAnsi="Times New Roman"/>
          <w:sz w:val="21"/>
          <w:szCs w:val="21"/>
          <w:color w:val="auto"/>
          <w:vertAlign w:val="superscript"/>
        </w:rPr>
      </w:pPr>
    </w:p>
    <w:p>
      <w:pPr>
        <w:ind w:left="260" w:right="720" w:firstLine="9"/>
        <w:spacing w:after="0" w:line="215" w:lineRule="auto"/>
        <w:tabs>
          <w:tab w:leader="none" w:pos="436"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records global net product sales of Dupixent and Kevzara, and we record our share of profits in connection with global sales of such products within Collaboration revenue. Refer to "Results of Operations - Revenues - Sanofi Collaboration Revenue" below for such amounts.</w:t>
      </w:r>
    </w:p>
    <w:p>
      <w:pPr>
        <w:spacing w:after="0" w:line="7" w:lineRule="exact"/>
        <w:rPr>
          <w:rFonts w:ascii="Times New Roman" w:cs="Times New Roman" w:eastAsia="Times New Roman" w:hAnsi="Times New Roman"/>
          <w:sz w:val="21"/>
          <w:szCs w:val="21"/>
          <w:color w:val="auto"/>
          <w:vertAlign w:val="superscript"/>
        </w:rPr>
      </w:pPr>
    </w:p>
    <w:p>
      <w:pPr>
        <w:jc w:val="both"/>
        <w:ind w:left="260" w:right="200" w:firstLine="9"/>
        <w:spacing w:after="0" w:line="218" w:lineRule="auto"/>
        <w:tabs>
          <w:tab w:leader="none" w:pos="43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We record global net product sales of Libtayo and pay Sanofi a royalty on such sales. Prior to July 1, 2022, Sanofi recorded net product sales of Libtayo outside the United States. Included in this line item for the nine months ended September 30, 2023 is approximately $6 million of first quarter 2023 net product sales recorded by Sanofi in connection with sales in certain markets outside the United States (Sanofi recorded net product sales in such markets during a transition period).</w:t>
      </w:r>
    </w:p>
    <w:p>
      <w:pPr>
        <w:spacing w:after="0" w:line="2" w:lineRule="exact"/>
        <w:rPr>
          <w:rFonts w:ascii="Times New Roman" w:cs="Times New Roman" w:eastAsia="Times New Roman" w:hAnsi="Times New Roman"/>
          <w:sz w:val="21"/>
          <w:szCs w:val="21"/>
          <w:color w:val="auto"/>
          <w:vertAlign w:val="superscript"/>
        </w:rPr>
      </w:pPr>
    </w:p>
    <w:p>
      <w:pPr>
        <w:ind w:left="260" w:right="400" w:firstLine="9"/>
        <w:spacing w:after="0" w:line="227" w:lineRule="auto"/>
        <w:tabs>
          <w:tab w:leader="none" w:pos="441"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We </w:t>
      </w:r>
      <w:r>
        <w:rPr>
          <w:rFonts w:ascii="Times New Roman" w:cs="Times New Roman" w:eastAsia="Times New Roman" w:hAnsi="Times New Roman"/>
          <w:sz w:val="15"/>
          <w:szCs w:val="15"/>
          <w:color w:val="auto"/>
        </w:rPr>
        <w:t>record net product sales of Praluent in the United States. Sanofi records net product sales of Praluent outside the United States and pays us a royalty on 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sales, which is recorded within Other revenue.</w:t>
      </w:r>
    </w:p>
    <w:p>
      <w:pPr>
        <w:spacing w:after="0" w:line="1" w:lineRule="exact"/>
        <w:rPr>
          <w:rFonts w:ascii="Times New Roman" w:cs="Times New Roman" w:eastAsia="Times New Roman" w:hAnsi="Times New Roman"/>
          <w:sz w:val="22"/>
          <w:szCs w:val="22"/>
          <w:color w:val="auto"/>
          <w:vertAlign w:val="superscript"/>
        </w:rPr>
      </w:pPr>
    </w:p>
    <w:p>
      <w:pPr>
        <w:ind w:left="260" w:right="140" w:firstLine="9"/>
        <w:spacing w:after="0" w:line="211" w:lineRule="auto"/>
        <w:tabs>
          <w:tab w:leader="none" w:pos="43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Roche records net product sales outside the United States and we record our share of gross profits from sales, which is recorded within Collaboration revenue. Refer to "Results of Operations - Revenues - Roche Collaboration Revenue" below for such amounts.</w:t>
      </w:r>
    </w:p>
    <w:p>
      <w:pPr>
        <w:spacing w:after="0" w:line="19" w:lineRule="exact"/>
        <w:rPr>
          <w:rFonts w:ascii="Times New Roman" w:cs="Times New Roman" w:eastAsia="Times New Roman" w:hAnsi="Times New Roman"/>
          <w:sz w:val="21"/>
          <w:szCs w:val="21"/>
          <w:color w:val="auto"/>
          <w:vertAlign w:val="superscript"/>
        </w:rPr>
      </w:pPr>
    </w:p>
    <w:p>
      <w:pPr>
        <w:jc w:val="both"/>
        <w:ind w:left="260" w:right="100" w:firstLine="9"/>
        <w:spacing w:after="0" w:line="211" w:lineRule="auto"/>
        <w:tabs>
          <w:tab w:leader="none" w:pos="422"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Included in this line item are products which are sold by us and others. Refer to "Results of Operations - Revenues" below for a complete listing of net product sales recorded by us. Not included in this line item are net product sales of ARCALYST, which are recorded by Kiniksa; net product sales of ARCALYST were $103 million for the second quarter of 2024.</w:t>
      </w:r>
    </w:p>
    <w:p>
      <w:pPr>
        <w:spacing w:after="0" w:line="1" w:lineRule="exact"/>
        <w:rPr>
          <w:rFonts w:ascii="Times New Roman" w:cs="Times New Roman" w:eastAsia="Times New Roman" w:hAnsi="Times New Roman"/>
          <w:sz w:val="22"/>
          <w:szCs w:val="22"/>
          <w:color w:val="auto"/>
          <w:vertAlign w:val="superscript"/>
        </w:rPr>
      </w:pPr>
    </w:p>
    <w:p>
      <w:pPr>
        <w:ind w:left="440" w:hanging="171"/>
        <w:spacing w:after="0" w:line="201" w:lineRule="auto"/>
        <w:tabs>
          <w:tab w:leader="none" w:pos="44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Rest of world ("ROW")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in Phase 2 and Phase 3 clinical development, which are being developed by us and/or our collaborators, are summarized in the table below.</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Part II,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ind w:firstLine="1674"/>
        <w:spacing w:after="0" w:line="194" w:lineRule="auto"/>
        <w:framePr w:w="3460" w:h="336" w:wrap="auto" w:vAnchor="page" w:hAnchor="page" w:x="5720" w:y="716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FDA for –COPD with type 2 EoE in pediatrics (1–11</w:t>
      </w: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tbl>
      <w:tblPr>
        <w:tblLayout w:type="fixed"/>
        <w:tblInd w:w="40" w:type="dxa"/>
        <w:tblCellMar>
          <w:top w:w="0" w:type="dxa"/>
          <w:left w:w="0" w:type="dxa"/>
          <w:bottom w:w="0" w:type="dxa"/>
          <w:right w:w="0" w:type="dxa"/>
        </w:tblCellMar>
      </w:tblPr>
      <w:tr>
        <w:trPr>
          <w:trHeight w:val="207"/>
        </w:trPr>
        <w:tc>
          <w:tcPr>
            <w:tcW w:w="1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2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2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2024 Events to Date</w:t>
            </w: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1980" w:type="dxa"/>
            <w:vAlign w:val="bottom"/>
            <w:gridSpan w:val="2"/>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tcPr>
          <w:p>
            <w:pPr>
              <w:jc w:val="center"/>
              <w:ind w:right="10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2000" w:type="dxa"/>
            <w:vAlign w:val="bottom"/>
            <w:gridSpan w:val="2"/>
            <w:vMerge w:val="continue"/>
          </w:tcPr>
          <w:p>
            <w:pPr>
              <w:spacing w:after="0"/>
              <w:rPr>
                <w:sz w:val="20"/>
                <w:szCs w:val="20"/>
                <w:color w:val="auto"/>
              </w:rPr>
            </w:pPr>
          </w:p>
        </w:tc>
        <w:tc>
          <w:tcPr>
            <w:tcW w:w="2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34"/>
        </w:trPr>
        <w:tc>
          <w:tcPr>
            <w:tcW w:w="1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6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20" w:type="dxa"/>
            <w:vAlign w:val="bottom"/>
            <w:shd w:val="clear" w:color="auto" w:fill="ACACAC"/>
          </w:tcPr>
          <w:p>
            <w:pPr>
              <w:spacing w:after="0"/>
              <w:rPr>
                <w:sz w:val="19"/>
                <w:szCs w:val="19"/>
                <w:color w:val="auto"/>
              </w:rPr>
            </w:pPr>
          </w:p>
        </w:tc>
        <w:tc>
          <w:tcPr>
            <w:tcW w:w="2180" w:type="dxa"/>
            <w:vAlign w:val="bottom"/>
            <w:gridSpan w:val="4"/>
            <w:shd w:val="clear" w:color="auto" w:fill="ACACAC"/>
          </w:tcPr>
          <w:p>
            <w:pPr>
              <w:ind w:left="10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19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EYLEA HD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–Two-year data for</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European</w:t>
            </w: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64"/>
        </w:trPr>
        <w:tc>
          <w:tcPr>
            <w:tcW w:w="198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4"/>
                <w:szCs w:val="14"/>
                <w:b w:val="1"/>
                <w:bCs w:val="1"/>
                <w:color w:val="auto"/>
              </w:rPr>
              <w:t>(aflibercept) 8 mg</w:t>
            </w:r>
            <w:r>
              <w:rPr>
                <w:rFonts w:ascii="Times New Roman" w:cs="Times New Roman" w:eastAsia="Times New Roman" w:hAnsi="Times New Roman"/>
                <w:sz w:val="18"/>
                <w:szCs w:val="18"/>
                <w:b w:val="1"/>
                <w:bCs w:val="1"/>
                <w:color w:val="auto"/>
                <w:vertAlign w:val="superscript"/>
              </w:rPr>
              <w:t>(a)</w:t>
            </w: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wAMD and DME</w:t>
            </w:r>
          </w:p>
        </w:tc>
        <w:tc>
          <w:tcPr>
            <w:tcW w:w="200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Commission ("EC") and</w:t>
            </w:r>
          </w:p>
        </w:tc>
        <w:tc>
          <w:tcPr>
            <w:tcW w:w="21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3 QUASAR study in RVO</w:t>
            </w: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(U.S.)</w:t>
            </w: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Japan's Ministry of</w:t>
            </w: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(fourth quarter 2024) to</w:t>
            </w: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Health, Labour and</w:t>
            </w:r>
          </w:p>
        </w:tc>
        <w:tc>
          <w:tcPr>
            <w:tcW w:w="2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enable global regulatory</w:t>
            </w: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Welfare ("MHLW") for</w:t>
            </w:r>
          </w:p>
        </w:tc>
        <w:tc>
          <w:tcPr>
            <w:tcW w:w="2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submissions</w:t>
            </w: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wAMD and DME</w:t>
            </w: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–Pre-filled syringe</w:t>
            </w: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–U.S. Food and Drug</w:t>
            </w: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vMerge w:val="continue"/>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Administration ("FDA")</w:t>
            </w: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approved by European</w:t>
            </w:r>
          </w:p>
        </w:tc>
        <w:tc>
          <w:tcPr>
            <w:tcW w:w="2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decision on supplemental</w:t>
            </w:r>
          </w:p>
        </w:tc>
        <w:tc>
          <w:tcPr>
            <w:tcW w:w="0" w:type="dxa"/>
            <w:vAlign w:val="bottom"/>
          </w:tcPr>
          <w:p>
            <w:pPr>
              <w:spacing w:after="0"/>
              <w:rPr>
                <w:sz w:val="1"/>
                <w:szCs w:val="1"/>
                <w:color w:val="auto"/>
              </w:rPr>
            </w:pPr>
          </w:p>
        </w:tc>
      </w:tr>
      <w:tr>
        <w:trPr>
          <w:trHeight w:val="175"/>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Medicines Agency</w:t>
            </w: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Biologics License</w:t>
            </w: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("EMA")</w:t>
            </w: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Application ("sBLA") with</w:t>
            </w: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two-year data for wAMD</w:t>
            </w: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positive three-</w:t>
            </w: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DME (first half 2025)</w:t>
            </w: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year data from extension</w:t>
            </w: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study of Phase 3 DME</w:t>
            </w: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trial at American</w:t>
            </w: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Academy of</w:t>
            </w: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Ophthalmology ("AAO")</w:t>
            </w: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Meeting</w:t>
            </w: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rFonts w:ascii="Times New Roman" w:cs="Times New Roman" w:eastAsia="Times New Roman" w:hAnsi="Times New Roman"/>
          <w:sz w:val="18"/>
          <w:szCs w:val="18"/>
          <w:color w:val="auto"/>
        </w:rPr>
      </w:pPr>
    </w:p>
    <w:p>
      <w:pPr>
        <w:sectPr>
          <w:pgSz w:w="11900" w:h="16838" w:orient="portrait"/>
          <w:cols w:equalWidth="0" w:num="1">
            <w:col w:w="11220"/>
          </w:cols>
          <w:pgMar w:left="320" w:top="369" w:right="359" w:bottom="1440" w:gutter="0" w:footer="0" w:header="0"/>
        </w:sectPr>
      </w:pPr>
    </w:p>
    <w:tbl>
      <w:tblPr>
        <w:tblLayout w:type="fixed"/>
        <w:tblInd w:w="60" w:type="dxa"/>
        <w:tblCellMar>
          <w:top w:w="0" w:type="dxa"/>
          <w:left w:w="0" w:type="dxa"/>
          <w:bottom w:w="0" w:type="dxa"/>
          <w:right w:w="0" w:type="dxa"/>
        </w:tblCellMar>
      </w:tblPr>
      <w:tr>
        <w:trPr>
          <w:trHeight w:val="216"/>
        </w:trPr>
        <w:tc>
          <w:tcPr>
            <w:tcW w:w="192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p>
        </w:tc>
        <w:tc>
          <w:tcPr>
            <w:tcW w:w="1660" w:type="dxa"/>
            <w:vAlign w:val="bottom"/>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–Geographic atrophy,</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(REGN3918)</w:t>
            </w:r>
          </w:p>
        </w:tc>
        <w:tc>
          <w:tcPr>
            <w:tcW w:w="1660" w:type="dxa"/>
            <w:vAlign w:val="bottom"/>
          </w:tcPr>
          <w:p>
            <w:pPr>
              <w:spacing w:after="0"/>
              <w:rPr>
                <w:sz w:val="15"/>
                <w:szCs w:val="15"/>
                <w:color w:val="auto"/>
              </w:rPr>
            </w:pPr>
          </w:p>
        </w:tc>
        <w:tc>
          <w:tcPr>
            <w:tcW w:w="17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cemdisiran</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1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C5</w:t>
            </w:r>
          </w:p>
        </w:tc>
        <w:tc>
          <w:tcPr>
            <w:tcW w:w="1660" w:type="dxa"/>
            <w:vAlign w:val="bottom"/>
          </w:tcPr>
          <w:p>
            <w:pPr>
              <w:spacing w:after="0"/>
              <w:rPr>
                <w:sz w:val="24"/>
                <w:szCs w:val="24"/>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(l)</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Immunology &amp; Inflammation</w:t>
            </w:r>
          </w:p>
        </w:tc>
        <w:tc>
          <w:tcPr>
            <w:tcW w:w="0" w:type="dxa"/>
            <w:vAlign w:val="bottom"/>
          </w:tcPr>
          <w:p>
            <w:pPr>
              <w:spacing w:after="0"/>
              <w:rPr>
                <w:sz w:val="1"/>
                <w:szCs w:val="1"/>
                <w:color w:val="auto"/>
              </w:rPr>
            </w:pPr>
          </w:p>
        </w:tc>
      </w:tr>
      <w:tr>
        <w:trPr>
          <w:trHeight w:val="236"/>
        </w:trPr>
        <w:tc>
          <w:tcPr>
            <w:tcW w:w="1920" w:type="dxa"/>
            <w:vAlign w:val="bottom"/>
          </w:tcPr>
          <w:p>
            <w:pPr>
              <w:spacing w:after="0" w:line="236" w:lineRule="exact"/>
              <w:rPr>
                <w:sz w:val="20"/>
                <w:szCs w:val="20"/>
                <w:color w:val="auto"/>
              </w:rPr>
            </w:pPr>
            <w:r>
              <w:rPr>
                <w:rFonts w:ascii="Times New Roman" w:cs="Times New Roman" w:eastAsia="Times New Roman" w:hAnsi="Times New Roman"/>
                <w:sz w:val="18"/>
                <w:szCs w:val="18"/>
                <w:b w:val="1"/>
                <w:bCs w:val="1"/>
                <w:color w:val="auto"/>
                <w:w w:val="99"/>
              </w:rPr>
              <w:t>Dupixent (dupilumab)</w:t>
            </w:r>
            <w:r>
              <w:rPr>
                <w:rFonts w:ascii="Times New Roman" w:cs="Times New Roman" w:eastAsia="Times New Roman" w:hAnsi="Times New Roman"/>
                <w:sz w:val="23"/>
                <w:szCs w:val="23"/>
                <w:b w:val="1"/>
                <w:bCs w:val="1"/>
                <w:color w:val="auto"/>
                <w:w w:val="99"/>
                <w:vertAlign w:val="superscript"/>
              </w:rPr>
              <w:t>(b)</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–Ulcerative colitis</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–Asthma in pediatrics</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–EoE in pediatrics</w:t>
            </w:r>
          </w:p>
        </w:tc>
        <w:tc>
          <w:tcPr>
            <w:tcW w:w="0" w:type="dxa"/>
            <w:vAlign w:val="bottom"/>
          </w:tcPr>
          <w:p>
            <w:pPr>
              <w:spacing w:after="0"/>
              <w:rPr>
                <w:sz w:val="1"/>
                <w:szCs w:val="1"/>
                <w:color w:val="auto"/>
              </w:rPr>
            </w:pPr>
          </w:p>
        </w:tc>
      </w:tr>
      <w:tr>
        <w:trPr>
          <w:trHeight w:val="182"/>
        </w:trPr>
        <w:tc>
          <w:tcPr>
            <w:tcW w:w="192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IL-4R alpha</w:t>
            </w:r>
          </w:p>
        </w:tc>
        <w:tc>
          <w:tcPr>
            <w:tcW w:w="1660" w:type="dxa"/>
            <w:vAlign w:val="bottom"/>
          </w:tcPr>
          <w:p>
            <w:pPr>
              <w:spacing w:after="0"/>
              <w:rPr>
                <w:sz w:val="15"/>
                <w:szCs w:val="15"/>
                <w:color w:val="auto"/>
              </w:rPr>
            </w:pPr>
          </w:p>
        </w:tc>
        <w:tc>
          <w:tcPr>
            <w:tcW w:w="172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(2–5 years of age)</w:t>
            </w:r>
          </w:p>
        </w:tc>
        <w:tc>
          <w:tcPr>
            <w:tcW w:w="148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w w:val="98"/>
              </w:rPr>
              <w:t>(1–11 years of age)</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subunit</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–Eosinophilic</w:t>
            </w: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–Bullous</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(EU)</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16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gastroenteritis (Phase</w:t>
            </w:r>
          </w:p>
        </w:tc>
        <w:tc>
          <w:tcPr>
            <w:tcW w:w="172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1920" w:type="dxa"/>
            <w:vAlign w:val="bottom"/>
          </w:tcPr>
          <w:p>
            <w:pPr>
              <w:spacing w:after="0"/>
              <w:rPr>
                <w:sz w:val="24"/>
                <w:szCs w:val="24"/>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pemphigoid</w:t>
            </w:r>
            <w:r>
              <w:rPr>
                <w:rFonts w:ascii="Times New Roman" w:cs="Times New Roman" w:eastAsia="Times New Roman" w:hAnsi="Times New Roman"/>
                <w:sz w:val="23"/>
                <w:szCs w:val="23"/>
                <w:color w:val="auto"/>
                <w:vertAlign w:val="superscript"/>
              </w:rPr>
              <w:t>(c)</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inflammatory</w:t>
            </w:r>
          </w:p>
        </w:tc>
        <w:tc>
          <w:tcPr>
            <w:tcW w:w="0" w:type="dxa"/>
            <w:vAlign w:val="bottom"/>
          </w:tcPr>
          <w:p>
            <w:pPr>
              <w:spacing w:after="0"/>
              <w:rPr>
                <w:sz w:val="1"/>
                <w:szCs w:val="1"/>
                <w:color w:val="auto"/>
              </w:rPr>
            </w:pPr>
          </w:p>
        </w:tc>
      </w:tr>
      <w:tr>
        <w:trPr>
          <w:trHeight w:val="53"/>
        </w:trPr>
        <w:tc>
          <w:tcPr>
            <w:tcW w:w="19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–CSU</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phenotype (Japan)</w:t>
            </w:r>
          </w:p>
        </w:tc>
        <w:tc>
          <w:tcPr>
            <w:tcW w:w="0" w:type="dxa"/>
            <w:vAlign w:val="bottom"/>
          </w:tcPr>
          <w:p>
            <w:pPr>
              <w:spacing w:after="0"/>
              <w:rPr>
                <w:sz w:val="1"/>
                <w:szCs w:val="1"/>
                <w:color w:val="auto"/>
              </w:rPr>
            </w:pPr>
          </w:p>
        </w:tc>
      </w:tr>
      <w:tr>
        <w:trPr>
          <w:trHeight w:val="63"/>
        </w:trPr>
        <w:tc>
          <w:tcPr>
            <w:tcW w:w="1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1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–Chronic pruritus of</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–CSU in adults and</w:t>
            </w:r>
          </w:p>
        </w:tc>
        <w:tc>
          <w:tcPr>
            <w:tcW w:w="0" w:type="dxa"/>
            <w:vAlign w:val="bottom"/>
          </w:tcPr>
          <w:p>
            <w:pPr>
              <w:spacing w:after="0"/>
              <w:rPr>
                <w:sz w:val="1"/>
                <w:szCs w:val="1"/>
                <w:color w:val="auto"/>
              </w:rPr>
            </w:pPr>
          </w:p>
        </w:tc>
      </w:tr>
      <w:tr>
        <w:trPr>
          <w:trHeight w:val="59"/>
        </w:trPr>
        <w:tc>
          <w:tcPr>
            <w:tcW w:w="1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adolescents (U.S.</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unknown origin</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("CPUO")</w:t>
            </w:r>
          </w:p>
        </w:tc>
        <w:tc>
          <w:tcPr>
            <w:tcW w:w="14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and EU)</w:t>
            </w:r>
          </w:p>
        </w:tc>
        <w:tc>
          <w:tcPr>
            <w:tcW w:w="0" w:type="dxa"/>
            <w:vAlign w:val="bottom"/>
          </w:tcPr>
          <w:p>
            <w:pPr>
              <w:spacing w:after="0"/>
              <w:rPr>
                <w:sz w:val="1"/>
                <w:szCs w:val="1"/>
                <w:color w:val="auto"/>
              </w:rPr>
            </w:pPr>
          </w:p>
        </w:tc>
      </w:tr>
      <w:tr>
        <w:trPr>
          <w:trHeight w:val="54"/>
        </w:trPr>
        <w:tc>
          <w:tcPr>
            <w:tcW w:w="19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22225</wp:posOffset>
            </wp:positionH>
            <wp:positionV relativeFrom="paragraph">
              <wp:posOffset>-1593850</wp:posOffset>
            </wp:positionV>
            <wp:extent cx="7098030" cy="26231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262318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8" w:lineRule="exact"/>
        <w:rPr>
          <w:rFonts w:ascii="Times New Roman" w:cs="Times New Roman" w:eastAsia="Times New Roman" w:hAnsi="Times New Roman"/>
          <w:sz w:val="18"/>
          <w:szCs w:val="18"/>
          <w:color w:val="auto"/>
        </w:rPr>
      </w:pP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–Approved by FDA for</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–EC decision on regulatory</w:t>
            </w:r>
          </w:p>
        </w:tc>
        <w:tc>
          <w:tcPr>
            <w:tcW w:w="0" w:type="dxa"/>
            <w:vAlign w:val="bottom"/>
          </w:tcPr>
          <w:p>
            <w:pPr>
              <w:spacing w:after="0"/>
              <w:rPr>
                <w:sz w:val="1"/>
                <w:szCs w:val="1"/>
                <w:color w:val="auto"/>
              </w:rPr>
            </w:pPr>
          </w:p>
        </w:tc>
      </w:tr>
      <w:tr>
        <w:trPr>
          <w:trHeight w:val="180"/>
        </w:trPr>
        <w:tc>
          <w:tcPr>
            <w:tcW w:w="18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CRSwNP in adolescents</w:t>
            </w:r>
          </w:p>
        </w:tc>
        <w:tc>
          <w:tcPr>
            <w:tcW w:w="21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submission for EoE in</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pediatrics (fourth quarter</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73"/>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years of age)</w:t>
            </w: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–FDA decision on sBLA</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21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and EC decision on</w:t>
            </w:r>
          </w:p>
        </w:tc>
        <w:tc>
          <w:tcPr>
            <w:tcW w:w="0" w:type="dxa"/>
            <w:vAlign w:val="bottom"/>
          </w:tcPr>
          <w:p>
            <w:pPr>
              <w:spacing w:after="0"/>
              <w:rPr>
                <w:sz w:val="1"/>
                <w:szCs w:val="1"/>
                <w:color w:val="auto"/>
              </w:rPr>
            </w:pPr>
          </w:p>
        </w:tc>
      </w:tr>
      <w:tr>
        <w:trPr>
          <w:trHeight w:val="184"/>
        </w:trPr>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–EMA's Committee for</w:t>
            </w:r>
          </w:p>
        </w:tc>
        <w:tc>
          <w:tcPr>
            <w:tcW w:w="212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regulatory submission for</w:t>
            </w:r>
          </w:p>
        </w:tc>
        <w:tc>
          <w:tcPr>
            <w:tcW w:w="0" w:type="dxa"/>
            <w:vAlign w:val="bottom"/>
          </w:tcPr>
          <w:p>
            <w:pPr>
              <w:spacing w:after="0"/>
              <w:rPr>
                <w:sz w:val="1"/>
                <w:szCs w:val="1"/>
                <w:color w:val="auto"/>
              </w:rPr>
            </w:pPr>
          </w:p>
        </w:tc>
      </w:tr>
      <w:tr>
        <w:trPr>
          <w:trHeight w:val="59"/>
        </w:trPr>
        <w:tc>
          <w:tcPr>
            <w:tcW w:w="1880" w:type="dxa"/>
            <w:vAlign w:val="bottom"/>
            <w:vMerge w:val="continue"/>
          </w:tcPr>
          <w:p>
            <w:pPr>
              <w:spacing w:after="0"/>
              <w:rPr>
                <w:sz w:val="5"/>
                <w:szCs w:val="5"/>
                <w:color w:val="auto"/>
              </w:rPr>
            </w:pP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CSU in adults and</w:t>
            </w:r>
          </w:p>
        </w:tc>
        <w:tc>
          <w:tcPr>
            <w:tcW w:w="0" w:type="dxa"/>
            <w:vAlign w:val="bottom"/>
          </w:tcPr>
          <w:p>
            <w:pPr>
              <w:spacing w:after="0"/>
              <w:rPr>
                <w:sz w:val="1"/>
                <w:szCs w:val="1"/>
                <w:color w:val="auto"/>
              </w:rPr>
            </w:pPr>
          </w:p>
        </w:tc>
      </w:tr>
      <w:tr>
        <w:trPr>
          <w:trHeight w:val="175"/>
        </w:trPr>
        <w:tc>
          <w:tcPr>
            <w:tcW w:w="1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Medicinal Products for</w:t>
            </w: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Human Use ("CHMP")</w:t>
            </w:r>
          </w:p>
        </w:tc>
        <w:tc>
          <w:tcPr>
            <w:tcW w:w="21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w w:val="98"/>
              </w:rPr>
              <w:t>adolescents (first half 2025)</w:t>
            </w:r>
          </w:p>
        </w:tc>
        <w:tc>
          <w:tcPr>
            <w:tcW w:w="0" w:type="dxa"/>
            <w:vAlign w:val="bottom"/>
          </w:tcPr>
          <w:p>
            <w:pPr>
              <w:spacing w:after="0"/>
              <w:rPr>
                <w:sz w:val="1"/>
                <w:szCs w:val="1"/>
                <w:color w:val="auto"/>
              </w:rPr>
            </w:pPr>
          </w:p>
        </w:tc>
      </w:tr>
      <w:tr>
        <w:trPr>
          <w:trHeight w:val="176"/>
        </w:trPr>
        <w:tc>
          <w:tcPr>
            <w:tcW w:w="1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adopted positive opinion</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–Submit sBLA for bullous</w:t>
            </w:r>
          </w:p>
        </w:tc>
        <w:tc>
          <w:tcPr>
            <w:tcW w:w="0" w:type="dxa"/>
            <w:vAlign w:val="bottom"/>
          </w:tcPr>
          <w:p>
            <w:pPr>
              <w:spacing w:after="0"/>
              <w:rPr>
                <w:sz w:val="1"/>
                <w:szCs w:val="1"/>
                <w:color w:val="auto"/>
              </w:rPr>
            </w:pPr>
          </w:p>
        </w:tc>
      </w:tr>
      <w:tr>
        <w:trPr>
          <w:trHeight w:val="184"/>
        </w:trPr>
        <w:tc>
          <w:tcPr>
            <w:tcW w:w="18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 EoE in pediatrics (1–</w:t>
            </w: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11 years of age)</w:t>
            </w:r>
          </w:p>
        </w:tc>
        <w:tc>
          <w:tcPr>
            <w:tcW w:w="21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pemphigoid (fourth quarter</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4"/>
        </w:trPr>
        <w:tc>
          <w:tcPr>
            <w:tcW w:w="18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–Results from Phase 3</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trial in pediatrics (1–11</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years of age) with EoE</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New</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England Journal of</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Medicine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NEJM</w:t>
            </w:r>
            <w:r>
              <w:rPr>
                <w:rFonts w:ascii="Times New Roman" w:cs="Times New Roman" w:eastAsia="Times New Roman" w:hAnsi="Times New Roman"/>
                <w:sz w:val="18"/>
                <w:szCs w:val="18"/>
                <w:color w:val="auto"/>
              </w:rPr>
              <w:t>")</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color w:val="auto"/>
        </w:rPr>
      </w:pPr>
    </w:p>
    <w:p>
      <w:pPr>
        <w:sectPr>
          <w:pgSz w:w="11900" w:h="16838" w:orient="portrait"/>
          <w:cols w:equalWidth="0" w:num="2">
            <w:col w:w="6840" w:space="280"/>
            <w:col w:w="4100"/>
          </w:cols>
          <w:pgMar w:left="320" w:top="369" w:right="359" w:bottom="1440" w:gutter="0" w:footer="0" w:header="0"/>
          <w:type w:val="continuous"/>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5"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0" w:type="dxa"/>
            <w:vAlign w:val="bottom"/>
          </w:tcPr>
          <w:p>
            <w:pPr>
              <w:spacing w:after="0"/>
              <w:rPr>
                <w:sz w:val="1"/>
                <w:szCs w:val="1"/>
                <w:color w:val="auto"/>
              </w:rPr>
            </w:pPr>
          </w:p>
        </w:tc>
      </w:tr>
      <w:tr>
        <w:trPr>
          <w:trHeight w:val="240"/>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1660" w:type="dxa"/>
            <w:vAlign w:val="bottom"/>
            <w:gridSpan w:val="2"/>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600" w:type="dxa"/>
            <w:vAlign w:val="bottom"/>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0" w:type="dxa"/>
            <w:vAlign w:val="bottom"/>
          </w:tcPr>
          <w:p>
            <w:pPr>
              <w:spacing w:after="0"/>
              <w:rPr>
                <w:sz w:val="1"/>
                <w:szCs w:val="1"/>
                <w:color w:val="auto"/>
              </w:rPr>
            </w:pPr>
          </w:p>
        </w:tc>
      </w:tr>
      <w:tr>
        <w:trPr>
          <w:trHeight w:val="176"/>
        </w:trPr>
        <w:tc>
          <w:tcPr>
            <w:tcW w:w="19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Dupixent (dupilumab)</w:t>
            </w:r>
            <w:r>
              <w:rPr>
                <w:rFonts w:ascii="Times New Roman" w:cs="Times New Roman" w:eastAsia="Times New Roman" w:hAnsi="Times New Roman"/>
                <w:sz w:val="20"/>
                <w:szCs w:val="20"/>
                <w:b w:val="1"/>
                <w:bCs w:val="1"/>
                <w:color w:val="auto"/>
                <w:vertAlign w:val="superscript"/>
              </w:rPr>
              <w:t>(b)</w:t>
            </w: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-273685</wp:posOffset>
            </wp:positionV>
            <wp:extent cx="7098030" cy="50406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Kevzara (sarilumab)</w:t>
            </w:r>
            <w:r>
              <w:rPr>
                <w:rFonts w:ascii="Times New Roman" w:cs="Times New Roman" w:eastAsia="Times New Roman" w:hAnsi="Times New Roman"/>
                <w:sz w:val="23"/>
                <w:szCs w:val="23"/>
                <w:b w:val="1"/>
                <w:bCs w:val="1"/>
                <w:color w:val="auto"/>
                <w:vertAlign w:val="superscript"/>
              </w:rPr>
              <w:t>(b)</w:t>
            </w:r>
          </w:p>
        </w:tc>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–Systemic juvenile</w:t>
            </w:r>
          </w:p>
        </w:tc>
        <w:tc>
          <w:tcPr>
            <w:tcW w:w="18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8"/>
              </w:rPr>
              <w:t>–PMR (EU)</w:t>
            </w:r>
          </w:p>
        </w:tc>
        <w:tc>
          <w:tcPr>
            <w:tcW w:w="0" w:type="dxa"/>
            <w:vAlign w:val="bottom"/>
          </w:tcPr>
          <w:p>
            <w:pPr>
              <w:spacing w:after="0"/>
              <w:rPr>
                <w:sz w:val="1"/>
                <w:szCs w:val="1"/>
                <w:color w:val="auto"/>
              </w:rPr>
            </w:pPr>
          </w:p>
        </w:tc>
      </w:tr>
      <w:tr>
        <w:trPr>
          <w:trHeight w:val="175"/>
        </w:trPr>
        <w:tc>
          <w:tcPr>
            <w:tcW w:w="186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25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idiopathic arthritis</w:t>
            </w: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25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("sJIA") (pivotal</w:t>
            </w:r>
          </w:p>
        </w:tc>
        <w:tc>
          <w:tcPr>
            <w:tcW w:w="188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–pJIA (EU)</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5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study)</w:t>
            </w: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860" w:type="dxa"/>
            <w:vAlign w:val="bottom"/>
          </w:tcPr>
          <w:p>
            <w:pPr>
              <w:spacing w:after="0"/>
              <w:rPr>
                <w:sz w:val="6"/>
                <w:szCs w:val="6"/>
                <w:color w:val="auto"/>
              </w:rPr>
            </w:pPr>
          </w:p>
        </w:tc>
        <w:tc>
          <w:tcPr>
            <w:tcW w:w="2520" w:type="dxa"/>
            <w:vAlign w:val="bottom"/>
            <w:vMerge w:val="continue"/>
          </w:tcPr>
          <w:p>
            <w:pPr>
              <w:spacing w:after="0"/>
              <w:rPr>
                <w:sz w:val="6"/>
                <w:szCs w:val="6"/>
                <w:color w:val="auto"/>
              </w:rPr>
            </w:pPr>
          </w:p>
        </w:tc>
        <w:tc>
          <w:tcPr>
            <w:tcW w:w="18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2024 Events to Date</w:t>
            </w: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8"/>
        </w:trPr>
        <w:tc>
          <w:tcPr>
            <w:tcW w:w="2000" w:type="dxa"/>
            <w:vAlign w:val="bottom"/>
            <w:gridSpan w:val="2"/>
            <w:vMerge w:val="continue"/>
          </w:tcPr>
          <w:p>
            <w:pPr>
              <w:spacing w:after="0"/>
              <w:rPr>
                <w:sz w:val="20"/>
                <w:szCs w:val="20"/>
                <w:color w:val="auto"/>
              </w:rPr>
            </w:pPr>
          </w:p>
        </w:tc>
        <w:tc>
          <w:tcPr>
            <w:tcW w:w="2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8"/>
        </w:trPr>
        <w:tc>
          <w:tcPr>
            <w:tcW w:w="192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–Approved by MHLW</w:t>
            </w:r>
          </w:p>
        </w:tc>
        <w:tc>
          <w:tcPr>
            <w:tcW w:w="80" w:type="dxa"/>
            <w:vAlign w:val="bottom"/>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for CSU in adults and</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 that second</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Phase 3 trial in CSU in</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biologic-naïve patients</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met its primary and key</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secondary endpoints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 by FDA, EC,</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National Medical</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Products Administration</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("NMPA") in China for</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uncontrolled COPD and</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 eosinophilic</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phenotype</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 that Phase 3</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NOTUS trial in COPD</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with evidence of type 2</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inflammation met its</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primary and key</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secondary endpoints;</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results presented at 2024</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American Thoracic</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Society International</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Conference and published</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NEJM</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 that Phase 3</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trial in bullous</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pemphigoid met its</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primary and all key</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secondary endpoints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 that first Phase</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3 trial in CPUO did not</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achieve statistical</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significance in its</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primary itch responder</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endpoint</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–Approved by FDA for</w:t>
            </w:r>
          </w:p>
        </w:tc>
        <w:tc>
          <w:tcPr>
            <w:tcW w:w="2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–EC decision on regulatory</w:t>
            </w:r>
          </w:p>
        </w:tc>
        <w:tc>
          <w:tcPr>
            <w:tcW w:w="0" w:type="dxa"/>
            <w:vAlign w:val="bottom"/>
          </w:tcPr>
          <w:p>
            <w:pPr>
              <w:spacing w:after="0"/>
              <w:rPr>
                <w:sz w:val="1"/>
                <w:szCs w:val="1"/>
                <w:color w:val="auto"/>
              </w:rPr>
            </w:pPr>
          </w:p>
        </w:tc>
      </w:tr>
      <w:tr>
        <w:trPr>
          <w:trHeight w:val="180"/>
        </w:trPr>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pJIA</w:t>
            </w:r>
          </w:p>
        </w:tc>
        <w:tc>
          <w:tcPr>
            <w:tcW w:w="2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submission for PMR (fourth</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 2024)</w:t>
            </w: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–EMA's CHMP adopted</w:t>
            </w:r>
          </w:p>
        </w:tc>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–EC decision on regulatory</w:t>
            </w: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positive opinion for PMR</w:t>
            </w: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submission for pJIA (first</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half 2025)</w:t>
            </w:r>
          </w:p>
        </w:tc>
        <w:tc>
          <w:tcPr>
            <w:tcW w:w="0" w:type="dxa"/>
            <w:vAlign w:val="bottom"/>
          </w:tcPr>
          <w:p>
            <w:pPr>
              <w:spacing w:after="0"/>
              <w:rPr>
                <w:sz w:val="1"/>
                <w:szCs w:val="1"/>
                <w:color w:val="auto"/>
              </w:rPr>
            </w:pPr>
          </w:p>
        </w:tc>
      </w:tr>
    </w:tbl>
    <w:p>
      <w:pPr>
        <w:sectPr>
          <w:pgSz w:w="11900" w:h="16838" w:orient="portrait"/>
          <w:cols w:equalWidth="0" w:num="2">
            <w:col w:w="7020" w:space="80"/>
            <w:col w:w="4120"/>
          </w:cols>
          <w:pgMar w:left="320" w:top="36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2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2024 Events to Date</w:t>
            </w: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0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6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60" w:type="dxa"/>
            <w:vAlign w:val="bottom"/>
            <w:gridSpan w:val="2"/>
          </w:tcPr>
          <w:p>
            <w:pPr>
              <w:ind w:left="440"/>
              <w:spacing w:after="0" w:line="240"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2000" w:type="dxa"/>
            <w:vAlign w:val="bottom"/>
            <w:gridSpan w:val="2"/>
            <w:vMerge w:val="continue"/>
          </w:tcPr>
          <w:p>
            <w:pPr>
              <w:spacing w:after="0"/>
              <w:rPr>
                <w:sz w:val="20"/>
                <w:szCs w:val="20"/>
                <w:color w:val="auto"/>
              </w:rPr>
            </w:pPr>
          </w:p>
        </w:tc>
        <w:tc>
          <w:tcPr>
            <w:tcW w:w="21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209"/>
        </w:trPr>
        <w:tc>
          <w:tcPr>
            <w:tcW w:w="192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Itepekimab</w:t>
            </w:r>
            <w:r>
              <w:rPr>
                <w:rFonts w:ascii="Times New Roman" w:cs="Times New Roman" w:eastAsia="Times New Roman" w:hAnsi="Times New Roman"/>
                <w:sz w:val="23"/>
                <w:szCs w:val="23"/>
                <w:b w:val="1"/>
                <w:bCs w:val="1"/>
                <w:color w:val="auto"/>
                <w:vertAlign w:val="superscript"/>
              </w:rPr>
              <w:t>(b)</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–Non-cystic fibrosis</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–COPD</w:t>
            </w:r>
            <w:r>
              <w:rPr>
                <w:rFonts w:ascii="Times New Roman" w:cs="Times New Roman" w:eastAsia="Times New Roman" w:hAnsi="Times New Roman"/>
                <w:sz w:val="23"/>
                <w:szCs w:val="23"/>
                <w:color w:val="auto"/>
                <w:vertAlign w:val="superscript"/>
              </w:rPr>
              <w:t>(e)</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76"/>
        </w:trPr>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bronchiectasis</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 study in COPD (second</w:t>
            </w:r>
          </w:p>
        </w:tc>
        <w:tc>
          <w:tcPr>
            <w:tcW w:w="0" w:type="dxa"/>
            <w:vAlign w:val="bottom"/>
          </w:tcPr>
          <w:p>
            <w:pPr>
              <w:spacing w:after="0"/>
              <w:rPr>
                <w:sz w:val="1"/>
                <w:szCs w:val="1"/>
                <w:color w:val="auto"/>
              </w:rPr>
            </w:pPr>
          </w:p>
        </w:tc>
      </w:tr>
      <w:tr>
        <w:trPr>
          <w:trHeight w:val="243"/>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IL-33</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("NCFB")</w:t>
            </w: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half 2025)</w:t>
            </w:r>
          </w:p>
        </w:tc>
        <w:tc>
          <w:tcPr>
            <w:tcW w:w="0" w:type="dxa"/>
            <w:vAlign w:val="bottom"/>
          </w:tcPr>
          <w:p>
            <w:pPr>
              <w:spacing w:after="0"/>
              <w:rPr>
                <w:sz w:val="1"/>
                <w:szCs w:val="1"/>
                <w:color w:val="auto"/>
              </w:rPr>
            </w:pPr>
          </w:p>
        </w:tc>
      </w:tr>
      <w:tr>
        <w:trPr>
          <w:trHeight w:val="182"/>
        </w:trPr>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REGN5713-5714-5715</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–Birch allergy</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Bet v 1</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3400" w:type="dxa"/>
            <w:vAlign w:val="bottom"/>
            <w:gridSpan w:val="4"/>
            <w:shd w:val="clear" w:color="auto" w:fill="ACACAC"/>
          </w:tcPr>
          <w:p>
            <w:pPr>
              <w:ind w:left="1060"/>
              <w:spacing w:after="0"/>
              <w:rPr>
                <w:sz w:val="20"/>
                <w:szCs w:val="20"/>
                <w:color w:val="auto"/>
              </w:rPr>
            </w:pPr>
            <w:r>
              <w:rPr>
                <w:rFonts w:ascii="Times New Roman" w:cs="Times New Roman" w:eastAsia="Times New Roman" w:hAnsi="Times New Roman"/>
                <w:sz w:val="18"/>
                <w:szCs w:val="18"/>
                <w:b w:val="1"/>
                <w:bCs w:val="1"/>
                <w:color w:val="auto"/>
              </w:rPr>
              <w:t>Solid Organ Oncology</w:t>
            </w:r>
          </w:p>
        </w:tc>
        <w:tc>
          <w:tcPr>
            <w:tcW w:w="19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3"/>
                <w:szCs w:val="23"/>
                <w:b w:val="1"/>
                <w:bCs w:val="1"/>
                <w:color w:val="auto"/>
                <w:vertAlign w:val="superscript"/>
              </w:rPr>
              <w:t>(g)</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–Neoadjuvant CSCC</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–Adjuvant CSCC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–First-line NSCLC,</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–Presented positive five-</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–Conduct interim analysis</w:t>
            </w:r>
          </w:p>
        </w:tc>
        <w:tc>
          <w:tcPr>
            <w:tcW w:w="0" w:type="dxa"/>
            <w:vAlign w:val="bottom"/>
          </w:tcPr>
          <w:p>
            <w:pPr>
              <w:spacing w:after="0"/>
              <w:rPr>
                <w:sz w:val="1"/>
                <w:szCs w:val="1"/>
                <w:color w:val="auto"/>
              </w:rPr>
            </w:pPr>
          </w:p>
        </w:tc>
      </w:tr>
      <w:tr>
        <w:trPr>
          <w:trHeight w:val="176"/>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PD-1</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monotherapy and</w:t>
            </w:r>
          </w:p>
        </w:tc>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year survival data from</w:t>
            </w:r>
          </w:p>
        </w:tc>
        <w:tc>
          <w:tcPr>
            <w:tcW w:w="2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Phase 3 study in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–First-line NSCLC,</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chemotherapy</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Phase 3 NSCLC</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adjuvant CSCC (fourth</w:t>
            </w:r>
          </w:p>
        </w:tc>
        <w:tc>
          <w:tcPr>
            <w:tcW w:w="0" w:type="dxa"/>
            <w:vAlign w:val="bottom"/>
          </w:tcPr>
          <w:p>
            <w:pPr>
              <w:spacing w:after="0"/>
              <w:rPr>
                <w:sz w:val="1"/>
                <w:szCs w:val="1"/>
                <w:color w:val="auto"/>
              </w:rPr>
            </w:pPr>
          </w:p>
        </w:tc>
      </w:tr>
      <w:tr>
        <w:trPr>
          <w:trHeight w:val="164"/>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4"/>
                <w:szCs w:val="14"/>
                <w:color w:val="auto"/>
              </w:rPr>
              <w:t>BNT116</w:t>
            </w:r>
            <w:r>
              <w:rPr>
                <w:rFonts w:ascii="Times New Roman" w:cs="Times New Roman" w:eastAsia="Times New Roman" w:hAnsi="Times New Roman"/>
                <w:sz w:val="18"/>
                <w:szCs w:val="18"/>
                <w:color w:val="auto"/>
                <w:vertAlign w:val="superscript"/>
              </w:rPr>
              <w:t>(i)</w:t>
            </w: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combination (Japan)</w:t>
            </w:r>
          </w:p>
        </w:tc>
        <w:tc>
          <w:tcPr>
            <w:tcW w:w="200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monotherapy trial at</w:t>
            </w:r>
          </w:p>
        </w:tc>
        <w:tc>
          <w:tcPr>
            <w:tcW w:w="212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quarter 2024)</w:t>
            </w:r>
          </w:p>
        </w:tc>
        <w:tc>
          <w:tcPr>
            <w:tcW w:w="0" w:type="dxa"/>
            <w:vAlign w:val="bottom"/>
          </w:tcPr>
          <w:p>
            <w:pPr>
              <w:spacing w:after="0"/>
              <w:rPr>
                <w:sz w:val="1"/>
                <w:szCs w:val="1"/>
                <w:color w:val="auto"/>
              </w:rPr>
            </w:pPr>
          </w:p>
        </w:tc>
      </w:tr>
      <w:tr>
        <w:trPr>
          <w:trHeight w:val="187"/>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combination</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IASLC 2024 World</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Conference on Lung</w:t>
            </w:r>
          </w:p>
        </w:tc>
        <w:tc>
          <w:tcPr>
            <w:tcW w:w="2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–MHLW decision on</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–Neoadjuvant</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Cancer</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submission for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-876935</wp:posOffset>
            </wp:positionV>
            <wp:extent cx="7098030" cy="1525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1525905"/>
                    </a:xfrm>
                    <a:prstGeom prst="rect">
                      <a:avLst/>
                    </a:prstGeom>
                    <a:noFill/>
                  </pic:spPr>
                </pic:pic>
              </a:graphicData>
            </a:graphic>
          </wp:anchor>
        </w:drawing>
      </w:r>
    </w:p>
    <w:tbl>
      <w:tblPr>
        <w:tblLayout w:type="fixed"/>
        <w:tblInd w:w="2060" w:type="dxa"/>
        <w:tblCellMar>
          <w:top w:w="0" w:type="dxa"/>
          <w:left w:w="0" w:type="dxa"/>
          <w:bottom w:w="0" w:type="dxa"/>
          <w:right w:w="0" w:type="dxa"/>
        </w:tblCellMar>
      </w:tblPr>
      <w:tr>
        <w:trPr>
          <w:trHeight w:val="169"/>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NSCLC</w:t>
            </w:r>
          </w:p>
        </w:tc>
        <w:tc>
          <w:tcPr>
            <w:tcW w:w="4780" w:type="dxa"/>
            <w:vAlign w:val="bottom"/>
          </w:tcPr>
          <w:p>
            <w:pPr>
              <w:ind w:left="2820"/>
              <w:spacing w:after="0" w:line="169" w:lineRule="exact"/>
              <w:rPr>
                <w:sz w:val="20"/>
                <w:szCs w:val="20"/>
                <w:color w:val="auto"/>
              </w:rPr>
            </w:pPr>
            <w:r>
              <w:rPr>
                <w:rFonts w:ascii="Times New Roman" w:cs="Times New Roman" w:eastAsia="Times New Roman" w:hAnsi="Times New Roman"/>
                <w:sz w:val="18"/>
                <w:szCs w:val="18"/>
                <w:color w:val="auto"/>
              </w:rPr>
              <w:t>NSCLC, monotherapy and</w:t>
            </w:r>
          </w:p>
        </w:tc>
        <w:tc>
          <w:tcPr>
            <w:tcW w:w="0" w:type="dxa"/>
            <w:vAlign w:val="bottom"/>
          </w:tcPr>
          <w:p>
            <w:pPr>
              <w:spacing w:after="0"/>
              <w:rPr>
                <w:sz w:val="1"/>
                <w:szCs w:val="1"/>
                <w:color w:val="auto"/>
              </w:rPr>
            </w:pPr>
          </w:p>
        </w:tc>
      </w:tr>
      <w:tr>
        <w:trPr>
          <w:trHeight w:val="113"/>
        </w:trPr>
        <w:tc>
          <w:tcPr>
            <w:tcW w:w="4240" w:type="dxa"/>
            <w:vAlign w:val="bottom"/>
            <w:vMerge w:val="continue"/>
          </w:tcPr>
          <w:p>
            <w:pPr>
              <w:spacing w:after="0"/>
              <w:rPr>
                <w:sz w:val="9"/>
                <w:szCs w:val="9"/>
                <w:color w:val="auto"/>
              </w:rPr>
            </w:pPr>
          </w:p>
        </w:tc>
        <w:tc>
          <w:tcPr>
            <w:tcW w:w="4780" w:type="dxa"/>
            <w:vAlign w:val="bottom"/>
            <w:vMerge w:val="restart"/>
          </w:tcPr>
          <w:p>
            <w:pPr>
              <w:ind w:left="2820"/>
              <w:spacing w:after="0" w:line="181" w:lineRule="exact"/>
              <w:rPr>
                <w:sz w:val="20"/>
                <w:szCs w:val="20"/>
                <w:color w:val="auto"/>
              </w:rPr>
            </w:pPr>
            <w:r>
              <w:rPr>
                <w:rFonts w:ascii="Times New Roman" w:cs="Times New Roman" w:eastAsia="Times New Roman" w:hAnsi="Times New Roman"/>
                <w:sz w:val="18"/>
                <w:szCs w:val="18"/>
                <w:color w:val="auto"/>
                <w:w w:val="98"/>
              </w:rPr>
              <w:t>chemotherapy combination</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4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–Neoadjuvant</w:t>
            </w:r>
          </w:p>
        </w:tc>
        <w:tc>
          <w:tcPr>
            <w:tcW w:w="47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(second half 2025)</w:t>
            </w:r>
          </w:p>
        </w:tc>
        <w:tc>
          <w:tcPr>
            <w:tcW w:w="0" w:type="dxa"/>
            <w:vAlign w:val="bottom"/>
          </w:tcPr>
          <w:p>
            <w:pPr>
              <w:spacing w:after="0"/>
              <w:rPr>
                <w:sz w:val="1"/>
                <w:szCs w:val="1"/>
                <w:color w:val="auto"/>
              </w:rPr>
            </w:pPr>
          </w:p>
        </w:tc>
      </w:tr>
      <w:tr>
        <w:trPr>
          <w:trHeight w:val="71"/>
        </w:trPr>
        <w:tc>
          <w:tcPr>
            <w:tcW w:w="4240" w:type="dxa"/>
            <w:vAlign w:val="bottom"/>
            <w:vMerge w:val="continue"/>
          </w:tcPr>
          <w:p>
            <w:pPr>
              <w:spacing w:after="0"/>
              <w:rPr>
                <w:sz w:val="6"/>
                <w:szCs w:val="6"/>
                <w:color w:val="auto"/>
              </w:rPr>
            </w:pPr>
          </w:p>
        </w:tc>
        <w:tc>
          <w:tcPr>
            <w:tcW w:w="4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hepatocellular</w:t>
            </w:r>
          </w:p>
        </w:tc>
        <w:tc>
          <w:tcPr>
            <w:tcW w:w="4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carcinoma ("HCC")</w:t>
            </w: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369" w:right="359" w:bottom="1440" w:gutter="0" w:footer="0" w:header="0"/>
        </w:sectPr>
      </w:pPr>
    </w:p>
    <w:tbl>
      <w:tblPr>
        <w:tblLayout w:type="fixed"/>
        <w:tblInd w:w="60" w:type="dxa"/>
        <w:tblCellMar>
          <w:top w:w="0" w:type="dxa"/>
          <w:left w:w="0" w:type="dxa"/>
          <w:bottom w:w="0" w:type="dxa"/>
          <w:right w:w="0" w:type="dxa"/>
        </w:tblCellMar>
      </w:tblPr>
      <w:tr>
        <w:trPr>
          <w:trHeight w:val="175"/>
        </w:trPr>
        <w:tc>
          <w:tcPr>
            <w:tcW w:w="178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Fianlimab</w:t>
            </w:r>
            <w:r>
              <w:rPr>
                <w:rFonts w:ascii="Times New Roman" w:cs="Times New Roman" w:eastAsia="Times New Roman" w:hAnsi="Times New Roman"/>
                <w:sz w:val="20"/>
                <w:szCs w:val="20"/>
                <w:b w:val="1"/>
                <w:bCs w:val="1"/>
                <w:color w:val="auto"/>
                <w:vertAlign w:val="superscript"/>
              </w:rPr>
              <w:t>(f)</w:t>
            </w:r>
          </w:p>
        </w:tc>
        <w:tc>
          <w:tcPr>
            <w:tcW w:w="17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–First-line advanced</w:t>
            </w:r>
          </w:p>
        </w:tc>
        <w:tc>
          <w:tcPr>
            <w:tcW w:w="16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–First-line metastatic</w:t>
            </w:r>
          </w:p>
        </w:tc>
      </w:tr>
      <w:tr>
        <w:trPr>
          <w:trHeight w:val="184"/>
        </w:trPr>
        <w:tc>
          <w:tcPr>
            <w:tcW w:w="17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(REGN3767)</w:t>
            </w:r>
          </w:p>
        </w:tc>
        <w:tc>
          <w:tcPr>
            <w:tcW w:w="17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NSCLC (Phase 2/3)</w:t>
            </w:r>
          </w:p>
        </w:tc>
        <w:tc>
          <w:tcPr>
            <w:tcW w:w="1660" w:type="dxa"/>
            <w:vAlign w:val="bottom"/>
          </w:tcPr>
          <w:p>
            <w:pPr>
              <w:ind w:left="100"/>
              <w:spacing w:after="0" w:line="185" w:lineRule="exact"/>
              <w:rPr>
                <w:sz w:val="20"/>
                <w:szCs w:val="20"/>
                <w:color w:val="auto"/>
              </w:rPr>
            </w:pPr>
            <w:r>
              <w:rPr>
                <w:rFonts w:ascii="Times New Roman" w:cs="Times New Roman" w:eastAsia="Times New Roman" w:hAnsi="Times New Roman"/>
                <w:sz w:val="17"/>
                <w:szCs w:val="17"/>
                <w:color w:val="auto"/>
              </w:rPr>
              <w:t>melanoma</w:t>
            </w:r>
            <w:r>
              <w:rPr>
                <w:rFonts w:ascii="Times New Roman" w:cs="Times New Roman" w:eastAsia="Times New Roman" w:hAnsi="Times New Roman"/>
                <w:sz w:val="21"/>
                <w:szCs w:val="21"/>
                <w:color w:val="auto"/>
                <w:vertAlign w:val="superscript"/>
              </w:rPr>
              <w:t>(e)</w:t>
            </w:r>
          </w:p>
        </w:tc>
      </w:tr>
      <w:tr>
        <w:trPr>
          <w:trHeight w:val="236"/>
        </w:trPr>
        <w:tc>
          <w:tcPr>
            <w:tcW w:w="1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Antibody to LAG-3</w:t>
            </w:r>
          </w:p>
        </w:tc>
        <w:tc>
          <w:tcPr>
            <w:tcW w:w="17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182"/>
        </w:trPr>
        <w:tc>
          <w:tcPr>
            <w:tcW w:w="1780" w:type="dxa"/>
            <w:vAlign w:val="bottom"/>
          </w:tcPr>
          <w:p>
            <w:pPr>
              <w:spacing w:after="0"/>
              <w:rPr>
                <w:sz w:val="15"/>
                <w:szCs w:val="15"/>
                <w:color w:val="auto"/>
              </w:rPr>
            </w:pPr>
          </w:p>
        </w:tc>
        <w:tc>
          <w:tcPr>
            <w:tcW w:w="178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–Perioperative</w:t>
            </w:r>
          </w:p>
        </w:tc>
        <w:tc>
          <w:tcPr>
            <w:tcW w:w="166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w w:val="99"/>
              </w:rPr>
              <w:t>–Adjuvant melanoma</w:t>
            </w:r>
          </w:p>
        </w:tc>
      </w:tr>
      <w:tr>
        <w:trPr>
          <w:trHeight w:val="234"/>
        </w:trPr>
        <w:tc>
          <w:tcPr>
            <w:tcW w:w="1780" w:type="dxa"/>
            <w:vAlign w:val="bottom"/>
          </w:tcPr>
          <w:p>
            <w:pPr>
              <w:spacing w:after="0"/>
              <w:rPr>
                <w:sz w:val="20"/>
                <w:szCs w:val="20"/>
                <w:color w:val="auto"/>
              </w:rPr>
            </w:pPr>
          </w:p>
        </w:tc>
        <w:tc>
          <w:tcPr>
            <w:tcW w:w="1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NSCLC</w:t>
            </w:r>
          </w:p>
        </w:tc>
        <w:tc>
          <w:tcPr>
            <w:tcW w:w="1660" w:type="dxa"/>
            <w:vAlign w:val="bottom"/>
          </w:tcPr>
          <w:p>
            <w:pPr>
              <w:spacing w:after="0"/>
              <w:rPr>
                <w:sz w:val="20"/>
                <w:szCs w:val="20"/>
                <w:color w:val="auto"/>
              </w:rPr>
            </w:pPr>
          </w:p>
        </w:tc>
      </w:tr>
      <w:tr>
        <w:trPr>
          <w:trHeight w:val="193"/>
        </w:trPr>
        <w:tc>
          <w:tcPr>
            <w:tcW w:w="17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60" w:type="dxa"/>
            <w:vAlign w:val="bottom"/>
          </w:tcPr>
          <w:p>
            <w:pPr>
              <w:ind w:left="100"/>
              <w:spacing w:after="0" w:line="193" w:lineRule="exact"/>
              <w:rPr>
                <w:sz w:val="20"/>
                <w:szCs w:val="20"/>
                <w:color w:val="auto"/>
              </w:rPr>
            </w:pPr>
            <w:r>
              <w:rPr>
                <w:rFonts w:ascii="Times New Roman" w:cs="Times New Roman" w:eastAsia="Times New Roman" w:hAnsi="Times New Roman"/>
                <w:sz w:val="18"/>
                <w:szCs w:val="18"/>
                <w:color w:val="auto"/>
              </w:rPr>
              <w:t>–First-line metastatic</w:t>
            </w:r>
          </w:p>
        </w:tc>
      </w:tr>
      <w:tr>
        <w:trPr>
          <w:trHeight w:val="180"/>
        </w:trPr>
        <w:tc>
          <w:tcPr>
            <w:tcW w:w="1780" w:type="dxa"/>
            <w:vAlign w:val="bottom"/>
          </w:tcPr>
          <w:p>
            <w:pPr>
              <w:spacing w:after="0"/>
              <w:rPr>
                <w:sz w:val="15"/>
                <w:szCs w:val="15"/>
                <w:color w:val="auto"/>
              </w:rPr>
            </w:pPr>
          </w:p>
        </w:tc>
        <w:tc>
          <w:tcPr>
            <w:tcW w:w="178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–Perioperative</w:t>
            </w:r>
          </w:p>
        </w:tc>
        <w:tc>
          <w:tcPr>
            <w:tcW w:w="16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melanoma versus the</w:t>
            </w:r>
          </w:p>
        </w:tc>
      </w:tr>
      <w:tr>
        <w:trPr>
          <w:trHeight w:val="175"/>
        </w:trPr>
        <w:tc>
          <w:tcPr>
            <w:tcW w:w="1780" w:type="dxa"/>
            <w:vAlign w:val="bottom"/>
          </w:tcPr>
          <w:p>
            <w:pPr>
              <w:spacing w:after="0"/>
              <w:rPr>
                <w:sz w:val="15"/>
                <w:szCs w:val="15"/>
                <w:color w:val="auto"/>
              </w:rPr>
            </w:pPr>
          </w:p>
        </w:tc>
        <w:tc>
          <w:tcPr>
            <w:tcW w:w="17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melanoma (Phase</w:t>
            </w:r>
          </w:p>
        </w:tc>
        <w:tc>
          <w:tcPr>
            <w:tcW w:w="16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combination of</w:t>
            </w:r>
          </w:p>
        </w:tc>
      </w:tr>
      <w:tr>
        <w:trPr>
          <w:trHeight w:val="184"/>
        </w:trPr>
        <w:tc>
          <w:tcPr>
            <w:tcW w:w="1780" w:type="dxa"/>
            <w:vAlign w:val="bottom"/>
          </w:tcPr>
          <w:p>
            <w:pPr>
              <w:spacing w:after="0"/>
              <w:rPr>
                <w:sz w:val="16"/>
                <w:szCs w:val="16"/>
                <w:color w:val="auto"/>
              </w:rPr>
            </w:pPr>
          </w:p>
        </w:tc>
        <w:tc>
          <w:tcPr>
            <w:tcW w:w="17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2/3)</w:t>
            </w:r>
          </w:p>
        </w:tc>
        <w:tc>
          <w:tcPr>
            <w:tcW w:w="16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relatlimab and</w:t>
            </w:r>
          </w:p>
        </w:tc>
      </w:tr>
      <w:tr>
        <w:trPr>
          <w:trHeight w:val="234"/>
        </w:trPr>
        <w:tc>
          <w:tcPr>
            <w:tcW w:w="17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nivolumab</w:t>
            </w:r>
          </w:p>
        </w:tc>
      </w:tr>
      <w:tr>
        <w:trPr>
          <w:trHeight w:val="898"/>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Vidutolimod</w:t>
            </w: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2"/>
        </w:trPr>
        <w:tc>
          <w:tcPr>
            <w:tcW w:w="178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Immune activator</w:t>
            </w: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21"/>
        </w:trPr>
        <w:tc>
          <w:tcPr>
            <w:tcW w:w="1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targeting TLR9</w:t>
            </w:r>
          </w:p>
        </w:tc>
        <w:tc>
          <w:tcPr>
            <w:tcW w:w="17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89"/>
        </w:trPr>
        <w:tc>
          <w:tcPr>
            <w:tcW w:w="1780" w:type="dxa"/>
            <w:vAlign w:val="bottom"/>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Ubamatamab</w:t>
            </w:r>
            <w:r>
              <w:rPr>
                <w:rFonts w:ascii="Times New Roman" w:cs="Times New Roman" w:eastAsia="Times New Roman" w:hAnsi="Times New Roman"/>
                <w:sz w:val="21"/>
                <w:szCs w:val="21"/>
                <w:b w:val="1"/>
                <w:bCs w:val="1"/>
                <w:color w:val="auto"/>
                <w:vertAlign w:val="superscript"/>
              </w:rPr>
              <w:t>(f)</w:t>
            </w:r>
          </w:p>
        </w:tc>
        <w:tc>
          <w:tcPr>
            <w:tcW w:w="17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–Platinum-resistant</w:t>
            </w:r>
          </w:p>
        </w:tc>
        <w:tc>
          <w:tcPr>
            <w:tcW w:w="1660" w:type="dxa"/>
            <w:vAlign w:val="bottom"/>
          </w:tcPr>
          <w:p>
            <w:pPr>
              <w:spacing w:after="0"/>
              <w:rPr>
                <w:sz w:val="16"/>
                <w:szCs w:val="16"/>
                <w:color w:val="auto"/>
              </w:rPr>
            </w:pPr>
          </w:p>
        </w:tc>
      </w:tr>
      <w:tr>
        <w:trPr>
          <w:trHeight w:val="184"/>
        </w:trPr>
        <w:tc>
          <w:tcPr>
            <w:tcW w:w="17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7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ovarian cancer</w:t>
            </w:r>
          </w:p>
        </w:tc>
        <w:tc>
          <w:tcPr>
            <w:tcW w:w="1660" w:type="dxa"/>
            <w:vAlign w:val="bottom"/>
          </w:tcPr>
          <w:p>
            <w:pPr>
              <w:spacing w:after="0"/>
              <w:rPr>
                <w:sz w:val="16"/>
                <w:szCs w:val="16"/>
                <w:color w:val="auto"/>
              </w:rPr>
            </w:pPr>
          </w:p>
        </w:tc>
      </w:tr>
      <w:tr>
        <w:trPr>
          <w:trHeight w:val="175"/>
        </w:trPr>
        <w:tc>
          <w:tcPr>
            <w:tcW w:w="178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2"/>
        </w:trPr>
        <w:tc>
          <w:tcPr>
            <w:tcW w:w="178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CD3</w:t>
            </w:r>
          </w:p>
        </w:tc>
        <w:tc>
          <w:tcPr>
            <w:tcW w:w="17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89"/>
        </w:trPr>
        <w:tc>
          <w:tcPr>
            <w:tcW w:w="17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Nezastomig</w:t>
            </w:r>
          </w:p>
        </w:tc>
        <w:tc>
          <w:tcPr>
            <w:tcW w:w="17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–Prostate cancer</w:t>
            </w:r>
          </w:p>
        </w:tc>
        <w:tc>
          <w:tcPr>
            <w:tcW w:w="1660" w:type="dxa"/>
            <w:vAlign w:val="bottom"/>
          </w:tcPr>
          <w:p>
            <w:pPr>
              <w:spacing w:after="0"/>
              <w:rPr>
                <w:sz w:val="16"/>
                <w:szCs w:val="16"/>
                <w:color w:val="auto"/>
              </w:rPr>
            </w:pPr>
          </w:p>
        </w:tc>
      </w:tr>
      <w:tr>
        <w:trPr>
          <w:trHeight w:val="184"/>
        </w:trPr>
        <w:tc>
          <w:tcPr>
            <w:tcW w:w="17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(REGN5678)</w:t>
            </w:r>
          </w:p>
        </w:tc>
        <w:tc>
          <w:tcPr>
            <w:tcW w:w="17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75"/>
        </w:trPr>
        <w:tc>
          <w:tcPr>
            <w:tcW w:w="178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2"/>
        </w:trPr>
        <w:tc>
          <w:tcPr>
            <w:tcW w:w="178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7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36"/>
        </w:trPr>
        <w:tc>
          <w:tcPr>
            <w:tcW w:w="1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CD28</w:t>
            </w:r>
          </w:p>
        </w:tc>
        <w:tc>
          <w:tcPr>
            <w:tcW w:w="178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-1593850</wp:posOffset>
            </wp:positionV>
            <wp:extent cx="7098030" cy="3771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3771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-607695</wp:posOffset>
            </wp:positionV>
            <wp:extent cx="7098030" cy="6083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608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–Presented positive two-</w:t>
      </w:r>
    </w:p>
    <w:p>
      <w:pPr>
        <w:spacing w:after="0" w:line="219" w:lineRule="auto"/>
        <w:rPr>
          <w:sz w:val="20"/>
          <w:szCs w:val="20"/>
          <w:color w:val="auto"/>
        </w:rPr>
      </w:pPr>
      <w:r>
        <w:rPr>
          <w:rFonts w:ascii="Times New Roman" w:cs="Times New Roman" w:eastAsia="Times New Roman" w:hAnsi="Times New Roman"/>
          <w:sz w:val="18"/>
          <w:szCs w:val="18"/>
          <w:color w:val="auto"/>
        </w:rPr>
        <w:t>year data from Phase 1</w:t>
      </w:r>
    </w:p>
    <w:p>
      <w:pPr>
        <w:spacing w:after="0" w:line="203" w:lineRule="auto"/>
        <w:rPr>
          <w:sz w:val="20"/>
          <w:szCs w:val="20"/>
          <w:color w:val="auto"/>
        </w:rPr>
      </w:pPr>
      <w:r>
        <w:rPr>
          <w:rFonts w:ascii="Times New Roman" w:cs="Times New Roman" w:eastAsia="Times New Roman" w:hAnsi="Times New Roman"/>
          <w:sz w:val="18"/>
          <w:szCs w:val="18"/>
          <w:color w:val="auto"/>
        </w:rPr>
        <w:t>trial (in combination with</w:t>
      </w:r>
    </w:p>
    <w:p>
      <w:pPr>
        <w:spacing w:after="0" w:line="204" w:lineRule="auto"/>
        <w:rPr>
          <w:sz w:val="20"/>
          <w:szCs w:val="20"/>
          <w:color w:val="auto"/>
        </w:rPr>
      </w:pPr>
      <w:r>
        <w:rPr>
          <w:rFonts w:ascii="Times New Roman" w:cs="Times New Roman" w:eastAsia="Times New Roman" w:hAnsi="Times New Roman"/>
          <w:sz w:val="18"/>
          <w:szCs w:val="18"/>
          <w:color w:val="auto"/>
        </w:rPr>
        <w:t>Libtayo) in advanced</w:t>
      </w:r>
    </w:p>
    <w:p>
      <w:pPr>
        <w:spacing w:after="0" w:line="219" w:lineRule="auto"/>
        <w:rPr>
          <w:sz w:val="20"/>
          <w:szCs w:val="20"/>
          <w:color w:val="auto"/>
        </w:rPr>
      </w:pPr>
      <w:r>
        <w:rPr>
          <w:rFonts w:ascii="Times New Roman" w:cs="Times New Roman" w:eastAsia="Times New Roman" w:hAnsi="Times New Roman"/>
          <w:sz w:val="18"/>
          <w:szCs w:val="18"/>
          <w:color w:val="auto"/>
        </w:rPr>
        <w:t>melanoma at European</w:t>
      </w:r>
    </w:p>
    <w:p>
      <w:pPr>
        <w:spacing w:after="0" w:line="203" w:lineRule="auto"/>
        <w:rPr>
          <w:sz w:val="20"/>
          <w:szCs w:val="20"/>
          <w:color w:val="auto"/>
        </w:rPr>
      </w:pPr>
      <w:r>
        <w:rPr>
          <w:rFonts w:ascii="Times New Roman" w:cs="Times New Roman" w:eastAsia="Times New Roman" w:hAnsi="Times New Roman"/>
          <w:sz w:val="18"/>
          <w:szCs w:val="18"/>
          <w:color w:val="auto"/>
        </w:rPr>
        <w:t>Society for Medical</w:t>
      </w:r>
    </w:p>
    <w:p>
      <w:pPr>
        <w:spacing w:after="0" w:line="204" w:lineRule="auto"/>
        <w:rPr>
          <w:sz w:val="20"/>
          <w:szCs w:val="20"/>
          <w:color w:val="auto"/>
        </w:rPr>
      </w:pPr>
      <w:r>
        <w:rPr>
          <w:rFonts w:ascii="Times New Roman" w:cs="Times New Roman" w:eastAsia="Times New Roman" w:hAnsi="Times New Roman"/>
          <w:sz w:val="18"/>
          <w:szCs w:val="18"/>
          <w:color w:val="auto"/>
        </w:rPr>
        <w:t>Oncology ("ESMO")</w:t>
      </w:r>
    </w:p>
    <w:p>
      <w:pPr>
        <w:spacing w:after="0"/>
        <w:rPr>
          <w:sz w:val="20"/>
          <w:szCs w:val="20"/>
          <w:color w:val="auto"/>
        </w:rPr>
      </w:pPr>
      <w:r>
        <w:rPr>
          <w:rFonts w:ascii="Times New Roman" w:cs="Times New Roman" w:eastAsia="Times New Roman" w:hAnsi="Times New Roman"/>
          <w:sz w:val="18"/>
          <w:szCs w:val="18"/>
          <w:color w:val="auto"/>
        </w:rPr>
        <w:t>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discontinued</w:t>
      </w:r>
    </w:p>
    <w:p>
      <w:pPr>
        <w:spacing w:after="0" w:line="205" w:lineRule="auto"/>
        <w:rPr>
          <w:sz w:val="20"/>
          <w:szCs w:val="20"/>
          <w:color w:val="auto"/>
        </w:rPr>
      </w:pPr>
      <w:r>
        <w:rPr>
          <w:rFonts w:ascii="Times New Roman" w:cs="Times New Roman" w:eastAsia="Times New Roman" w:hAnsi="Times New Roman"/>
          <w:sz w:val="18"/>
          <w:szCs w:val="18"/>
          <w:color w:val="auto"/>
        </w:rPr>
        <w:t>Phase 2 study due to drug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18"/>
          <w:szCs w:val="18"/>
          <w:color w:val="auto"/>
        </w:rPr>
        <w:t>–Initiate Phase 2 study (in</w:t>
      </w:r>
    </w:p>
    <w:p>
      <w:pPr>
        <w:jc w:val="both"/>
        <w:ind w:right="140"/>
        <w:spacing w:after="0" w:line="220" w:lineRule="auto"/>
        <w:rPr>
          <w:sz w:val="20"/>
          <w:szCs w:val="20"/>
          <w:color w:val="auto"/>
        </w:rPr>
      </w:pPr>
      <w:r>
        <w:rPr>
          <w:rFonts w:ascii="Times New Roman" w:cs="Times New Roman" w:eastAsia="Times New Roman" w:hAnsi="Times New Roman"/>
          <w:sz w:val="17"/>
          <w:szCs w:val="17"/>
          <w:color w:val="auto"/>
        </w:rPr>
        <w:t>combination with Libtayo) in first-line metastatic head and neck squamous cell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carcinoma (2025)</w:t>
      </w:r>
    </w:p>
    <w:p>
      <w:pPr>
        <w:spacing w:after="0" w:line="192" w:lineRule="exact"/>
        <w:rPr>
          <w:sz w:val="20"/>
          <w:szCs w:val="20"/>
          <w:color w:val="auto"/>
        </w:rPr>
      </w:pPr>
    </w:p>
    <w:p>
      <w:pPr>
        <w:jc w:val="both"/>
        <w:ind w:right="160"/>
        <w:spacing w:after="0" w:line="222" w:lineRule="auto"/>
        <w:rPr>
          <w:sz w:val="20"/>
          <w:szCs w:val="20"/>
          <w:color w:val="auto"/>
        </w:rPr>
      </w:pPr>
      <w:r>
        <w:rPr>
          <w:rFonts w:ascii="Times New Roman" w:cs="Times New Roman" w:eastAsia="Times New Roman" w:hAnsi="Times New Roman"/>
          <w:sz w:val="18"/>
          <w:szCs w:val="18"/>
          <w:color w:val="auto"/>
        </w:rPr>
        <w:t>–Report results from Phase 3 study in first-line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metastatic melanoma (2025)</w:t>
      </w:r>
    </w:p>
    <w:p>
      <w:pPr>
        <w:spacing w:after="0" w:line="203"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–Report initial data from Phase 2/3 study in first-line</w:t>
      </w:r>
    </w:p>
    <w:p>
      <w:pPr>
        <w:ind w:right="260"/>
        <w:spacing w:after="0" w:line="226" w:lineRule="auto"/>
        <w:rPr>
          <w:sz w:val="20"/>
          <w:szCs w:val="20"/>
          <w:color w:val="auto"/>
        </w:rPr>
      </w:pPr>
      <w:r>
        <w:rPr>
          <w:rFonts w:ascii="Times New Roman" w:cs="Times New Roman" w:eastAsia="Times New Roman" w:hAnsi="Times New Roman"/>
          <w:sz w:val="18"/>
          <w:szCs w:val="18"/>
          <w:color w:val="auto"/>
        </w:rPr>
        <w:t>advanced NSCLC (fourth quarter 2024)</w:t>
      </w:r>
    </w:p>
    <w:p>
      <w:pPr>
        <w:spacing w:after="0" w:line="2711" w:lineRule="exact"/>
        <w:rPr>
          <w:sz w:val="20"/>
          <w:szCs w:val="20"/>
          <w:color w:val="auto"/>
        </w:rPr>
      </w:pPr>
    </w:p>
    <w:p>
      <w:pPr>
        <w:sectPr>
          <w:pgSz w:w="11900" w:h="16838" w:orient="portrait"/>
          <w:cols w:equalWidth="0" w:num="3">
            <w:col w:w="6400" w:space="720"/>
            <w:col w:w="1860" w:space="140"/>
            <w:col w:w="2100"/>
          </w:cols>
          <w:pgMar w:left="320" w:top="36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180"/>
          </w:cols>
          <w:pgMar w:left="320" w:top="36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2024 Events to Date</w:t>
            </w:r>
          </w:p>
        </w:tc>
        <w:tc>
          <w:tcPr>
            <w:tcW w:w="0" w:type="dxa"/>
            <w:vAlign w:val="bottom"/>
          </w:tcPr>
          <w:p>
            <w:pPr>
              <w:spacing w:after="0"/>
              <w:rPr>
                <w:sz w:val="1"/>
                <w:szCs w:val="1"/>
                <w:color w:val="auto"/>
              </w:rPr>
            </w:pPr>
          </w:p>
        </w:tc>
      </w:tr>
      <w:tr>
        <w:trPr>
          <w:trHeight w:val="240"/>
        </w:trPr>
        <w:tc>
          <w:tcPr>
            <w:tcW w:w="20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40" w:type="dxa"/>
            <w:vAlign w:val="bottom"/>
            <w:gridSpan w:val="2"/>
            <w:vMerge w:val="continue"/>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70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92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REGN7075</w:t>
            </w:r>
          </w:p>
        </w:tc>
        <w:tc>
          <w:tcPr>
            <w:tcW w:w="80" w:type="dxa"/>
            <w:vAlign w:val="bottom"/>
          </w:tcPr>
          <w:p>
            <w:pPr>
              <w:spacing w:after="0"/>
              <w:rPr>
                <w:sz w:val="15"/>
                <w:szCs w:val="15"/>
                <w:color w:val="auto"/>
              </w:rPr>
            </w:pPr>
          </w:p>
        </w:tc>
        <w:tc>
          <w:tcPr>
            <w:tcW w:w="156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–Solid tumors</w:t>
            </w:r>
          </w:p>
        </w:tc>
        <w:tc>
          <w:tcPr>
            <w:tcW w:w="8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–Presented positive</w:t>
            </w:r>
          </w:p>
        </w:tc>
        <w:tc>
          <w:tcPr>
            <w:tcW w:w="0" w:type="dxa"/>
            <w:vAlign w:val="bottom"/>
          </w:tcPr>
          <w:p>
            <w:pPr>
              <w:spacing w:after="0"/>
              <w:rPr>
                <w:sz w:val="1"/>
                <w:szCs w:val="1"/>
                <w:color w:val="auto"/>
              </w:rPr>
            </w:pPr>
          </w:p>
        </w:tc>
      </w:tr>
      <w:tr>
        <w:trPr>
          <w:trHeight w:val="182"/>
        </w:trPr>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results from dose</w:t>
            </w: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EGFR and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escalation portion of</w:t>
            </w: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CD28</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Phase 1/2 trial (in</w:t>
            </w: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combination with</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Libtayo) in advanced</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solid tumors at American</w:t>
            </w: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Society of Clinical</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Oncology ("ASCO")</w:t>
            </w:r>
          </w:p>
        </w:tc>
        <w:tc>
          <w:tcPr>
            <w:tcW w:w="0" w:type="dxa"/>
            <w:vAlign w:val="bottom"/>
          </w:tcPr>
          <w:p>
            <w:pPr>
              <w:spacing w:after="0"/>
              <w:rPr>
                <w:sz w:val="1"/>
                <w:szCs w:val="1"/>
                <w:color w:val="auto"/>
              </w:rPr>
            </w:pPr>
          </w:p>
        </w:tc>
      </w:tr>
      <w:tr>
        <w:trPr>
          <w:trHeight w:val="234"/>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Davutamig</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–MET-altered</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Annual Meeting</w:t>
            </w:r>
          </w:p>
        </w:tc>
        <w:tc>
          <w:tcPr>
            <w:tcW w:w="0" w:type="dxa"/>
            <w:vAlign w:val="bottom"/>
          </w:tcPr>
          <w:p>
            <w:pPr>
              <w:spacing w:after="0"/>
              <w:rPr>
                <w:sz w:val="1"/>
                <w:szCs w:val="1"/>
                <w:color w:val="auto"/>
              </w:rPr>
            </w:pPr>
          </w:p>
        </w:tc>
      </w:tr>
      <w:tr>
        <w:trPr>
          <w:trHeight w:val="175"/>
        </w:trPr>
        <w:tc>
          <w:tcPr>
            <w:tcW w:w="20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(REGN5093)</w:t>
            </w:r>
          </w:p>
        </w:tc>
        <w:tc>
          <w:tcPr>
            <w:tcW w:w="16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advanced NSCLC</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MET epitopes</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gridSpan w:val="4"/>
          </w:tcPr>
          <w:p>
            <w:pPr>
              <w:ind w:left="1480"/>
              <w:spacing w:after="0"/>
              <w:rPr>
                <w:sz w:val="20"/>
                <w:szCs w:val="20"/>
                <w:color w:val="auto"/>
              </w:rPr>
            </w:pPr>
            <w:r>
              <w:rPr>
                <w:rFonts w:ascii="Times New Roman" w:cs="Times New Roman" w:eastAsia="Times New Roman" w:hAnsi="Times New Roman"/>
                <w:sz w:val="18"/>
                <w:szCs w:val="18"/>
                <w:b w:val="1"/>
                <w:bCs w:val="1"/>
                <w:color w:val="auto"/>
              </w:rPr>
              <w:t>Hematology</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ind w:left="20"/>
              <w:spacing w:after="0" w:line="234" w:lineRule="exact"/>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–Myasthenia gravis,</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(REGN3918)</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cemdisiran</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C5</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–Paroxysmal</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nocturnal</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hemoglobinuria</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("PNH"), cemdisiran</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Ordspono</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00" w:type="dxa"/>
            <w:vAlign w:val="bottom"/>
            <w:gridSpan w:val="2"/>
            <w:vMerge w:val="continue"/>
          </w:tcPr>
          <w:p>
            <w:pPr>
              <w:spacing w:after="0"/>
              <w:rPr>
                <w:sz w:val="15"/>
                <w:szCs w:val="15"/>
                <w:color w:val="auto"/>
              </w:rPr>
            </w:pPr>
          </w:p>
        </w:tc>
        <w:tc>
          <w:tcPr>
            <w:tcW w:w="16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–B-cell non-</w:t>
            </w:r>
          </w:p>
        </w:tc>
        <w:tc>
          <w:tcPr>
            <w:tcW w:w="17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8"/>
                <w:szCs w:val="18"/>
                <w:color w:val="auto"/>
              </w:rPr>
              <w:t>–FL</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–FDA issued Complete</w:t>
            </w:r>
          </w:p>
        </w:tc>
        <w:tc>
          <w:tcPr>
            <w:tcW w:w="0" w:type="dxa"/>
            <w:vAlign w:val="bottom"/>
          </w:tcPr>
          <w:p>
            <w:pPr>
              <w:spacing w:after="0"/>
              <w:rPr>
                <w:sz w:val="1"/>
                <w:szCs w:val="1"/>
                <w:color w:val="auto"/>
              </w:rPr>
            </w:pPr>
          </w:p>
        </w:tc>
      </w:tr>
      <w:tr>
        <w:trPr>
          <w:trHeight w:val="186"/>
        </w:trPr>
        <w:tc>
          <w:tcPr>
            <w:tcW w:w="20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(odronextamab)</w:t>
            </w:r>
            <w:r>
              <w:rPr>
                <w:rFonts w:ascii="Times New Roman" w:cs="Times New Roman" w:eastAsia="Times New Roman" w:hAnsi="Times New Roman"/>
                <w:sz w:val="21"/>
                <w:szCs w:val="21"/>
                <w:b w:val="1"/>
                <w:bCs w:val="1"/>
                <w:color w:val="auto"/>
                <w:vertAlign w:val="superscript"/>
              </w:rPr>
              <w:t>(m)</w:t>
            </w:r>
          </w:p>
        </w:tc>
        <w:tc>
          <w:tcPr>
            <w:tcW w:w="164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Hodgkin lymphoma</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Response Letters</w:t>
            </w:r>
          </w:p>
        </w:tc>
        <w:tc>
          <w:tcPr>
            <w:tcW w:w="0" w:type="dxa"/>
            <w:vAlign w:val="bottom"/>
          </w:tcPr>
          <w:p>
            <w:pPr>
              <w:spacing w:after="0"/>
              <w:rPr>
                <w:sz w:val="1"/>
                <w:szCs w:val="1"/>
                <w:color w:val="auto"/>
              </w:rPr>
            </w:pPr>
          </w:p>
        </w:tc>
      </w:tr>
      <w:tr>
        <w:trPr>
          <w:trHeight w:val="24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Bispecific antibody</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("B-NHL") (pivotal</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–DLBCL</w:t>
            </w: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("CRLs") for BLA for</w:t>
            </w:r>
          </w:p>
        </w:tc>
        <w:tc>
          <w:tcPr>
            <w:tcW w:w="0" w:type="dxa"/>
            <w:vAlign w:val="bottom"/>
          </w:tcPr>
          <w:p>
            <w:pPr>
              <w:spacing w:after="0"/>
              <w:rPr>
                <w:sz w:val="1"/>
                <w:szCs w:val="1"/>
                <w:color w:val="auto"/>
              </w:rPr>
            </w:pPr>
          </w:p>
        </w:tc>
      </w:tr>
      <w:tr>
        <w:trPr>
          <w:trHeight w:val="117"/>
        </w:trPr>
        <w:tc>
          <w:tcPr>
            <w:tcW w:w="20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i w:val="1"/>
                <w:iCs w:val="1"/>
                <w:color w:val="auto"/>
              </w:rPr>
              <w:t>targeting CD20 and CD3</w:t>
            </w:r>
          </w:p>
        </w:tc>
        <w:tc>
          <w:tcPr>
            <w:tcW w:w="16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color w:val="auto"/>
              </w:rPr>
              <w:t>study)</w:t>
            </w: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relapsed/refractory FL</w:t>
            </w: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and DLBCL due to</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enrollment status of</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confirmatory Phase 3</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trials</w:t>
            </w:r>
          </w:p>
        </w:tc>
        <w:tc>
          <w:tcPr>
            <w:tcW w:w="0" w:type="dxa"/>
            <w:vAlign w:val="bottom"/>
          </w:tcPr>
          <w:p>
            <w:pPr>
              <w:spacing w:after="0"/>
              <w:rPr>
                <w:sz w:val="1"/>
                <w:szCs w:val="1"/>
                <w:color w:val="auto"/>
              </w:rPr>
            </w:pPr>
          </w:p>
        </w:tc>
      </w:tr>
      <w:tr>
        <w:trPr>
          <w:trHeight w:val="364"/>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EC for</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relapsed/refractory FL</w:t>
            </w:r>
          </w:p>
        </w:tc>
        <w:tc>
          <w:tcPr>
            <w:tcW w:w="0" w:type="dxa"/>
            <w:vAlign w:val="bottom"/>
          </w:tcPr>
          <w:p>
            <w:pPr>
              <w:spacing w:after="0"/>
              <w:rPr>
                <w:sz w:val="1"/>
                <w:szCs w:val="1"/>
                <w:color w:val="auto"/>
              </w:rPr>
            </w:pPr>
          </w:p>
        </w:tc>
      </w:tr>
      <w:tr>
        <w:trPr>
          <w:trHeight w:val="234"/>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Linvoseltamab</w:t>
            </w:r>
            <w:r>
              <w:rPr>
                <w:rFonts w:ascii="Times New Roman" w:cs="Times New Roman" w:eastAsia="Times New Roman" w:hAnsi="Times New Roman"/>
                <w:sz w:val="23"/>
                <w:szCs w:val="23"/>
                <w:b w:val="1"/>
                <w:bCs w:val="1"/>
                <w:color w:val="auto"/>
                <w:vertAlign w:val="superscript"/>
              </w:rPr>
              <w:t>(f)</w:t>
            </w: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–Multiple myeloma</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DLBCL</w:t>
            </w:r>
          </w:p>
        </w:tc>
        <w:tc>
          <w:tcPr>
            <w:tcW w:w="0" w:type="dxa"/>
            <w:vAlign w:val="bottom"/>
          </w:tcPr>
          <w:p>
            <w:pPr>
              <w:spacing w:after="0"/>
              <w:rPr>
                <w:sz w:val="1"/>
                <w:szCs w:val="1"/>
                <w:color w:val="auto"/>
              </w:rPr>
            </w:pPr>
          </w:p>
        </w:tc>
      </w:tr>
      <w:tr>
        <w:trPr>
          <w:trHeight w:val="216"/>
        </w:trPr>
        <w:tc>
          <w:tcPr>
            <w:tcW w:w="200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7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–Multiple myeloma</w:t>
            </w:r>
            <w:r>
              <w:rPr>
                <w:rFonts w:ascii="Times New Roman" w:cs="Times New Roman" w:eastAsia="Times New Roman" w:hAnsi="Times New Roman"/>
                <w:sz w:val="23"/>
                <w:szCs w:val="23"/>
                <w:color w:val="auto"/>
                <w:vertAlign w:val="superscript"/>
              </w:rPr>
              <w:t>(c)</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–Relapsed/refractory</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–FDA issued CRL for</w:t>
            </w: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(REGN5458)</w:t>
            </w:r>
          </w:p>
        </w:tc>
        <w:tc>
          <w:tcPr>
            <w:tcW w:w="1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(pivotal study)</w:t>
            </w:r>
            <w:r>
              <w:rPr>
                <w:rFonts w:ascii="Times New Roman" w:cs="Times New Roman" w:eastAsia="Times New Roman" w:hAnsi="Times New Roman"/>
                <w:sz w:val="20"/>
                <w:szCs w:val="20"/>
                <w:color w:val="auto"/>
                <w:vertAlign w:val="superscript"/>
              </w:rPr>
              <w:t>(c)(e)</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w:t>
            </w: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multiple myeloma</w:t>
            </w: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BLA for</w:t>
            </w:r>
          </w:p>
        </w:tc>
        <w:tc>
          <w:tcPr>
            <w:tcW w:w="0" w:type="dxa"/>
            <w:vAlign w:val="bottom"/>
          </w:tcPr>
          <w:p>
            <w:pPr>
              <w:spacing w:after="0"/>
              <w:rPr>
                <w:sz w:val="1"/>
                <w:szCs w:val="1"/>
                <w:color w:val="auto"/>
              </w:rPr>
            </w:pPr>
          </w:p>
        </w:tc>
      </w:tr>
      <w:tr>
        <w:trPr>
          <w:trHeight w:val="189"/>
        </w:trPr>
        <w:tc>
          <w:tcPr>
            <w:tcW w:w="20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(EU)</w:t>
            </w:r>
          </w:p>
        </w:tc>
        <w:tc>
          <w:tcPr>
            <w:tcW w:w="1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relapsed/refractory</w:t>
            </w:r>
          </w:p>
        </w:tc>
        <w:tc>
          <w:tcPr>
            <w:tcW w:w="0" w:type="dxa"/>
            <w:vAlign w:val="bottom"/>
          </w:tcPr>
          <w:p>
            <w:pPr>
              <w:spacing w:after="0"/>
              <w:rPr>
                <w:sz w:val="1"/>
                <w:szCs w:val="1"/>
                <w:color w:val="auto"/>
              </w:rPr>
            </w:pPr>
          </w:p>
        </w:tc>
      </w:tr>
      <w:tr>
        <w:trPr>
          <w:trHeight w:val="203"/>
        </w:trPr>
        <w:tc>
          <w:tcPr>
            <w:tcW w:w="20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6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–Earlier (pre-</w:t>
            </w: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multiple myeloma due to</w:t>
            </w: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CD3</w:t>
            </w:r>
          </w:p>
        </w:tc>
        <w:tc>
          <w:tcPr>
            <w:tcW w:w="1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malignant) multiple</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findings resulting from an</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myeloma</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inspection at third-party</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fill/finish manufacturer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-4254500</wp:posOffset>
            </wp:positionV>
            <wp:extent cx="7098030" cy="7886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78867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-2325370</wp:posOffset>
            </wp:positionV>
            <wp:extent cx="7098030" cy="14490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1449070"/>
                    </a:xfrm>
                    <a:prstGeom prst="rect">
                      <a:avLst/>
                    </a:prstGeom>
                    <a:noFill/>
                  </pic:spPr>
                </pic:pic>
              </a:graphicData>
            </a:graphic>
          </wp:anchor>
        </w:drawing>
      </w:r>
    </w:p>
    <w:p>
      <w:pPr>
        <w:ind w:left="2060"/>
        <w:spacing w:after="0" w:line="231" w:lineRule="auto"/>
        <w:rPr>
          <w:sz w:val="20"/>
          <w:szCs w:val="20"/>
          <w:color w:val="auto"/>
        </w:rPr>
      </w:pPr>
      <w:r>
        <w:rPr>
          <w:rFonts w:ascii="Times New Roman" w:cs="Times New Roman" w:eastAsia="Times New Roman" w:hAnsi="Times New Roman"/>
          <w:sz w:val="18"/>
          <w:szCs w:val="18"/>
          <w:color w:val="auto"/>
        </w:rPr>
        <w:t>–Monoclonal</w:t>
      </w:r>
    </w:p>
    <w:p>
      <w:pPr>
        <w:ind w:left="2060"/>
        <w:spacing w:after="0" w:line="219" w:lineRule="auto"/>
        <w:rPr>
          <w:sz w:val="20"/>
          <w:szCs w:val="20"/>
          <w:color w:val="auto"/>
        </w:rPr>
      </w:pPr>
      <w:r>
        <w:rPr>
          <w:rFonts w:ascii="Times New Roman" w:cs="Times New Roman" w:eastAsia="Times New Roman" w:hAnsi="Times New Roman"/>
          <w:sz w:val="18"/>
          <w:szCs w:val="18"/>
          <w:color w:val="auto"/>
        </w:rPr>
        <w:t>gammopathy of</w:t>
      </w:r>
    </w:p>
    <w:p>
      <w:pPr>
        <w:ind w:left="2060"/>
        <w:spacing w:after="0" w:line="203" w:lineRule="auto"/>
        <w:rPr>
          <w:sz w:val="20"/>
          <w:szCs w:val="20"/>
          <w:color w:val="auto"/>
        </w:rPr>
      </w:pPr>
      <w:r>
        <w:rPr>
          <w:rFonts w:ascii="Times New Roman" w:cs="Times New Roman" w:eastAsia="Times New Roman" w:hAnsi="Times New Roman"/>
          <w:sz w:val="18"/>
          <w:szCs w:val="18"/>
          <w:color w:val="auto"/>
        </w:rPr>
        <w:t>undetermined</w:t>
      </w:r>
    </w:p>
    <w:p>
      <w:pPr>
        <w:ind w:left="2060"/>
        <w:spacing w:after="0" w:line="204" w:lineRule="auto"/>
        <w:rPr>
          <w:sz w:val="20"/>
          <w:szCs w:val="20"/>
          <w:color w:val="auto"/>
        </w:rPr>
      </w:pPr>
      <w:r>
        <w:rPr>
          <w:rFonts w:ascii="Times New Roman" w:cs="Times New Roman" w:eastAsia="Times New Roman" w:hAnsi="Times New Roman"/>
          <w:sz w:val="18"/>
          <w:szCs w:val="18"/>
          <w:color w:val="auto"/>
        </w:rPr>
        <w:t>significance</w:t>
      </w:r>
    </w:p>
    <w:p>
      <w:pPr>
        <w:ind w:left="2060"/>
        <w:spacing w:after="0"/>
        <w:rPr>
          <w:sz w:val="20"/>
          <w:szCs w:val="20"/>
          <w:color w:val="auto"/>
        </w:rPr>
      </w:pPr>
      <w:r>
        <w:rPr>
          <w:rFonts w:ascii="Times New Roman" w:cs="Times New Roman" w:eastAsia="Times New Roman" w:hAnsi="Times New Roman"/>
          <w:sz w:val="18"/>
          <w:szCs w:val="18"/>
          <w:color w:val="auto"/>
        </w:rPr>
        <w:t>("MGUS")</w:t>
      </w:r>
    </w:p>
    <w:p>
      <w:pPr>
        <w:spacing w:after="0" w:line="19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–Light chain</w:t>
      </w:r>
    </w:p>
    <w:p>
      <w:pPr>
        <w:ind w:left="2060"/>
        <w:spacing w:after="0" w:line="203" w:lineRule="auto"/>
        <w:rPr>
          <w:sz w:val="20"/>
          <w:szCs w:val="20"/>
          <w:color w:val="auto"/>
        </w:rPr>
      </w:pPr>
      <w:r>
        <w:rPr>
          <w:rFonts w:ascii="Times New Roman" w:cs="Times New Roman" w:eastAsia="Times New Roman" w:hAnsi="Times New Roman"/>
          <w:sz w:val="18"/>
          <w:szCs w:val="18"/>
          <w:color w:val="auto"/>
        </w:rPr>
        <w:t>amyloidosis</w:t>
      </w:r>
    </w:p>
    <w:p>
      <w:pPr>
        <w:ind w:left="2060"/>
        <w:spacing w:after="0"/>
        <w:rPr>
          <w:sz w:val="20"/>
          <w:szCs w:val="20"/>
          <w:color w:val="auto"/>
        </w:rPr>
      </w:pPr>
      <w:r>
        <w:rPr>
          <w:rFonts w:ascii="Times New Roman" w:cs="Times New Roman" w:eastAsia="Times New Roman" w:hAnsi="Times New Roman"/>
          <w:sz w:val="18"/>
          <w:szCs w:val="18"/>
          <w:color w:val="auto"/>
        </w:rPr>
        <w:t>("ALA")</w:t>
      </w: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wp:posOffset>
            </wp:positionV>
            <wp:extent cx="13462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–FDA and EC decisions on regulatory applications for</w:t>
      </w:r>
    </w:p>
    <w:p>
      <w:pPr>
        <w:jc w:val="both"/>
        <w:spacing w:after="0" w:line="220" w:lineRule="auto"/>
        <w:rPr>
          <w:sz w:val="20"/>
          <w:szCs w:val="20"/>
          <w:color w:val="auto"/>
        </w:rPr>
      </w:pPr>
      <w:r>
        <w:rPr>
          <w:rFonts w:ascii="Times New Roman" w:cs="Times New Roman" w:eastAsia="Times New Roman" w:hAnsi="Times New Roman"/>
          <w:sz w:val="17"/>
          <w:szCs w:val="17"/>
          <w:color w:val="auto"/>
        </w:rPr>
        <w:t>relapsed/refractory multiple myeloma pending resolution of a third-party fill/finish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issue</w:t>
      </w:r>
    </w:p>
    <w:p>
      <w:pPr>
        <w:sectPr>
          <w:pgSz w:w="11900" w:h="16838" w:orient="portrait"/>
          <w:cols w:equalWidth="0" w:num="2">
            <w:col w:w="9020" w:space="100"/>
            <w:col w:w="2060"/>
          </w:cols>
          <w:pgMar w:left="320" w:top="369" w:right="3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2024 Events to Date</w:t>
            </w:r>
          </w:p>
        </w:tc>
        <w:tc>
          <w:tcPr>
            <w:tcW w:w="80" w:type="dxa"/>
            <w:vAlign w:val="bottom"/>
            <w:vMerge w:val="restart"/>
          </w:tcPr>
          <w:p>
            <w:pPr>
              <w:spacing w:after="0"/>
              <w:rPr>
                <w:sz w:val="17"/>
                <w:szCs w:val="17"/>
                <w:color w:val="auto"/>
              </w:rPr>
            </w:pP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1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1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209"/>
        </w:trPr>
        <w:tc>
          <w:tcPr>
            <w:tcW w:w="192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Linvoseltamab</w:t>
            </w:r>
            <w:r>
              <w:rPr>
                <w:rFonts w:ascii="Times New Roman" w:cs="Times New Roman" w:eastAsia="Times New Roman" w:hAnsi="Times New Roman"/>
                <w:sz w:val="23"/>
                <w:szCs w:val="23"/>
                <w:b w:val="1"/>
                <w:bCs w:val="1"/>
                <w:color w:val="auto"/>
                <w:vertAlign w:val="superscript"/>
              </w:rPr>
              <w:t>(f)</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–Presented 14-month</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(REGN5458) </w:t>
            </w:r>
            <w:r>
              <w:rPr>
                <w:rFonts w:ascii="Times New Roman" w:cs="Times New Roman" w:eastAsia="Times New Roman" w:hAnsi="Times New Roman"/>
                <w:sz w:val="18"/>
                <w:szCs w:val="18"/>
                <w:i w:val="1"/>
                <w:iCs w:val="1"/>
                <w:color w:val="auto"/>
              </w:rPr>
              <w:t>(continued)</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median follow-up data</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from pivotal Phase 1/2</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trial in multiple myeloma</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at European Hematology</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Association ("EHA")</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Congress 2024 and</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published these data in</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Journal of Clinical</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Oncology</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Nexiguran ziclumeran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–Transthyretin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(NTLA-2001)</w:t>
            </w:r>
            <w:r>
              <w:rPr>
                <w:rFonts w:ascii="Times New Roman" w:cs="Times New Roman" w:eastAsia="Times New Roman" w:hAnsi="Times New Roman"/>
                <w:sz w:val="20"/>
                <w:szCs w:val="20"/>
                <w:b w:val="1"/>
                <w:bCs w:val="1"/>
                <w:color w:val="auto"/>
                <w:vertAlign w:val="superscript"/>
              </w:rPr>
              <w:t>(j)</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amyloidosis</w:t>
            </w:r>
            <w:r>
              <w:rPr>
                <w:rFonts w:ascii="Times New Roman" w:cs="Times New Roman" w:eastAsia="Times New Roman" w:hAnsi="Times New Roman"/>
                <w:sz w:val="20"/>
                <w:szCs w:val="20"/>
                <w:color w:val="auto"/>
                <w:vertAlign w:val="superscript"/>
              </w:rPr>
              <w:t>(c)</w:t>
            </w:r>
            <w:r>
              <w:rPr>
                <w:rFonts w:ascii="Times New Roman" w:cs="Times New Roman" w:eastAsia="Times New Roman" w:hAnsi="Times New Roman"/>
                <w:sz w:val="16"/>
                <w:szCs w:val="16"/>
                <w:color w:val="auto"/>
              </w:rPr>
              <w:t xml:space="preserve"> with</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TTR gene knockout using</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cardiomyopathy</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CRISPR/Cas9</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("ATTR-CM")</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REGN9933</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top-line results</w:t>
            </w: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Antibody to Factor XI</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Phase 2 study in</w:t>
            </w: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thrombosis (fourth quarter</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2"/>
        </w:trPr>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REGN7508</w:t>
            </w:r>
          </w:p>
        </w:tc>
        <w:tc>
          <w:tcPr>
            <w:tcW w:w="1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–Thrombosis</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 top-line results</w:t>
            </w:r>
          </w:p>
        </w:tc>
        <w:tc>
          <w:tcPr>
            <w:tcW w:w="0" w:type="dxa"/>
            <w:vAlign w:val="bottom"/>
          </w:tcPr>
          <w:p>
            <w:pPr>
              <w:spacing w:after="0"/>
              <w:rPr>
                <w:sz w:val="1"/>
                <w:szCs w:val="1"/>
                <w:color w:val="auto"/>
              </w:rPr>
            </w:pPr>
          </w:p>
        </w:tc>
      </w:tr>
      <w:tr>
        <w:trPr>
          <w:trHeight w:val="182"/>
        </w:trPr>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Factor XI</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from Phase 2 study in</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thrombosis (fourth quarter</w:t>
            </w: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2"/>
        </w:trPr>
        <w:tc>
          <w:tcPr>
            <w:tcW w:w="2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–Aplastic anemia</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REGN7999</w:t>
            </w:r>
          </w:p>
        </w:tc>
        <w:tc>
          <w:tcPr>
            <w:tcW w:w="1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–Iron overload in</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TMPRSS6</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beta-thalassemia</w:t>
            </w: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3400" w:type="dxa"/>
            <w:vAlign w:val="bottom"/>
            <w:gridSpan w:val="4"/>
            <w:shd w:val="clear" w:color="auto" w:fill="ACACAC"/>
          </w:tcPr>
          <w:p>
            <w:pPr>
              <w:ind w:left="500"/>
              <w:spacing w:after="0"/>
              <w:rPr>
                <w:sz w:val="20"/>
                <w:szCs w:val="20"/>
                <w:color w:val="auto"/>
              </w:rPr>
            </w:pPr>
            <w:r>
              <w:rPr>
                <w:rFonts w:ascii="Times New Roman" w:cs="Times New Roman" w:eastAsia="Times New Roman" w:hAnsi="Times New Roman"/>
                <w:sz w:val="18"/>
                <w:szCs w:val="18"/>
                <w:b w:val="1"/>
                <w:bCs w:val="1"/>
                <w:color w:val="auto"/>
              </w:rPr>
              <w:t>Internal Medicine/Genetic Medicines</w:t>
            </w:r>
          </w:p>
        </w:tc>
        <w:tc>
          <w:tcPr>
            <w:tcW w:w="19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Garetosmab</w:t>
            </w:r>
            <w:r>
              <w:rPr>
                <w:rFonts w:ascii="Times New Roman" w:cs="Times New Roman" w:eastAsia="Times New Roman" w:hAnsi="Times New Roman"/>
                <w:sz w:val="23"/>
                <w:szCs w:val="23"/>
                <w:b w:val="1"/>
                <w:bCs w:val="1"/>
                <w:color w:val="auto"/>
                <w:vertAlign w:val="superscript"/>
              </w:rPr>
              <w:t>(f)</w:t>
            </w: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–Fibrodysplasia</w:t>
            </w: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ossificans progressiva</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 study in FOP (second half</w:t>
            </w:r>
          </w:p>
        </w:tc>
        <w:tc>
          <w:tcPr>
            <w:tcW w:w="0" w:type="dxa"/>
            <w:vAlign w:val="bottom"/>
          </w:tcPr>
          <w:p>
            <w:pPr>
              <w:spacing w:after="0"/>
              <w:rPr>
                <w:sz w:val="1"/>
                <w:szCs w:val="1"/>
                <w:color w:val="auto"/>
              </w:rPr>
            </w:pPr>
          </w:p>
        </w:tc>
      </w:tr>
      <w:tr>
        <w:trPr>
          <w:trHeight w:val="24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Activin A</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("FOP")</w:t>
            </w:r>
            <w:r>
              <w:rPr>
                <w:rFonts w:ascii="Times New Roman" w:cs="Times New Roman" w:eastAsia="Times New Roman" w:hAnsi="Times New Roman"/>
                <w:sz w:val="11"/>
                <w:szCs w:val="11"/>
                <w:color w:val="auto"/>
              </w:rPr>
              <w:t>(c)(d)(e)</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Trevogrumab</w:t>
            </w:r>
            <w:r>
              <w:rPr>
                <w:rFonts w:ascii="Times New Roman" w:cs="Times New Roman" w:eastAsia="Times New Roman" w:hAnsi="Times New Roman"/>
                <w:sz w:val="23"/>
                <w:szCs w:val="23"/>
                <w:b w:val="1"/>
                <w:bCs w:val="1"/>
                <w:color w:val="auto"/>
                <w:vertAlign w:val="superscript"/>
              </w:rPr>
              <w:t>(f)</w:t>
            </w:r>
          </w:p>
        </w:tc>
        <w:tc>
          <w:tcPr>
            <w:tcW w:w="16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–Obesity</w:t>
            </w:r>
            <w:r>
              <w:rPr>
                <w:rFonts w:ascii="Times New Roman" w:cs="Times New Roman" w:eastAsia="Times New Roman" w:hAnsi="Times New Roman"/>
                <w:sz w:val="23"/>
                <w:szCs w:val="23"/>
                <w:color w:val="auto"/>
                <w:vertAlign w:val="superscript"/>
              </w:rPr>
              <w:t>(n)</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 enrollment in</w:t>
            </w:r>
          </w:p>
        </w:tc>
        <w:tc>
          <w:tcPr>
            <w:tcW w:w="0" w:type="dxa"/>
            <w:vAlign w:val="bottom"/>
          </w:tcPr>
          <w:p>
            <w:pPr>
              <w:spacing w:after="0"/>
              <w:rPr>
                <w:sz w:val="1"/>
                <w:szCs w:val="1"/>
                <w:color w:val="auto"/>
              </w:rPr>
            </w:pPr>
          </w:p>
        </w:tc>
      </w:tr>
      <w:tr>
        <w:trPr>
          <w:trHeight w:val="175"/>
        </w:trPr>
        <w:tc>
          <w:tcPr>
            <w:tcW w:w="2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(REGN1033)</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Phase 2 study in obesity</w:t>
            </w:r>
          </w:p>
        </w:tc>
        <w:tc>
          <w:tcPr>
            <w:tcW w:w="0" w:type="dxa"/>
            <w:vAlign w:val="bottom"/>
          </w:tcPr>
          <w:p>
            <w:pPr>
              <w:spacing w:after="0"/>
              <w:rPr>
                <w:sz w:val="1"/>
                <w:szCs w:val="1"/>
                <w:color w:val="auto"/>
              </w:rPr>
            </w:pPr>
          </w:p>
        </w:tc>
      </w:tr>
      <w:tr>
        <w:trPr>
          <w:trHeight w:val="189"/>
        </w:trPr>
        <w:tc>
          <w:tcPr>
            <w:tcW w:w="20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Antibody to myostatin</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(fourth quarter 2024)</w:t>
            </w:r>
          </w:p>
        </w:tc>
        <w:tc>
          <w:tcPr>
            <w:tcW w:w="0" w:type="dxa"/>
            <w:vAlign w:val="bottom"/>
          </w:tcPr>
          <w:p>
            <w:pPr>
              <w:spacing w:after="0"/>
              <w:rPr>
                <w:sz w:val="1"/>
                <w:szCs w:val="1"/>
                <w:color w:val="auto"/>
              </w:rPr>
            </w:pPr>
          </w:p>
        </w:tc>
      </w:tr>
      <w:tr>
        <w:trPr>
          <w:trHeight w:val="189"/>
        </w:trPr>
        <w:tc>
          <w:tcPr>
            <w:tcW w:w="20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(GDF8)</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Mibavademab</w:t>
            </w:r>
            <w:r>
              <w:rPr>
                <w:rFonts w:ascii="Times New Roman" w:cs="Times New Roman" w:eastAsia="Times New Roman" w:hAnsi="Times New Roman"/>
                <w:sz w:val="20"/>
                <w:szCs w:val="20"/>
                <w:b w:val="1"/>
                <w:bCs w:val="1"/>
                <w:color w:val="auto"/>
                <w:vertAlign w:val="superscript"/>
              </w:rPr>
              <w:t>(f)(o)</w:t>
            </w:r>
          </w:p>
        </w:tc>
        <w:tc>
          <w:tcPr>
            <w:tcW w:w="166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–Generalized</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6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lipodystrophy</w:t>
            </w:r>
            <w:r>
              <w:rPr>
                <w:rFonts w:ascii="Times New Roman" w:cs="Times New Roman" w:eastAsia="Times New Roman" w:hAnsi="Times New Roman"/>
                <w:sz w:val="21"/>
                <w:szCs w:val="21"/>
                <w:color w:val="auto"/>
                <w:vertAlign w:val="superscript"/>
              </w:rPr>
              <w:t>(d)(e)</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 leptin</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receptor ("LEPR")</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REGN5381</w:t>
            </w:r>
          </w:p>
        </w:tc>
        <w:tc>
          <w:tcPr>
            <w:tcW w:w="1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–Heart failure</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NPR1</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Rapirosiran (ALN-</w:t>
            </w:r>
          </w:p>
        </w:tc>
        <w:tc>
          <w:tcPr>
            <w:tcW w:w="16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–Metabolic</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HSD)</w:t>
            </w:r>
            <w:r>
              <w:rPr>
                <w:rFonts w:ascii="Times New Roman" w:cs="Times New Roman" w:eastAsia="Times New Roman" w:hAnsi="Times New Roman"/>
                <w:sz w:val="21"/>
                <w:szCs w:val="21"/>
                <w:b w:val="1"/>
                <w:bCs w:val="1"/>
                <w:color w:val="auto"/>
                <w:vertAlign w:val="superscript"/>
              </w:rPr>
              <w:t>(k)</w:t>
            </w:r>
          </w:p>
        </w:tc>
        <w:tc>
          <w:tcPr>
            <w:tcW w:w="166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dysfunction-</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associated</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i w:val="1"/>
                <w:iCs w:val="1"/>
                <w:color w:val="auto"/>
              </w:rPr>
              <w:t>targeting HSD17B13</w:t>
            </w:r>
          </w:p>
        </w:tc>
        <w:tc>
          <w:tcPr>
            <w:tcW w:w="16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steatohepatitis</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60"/>
        <w:spacing w:after="0"/>
        <w:rPr>
          <w:sz w:val="20"/>
          <w:szCs w:val="20"/>
          <w:color w:val="auto"/>
        </w:rPr>
      </w:pPr>
      <w:r>
        <w:rPr>
          <w:rFonts w:ascii="Times New Roman" w:cs="Times New Roman" w:eastAsia="Times New Roman" w:hAnsi="Times New Roman"/>
          <w:sz w:val="18"/>
          <w:szCs w:val="18"/>
          <w:color w:val="auto"/>
        </w:rPr>
        <w:t>("MASH")</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40" w:right="660"/>
        <w:spacing w:after="0"/>
        <w:rPr>
          <w:sz w:val="20"/>
          <w:szCs w:val="20"/>
          <w:color w:val="auto"/>
        </w:rPr>
      </w:pPr>
      <w:r>
        <w:rPr>
          <w:rFonts w:ascii="Times New Roman" w:cs="Times New Roman" w:eastAsia="Times New Roman" w:hAnsi="Times New Roman"/>
          <w:sz w:val="16"/>
          <w:szCs w:val="16"/>
          <w:color w:val="auto"/>
        </w:rPr>
        <w:t>Note: For purposes of the table above, a program is classified in Phase 2 or 3 clinical development after recruitment for the corresponding study or studies has commenced.</w:t>
      </w:r>
    </w:p>
    <w:p>
      <w:pPr>
        <w:ind w:left="400" w:hanging="165"/>
        <w:spacing w:after="0" w:line="209" w:lineRule="auto"/>
        <w:tabs>
          <w:tab w:leader="none" w:pos="4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Orphan Drug designation</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Breakthrough Therapy designation</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Fast Track designation</w:t>
      </w:r>
    </w:p>
    <w:p>
      <w:pPr>
        <w:spacing w:after="0" w:line="64" w:lineRule="exact"/>
        <w:rPr>
          <w:rFonts w:ascii="Times New Roman" w:cs="Times New Roman" w:eastAsia="Times New Roman" w:hAnsi="Times New Roman"/>
          <w:sz w:val="22"/>
          <w:szCs w:val="22"/>
          <w:color w:val="auto"/>
          <w:vertAlign w:val="superscript"/>
        </w:rPr>
      </w:pPr>
    </w:p>
    <w:p>
      <w:pPr>
        <w:ind w:left="240" w:right="260" w:hanging="5"/>
        <w:spacing w:after="0" w:line="189" w:lineRule="auto"/>
        <w:tabs>
          <w:tab w:leader="none" w:pos="39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Sanofi did not opt-in to or elected not to continue to co-develop the product candidate. Under the terms of our agreement, Sanofi is entitled to receive royalties on sales of the product, if any.</w:t>
      </w:r>
    </w:p>
    <w:p>
      <w:pPr>
        <w:spacing w:after="0" w:line="6" w:lineRule="exact"/>
        <w:rPr>
          <w:rFonts w:ascii="Times New Roman" w:cs="Times New Roman" w:eastAsia="Times New Roman" w:hAnsi="Times New Roman"/>
          <w:sz w:val="23"/>
          <w:szCs w:val="23"/>
          <w:color w:val="auto"/>
          <w:vertAlign w:val="superscript"/>
        </w:rPr>
      </w:pPr>
    </w:p>
    <w:p>
      <w:pPr>
        <w:ind w:left="420" w:hanging="185"/>
        <w:spacing w:after="0"/>
        <w:tabs>
          <w:tab w:leader="none" w:pos="4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64" w:lineRule="exact"/>
        <w:rPr>
          <w:rFonts w:ascii="Times New Roman" w:cs="Times New Roman" w:eastAsia="Times New Roman" w:hAnsi="Times New Roman"/>
          <w:sz w:val="23"/>
          <w:szCs w:val="23"/>
          <w:color w:val="auto"/>
          <w:vertAlign w:val="superscript"/>
        </w:rPr>
      </w:pPr>
    </w:p>
    <w:p>
      <w:pPr>
        <w:ind w:left="420" w:hanging="185"/>
        <w:spacing w:after="0" w:line="182" w:lineRule="auto"/>
        <w:tabs>
          <w:tab w:leader="none" w:pos="42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Information in this column relates to U.S., EU, and Japan regulatory submissions only</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BioNTech's BNT116 is an mRNA cancer vaccine.</w:t>
      </w:r>
    </w:p>
    <w:p>
      <w:pPr>
        <w:spacing w:after="0" w:line="2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Intellia</w:t>
      </w:r>
    </w:p>
    <w:p>
      <w:pPr>
        <w:spacing w:after="0" w:line="2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Alnylam elected to opt-out of the product candidate. Under the terms of our agreement, Alnylam is entitled to receive royalties on sales of the product, if any.</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Under the terms of our license agreement for cemdisiran, Alnylam is entitled to receive royalties on sales (if any), as well as sales milestones.</w:t>
      </w:r>
    </w:p>
    <w:p>
      <w:pPr>
        <w:spacing w:after="0" w:line="24" w:lineRule="exact"/>
        <w:rPr>
          <w:rFonts w:ascii="Times New Roman" w:cs="Times New Roman" w:eastAsia="Times New Roman" w:hAnsi="Times New Roman"/>
          <w:sz w:val="22"/>
          <w:szCs w:val="22"/>
          <w:color w:val="auto"/>
          <w:vertAlign w:val="superscript"/>
        </w:rPr>
      </w:pPr>
    </w:p>
    <w:p>
      <w:pPr>
        <w:ind w:left="440" w:hanging="205"/>
        <w:spacing w:after="0" w:line="191" w:lineRule="auto"/>
        <w:tabs>
          <w:tab w:leader="none" w:pos="4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Fast Track designation for follicular lymphoma and diffuse large B-cell lymphoma</w:t>
      </w:r>
    </w:p>
    <w:p>
      <w:pPr>
        <w:spacing w:after="0" w:line="64" w:lineRule="exact"/>
        <w:rPr>
          <w:rFonts w:ascii="Times New Roman" w:cs="Times New Roman" w:eastAsia="Times New Roman" w:hAnsi="Times New Roman"/>
          <w:sz w:val="21"/>
          <w:szCs w:val="21"/>
          <w:color w:val="auto"/>
          <w:vertAlign w:val="superscript"/>
        </w:rPr>
      </w:pPr>
    </w:p>
    <w:p>
      <w:pPr>
        <w:ind w:left="420" w:hanging="185"/>
        <w:spacing w:after="0" w:line="182" w:lineRule="auto"/>
        <w:tabs>
          <w:tab w:leader="none" w:pos="42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in combination with semaglutide with and without garetosmab</w:t>
      </w:r>
    </w:p>
    <w:p>
      <w:pPr>
        <w:spacing w:after="0" w:line="24" w:lineRule="exact"/>
        <w:rPr>
          <w:rFonts w:ascii="Times New Roman" w:cs="Times New Roman" w:eastAsia="Times New Roman" w:hAnsi="Times New Roman"/>
          <w:sz w:val="22"/>
          <w:szCs w:val="22"/>
          <w:color w:val="auto"/>
          <w:vertAlign w:val="superscript"/>
        </w:rPr>
      </w:pPr>
    </w:p>
    <w:p>
      <w:pPr>
        <w:ind w:left="240" w:hanging="5"/>
        <w:spacing w:after="0" w:line="189" w:lineRule="auto"/>
        <w:tabs>
          <w:tab w:leader="none" w:pos="41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Phase 2 study, sponsored by Eli Lilly, is also ongoing and testing the combination of tirzepatide and mibavademab compared with tirzepatide alone in patients with obesity.</w:t>
      </w: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9"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 Clinical Development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Linvoseltamab</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FDA issued a CRL for the BLA for linvoseltamab in relapsed/refractory multiple myeloma that has progressed after at least three prior therapies. The sole approvability issue identified is related to findings from a pre-approval inspection at a third-party fill/finish manufacturer. Resolution of this issue will be required for both FDA and EC regulatory approvals.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Dupixent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2024, the Company and Sanofi announced that the first Phase 3 trial (Study A) of Dupixent in adults with uncontrolled and severe CPUO did not achieve statistical significance in its primary itch responder endpoint (despite favorable numerical improvements), but showed nominally significant improvements in all other itch endpoints. The Dupixent Phase 3 program in CPUO consists of Study A and Study B. Study B is planned to initiate as a subsequent pivotal trial.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Early-Stage Clinical Development Updates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a Phase 1 study of linvoseltamab, in combination with dupilumab, in severe food allergy was initiated.</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Phase 1/2 study of DB-OTO, an AAV-based gene therapy, in children with profound genetic hearing loss due to mutations of the otoferlin gene is ongoing. In May 2024, we presented updated data from the Phase 1/2 trial at the American Society of Gene and Cell Therapy ("ASGCT") annual conference and announced that DB-OTO improved hearing to normal levels in one child and that initial hearing improvements were observed in a second child. Additionally, the FDA granted DB-OTO Regenerative Medicine Advanced Therapy ("RMAT") designation.</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a Phase 1 combination cohort of nezastomig and REGN4336 (bispecific antibody targeting PSMA and CD3) in metastatic castration-resistant prostate cancer was initiated.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(the "Antibody Collaboration"). Under the terms of the Antibody Collaboration, Sanofi is generally responsible for funding 80% to 100% of agreed-upon development costs. We are obligated to reimburse Sanofi for 30% to 50% of worldwide development expenses that were funded by Sanofi based on our share of collaboration profits; however, we are only required to apply 20% of our share of profits from the collaboration each calendar quarter to reimburse Sanofi for these development expenses. As of September 30, 2024, the total amount of our contingent reimbursement obligation to Sanofi (i.e., "development balance") in connection with such development expenses was approximately $1.810 billion.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 profits from sales within the United States, and share profits outside the United States on a sliding scale based on sales starting at 65% (Sanofi)/35% (us) and ending at 55% (Sanofi)/45% (us).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8 mg and EYLEA outside the United States. Agreed-upon development expenses incurred by the Company and Bayer are generally shared equally. Bayer is responsible for commercialization activities outside the United States, and the companies share equally in profits from such sales.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Alnylam Pharmaceuticals, Inc. are parties to a collaboration to discover, develop, and commercialize RNAi therapeutics for a broad range of diseases by addressing therapeutic disease targets expressed in the eye and central nervous system ("CNS"), in addition to a select number of targets expressed in the liver.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various license agreements with Alnylam, with us as the licensee, including for cemdisiran (a small interfering RNA ("siRNA") therapeutic targeting the C5 component of the human complement pathway) as a monotherapy and for a combination consisting of cemdisiran and pozelimab.</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we elected to no longer co-develop ALN-APP pursuant to a co-development/co-commercialization collaboration agreement; as a result, Alnylam retains the right to develop and commercialize such product and we will receive a royalty on sales (if 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and Intellia Therapeutics, Inc. are parties to a license and collaboration agreement to advance CRISPR/Cas9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NTLA-2001, which is in clinical development, is subject to a co-development and co-commercialization arrangement pursuant to which Intellia will lead development and commercialization activities and the parties share an agreed-upon percentage of development expenses and profits (if commercialized). In addition, we also have non-exclusive rights to independently develop and commercialize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products.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2023, we expanded the license and collaboration agreement to develop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CRISPR-based gene editing therapies focused on neurological and muscular diseases. Intellia will lead the design of the editing methodology, we will lead the design of the targeted viral vector delivery approach, and the parties share costs equally. Each company will have the opportunity to lead potential development and commercialization of product candidates for one target, and the company that is not leading development and commercialization will have the option to enter into a co-development and co-commercialization agreement for the target.</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October 2023, we elected to extend the period for selecting targets under the license and collaboration agreement for an additional two years until April 2026; as a result, we made a $30.0 million extension payment to Intellia.</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Intellia elected to opt-out of further development activities pursuant to the Factor IX co-development and co-commercialization agreement; as a result, we retain the right to develop and commercialize products directed to Factor IX, and Intellia will be entitled to receive milestone payments and royalties on sales (if 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Decibel</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2017, we entered into an agreement with Decibel Therapeutics, Inc. to discover and develop new potential therapeutics to protect, repair and restore hearing (including DB-OTO, which is currently in clinical development, and preclinical programs for GJB2-related and stereocilin-related hearing loss).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we acquired Decibel by paying $101.3 million in cash (or $4.00 per share of Decibel common stock). In addition, Decibel shareholders received one non-tradeable contingent value right ("CVR") per share of Decibel common stock, entitling them to receive up to an additional $3.50 per share in cash upon achievement of certain development milestones for DB-OTO within specified time periods.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a development milestone contemplated by the CVRs was achieved, and, as a result, we paid $55.1 million to the holders of the CVRs. The holders of the CVRs will be entitled to receive an additional $42.0 million if an additional milestone contemplated by the CVRs is achieved.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2seventy bio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2018, we entered into a collaboration agreement with bluebird bio, Inc. (which subsequently spun out 2seventy bio, Inc. in 2021) to research, develop, and commercialize novel cell therapy approaches to address cancer.</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2024, we acquired full development and commercialization rights to 2seventy bio's oncology and autoimmune preclinical and clinical stage cell therapy pipeline. Under the terms of the agreement, we made a $5.0 million up-front payment, and have assumed ongoing program, infrastructure, and personnel costs related to the product candidates acquired. We are obligated to pay 2seventy bio a regulatory milestone upon the first major market approval of the first approved product; and, with respect to any approved product, a low single-digit percent royalty on sales. In addition, we separately entered into sublease agreements for a portion of 2seventy bio's facilities.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success in commercializing EYLEA HD, EYLEA, and Dupixent. We expect to continue to incur substantial expenses related to our research and development activities, and our research and development activities and related costs which are not reimbursed by collaborators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("SEC").</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http://investor.regeneron.com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our websites and social media channels is not included as a part of, or incorporated by reference into, this report.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 w:type="dxa"/>
            <w:vAlign w:val="bottom"/>
          </w:tcPr>
          <w:p>
            <w:pPr>
              <w:spacing w:after="0"/>
              <w:rPr>
                <w:sz w:val="18"/>
                <w:szCs w:val="18"/>
                <w:color w:val="auto"/>
              </w:rPr>
            </w:pPr>
          </w:p>
        </w:tc>
        <w:tc>
          <w:tcPr>
            <w:tcW w:w="3420" w:type="dxa"/>
            <w:vAlign w:val="bottom"/>
            <w:gridSpan w:val="5"/>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1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3420" w:type="dxa"/>
            <w:vAlign w:val="bottom"/>
            <w:gridSpan w:val="5"/>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1300" w:type="dxa"/>
            <w:vAlign w:val="bottom"/>
          </w:tcPr>
          <w:p>
            <w:pPr>
              <w:spacing w:after="0"/>
              <w:rPr>
                <w:sz w:val="19"/>
                <w:szCs w:val="19"/>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9,682.9</w:t>
            </w:r>
          </w:p>
        </w:tc>
        <w:tc>
          <w:tcPr>
            <w:tcW w:w="126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6,608.7</w:t>
            </w:r>
          </w:p>
        </w:tc>
        <w:tc>
          <w:tcPr>
            <w:tcW w:w="126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3,074.2</w:t>
            </w:r>
          </w:p>
        </w:tc>
        <w:tc>
          <w:tcPr>
            <w:tcW w:w="126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6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3,051.7</w:t>
            </w:r>
          </w:p>
        </w:tc>
        <w:tc>
          <w:tcPr>
            <w:tcW w:w="126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260" w:type="dxa"/>
            <w:vAlign w:val="bottom"/>
          </w:tcPr>
          <w:p>
            <w:pPr>
              <w:spacing w:after="0"/>
              <w:rPr>
                <w:sz w:val="19"/>
                <w:szCs w:val="19"/>
                <w:color w:val="auto"/>
              </w:rPr>
            </w:pPr>
          </w:p>
        </w:tc>
      </w:tr>
      <w:tr>
        <w:trPr>
          <w:trHeight w:val="248"/>
        </w:trPr>
        <w:tc>
          <w:tcPr>
            <w:tcW w:w="130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2,794.0</w:t>
            </w:r>
          </w:p>
        </w:tc>
        <w:tc>
          <w:tcPr>
            <w:tcW w:w="12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1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260" w:type="dxa"/>
            <w:vAlign w:val="bottom"/>
          </w:tcPr>
          <w:p>
            <w:pPr>
              <w:spacing w:after="0"/>
              <w:rPr>
                <w:sz w:val="19"/>
                <w:szCs w:val="19"/>
                <w:color w:val="auto"/>
              </w:rPr>
            </w:pPr>
          </w:p>
        </w:tc>
      </w:tr>
      <w:tr>
        <w:trPr>
          <w:trHeight w:val="810"/>
        </w:trPr>
        <w:tc>
          <w:tcPr>
            <w:tcW w:w="1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8"/>
        </w:trPr>
        <w:tc>
          <w:tcPr>
            <w:tcW w:w="13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655"/>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8"/>
        </w:trPr>
        <w:tc>
          <w:tcPr>
            <w:tcW w:w="38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09"/>
        </w:trPr>
        <w:tc>
          <w:tcPr>
            <w:tcW w:w="3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EYLEA HD - U.S.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w:t>
            </w:r>
          </w:p>
        </w:tc>
      </w:tr>
      <w:tr>
        <w:trPr>
          <w:trHeight w:val="230"/>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EYLEA - U.S.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r>
      <w:tr>
        <w:trPr>
          <w:trHeight w:val="223"/>
        </w:trPr>
        <w:tc>
          <w:tcPr>
            <w:tcW w:w="380" w:type="dxa"/>
            <w:vAlign w:val="bottom"/>
          </w:tcPr>
          <w:p>
            <w:pPr>
              <w:spacing w:after="0"/>
              <w:rPr>
                <w:sz w:val="19"/>
                <w:szCs w:val="19"/>
                <w:color w:val="auto"/>
              </w:rPr>
            </w:pP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EYLEA HD and EYLEA - U.S.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Libtayo - U.S.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9"/>
        </w:trPr>
        <w:tc>
          <w:tcPr>
            <w:tcW w:w="380" w:type="dxa"/>
            <w:vAlign w:val="bottom"/>
          </w:tcPr>
          <w:p>
            <w:pPr>
              <w:spacing w:after="0"/>
              <w:rPr>
                <w:sz w:val="19"/>
                <w:szCs w:val="19"/>
                <w:color w:val="auto"/>
              </w:rPr>
            </w:pPr>
          </w:p>
        </w:tc>
        <w:tc>
          <w:tcPr>
            <w:tcW w:w="37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Libtayo - ROW</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3"/>
        </w:trPr>
        <w:tc>
          <w:tcPr>
            <w:tcW w:w="380" w:type="dxa"/>
            <w:vAlign w:val="bottom"/>
          </w:tcPr>
          <w:p>
            <w:pPr>
              <w:spacing w:after="0"/>
              <w:rPr>
                <w:sz w:val="19"/>
                <w:szCs w:val="19"/>
                <w:color w:val="auto"/>
              </w:rPr>
            </w:pPr>
          </w:p>
        </w:tc>
        <w:tc>
          <w:tcPr>
            <w:tcW w:w="3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Libtayo - Global</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29"/>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Praluent - U.S.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9"/>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Evkeeza - U.S.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380" w:type="dxa"/>
            <w:vAlign w:val="bottom"/>
          </w:tcPr>
          <w:p>
            <w:pPr>
              <w:spacing w:after="0"/>
              <w:rPr>
                <w:sz w:val="19"/>
                <w:szCs w:val="19"/>
                <w:color w:val="auto"/>
              </w:rPr>
            </w:pPr>
          </w:p>
        </w:tc>
        <w:tc>
          <w:tcPr>
            <w:tcW w:w="37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Inmazeb - Global</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38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product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108"/>
        </w:trPr>
        <w:tc>
          <w:tcPr>
            <w:tcW w:w="380" w:type="dxa"/>
            <w:vAlign w:val="bottom"/>
          </w:tcPr>
          <w:p>
            <w:pPr>
              <w:spacing w:after="0"/>
              <w:rPr>
                <w:sz w:val="9"/>
                <w:szCs w:val="9"/>
                <w:color w:val="auto"/>
              </w:rPr>
            </w:pPr>
          </w:p>
        </w:tc>
        <w:tc>
          <w:tcPr>
            <w:tcW w:w="37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38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Sanofi</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w:t>
            </w:r>
          </w:p>
        </w:tc>
      </w:tr>
      <w:tr>
        <w:trPr>
          <w:trHeight w:val="229"/>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Bayer</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Roche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r>
      <w:tr>
        <w:trPr>
          <w:trHeight w:val="230"/>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380" w:type="dxa"/>
            <w:vAlign w:val="bottom"/>
          </w:tcPr>
          <w:p>
            <w:pPr>
              <w:spacing w:after="0"/>
              <w:rPr>
                <w:sz w:val="19"/>
                <w:szCs w:val="19"/>
                <w:color w:val="auto"/>
              </w:rPr>
            </w:pPr>
          </w:p>
        </w:tc>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8"/>
        </w:trPr>
        <w:tc>
          <w:tcPr>
            <w:tcW w:w="380" w:type="dxa"/>
            <w:vAlign w:val="bottom"/>
          </w:tcPr>
          <w:p>
            <w:pPr>
              <w:spacing w:after="0"/>
              <w:rPr>
                <w:sz w:val="21"/>
                <w:szCs w:val="21"/>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r>
              <w:rPr>
                <w:rFonts w:ascii="Times New Roman" w:cs="Times New Roman" w:eastAsia="Times New Roman" w:hAnsi="Times New Roman"/>
                <w:sz w:val="18"/>
                <w:szCs w:val="18"/>
                <w:u w:val="single" w:color="auto"/>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r>
              <w:rPr>
                <w:rFonts w:ascii="Times New Roman" w:cs="Times New Roman" w:eastAsia="Times New Roman" w:hAnsi="Times New Roman"/>
                <w:sz w:val="18"/>
                <w:szCs w:val="18"/>
                <w:u w:val="single" w:color="auto"/>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r>
              <w:rPr>
                <w:rFonts w:ascii="Times New Roman" w:cs="Times New Roman" w:eastAsia="Times New Roman" w:hAnsi="Times New Roman"/>
                <w:sz w:val="18"/>
                <w:szCs w:val="18"/>
                <w:u w:val="single" w:color="auto"/>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w:t>
            </w:r>
            <w:r>
              <w:rPr>
                <w:rFonts w:ascii="Times New Roman" w:cs="Times New Roman" w:eastAsia="Times New Roman" w:hAnsi="Times New Roman"/>
                <w:sz w:val="18"/>
                <w:szCs w:val="18"/>
                <w:u w:val="single" w:color="auto"/>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r>
      <w:tr>
        <w:trPr>
          <w:trHeight w:val="20"/>
        </w:trPr>
        <w:tc>
          <w:tcPr>
            <w:tcW w:w="380" w:type="dxa"/>
            <w:vAlign w:val="bottom"/>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EYLEA HD and EYLEA net product sales in the U.S. increased for the three and nine months ended September 30, 2024 compared to the same periods in 2023. EYLEA HD was approved by the FDA in August 2023 and net product sales for the three and nine months ended September 30, 2024 were driven by the transition of patients from other anti-VEGF products, including EYLEA, as well as new patients naïve to anti-VEGF therapy. Net product sales of EYLEA for the three and nine months ended September 30, 2024 were adversely impacted by a lower net selling price compared to the same periods in 2023. In addition, for the three months ended September 30, 2024 total EYLEA HD and EYLEA net product sales were favorably impacted by approximately $40 million as a result of higher wholesaler inventory levels for EYLEA HD at the end of the third quarter of 2024 compared to the end of the second quarter of 2024, partially offset by lower wholesaler inventory levels for EYLEA.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2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2"/>
        </w:trPr>
        <w:tc>
          <w:tcPr>
            <w:tcW w:w="4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9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44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w:t>
            </w:r>
          </w:p>
        </w:tc>
      </w:tr>
      <w:tr>
        <w:trPr>
          <w:trHeight w:val="230"/>
        </w:trPr>
        <w:tc>
          <w:tcPr>
            <w:tcW w:w="44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Sales-based milestones earned</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440" w:type="dxa"/>
            <w:vAlign w:val="bottom"/>
          </w:tcPr>
          <w:p>
            <w:pPr>
              <w:spacing w:after="0"/>
              <w:rPr>
                <w:sz w:val="19"/>
                <w:szCs w:val="19"/>
                <w:color w:val="auto"/>
              </w:rPr>
            </w:pPr>
          </w:p>
        </w:tc>
        <w:tc>
          <w:tcPr>
            <w:tcW w:w="5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r>
      <w:tr>
        <w:trPr>
          <w:trHeight w:val="223"/>
        </w:trPr>
        <w:tc>
          <w:tcPr>
            <w:tcW w:w="440" w:type="dxa"/>
            <w:vAlign w:val="bottom"/>
          </w:tcPr>
          <w:p>
            <w:pPr>
              <w:spacing w:after="0"/>
              <w:rPr>
                <w:sz w:val="19"/>
                <w:szCs w:val="19"/>
                <w:color w:val="auto"/>
              </w:rPr>
            </w:pP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2,806.6</w:t>
            </w:r>
          </w:p>
        </w:tc>
      </w:tr>
      <w:tr>
        <w:trPr>
          <w:trHeight w:val="20"/>
        </w:trPr>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800" w:hanging="180"/>
        <w:spacing w:after="0"/>
        <w:tabs>
          <w:tab w:leader="none" w:pos="8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production is recorded within Cost of collaboration and contract manufacturing.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net product sales of Dupixent and Kevzara are recorded by Sanofi, and we and Sanofi share profits on such sales.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19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8"/>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Regeneron's share of collaboration profits in connection with</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8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0" w:type="dxa"/>
            <w:vAlign w:val="bottom"/>
          </w:tcPr>
          <w:p>
            <w:pPr>
              <w:spacing w:after="0"/>
              <w:rPr>
                <w:sz w:val="1"/>
                <w:szCs w:val="1"/>
                <w:color w:val="auto"/>
              </w:rPr>
            </w:pPr>
          </w:p>
        </w:tc>
      </w:tr>
      <w:tr>
        <w:trPr>
          <w:trHeight w:val="176"/>
        </w:trPr>
        <w:tc>
          <w:tcPr>
            <w:tcW w:w="5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 accordance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Regeneron's payment obligation</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5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Dupixent and Kevzara net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increase in our share of profits for the three and nine months ended September 30, 2024, compared to the same periods in 2023, was driven by higher profits associated with Dupixent sales.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2023, the Company earned the final $50.0 million sales-based milestone from Sanofi upon aggregate annual sales of antibodies outside the United States exceeding $3.0 billion on a rolling twelve-month basis.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63"/>
        </w:trPr>
        <w:tc>
          <w:tcPr>
            <w:tcW w:w="4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9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440" w:type="dxa"/>
            <w:vAlign w:val="bottom"/>
          </w:tcPr>
          <w:p>
            <w:pPr>
              <w:spacing w:after="0"/>
              <w:rPr>
                <w:sz w:val="19"/>
                <w:szCs w:val="19"/>
                <w:color w:val="auto"/>
              </w:rPr>
            </w:pPr>
          </w:p>
        </w:tc>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0" w:type="dxa"/>
            <w:vAlign w:val="bottom"/>
          </w:tcPr>
          <w:p>
            <w:pPr>
              <w:spacing w:after="0"/>
              <w:rPr>
                <w:sz w:val="19"/>
                <w:szCs w:val="19"/>
                <w:color w:val="auto"/>
              </w:rPr>
            </w:pPr>
          </w:p>
        </w:tc>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w:t>
            </w:r>
          </w:p>
        </w:tc>
      </w:tr>
      <w:tr>
        <w:trPr>
          <w:trHeight w:val="230"/>
        </w:trPr>
        <w:tc>
          <w:tcPr>
            <w:tcW w:w="440" w:type="dxa"/>
            <w:vAlign w:val="bottom"/>
          </w:tcPr>
          <w:p>
            <w:pPr>
              <w:spacing w:after="0"/>
              <w:rPr>
                <w:sz w:val="19"/>
                <w:szCs w:val="19"/>
                <w:color w:val="auto"/>
              </w:rPr>
            </w:pPr>
          </w:p>
        </w:tc>
        <w:tc>
          <w:tcPr>
            <w:tcW w:w="58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ex-U.S. commercial supplies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48"/>
        </w:trPr>
        <w:tc>
          <w:tcPr>
            <w:tcW w:w="44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w:t>
            </w:r>
          </w:p>
        </w:tc>
      </w:tr>
      <w:tr>
        <w:trPr>
          <w:trHeight w:val="20"/>
        </w:trPr>
        <w:tc>
          <w:tcPr>
            <w:tcW w:w="440" w:type="dxa"/>
            <w:vAlign w:val="bottom"/>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800" w:hanging="180"/>
        <w:spacing w:after="0"/>
        <w:tabs>
          <w:tab w:leader="none" w:pos="8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production is recorded within Cost of collaboration and contract manufacturing.</w:t>
      </w: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Bayer records net product sales of EYLEA 8 mg and EYLEA outside the United States. Regeneron's share of profits in connection with commercialization of EYLEA 8 mg and EYLEA outside the United States is summarized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4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 w:type="dxa"/>
            <w:vAlign w:val="bottom"/>
          </w:tcPr>
          <w:p>
            <w:pPr>
              <w:spacing w:after="0"/>
              <w:rPr>
                <w:sz w:val="21"/>
                <w:szCs w:val="21"/>
                <w:color w:val="auto"/>
              </w:rPr>
            </w:pPr>
          </w:p>
        </w:tc>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8 mg and EYLEA net product sales outside the United States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931.7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 the United States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5860" w:type="dxa"/>
            <w:vAlign w:val="bottom"/>
            <w:vMerge w:val="continue"/>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384.2</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365.0</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1,103.7</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1,075.4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 accordance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Regeneron's payment obligation</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(44.4)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40" w:type="dxa"/>
            <w:vAlign w:val="bottom"/>
          </w:tcPr>
          <w:p>
            <w:pPr>
              <w:spacing w:after="0"/>
              <w:rPr>
                <w:sz w:val="5"/>
                <w:szCs w:val="5"/>
                <w:color w:val="auto"/>
              </w:rPr>
            </w:pPr>
          </w:p>
        </w:tc>
        <w:tc>
          <w:tcPr>
            <w:tcW w:w="5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5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EYLEA 8 mg and EYLEA net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 outside the United States</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96"/>
        </w:trPr>
        <w:tc>
          <w:tcPr>
            <w:tcW w:w="63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Roche Collaboration Revenue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63"/>
        </w:trPr>
        <w:tc>
          <w:tcPr>
            <w:tcW w:w="34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340" w:type="dxa"/>
            <w:vAlign w:val="bottom"/>
          </w:tcPr>
          <w:p>
            <w:pPr>
              <w:spacing w:after="0"/>
              <w:rPr>
                <w:sz w:val="19"/>
                <w:szCs w:val="19"/>
                <w:color w:val="auto"/>
              </w:rPr>
            </w:pPr>
          </w:p>
        </w:tc>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0" w:type="dxa"/>
            <w:vAlign w:val="bottom"/>
          </w:tcPr>
          <w:p>
            <w:pPr>
              <w:spacing w:after="0"/>
              <w:rPr>
                <w:sz w:val="19"/>
                <w:szCs w:val="19"/>
                <w:color w:val="auto"/>
              </w:rPr>
            </w:pPr>
          </w:p>
        </w:tc>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gross profits earned in connection with sales of Ronapreve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30"/>
        </w:trPr>
        <w:tc>
          <w:tcPr>
            <w:tcW w:w="340" w:type="dxa"/>
            <w:vAlign w:val="bottom"/>
          </w:tcPr>
          <w:p>
            <w:pPr>
              <w:spacing w:after="0"/>
              <w:rPr>
                <w:sz w:val="19"/>
                <w:szCs w:val="19"/>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8"/>
        </w:trPr>
        <w:tc>
          <w:tcPr>
            <w:tcW w:w="340" w:type="dxa"/>
            <w:vAlign w:val="bottom"/>
          </w:tcPr>
          <w:p>
            <w:pPr>
              <w:spacing w:after="0"/>
              <w:rPr>
                <w:sz w:val="21"/>
                <w:szCs w:val="21"/>
                <w:color w:val="auto"/>
              </w:rPr>
            </w:pPr>
          </w:p>
        </w:tc>
        <w:tc>
          <w:tcPr>
            <w:tcW w:w="5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Roche collaboration revenue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0"/>
        </w:trPr>
        <w:tc>
          <w:tcPr>
            <w:tcW w:w="34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Roche distributes and records net product sales of Ronapreve outside the United States, and the parties share gross profits from sales. Net product sales of Ronapreve outside the United States declined as a result of new variants of the SARS-CoV-2 virus emerging that are not susceptible to the treatment.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1"/>
        </w:trPr>
        <w:tc>
          <w:tcPr>
            <w:tcW w:w="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8"/>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0" w:type="dxa"/>
            <w:vAlign w:val="bottom"/>
          </w:tcPr>
          <w:p>
            <w:pPr>
              <w:spacing w:after="0"/>
              <w:rPr>
                <w:sz w:val="19"/>
                <w:szCs w:val="19"/>
                <w:color w:val="auto"/>
              </w:rPr>
            </w:pPr>
          </w:p>
        </w:tc>
        <w:tc>
          <w:tcPr>
            <w:tcW w:w="44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r>
      <w:tr>
        <w:trPr>
          <w:trHeight w:val="230"/>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29"/>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30"/>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9"/>
        </w:trPr>
        <w:tc>
          <w:tcPr>
            <w:tcW w:w="60" w:type="dxa"/>
            <w:vAlign w:val="bottom"/>
          </w:tcPr>
          <w:p>
            <w:pPr>
              <w:spacing w:after="0"/>
              <w:rPr>
                <w:sz w:val="19"/>
                <w:szCs w:val="19"/>
                <w:color w:val="auto"/>
              </w:rPr>
            </w:pP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48"/>
        </w:trPr>
        <w:tc>
          <w:tcPr>
            <w:tcW w:w="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r>
              <w:rPr>
                <w:rFonts w:ascii="Times New Roman" w:cs="Times New Roman" w:eastAsia="Times New Roman" w:hAnsi="Times New Roman"/>
                <w:sz w:val="18"/>
                <w:szCs w:val="18"/>
                <w:u w:val="single" w:color="auto"/>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r>
              <w:rPr>
                <w:rFonts w:ascii="Times New Roman" w:cs="Times New Roman" w:eastAsia="Times New Roman" w:hAnsi="Times New Roman"/>
                <w:sz w:val="18"/>
                <w:szCs w:val="18"/>
                <w:u w:val="single" w:color="auto"/>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r>
              <w:rPr>
                <w:rFonts w:ascii="Times New Roman" w:cs="Times New Roman" w:eastAsia="Times New Roman" w:hAnsi="Times New Roman"/>
                <w:sz w:val="18"/>
                <w:szCs w:val="18"/>
                <w:u w:val="single" w:color="auto"/>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r>
              <w:rPr>
                <w:rFonts w:ascii="Times New Roman" w:cs="Times New Roman" w:eastAsia="Times New Roman" w:hAnsi="Times New Roman"/>
                <w:sz w:val="18"/>
                <w:szCs w:val="18"/>
                <w:u w:val="single" w:color="auto"/>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r>
      <w:tr>
        <w:trPr>
          <w:trHeight w:val="20"/>
        </w:trPr>
        <w:tc>
          <w:tcPr>
            <w:tcW w:w="6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30"/>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headcount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r>
    </w:tbl>
    <w:p>
      <w:pPr>
        <w:spacing w:after="0" w:line="52" w:lineRule="exact"/>
        <w:rPr>
          <w:sz w:val="20"/>
          <w:szCs w:val="20"/>
          <w:color w:val="auto"/>
        </w:rPr>
      </w:pPr>
    </w:p>
    <w:p>
      <w:pPr>
        <w:ind w:left="400" w:hanging="165"/>
        <w:spacing w:after="0"/>
        <w:tabs>
          <w:tab w:leader="none" w:pos="4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costs incurred net of any cost reimbursements from collaborators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costs incurred in connection with producing drug supplies for collaborators and others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included stock-based compensation of $225.1 million and $203.9 million for the three months ended September 30, 2024 and 2023, respectively, and $678.4 million and $644.6 million for the nine months ended September 30, 2024 and 2023, respectively. Stock-based compensation expense relates to equity awards granted under our long-term incentive plans.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drug filling, packaging, and labeling costs. Clinical manufacturing costs also include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8"/>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10"/>
              <w:spacing w:after="0" w:line="228"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3"/>
                <w:szCs w:val="23"/>
                <w:b w:val="1"/>
                <w:bCs w:val="1"/>
                <w:color w:val="auto"/>
                <w:vertAlign w:val="superscript"/>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10"/>
              <w:spacing w:after="0" w:line="228" w:lineRule="exact"/>
              <w:rPr>
                <w:sz w:val="20"/>
                <w:szCs w:val="20"/>
                <w:color w:val="auto"/>
              </w:rPr>
            </w:pP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23"/>
                <w:szCs w:val="23"/>
                <w:b w:val="1"/>
                <w:bCs w:val="1"/>
                <w:color w:val="auto"/>
                <w:vertAlign w:val="superscript"/>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Fianlimab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Ordspono (odronextamab)</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EYLEA HD (aflibercept) 8 mg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Linvoseltamab</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Itepekimab</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Pozelimab</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176"/>
        </w:trPr>
        <w:tc>
          <w:tcPr>
            <w:tcW w:w="45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45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other research programs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142"/>
        </w:trPr>
        <w:tc>
          <w:tcPr>
            <w:tcW w:w="4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142"/>
        </w:trPr>
        <w:tc>
          <w:tcPr>
            <w:tcW w:w="4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162"/>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62"/>
        </w:trPr>
        <w:tc>
          <w:tcPr>
            <w:tcW w:w="4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280" w:hanging="92"/>
        <w:spacing w:after="0"/>
        <w:tabs>
          <w:tab w:leader="none" w:pos="28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$123.7 million and $107.4 million for the three months ended September 30, 2024 and 2023, respectively, and $369.1 million and $356.0 million for the nine months ended September 30, 2024 and 2023, respectively.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product candidate, potential opportunities and/or uncertainties related to future indications to be studied, and the estimated cost 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IPR&amp;D for the three and nine months ended September 30, 2024 included a $45.0 million development milestone in connection with our collaboration agreement with Sonoma Biotherapeutics, Inc.</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Acquired IPR&amp;D for the three and nine months ended September 30, 2023 included a $100.0 million development milestone in connection with our collaboration agreement with Alnylam Pharmaceuticals, Inc. The nine months ended September 30, 2023 also included a $45.0 million up-front payment in connection with our collaboration agreement with Sonoma.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and nine months ended September 30, 2024, compared to the same periods in 2023, due to higher commercialization-related expenses to support our launch of EYLEA HD and higher headcount and headcount-related costs partly related to our international commercial expansion. Selling, general, and administrative expenses also included stock-based compensation expense of $83.1 million and $74.4 million for the three months ended September 30, 2024 and 2023, respectively, and $251.9 million and $224.5 million for the nine months ended September 30, 2024 and 2023,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increased for the three and nine months ended September 30, 2024, compared to the same periods in 2023, primarily due to higher start-up costs for our Rensselaer, New York fill/finish facility.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 (Income)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expense (income), net, reflected charges of $8.0 million and $37.9 million for the three and nine months ended September 30, 2024, respectively, related to the increase in the estimated fair value of the contingent consideration liability recognized in connection with our 2023 acquisition of Decibel Therapeutics, Inc.</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consists of the following:</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1"/>
        </w:trPr>
        <w:tc>
          <w:tcPr>
            <w:tcW w:w="10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302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10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302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28"/>
        </w:trPr>
        <w:tc>
          <w:tcPr>
            <w:tcW w:w="1040" w:type="dxa"/>
            <w:vAlign w:val="bottom"/>
          </w:tcPr>
          <w:p>
            <w:pPr>
              <w:spacing w:after="0"/>
              <w:rPr>
                <w:sz w:val="19"/>
                <w:szCs w:val="19"/>
                <w:color w:val="auto"/>
              </w:rPr>
            </w:pPr>
          </w:p>
        </w:tc>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Pr>
          <w:p>
            <w:pPr>
              <w:spacing w:after="0"/>
              <w:rPr>
                <w:sz w:val="19"/>
                <w:szCs w:val="19"/>
                <w:color w:val="auto"/>
              </w:rPr>
            </w:pPr>
          </w:p>
        </w:tc>
      </w:tr>
      <w:tr>
        <w:trPr>
          <w:trHeight w:val="223"/>
        </w:trPr>
        <w:tc>
          <w:tcPr>
            <w:tcW w:w="10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equity securities, net</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20" w:type="dxa"/>
            <w:vAlign w:val="bottom"/>
          </w:tcPr>
          <w:p>
            <w:pPr>
              <w:spacing w:after="0"/>
              <w:rPr>
                <w:sz w:val="19"/>
                <w:szCs w:val="19"/>
                <w:color w:val="auto"/>
              </w:rPr>
            </w:pPr>
          </w:p>
        </w:tc>
      </w:tr>
      <w:tr>
        <w:trPr>
          <w:trHeight w:val="229"/>
        </w:trPr>
        <w:tc>
          <w:tcPr>
            <w:tcW w:w="10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2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20" w:type="dxa"/>
            <w:vAlign w:val="bottom"/>
          </w:tcPr>
          <w:p>
            <w:pPr>
              <w:spacing w:after="0"/>
              <w:rPr>
                <w:sz w:val="19"/>
                <w:szCs w:val="19"/>
                <w:color w:val="auto"/>
              </w:rPr>
            </w:pPr>
          </w:p>
        </w:tc>
      </w:tr>
      <w:tr>
        <w:trPr>
          <w:trHeight w:val="223"/>
        </w:trPr>
        <w:tc>
          <w:tcPr>
            <w:tcW w:w="10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2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20" w:type="dxa"/>
            <w:vAlign w:val="bottom"/>
          </w:tcPr>
          <w:p>
            <w:pPr>
              <w:spacing w:after="0"/>
              <w:rPr>
                <w:sz w:val="19"/>
                <w:szCs w:val="19"/>
                <w:color w:val="auto"/>
              </w:rPr>
            </w:pPr>
          </w:p>
        </w:tc>
      </w:tr>
      <w:tr>
        <w:trPr>
          <w:trHeight w:val="223"/>
        </w:trPr>
        <w:tc>
          <w:tcPr>
            <w:tcW w:w="104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2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90"/>
        </w:trPr>
        <w:tc>
          <w:tcPr>
            <w:tcW w:w="10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8"/>
        </w:trPr>
        <w:tc>
          <w:tcPr>
            <w:tcW w:w="10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7"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14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14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257.7</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2024 was positively impacted, compared to the U.S. federal statutory rate, primarily by income earned in foreign jurisdictions with tax rates lower than the U.S. federal statutory rate and stock-based compensation. Our effective tax rate for the nine months ended September 30, 2024 was negatively impacted by the remeasurement of existing uncertain tax positions.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countries in which we have operations, including Ireland, have adopted legislation influenced by the Organization for Economic Co-operation and Development ("OECD") Global Anti-Base Erosion Model Rules ("Pillar Two") framework, including a minimum tax rate of 15%. The adoption of the Pillar Two framework did not have a material impact on our effective tax rate for the three and nine months ended September 30, 2024. It is uncertain whether the United States will enact legislation to adopt the Pillar Two framework. We continue to evaluate additional guidance released by the OECD, along with the pending legislative adoption by additional individual countries.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229"/>
        </w:trPr>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w:t>
            </w:r>
          </w:p>
        </w:tc>
      </w:tr>
      <w:tr>
        <w:trPr>
          <w:trHeight w:val="230"/>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29"/>
        </w:trPr>
        <w:tc>
          <w:tcPr>
            <w:tcW w:w="3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3,094.4</w:t>
            </w:r>
          </w:p>
        </w:tc>
      </w:tr>
      <w:tr>
        <w:trPr>
          <w:trHeight w:val="223"/>
        </w:trPr>
        <w:tc>
          <w:tcPr>
            <w:tcW w:w="37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30"/>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23"/>
        </w:trPr>
        <w:tc>
          <w:tcPr>
            <w:tcW w:w="3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15,672.6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9"/>
        </w:trPr>
        <w:tc>
          <w:tcPr>
            <w:tcW w:w="3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also had borrowing availability of $750.0 million under a revolving credit facility.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Nine Months Ended September 30, 2024 and 2023</w:t>
      </w:r>
    </w:p>
    <w:p>
      <w:pPr>
        <w:spacing w:after="0" w:line="175"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4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8"/>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3,157.7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3,504.3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(346.6)</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(2,818.7)</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6"/>
              </w:rPr>
              <w:t>(3,118.9)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300.2</w:t>
            </w:r>
          </w:p>
        </w:tc>
      </w:tr>
      <w:tr>
        <w:trPr>
          <w:trHeight w:val="23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(1,065.0)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(1,344.0)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279.0</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Capital expenditures for the nine months ended September 30, 2024 included costs incurred in connection with the expansion of our research, preclinical manufacturing, and support facilities at our Tarrytown, New York location, as well as costs associated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expansion of our manufacturing facilities in Rensselaer, New York (including the fill/finish facility). In addition, in September 2024, we acquired a 1,100,000 square foot facility in Saratoga Springs, New York. We expect to incur capital expenditures of $700 million to $740 million for the full year of 2024 primarily in connection with the continued expansion of our facilities in Tarrytown and Rensselaer (including the fill/finish facility).</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for the Libtayo intangible asset of $58.3 million and $145.7 million for the nine months ended September 30, 2024 and 2023, respectively, were related to contingent consideration in connection with our acquisition of the exclusive right to develop, commercialize, and manufacture Libtayo worldwide.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from issuances of Common Stock, in connection with exercises of employee stock options, were $1.374 billion for the nine months ended September 30, 2024, compared to $844.5 million for the nine months ended September 30, 2023. In addition, payments in connection with Common Stock tendered for employee tax obligations were $775.7 million for the nine months ended September 30, 2024, compared to $242.5 million for the nine months ended September 30, 2023. For information related to repurchases of Common Stock, see "</w:t>
      </w:r>
      <w:r>
        <w:rPr>
          <w:rFonts w:ascii="Times New Roman" w:cs="Times New Roman" w:eastAsia="Times New Roman" w:hAnsi="Times New Roman"/>
          <w:sz w:val="18"/>
          <w:szCs w:val="18"/>
          <w:i w:val="1"/>
          <w:iCs w:val="1"/>
          <w:color w:val="auto"/>
        </w:rPr>
        <w:t>Share Repurchase Programs</w:t>
      </w:r>
      <w:r>
        <w:rPr>
          <w:rFonts w:ascii="Times New Roman" w:cs="Times New Roman" w:eastAsia="Times New Roman" w:hAnsi="Times New Roman"/>
          <w:sz w:val="18"/>
          <w:szCs w:val="18"/>
          <w:color w:val="auto"/>
        </w:rPr>
        <w:t>" section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our board of directors authorized a share repurchase program to repurchase up to $3.0 billion of our Common Stock. As of September 30, 2024, the Company had repurchased the entire $3.0 billion of its Common Stock it was authorized to repurchase under the program.</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2024, our board of directors authorized a share repurchase program to repurchase up to an additional $3.0 billion of our Common Stock. The share repurchase program permits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shares of our Common Stock that we repurchased and the cost of such shares, which were recorded as Treasury Stock.</w:t>
      </w:r>
    </w:p>
    <w:p>
      <w:pPr>
        <w:spacing w:after="0" w:line="171" w:lineRule="exact"/>
        <w:rPr>
          <w:sz w:val="20"/>
          <w:szCs w:val="20"/>
          <w:color w:val="auto"/>
        </w:rPr>
      </w:pPr>
    </w:p>
    <w:tbl>
      <w:tblPr>
        <w:tblLayout w:type="fixed"/>
        <w:tblInd w:w="304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$2.893 billion remained available for share repurchases under the April 2024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critical accounting estimates is presented in Part II, Item 7. "Management's Discussion and Analysis of Financial Condition and Results of Operations" of our Annual Report on Form 10-K for the fiscal year ended December 31, 2023 (filed February 5, 2024). There have been no material changes to critical accounting estimates during the nine months ended September 30,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 for a summary of recently issued accounting standards.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2023 (filed February 5, 2024). There have been no material changes to our market risks or to our management of such risks as of September 30, 2024.</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or 15d-15(f) under the Exchange Act) during the quarter ended September 30, 2024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11 to our Condensed Consolidated Financial Statements included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 before making an investment decision regarding Regeneron.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EYLEA HD, and Dupixent.</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coverage and reimbursement from third-party payors, including private payors and government programs such as Medicare and Medicaid.</w:t>
      </w: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reimbursement and coverage policies and practices could change due to various factors such as drug price control measures that have been or may be enacted or introduced in the United States by various federal and state authorities.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established or cost effective than, our products or product candidates.</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and outside the United States.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4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62" w:lineRule="exact"/>
        <w:rPr>
          <w:sz w:val="20"/>
          <w:szCs w:val="20"/>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have in the past reduced and could reduce in the future the duration of market exclusivity for our products.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62" w:lineRule="exact"/>
        <w:rPr>
          <w:sz w:val="20"/>
          <w:szCs w:val="20"/>
          <w:color w:val="auto"/>
        </w:rPr>
      </w:pPr>
    </w:p>
    <w:p>
      <w:pPr>
        <w:jc w:val="both"/>
        <w:ind w:left="6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products approved for marketing and could jeopardize our clinical development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48" w:lineRule="exact"/>
        <w:rPr>
          <w:sz w:val="20"/>
          <w:szCs w:val="20"/>
          <w:color w:val="auto"/>
        </w:rPr>
      </w:pPr>
    </w:p>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healthcare industry could adversely affect our business.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and risks associated with our operations outside the United States could adversely affect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8" w:lineRule="exact"/>
        <w:rPr>
          <w:sz w:val="20"/>
          <w:szCs w:val="20"/>
          <w:color w:val="auto"/>
        </w:rPr>
      </w:pPr>
    </w:p>
    <w:p>
      <w:pPr>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may be materially harmed.</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ind w:left="66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or failure to realize the expected benefits from such acquisitions could adversely affect our business, operating results,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Our Common Stock</w:t>
      </w:r>
    </w:p>
    <w:p>
      <w:pPr>
        <w:spacing w:after="0" w:line="162" w:lineRule="exact"/>
        <w:rPr>
          <w:sz w:val="20"/>
          <w:szCs w:val="20"/>
          <w:color w:val="auto"/>
        </w:rPr>
      </w:pPr>
    </w:p>
    <w:p>
      <w:pPr>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key members of our senior management team, including leaders in our research, development, manufacturing, and commercial organizations.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outbreaks, epidemics, or pandemics (such as the COVID-19 pandemic) have adversely affected and may in the future adversely affect our business.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substantial influence over matters requiring shareholder approval and over our management.</w:t>
      </w:r>
    </w:p>
    <w:p>
      <w:pPr>
        <w:spacing w:after="0" w:line="125"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ind w:right="9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the success of EYLEA, EYLEA HD, and Dupixent.</w:t>
      </w: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substantially dependent on the success of our ophthalmology portfolio, which consists of EYLEA and, since its August 2023 FDA approval, EYLEA HD. EYLEA net product sales have historically represented a substantial portion of our revenues, and we expect that there will continue to be a concentration of our net sales from the net product sales of EYLEA HD and EYLEA. For the nine months ended September 30, 2024 and 2023, our aggregate EYLEA HD and EYLEA net product sales in the United States represented 43% and 46% of our total revenues, respectively. For the nine months ended September 30, 2024, EYLEA HD U.S. net product sales represented 20% of our aggregate EYLEA HD and EYLEA U.S. net product sales. If we are successful in commercializing EYLEA HD, we expect that our dependence on EYLEA HD will grow relative to our historical dependence on EYLEA. If we experience difficulty with the commercialization of EYLEA HD or EYLEA in the United States or if Bayer experiences any difficulty with the commercialization of EYLEA HD or EYLEA outside the United States, if EYLEA net product sales experience a sustained decline in or outside the United States without an offset from EYLEA HD net product sales, or if we and Bayer are unable to maintain or obtain marketing approvals of these products (as applicable), we may experience a reduction in revenue and may not be able to stay profitable at the levels we previously achieved or at all, and our business, prospects, operating results, and financial condition may be materially harmed. Commercialization of EYLEA and EYLEA HD in the United States and elsewhere is subject to significant competition (as described further below under "</w:t>
      </w:r>
      <w:r>
        <w:rPr>
          <w:rFonts w:ascii="Times New Roman" w:cs="Times New Roman" w:eastAsia="Times New Roman" w:hAnsi="Times New Roman"/>
          <w:sz w:val="18"/>
          <w:szCs w:val="18"/>
          <w:i w:val="1"/>
          <w:iCs w:val="1"/>
          <w:color w:val="auto"/>
        </w:rPr>
        <w:t>The commercial success of our products and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is subject to significant competition</w:t>
      </w:r>
      <w:r>
        <w:rPr>
          <w:rFonts w:ascii="Times New Roman" w:cs="Times New Roman" w:eastAsia="Times New Roman" w:hAnsi="Times New Roman"/>
          <w:sz w:val="18"/>
          <w:szCs w:val="18"/>
          <w:color w:val="auto"/>
        </w:rPr>
        <w:t>"), which we expect to continue to increase in the future. For the three and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2024, EYLEA U.S. net product sales declined by 21% and 18%, respectively, compared to the same periods in 2023. In the United States, the regulatory exclusivity period for EYLEA (i.e., the period during which no biosimilar product can be approved by the FDA) expired on May 18, 2024. See "Risks Related to Intellectual Property and Market Exclusivity - </w:t>
      </w:r>
      <w:r>
        <w:rPr>
          <w:rFonts w:ascii="Times New Roman" w:cs="Times New Roman" w:eastAsia="Times New Roman" w:hAnsi="Times New Roman"/>
          <w:sz w:val="18"/>
          <w:szCs w:val="18"/>
          <w:i w:val="1"/>
          <w:iCs w:val="1"/>
          <w:color w:val="auto"/>
        </w:rPr>
        <w:t>Loss or limitation of patent rights, and regulatory pathways for biosimilar competition, have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past reduced and could reduce in the future the duration of market exclusivity for our products</w:t>
      </w:r>
      <w:r>
        <w:rPr>
          <w:rFonts w:ascii="Times New Roman" w:cs="Times New Roman" w:eastAsia="Times New Roman" w:hAnsi="Times New Roman"/>
          <w:sz w:val="18"/>
          <w:szCs w:val="18"/>
          <w:color w:val="auto"/>
        </w:rPr>
        <w:t>" below. Several biosimilar versions of EYLEA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approved by the FDA, and one such product is expected to launch in the United States in the near future. EYLEA and/or EYLEA HD net product sales recorded by us are likely to be negatively impacted by biosimilar versions of EYLEA commercialized in the United States, which may have a material adverse impact on our results of operations. In addition, we expect that competition for EYLEA outside the United States will increase in the future when biosimilar versions of EYLEA (including those already approved but not yet launched) are brought to market in additional countries, which may negatively impact the amount of collaboration revenue we earn from Bayer. The degree to</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EYLEA HD net product sales may offset further potential decrease in EYLEA net product sales, resulting from the factors discussed above or otherwise, is uncertain.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substantially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may be materially harmed.</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will continue to depend on many factors, including the following (as applicable):</w:t>
      </w:r>
    </w:p>
    <w:p>
      <w:pPr>
        <w:spacing w:after="0" w:line="8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and EYLEA HD, the existing and potential new branded and biosimilar competition (discussed further under "</w:t>
      </w:r>
      <w:r>
        <w:rPr>
          <w:rFonts w:ascii="Times New Roman" w:cs="Times New Roman" w:eastAsia="Times New Roman" w:hAnsi="Times New Roman"/>
          <w:sz w:val="18"/>
          <w:szCs w:val="18"/>
          <w:i w:val="1"/>
          <w:iCs w:val="1"/>
          <w:color w:val="auto"/>
        </w:rPr>
        <w:t>The commercial success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patients to start or continue treatment with such products or to switch from a competitive product to one of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marketed products (particularly those launched recently, such as EYLEA HD) seen in a broader patient group (i.e., real-world use);</w:t>
      </w: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healthcare laws and regulations currently being considered or implemented in the United States and globally,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(described further in Note 11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11 to our Condensed Consolidated Financial Statements included in this report (including the civil proceedings initiated or joined by the U.S. Department of Justice and the U.S. Attorney's Office for the District of Massachusetts);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Japan, and other countries.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 the applicable marketing approval may be withdrawn, which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coverage and reimbursement from third-party payors.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also dependent, in large part, on complex coverage and reimbursement mechanisms and programs in those countries.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such third-party payors do not adequately defray or reimburse the cost of our marketed products.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healthcare systems, our currently marketed products and product candidates are likely to be subject to continued pricing pressures, which may have an adverse impact on our business, prospects, operating results, and financial condition.</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the Centers for Medicare &amp; Medicaid Services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many countries outside the United States,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of these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countries outside the United States or if coverage and reimbursement for our marketed products in such countries is limited or delayed. As discussed below under "</w:t>
      </w:r>
      <w:r>
        <w:rPr>
          <w:rFonts w:ascii="Times New Roman" w:cs="Times New Roman" w:eastAsia="Times New Roman" w:hAnsi="Times New Roman"/>
          <w:sz w:val="18"/>
          <w:szCs w:val="18"/>
          <w:i w:val="1"/>
          <w:iCs w:val="1"/>
          <w:color w:val="auto"/>
        </w:rPr>
        <w:t>If we are unable to establish sufficient commercial capabilities outside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for Libtayo, Dupixent, and any other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we will need to manage these and other commercialization-related risks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for us to successfully develop sufficient commercial capabilities outside the United States (including those necessary for our successful commercialization and co-commercialization of Libtayo and Dupixent, respectively).</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product reimbursement and coverage policies and practices may materially harm our business, prospects,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Private payor healthcare and insurance providers, health maintenance organizations, and PBMs are increasingly requiring significant discounts and rebates from manufacturers as a condition to including products on formulary with favorable coverage and copayment/coinsurance. Some states have also enacted or are considering legislation to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healthcare reform measures in the future that will impose additional constraints on prices and reimbursements for our marketed products.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recently approved or proposed federal and state legislation, regulations,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in 2022 the U.S. Congress passed the Inflation Reduction Act ("IRA"), which includes, among other items, provisions regarding the following:</w:t>
      </w:r>
    </w:p>
    <w:p>
      <w:pPr>
        <w:spacing w:after="0" w:line="87" w:lineRule="exact"/>
        <w:rPr>
          <w:sz w:val="20"/>
          <w:szCs w:val="20"/>
          <w:color w:val="auto"/>
        </w:rPr>
      </w:pPr>
    </w:p>
    <w:p>
      <w:pPr>
        <w:jc w:val="both"/>
        <w:ind w:left="660" w:hanging="328"/>
        <w:spacing w:after="0" w:line="24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a Medicare Drug Price Negotiation Program </w:t>
      </w:r>
      <w:r>
        <w:rPr>
          <w:rFonts w:ascii="Times New Roman" w:cs="Times New Roman" w:eastAsia="Times New Roman" w:hAnsi="Times New Roman"/>
          <w:sz w:val="18"/>
          <w:szCs w:val="18"/>
          <w:color w:val="auto"/>
        </w:rPr>
        <w:t>(the "Medicare Drug Price Negotiation Program"). The Medicare Drug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Program requires the government to set prices for select high-expenditure drugs covered under Medicare Parts B and D. Starting in 2023 and 2026, the government is authorized to select Part D and Part B drugs, respectively, for inclusion in the Medicare Drug Price Negotiation Program, with established prices to go into effect for selected Part D drugs in 2026 and for selected Part B drugs in 2028, in each case absent certain disqualifying events.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Inflation Based Rebates</w:t>
      </w:r>
      <w:r>
        <w:rPr>
          <w:rFonts w:ascii="Times New Roman" w:cs="Times New Roman" w:eastAsia="Times New Roman" w:hAnsi="Times New Roman"/>
          <w:sz w:val="18"/>
          <w:szCs w:val="18"/>
          <w:color w:val="auto"/>
        </w:rPr>
        <w:t>. The IRA includes measures requiring manufacturers to pay rebates where increases to the average sales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average manufacturer price of drugs covered under Medicare Parts B and D, respectively, exceed the rate of inflation.</w:t>
      </w:r>
    </w:p>
    <w:p>
      <w:pPr>
        <w:ind w:left="660" w:right="2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 Program Redesign</w:t>
      </w:r>
      <w:r>
        <w:rPr>
          <w:rFonts w:ascii="Times New Roman" w:cs="Times New Roman" w:eastAsia="Times New Roman" w:hAnsi="Times New Roman"/>
          <w:sz w:val="18"/>
          <w:szCs w:val="18"/>
          <w:color w:val="auto"/>
        </w:rPr>
        <w:t>. The IRA implements changes to the Medicare Part D benefits to limit patient out-of-pocket drug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program liabilities from patients to other stakeholders, including health plans, manufacturers, and the government.</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the policy changes described above will ultimately impact reimbursement levels of our marketed products, including those covered under Medicare Part B (such as EYLEA and EYLEA HD), or our product candidates that may be covered under Medicare Part B or Medicare Part D in the future, is currently unclear.</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state level, legislatures are becoming increasingly aggressive in passing legislation and implementing regulations designed to control pharmaceutical and biological product pricing, including price or patient reimbursement constraints,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legislation, proposals, initiatives, and developments described above) could have a material adverse effect on the sales of EYLEA, EYLEA HD, or our other marketed products. Economic pressure on state budgets may also have a similar impact.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EYLEA and EYLEA HD. </w:t>
      </w:r>
      <w:r>
        <w:rPr>
          <w:rFonts w:ascii="Times New Roman" w:cs="Times New Roman" w:eastAsia="Times New Roman" w:hAnsi="Times New Roman"/>
          <w:sz w:val="18"/>
          <w:szCs w:val="18"/>
          <w:color w:val="auto"/>
        </w:rPr>
        <w:t>EYLEA and EYLEA HD face significant competition in the marketplace. For example, each of EYLEA and EYLEA HD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competes in one or more of its approved indications with other VEGF inhibitors. These include Genentech/Roche's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and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and biosimilar versions of Lucentis commercialized in the United States by Biogen Inc. and Sandoz Group AG. In addition, biosimilar versions of EYLEA have been approved both in and outside the United States. These include Amgen's Pavblu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(aflibercept-ayyh), which is expected to launch in the United States in the near future. We expect that biosimilar competition for EYLEA will increase in the future when additional biosimilar versions of EYLEA are launched in the United States and other countries, the timing of which will depend on, among other factors, the outcome of the pending patent litigation proceedings described in Note 11 to our Condensed Consolidated Financial Statements and the expiration of the patents protecting EYLEA (including those set forth under Part I - Item 1. "Business - Patents, Trademarks, and Trade Secrets" of Regeneron's Annual Report on Form 10-K for the fiscal year ended December 31, 2023 (filed February 5, 2024)). Ophthalmologists are also using off-label, third-party repackaged versions of Genentech/Roche's approved VEGF antagonist, bevacizumab, for the treatment of certain of EYLEA's and EYLEA HD's respective indications, and we are aware of another company developing an ophthalmic formulation of such product that has been approved in the EU. In DME (and, in the case of EYLEA, also RVO), EYLEA and EYLEA HD also compete with intravitreal implants of corticosteroids. We are also aware of a number of companies working on the development of product candidates and extended delivery devices for the potential treatment of one or more of EYLEA's and EYLEA HD's respective indications, including those that act by blocking VEGF and VEGF receptors (including therapies designed to extend the treatment interval) and/or other targets. In addition, we are aware of several other companies developing biosimilar versions of EYLEA, EYLEA HD, and/or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EYLEA HD was approved by the FDA in August 2023 for the treatment of wAMD, DME, and DR. As a newly approved product, EYLEA HD has entered the highly competitive environment described above. Our success in commercializing EYLEA HD will depend on a number of factors, including the degree of success and relative timing of our commercial launch and uptake efforts as compared to those of relevant competition, the extent to which we and our collaborators are able to differentiate EYLEA HD from competitive products (such as on the basis of dosing frequency or the method of administration), the safety and efficacy of EYLEA HD seen in a broader patient group (i.e., real-world use), the extent of payor coverage and reimbursement, and the applicability of any restrictions imposed by payors, such as step therapy.</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also increasingly competitive. In atopic dermatitis, there are topical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systemic JAK inhibitors and antibodies against IL-13 and IL-4Ra approved or in development for atopic dermatitis. There is also an antibody against IL-31R approved for prurigo nodularis and in development for atopic dermatitis. In addition, a number of companies are developing antibodies against other targets, including OX40(L), that may compete with Dupixent in atopic dermatitis and other indications (including asthma and/or prurigo nodularis).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EoE, and COPD. There are several other potentially competitive products in development that may compete with Dupixent in asthma, COPD, and potential future indications, including</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antibodies against the IL-33 ligand or receptor. Dupixent also faces competition from inhaled products in asthma, COPD, and potential future indications.</w:t>
      </w:r>
    </w:p>
    <w:p>
      <w:pPr>
        <w:spacing w:after="0" w:line="1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Libtayo. </w:t>
      </w: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PDL-1 (some of which were approved in the relevant indications and commercialized before 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and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marketed products. </w:t>
      </w: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treat the same conditions as Praluent, Evkeeza, and Kevzara,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HD and EYLEA in the United States for its currently approved indications, we have no sales, marketing, commercial, or distribution capabilities for EYLEA HD 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HD and EYLEA outside the United States.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adversely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many countries outside the United States. While we exercised our option under the Antibody Collaboration to co-commercialize Dupixent in certain jurisdictions outside the United States, we will continue to rely in considerable part on Sanofi's sales and marketing organization in such jurisdictions.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While we have some commercial presence outside the United States, our commercial capabilities outside the United States are still limited and would need to be further developed or outsourced. Therefore, termination of the Bayer collaboration agreement or our Antibody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 collaboration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Bayer for EYLEA HD and EYLEA is terminated, or Bayer materially breaches its obligations thereunder, our business, prospects, operating results, and financial condition, and our ability to</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continue to commercialize EYLEA HD and EYLEA outside the United States would be materially harmed</w:t>
      </w:r>
      <w:r>
        <w:rPr>
          <w:rFonts w:ascii="Times New Roman" w:cs="Times New Roman" w:eastAsia="Times New Roman" w:hAnsi="Times New Roman"/>
          <w:sz w:val="18"/>
          <w:szCs w:val="18"/>
          <w:color w:val="auto"/>
        </w:rPr>
        <w:t>" below and "Risks Related to Our Reliance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Transactions with Third Parties - </w:t>
      </w:r>
      <w:r>
        <w:rPr>
          <w:rFonts w:ascii="Times New Roman" w:cs="Times New Roman" w:eastAsia="Times New Roman" w:hAnsi="Times New Roman"/>
          <w:sz w:val="18"/>
          <w:szCs w:val="18"/>
          <w:i w:val="1"/>
          <w:iCs w:val="1"/>
          <w:color w:val="auto"/>
        </w:rPr>
        <w:t>If our Antibody Collaboration with Sanofi is terminated, or Sanofi materially breaches its obligations thereunder,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prospects, operating results, and financial condition, and our ability to develop, manufacture, and commercialize certain of our products and product candidates in the time expected, or at all, may be materially harmed</w:t>
      </w:r>
      <w:r>
        <w:rPr>
          <w:rFonts w:ascii="Times New Roman" w:cs="Times New Roman" w:eastAsia="Times New Roman" w:hAnsi="Times New Roman"/>
          <w:sz w:val="18"/>
          <w:szCs w:val="18"/>
          <w:color w:val="auto"/>
        </w:rPr>
        <w:t>" below.</w:t>
      </w:r>
    </w:p>
    <w:p>
      <w:pPr>
        <w:spacing w:after="0" w:line="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tax rates, or national regulation of prices. Under our arrangement with Bayer, pricing and reimbursement for EYLEA HD and EYLEA outside the United States is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candidates are typically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(collectively, "distributor customers"), which generally sell the product directly to healthcare providers or other pharmacies (as applicable). For the nine months ended September 30, 2024 and 2023, our product sales to two distributor customers accounted on a combined basis for 75% and 77% of our total gross product revenue, respectively. We expect significant distributor customer concentration to continue for the foreseeable future. Our ability to generate and grow sales of these products will depend, in part, on the extent to which our distributor customers are able to provide adequate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 of these products to healthcare providers. Although we believe we can find additional distributors, if necessary, our revenue during any period of disruption could suffer and we might incur additional costs. In addition, these distributor customers are responsible for a significant portion of our net trade accounts receivable balances. The loss of any large distributor customer, a significant reduction in sales we make to them, any cancellation of orders they have made with us, or any failure to pay for the products we have shipped to them could adversely affect our results of operations. Commercialization of any of our marketed products may also be adversely impacted by vertical integration of private payor healthcare and insurance programs, health maintenance organizations, and PBMs, or further consolidation among the healthcare providers served by our distributor customers if, for example, one or more consolidated groups of healthcare providers determines not to use (or decides to switch from) such marketed product in favor of a competing product. See also "</w:t>
      </w:r>
      <w:r>
        <w:rPr>
          <w:rFonts w:ascii="Times New Roman" w:cs="Times New Roman" w:eastAsia="Times New Roman" w:hAnsi="Times New Roman"/>
          <w:sz w:val="18"/>
          <w:szCs w:val="18"/>
          <w:i w:val="1"/>
          <w:iCs w:val="1"/>
          <w:color w:val="auto"/>
        </w:rPr>
        <w:t>The commercial success of our products and product candidates is subject to significant competition -</w:t>
      </w:r>
      <w:r>
        <w:rPr>
          <w:rFonts w:ascii="Times New Roman" w:cs="Times New Roman" w:eastAsia="Times New Roman" w:hAnsi="Times New Roman"/>
          <w:sz w:val="18"/>
          <w:szCs w:val="18"/>
          <w:color w:val="auto"/>
        </w:rPr>
        <w:t xml:space="preserve"> Marketed Products" above.</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sufficient commercial capabilities outside the United States for Libtayo, Dupixent, and any other products we intend to commercialize or co-commercialize outside the United States, our business, prospects, operating results, and financial condition may be adversely affected.</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limited commercial capabilities outside the United States and have not yet fully established an organization for the sales, marketing, and distribution of marketed products outside the United States. We are in the process of establishing these capabilities outside the United States for Libtayo in connection with our 2022 entry into an Amended and Restated Immuno-oncology License and Collaboration Agreement with Sanofi (the "A&amp;R IO LCA") whereby, following a defined transition period, the Company will exclusively commercialize and manufacture Libtayo on a worldwide basis. In addition to fully establishing these commercial capabilities by the end of the transition period, we will also need to obtain and/or maintain regulatory approvals and secure pricing and reimbursement for Libtayo in many jurisdictions outside the United States (including Europe and Japan). Further, following the exercise of our option under the Antibody Collaboration to co-commercialize Dupixent in certain jurisdictions outside the United States, we have established certain co-commercialization capabilities for Dupixent in some of these jurisdictions and are in the process of establishing these capabilities in others. There may be other circumstances in which we need to establish further commercial capabilities outside the United States, including because we decide to commercialize a particular product independently; we are unable to find an appropriate collaborator; or an existing collaborator decides to opt out or breaches its obligations to us with respect to a particular product.</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beyond what we have done so far, we must build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full commercial capabilities outside the United States (particularly as it relates to Libtayo, for which we plan to expand our global commercialization footprint as noted above)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We must obtain and maintain similar regulatory approvals from comparable foreign regulatory authorities in order to sell drugs outside the United States. Obtaining FDA or comparable foreign regulatory authority approval for a new drug or indication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in the United States, the FDA may determine that a Risk Evaluation and Mitigation Strategy ("REMS") is necessary to ensure that the benefits of a new product outweigh its risks, and the product can therefore be approved. A REMS may include various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or additional analyses of data from existing studies and submit the data before it will reconsider our application. Depending on the extent of these or any other studies or analyses that might be required, approval of any applications that we submit may be delayed significantly, or we may be required to expend more resources. It is also possible that any such additional studies or analyses, if performed and completed, may not be considered sufficient by the FDA to make our applications approvable. If any of these outcomes occur, we may be forced to delay or abandon our applications for approval. For example, in October 2023, the FDA issued a CRL for the sBLA for Dupixent in CSU stating that additional efficacy data are required to support an approval. While we recently reported results from a confirmatory Phase 3 clinical trial of Dupixent in CSU (in biologic-naïve patients), there can be no assurance that such data will ultimately result in FDA or other regulatory approval. As another example of this type of risk, the FDA's request for additional analyses regarding sub-populations from the BOREAS and NOTUS pivotal studies delayed by three months the FDA's September 2024 approval of our sBLA for Dupixent as an add-on maintenance treatment of adults with inadequately controlled COPD and an eosinophilic phenotype.</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countries outside the United States.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While the FDA has performance goals that provide for action on BLA submissions by certain deadlines, the FDA's review goals are subject to change and the duration of the FDA's review depends on a number of factors, including the number and types of other applications that are submitted to the FDA around the same time period or are pending. The FDA's review may be delayed because the FDA requests additional information or for other reasons, including those beyond our control. For example, in 2022, an FDA travel complication related to scheduling a routine clinical trial site inspection in eastern Europe delayed by nearly two months the FDA's approval of our sBLA for the combination treatment of Libtayo with chemotherapy in NSCLC.</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believe we meet eligibility requirements, we may apply for various regulatory incentives in the United States, such as breakthrough therapy designation, fast track designation, accelerated approval, or priority review, where available, that serve to expedite drug development and/or review, and we may also seek similar designations elsewhere in the world. Often, regulatory agencies have broad discretion in determining whether or not product candidates qualify for such regulatory incentives and benefits, and we cannot guarantee we would be successful in obtaining beneficial regulatory designations by the FDA or other regulatory agencies. Even if obtained, such designations may not result in faster development processes, reviews, or approvals compared to drugs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 FDA guidance relating to accelerated approval of oncology therapeutics indicates that a confirmatory trial for a particular oncology product candidate should be underway when the related BLA is submitted to the FDA and also states that the FDA may require that a confirmatory trial for a particular oncology product candidate be well underway, if not fully enrolled, by the time of the accelerated approval action. Application of this guidance and related rules to our product candidates may result in a delay of the FDA review and approval process despite any earlier beneficial regulatory designation such product candidates may have received. For example, in March 2024, the FDA issued CRLs concerning our BLA for odronextamab for the treatment of relapsed/refractory FL and DLBCL due to the enrollment status of confirmatory Phase 3 trials.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Good Clinical Practice requirements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 manner in which such principles are implemented may not be specifically delineated, which can be challenging as the FDA and comparable foreign regulatory authorities increasingly scrutinize compliance with these requirements and regulations. As a result,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example, in June 2023, the FDA issued a CRL concerning the Company's BLA for EYLEA HD for the treatment of wAMD, DME, and DR due to unresolved observations resulting from an inspection at a third-party fill/finish provider, which resulted in a delay of the FDA approval of EYLEA HD by nearly two months. Similarly, in August 2024, the FDA issued a CRL concerning the Company's BLA for linvoseltamab in relapsed/refractory multiple myeloma due to findings from a pre-approval inspection at a third-party fill/finish provider for another company's product</w:t>
      </w:r>
    </w:p>
    <w:p>
      <w:pPr>
        <w:spacing w:after="0" w:line="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candidate. For additional information, see "Risks Related to Manufacturing and Supply - </w:t>
      </w:r>
      <w:r>
        <w:rPr>
          <w:rFonts w:ascii="Times New Roman" w:cs="Times New Roman" w:eastAsia="Times New Roman" w:hAnsi="Times New Roman"/>
          <w:sz w:val="18"/>
          <w:szCs w:val="18"/>
          <w:i w:val="1"/>
          <w:iCs w:val="1"/>
          <w:color w:val="auto"/>
        </w:rPr>
        <w:t>Our or our collaborators' failure to meet the stringent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w:t>
      </w: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regulatory approval is obtained, and a reduction in sales.</w:t>
      </w:r>
      <w:r>
        <w:rPr>
          <w:rFonts w:ascii="Times New Roman" w:cs="Times New Roman" w:eastAsia="Times New Roman" w:hAnsi="Times New Roman"/>
          <w:sz w:val="18"/>
          <w:szCs w:val="18"/>
          <w:color w:val="auto"/>
        </w:rPr>
        <w:t>" Our business, prospects, operating results, and financial condition may be materially harmed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of noncompliance with the requirements and regulations described in this paragraph.</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or other regulatory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countries outside the United States.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countries outside the United States. From time to time, we may hold a product's marketing approval in a jurisdiction outside the United States where we may have less experience and where our regulatory capabilities may be more limited; this will be the case for Libtayo in many jurisdictions outside the United States (including Europe and Japan) once we complete the full transition from Sanofi pursuant to the A&amp;R IO LCA discussed above.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 MAA in the EU. In addition, such authorities often have the authority to require post-approval studies, such as a post-authorization safety study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("PASS") and/or post-authorization efficacy study ("PAES"), which involve various risks similar to those described above. Whether or not we obtain FDA approval for a product in the United States, we must obtain approval of the product by the comparable regulatory authorities in countries outside the United States before we can market that product or any other product in those countries.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are subject to extensive pharmacovigilance reporting and other pharmacovigilance requirements, which may differ in the numerous countries in which we conduct clinical trials or commercialize a product. Failure to comply with any such requirements may result in the premature closure of the clinical trials and other enforcement actions by the relevant regulatory authorities. For example, if we do not manage to retain a Qualified Person Responsible for Pharmacovigilance ("QPPV"), to maintain a Pharmacovigilance System Master File ("PSMF"), or to comply with other pharmacovigilance obligations in the European Economic Area ("EEA"), we may be at risk of our clinical trials being closed prematurely, our marketing authorization being suspended, and we may be subject to other enforcement actions by the national competent authorities of the EEA or the EC.</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 requirements ("GLPs") or GCPs. A clinical trial may also fail because the dose(s) of the investigational drug included in the trial were either too low or too high to determine the optimal effect of the investigational drug in the disease setting.</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conducting clinical trials in countries outside the United States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Ukraine, and/or Israel. While we currently do not expect the Russia-Ukraine or Hamas-Israel armed conflict or related developments to have a significant impact on our ability to obtain results from clinical trials conducted by us or our collaborators,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such countries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 If concerns arise about the safety of a product candidate or non-compliance with the protocol or applicable regulatory requirements, the FDA or other regulatory authorities can delay or suspend a clinical trial by placing it on a full or partial "clinical hold" pending receipt of additional data or the satisfaction of other conditions. A clinical hold may require us to spend significant resources to address the underlying causes of the clinical hold and may result in a delay in the clinical program, which may be significant. In addition, if we are not able to successfully address such underlying causes or our response is not deemed adequate to lift the clinical hold, the clinical program may have to be terminated. Any such clinical program delays or terminations may adversely affect our business.</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respect to EYLEA and EYLEA HD, there are many potential safety concerns associated with significant blockade of VEGF that may limit our ability to further successfully commercialize EYLEA and to successfully commercialize EYLEA HD.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retinal tear, and retinal vasculitis), which can cause injury to the eye and other complications. The side effects previously reported for aflibercept include conjunctival hemorrhage, macular degeneration, eye pain, retinal hemorrhage, and vitreous floaters. While the safety of EYLEA HD was similar to EYLEA in clinical trials, it is possible that the use of EYLEA HD outside the clinical trial setting may yield different outcomes or patient experiences. In addition, commercialization of EYLEA and EYLEA HD or our other products and potential future commercialization of our product candidates may be impacted by actions of third parties on which we rely, such as manufacturers of syringes or other devices used in the administration of our products. EYLEA HD is being studied in patients with RVO, as shown in the table under Part I, Item 2. "Management's Discussion and Analysis of Financial Condition and Results of Operations - Overview - Programs in Clinical Development." There is no guarantee that regulatory approval of EYLEA HD in this indication will be successfully obtained. These and other complications or issues or side effects could harm further development and/or commercialization of EYLEA and EYLEA HD.</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regulatory approval of Dupixent or Libtayo (as applicable) in any of these indications will be successfully obtained. The side effects previously reported for Dupixent include hypersensitivity reactions, eye problems (including conjunctivitis and keratitis), injection-site reactions, eye and eyelid inflammation, cold sores, oropharyngeal pain, eosinophilia, insomnia, toothache, gastritis, joint pain (arthralgia), parasitic (helminth) infections, and facial rash or redness; and the side effects previously reported for Libtayo include certain immune-mediated adverse reactions that may occur in any organ system or tissue, including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In addition, there are risks inherent in intravenous administration (which are used for some of our antibody-based products and product candidates),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and EYLEA HD may in the future be approved in the 8mg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11 to our Condensed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Our ability to protect our trade secrets may be impaired by a number of risks and uncertainties, including those discussed under "Other Regulatory and Litigation Risks - </w:t>
      </w:r>
      <w:r>
        <w:rPr>
          <w:rFonts w:ascii="Times New Roman" w:cs="Times New Roman" w:eastAsia="Times New Roman" w:hAnsi="Times New Roman"/>
          <w:sz w:val="18"/>
          <w:szCs w:val="18"/>
          <w:i w:val="1"/>
          <w:iCs w:val="1"/>
          <w:color w:val="auto"/>
        </w:rPr>
        <w:t>Increasing use of social media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artificial intelligence-based platforms could give rise to liability, breaches of data security and privacy laws, or reputational damage</w:t>
      </w:r>
      <w:r>
        <w:rPr>
          <w:rFonts w:ascii="Times New Roman" w:cs="Times New Roman" w:eastAsia="Times New Roman" w:hAnsi="Times New Roman"/>
          <w:sz w:val="18"/>
          <w:szCs w:val="18"/>
          <w:color w:val="auto"/>
        </w:rPr>
        <w: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Risks Related to Our Business - </w:t>
      </w:r>
      <w:r>
        <w:rPr>
          <w:rFonts w:ascii="Times New Roman" w:cs="Times New Roman" w:eastAsia="Times New Roman" w:hAnsi="Times New Roman"/>
          <w:sz w:val="18"/>
          <w:szCs w:val="18"/>
          <w:i w:val="1"/>
          <w:iCs w:val="1"/>
          <w:color w:val="auto"/>
        </w:rPr>
        <w:t>Significant disruptions of information technology systems or breaches of data security could adversely affect our business</w:t>
      </w:r>
      <w:r>
        <w:rPr>
          <w:rFonts w:ascii="Times New Roman" w:cs="Times New Roman" w:eastAsia="Times New Roman" w:hAnsi="Times New Roman"/>
          <w:sz w:val="18"/>
          <w:szCs w:val="18"/>
          <w:color w:val="auto"/>
        </w:rPr>
        <w:t xml:space="preserve">" below.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as further described in Note 11 to our Condensed Consolidated Financial Statements included in this report.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Europe and are costly to defend. For example, in 2021, anonymous parties initiated opposition proceedings in the European Patent Office ("EPO") against our European Patent No. 2,944,306 (which concerns pre-filled syringes comprising ophthalmic formulations containing VEGF antagonists such as aflibercept for intravitreal administration), as further described in Note 11 to our Condensed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also affect the value of our intellectual property or narrow the scope of our patents. We cannot be certain that our intellectual property rights related to any current or future product or product candidate or technology would not be eliminated, narrowed, or weakened by any such change or other rulemaking.</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are not able to prevent third parties from practicing our inventions in Russia or from selling or importing products made using our inventions in and into Russia.</w:t>
      </w:r>
    </w:p>
    <w:p>
      <w:pPr>
        <w:spacing w:after="0" w:line="1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10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are currently party to patent infringement and other proceedings relating to EYLEA, as described in Note 11 to our Condensed Consolidated Financial Statements.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product candidates infringe any valid claim in these patents or patent applications, these other parties could initiate lawsuits for patent infringement and assert that their patents are valid and cover our products or our late-stage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under the Orphan Drug Act in the United States, if a product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candidate with an orphan drug designation subsequently receives FDA approval for indication(s) within the scope of such designation, the product will be entitled to orphan drug exclusivity for such indication(s), barring the FDA from approving for seven years in such approved indication(s) another sponsor's application for a product candidate considered under the FDA regulations to be the same drug as the previously-approved drug with orphan drug exclusivity. This orphan drug exclusivity does not block approval of competing products intended for the orphan exclusivity-protected indication but containing a different active moiety or principal molecular structure, or containing the same active moiety or principal molecular structure but intended for a different indication. Similarly, in the EU, a designated orphan drug is provided up to 10 years of market exclusivity in the orphan indication, during which time the EMA is generally precluded from accepting a MAA for a similar medicinal product. In both the United States and the EU, if a sponsor can demonstrate that a new product is safer, more effective, or otherwise clinically superior to the original orphan product, orphan exclusivity will not bar approval of the new product.</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regulatory pathways for biosimilar competition, have in the past reduced and could reduce in the future the duration of market exclusivity for our products.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jurisdictions outside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Biosimilar versions of EYLEA have been recently approved in the United States, EU, and other jurisdictions, with additional biosimilar versions of EYLEA and/or EYLEA HD in development,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commercial success of our products and product candidates is subject to significant competition - </w:t>
      </w:r>
      <w:r>
        <w:rPr>
          <w:rFonts w:ascii="Times New Roman" w:cs="Times New Roman" w:eastAsia="Times New Roman" w:hAnsi="Times New Roman"/>
          <w:sz w:val="18"/>
          <w:szCs w:val="18"/>
          <w:color w:val="auto"/>
        </w:rPr>
        <w:t>Marketed Products" above. In the United States,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exclusivity period for EYLEA (i.e., the period during which no biosimilar product could be approved by the FDA) expired on May 18, 2024. Following the anticipated near-term launch of biosimilar competition to EYLEA in the United States, we will no longer benefit from U.S. market exclusivity for EYLEA. In addition, as EYLEA HD does not benefit from regulatory exclusivity in the United States, market exclusivity for EYLEA HD in the United States is based solely on our patent rights pertaining to this product (which are subject to the risks and uncertainties discussed above under "</w:t>
      </w:r>
      <w:r>
        <w:rPr>
          <w:rFonts w:ascii="Times New Roman" w:cs="Times New Roman" w:eastAsia="Times New Roman" w:hAnsi="Times New Roman"/>
          <w:sz w:val="18"/>
          <w:szCs w:val="18"/>
          <w:i w:val="1"/>
          <w:iCs w:val="1"/>
          <w:color w:val="auto"/>
        </w:rPr>
        <w:t>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cannot protect the 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Any future loss of market exclusivity for a product (such as EYLEA HD)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likely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negatively affect revenues from product sales of that product and thus our financial results and condition and could have a material negative impact on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or if there is greater demand than currently expected for our marketed products.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has exacerbated, and this or other public health outbreaks, epidemics, or pandemics may in the future further exacerbate, certain of these risks. For example, the impact of having to prioritize certain manufacturing-related resources for our COVID-19 monoclonal antibodies in recent years included and may in the future include, among other things, drawing down inventory safety stock levels for certain of our other products (including Dupixent and EYLEA). Depending on the demand for our products and other relevant factors, we may not be able to replenish our inventory safety stock to the levels we deem prudent or supply our products and product candidates in sufficient quantities to satisfy our commercial and development needs. We also currently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constructed a fill/finish facility in Rensselaer, New York that is currently undergoing process validation as required by regulatory authorities (refer to Part I, Item 2. "Management's Discussion and Analysis of Financial Condition and Results of Operations – Liquidity and Capital Resources" for information about capital expenditures relating to this and other projects). In addition, we may need to develop or acquire additional manufacturing capabilities to the extent we or our collaborators pursue the development of drugs generated by means other than our existing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further described in Note 11 to our Condensed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charge to write down inventory related to REGEN-COV.</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have led in the past and could lead in the future to product defects or manufacturing failures, resulting in lot failures, product recalls, product liability claims, and/or insufficient inventory. Also, the complexity of our manufacturing process may make it difficult, time-consuming, and expensive to transfer our technology to our collaborators or contract manufacturers.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and the armed conflict between Russia and Ukraine, which have exacerbated many of these issues, or other public health outbreaks, epidemics, or pandemics or geopolitical developments). 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if the recently proposed federal legislation known as the BIOSECURE Act or a similar law were to be enacted or if other trade restrictions were to be imposed.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or advance our or our collaborators' preclinical research or clinical development programs, which could materially and adversely affect our business and future prospects.</w:t>
      </w:r>
    </w:p>
    <w:p>
      <w:pPr>
        <w:spacing w:after="0" w:line="11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Recently, the FDA issued CRLs to multiple companies (including us, as further discussed below) citing unresolved inspection findings at third-party manufacturers, which prevented the timely approval of such companies' marketing applications.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w:t>
      </w:r>
    </w:p>
    <w:p>
      <w:pPr>
        <w:spacing w:after="0" w:line="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products, which could be seriously detrimental to our business, prospects, operating results, and financial condition. For example, in June 2023, the FDA issued a CRL concerning the Company's BLA for EYLEA HD for the treatment of wAMD, DME, and DR due to unresolved observations resulting from an inspection at a third-party fill/finish provider, which resulted in a delay of the FDA approval of EYLEA HD by nearly two months. Similarly, in August 2024, the FDA issued a CRL concerning the Company's BLA for linvoseltamab in relapsed/refractory multiple myeloma due to findings from a pre-approval inspection at a third-party fill/finish provider for another company's product candidate. Refer to Part I, Item 2. "Management's Discussion and Analysis of Financial Condition and Results of Operations - Overview - Additional Information - Clinical Development Programs" for more information. Significant noncompliance with the requirements discussed in this paragraph could also result in the imposition of monetary penalties or other civil or criminal sanctions and damage our reputation.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have previously been subject to, and may in the future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certain communications regarding unapproved uses, industry-sponsored scientific and educational activities, and sales representatives' communications. Failure to comply with applicable FDA requirements and restrictions in this area may subject a company to adverse enforcement action by the FDA, the Department of Justice, or the Office of the Inspector General of the U.S. Department of Health and Human Services ("HHS"), as well as state authorities. This could subject a company to a range of penalties that could have a significant commercial impact, including civil and criminal fines and agreements that materially restrict the manner in which a company promotes or distributes a drug. Any such failures could also cause significant reputational harm.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The Bipartisan Budget Act of 2018 has increased the criminal and civil penalties that can be imposed for violating certain federal healthcare laws, including the federal anti-kickback statute.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11 to our Condensed Consolidated Financial Statements included in this report, we are party to civil proceedings initiated or joined by the U.S. Department of Justice and the U.S. Attorney's Office for the District of Massachusetts concerning certain business activities; and we are cooperating with other pending government investigations. Any adverse decision, finding, allegation, or exercise of enforcement or regulatory discretion in any such proceedings or investigations could harm our business, prospects, operating results, and financial condition.</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licensed physicians 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Applicable manufacturers also are required to report information regarding payments and transfers of value provided to physician assistants, nurse practitioners, clinical nurse specialists, certified nurse anesthetists, anesthesiologist assistants, and certified nurse-midwives. We also have similar reporting obligations in other countries based on laws, regulations, and/or industry trade association requirements.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and need to be prepared to comply with additional reporting obligations outside the United States.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program (which is administered by the Health Resources and Services Administration ("HRSA")), the U.S. Department of Veterans Affairs ("VA") Federal Supply Schedule ("FSS") pricing program, the Tricare Retail Pharmacy Program, and other federal and state government pricing programs. Such programs often require us to provide discounts and/or pay rebates to certain government payors and/or private purchasers.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For example,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fail to pay the required rebate,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knowingly and intentionally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financial results. In September 2024, CMS modified the regulations governing the Medicaid Drug Rebate Program, which could further increase our costs and the complexity of compliance, impact rebate liabilities, and be time-consuming to implement. Other regulations and coverage expansion by various governmental agencies relating to the Medicaid Drug Rebate program may have a similar impact.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HRSA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future changes to the definition of average manufacturer price and the Medicaid rebate amount under the PPACA or otherwise could affect our 340B ceiling price calculations and negatively impact our results of operations.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68"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w:t>
      </w:r>
    </w:p>
    <w:p>
      <w:pPr>
        <w:spacing w:after="0" w:line="1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expanded, and are expected to continue to expand, due to, in part, our efforts to establish our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U.S. federal, state, and foreign laws and agency regulations could have a materially negative impact on our business.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in April 2023, the European Commission published a proposal to replace the current pharmaceutical legislative framework in the EU. While it is uncertain whether such proposal will be adopted in its current form, there may ultimately be a number of changes to the current regulatory framework in the EU, including a reduction of the data protection and market exclusivity periods provided thereby.</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U.S. federal or state governments could carry out other significant changes in legislation, regulation, or government policy, including with respect to government reimbursement changes or drug price control measures (such as those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Changes to product reimbursement and coverage policies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practices may materially harm our business, prospects, operating results, and financial condition</w:t>
      </w:r>
      <w:r>
        <w:rPr>
          <w:rFonts w:ascii="Times New Roman" w:cs="Times New Roman" w:eastAsia="Times New Roman" w:hAnsi="Times New Roman"/>
          <w:sz w:val="18"/>
          <w:szCs w:val="18"/>
          <w:color w:val="auto"/>
        </w:rPr>
        <w:t>") or the PPACA or other healthcare reform laws. While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operations and conduct business in many countries outside the United States and have been significantly expanding the scope of these activities in existing and/or additional countries, including EU countries and Japan. For example, as discussed above, we are in the process of establishing commercial capabilities related to Libtayo in many jurisdictions outside the United States following our entry into the A&amp;R IO LCA; and we perform co-commercialization activities under the Antibody Collaboration related to Dupixent in certain jurisdictions outside the United States. Consequently, we are, and will continue to be, subject to risks related to operating in countries outside the United States, particularly those in which we have not previously established operations, and many of these risks will increase as we expand our activities in such jurisdictions. These risks include:</w:t>
      </w:r>
    </w:p>
    <w:p>
      <w:pPr>
        <w:spacing w:after="0" w:line="120" w:lineRule="exact"/>
        <w:rPr>
          <w:sz w:val="20"/>
          <w:szCs w:val="20"/>
          <w:color w:val="auto"/>
        </w:rPr>
      </w:pPr>
    </w:p>
    <w:p>
      <w:pPr>
        <w:jc w:val="both"/>
        <w:ind w:left="660" w:hanging="328"/>
        <w:spacing w:after="0" w:line="25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 and the cost of compliance with such foreign laws and regulatory requirements;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could adversely affect our reputation and our business, prospects, operating results, and financial condition</w:t>
      </w:r>
      <w:r>
        <w:rPr>
          <w:rFonts w:ascii="Times New Roman" w:cs="Times New Roman" w:eastAsia="Times New Roman" w:hAnsi="Times New Roman"/>
          <w:sz w:val="18"/>
          <w:szCs w:val="18"/>
          <w:color w:val="auto"/>
        </w:rPr>
        <w:t>"), as well as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laws and regulations;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the Russia-Ukraine or Hamas-Israel armed conflict;</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right="2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large-scale manufacturing operations in Limerick, Ireland and have also established offices in the United Kingdom, Germany, Japan, and other countries outside the United States. Changes impacting our ability to conduct business in the those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income tax in the United States and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(which depend in part on the price of our stock and, therefore, are beyond our control), and changes in tax laws or regulations. For example, the OECD Pillar Two framework has influenced tax laws in countries in which we operate, including the implementation of minimum taxes. Changes to these or other laws and regulations or their interpretations could materially adversely impact our effective tax rate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data privacy laws in the United States and abroad.</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operations and conduct business in several countries outside the United States and plan to significantly expand the scope of these activities in those and/or additional countries, as discussed above under "</w:t>
      </w:r>
      <w:r>
        <w:rPr>
          <w:rFonts w:ascii="Times New Roman" w:cs="Times New Roman" w:eastAsia="Times New Roman" w:hAnsi="Times New Roman"/>
          <w:sz w:val="18"/>
          <w:szCs w:val="18"/>
          <w:i w:val="1"/>
          <w:iCs w:val="1"/>
          <w:color w:val="auto"/>
        </w:rPr>
        <w:t>Risks associated with our operations outside the United States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These activities subject us to additional data protection authority oversight and require us to comply with stringent local and regional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privacy laws, including the EU's General Data Protection Regulations ("GDPR"). The GDPR has a wide range of compliance obligations, including increased consent and transparency requirements and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Many of the countries that have comprehensive data privacy laws have modeled their requirements after the GDPR. Compliance with these requirements has been and is expected to continue to be costly and time consuming.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clinical trials in many countries around the world, which have new or evolving data privacy laws that are often not interpreted consistently by regulatory authorities, institutional review boards/ethics committees, or clinical trial sites. This complexity has resulted in increased liability in the management of clinical trial data, as well as additional compliance, contractual, and due-diligence obligations that could lead to a delay in clinical trial site start-up. There also has been an increase of enforcement activities in various EU countries that require evidence of compliance with local data privacy requirements.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other countries with localization laws (i.e., laws mandating that personal data collected in a foreign country be processed and stored within that country), or improper processing of personal data. Failure by us or our collaborators to comply with the strict rules on the transfer of personal data into the U.S. could result in the imposition of criminal and administrative sanctions on us or such collaborators or impact the flow of personal data, which could adversely affect our business.</w:t>
      </w:r>
    </w:p>
    <w:p>
      <w:pPr>
        <w:spacing w:after="0" w:line="1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Most U.S. healthcare providers, including research institutions from which we or our collaborators obtain clinical trial data, are subject to privacy and security regulations promulgated under the Health Insurance Portability and Accountability Act of 1996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("HIPAA"). For example, as part of our human genetics initiative, our wholly-owned subsidiary, Regeneron Genetics Center LLC, has entered into collaborations with many research institutions that are subject to HIPAA. While Regeneron is not directly subject to HIPAA, other than potentially with respect to providing certain employee benefits, we could be subject to criminal penalties if we, our affiliates, or our agents knowingly receive protected health information ("PHI") in a manner that is not permitted under HIPAA. Consequently, depending on the facts and circumstances, we could face substantial criminal penalties if we knowingly receive PHI from a healthcare provider or research institution that has not satisfied HIPAA's requirements for its disclosure. There are instances where we collect and maintain personal data, which may include health information that is outside the scope of HIPAA but within the scope of state health privacy laws or similar state level privacy legislation.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Consumer protection laws impact the manner in which we develop and maintain processes to support our patient assistance programs, product marketing activities, and the sharing of employee and clinical data for internal and third-party commercial activities. Several U.S. states have proposed and passed consumer privacy laws, which were modeled after the California Consumer Privacy Act of 2018 ("CCPA") and influenced by the GDPR. The CCPA is a consumer protection law that establishes requirements for data use and sharing transparency and provides California residents with personal data privacy rights regarding the use, disclosure, and retention of their personal data. Amendments to the CCPA have, among other things, imposed new obligations to provide notice where personal data will be de-identified. Failure to comply with the CCPA may result in, among other things, significant civil penalties and injunctive relief, or statutory or actual damages. In addition, California residents have the right to bring a private right of action in connection with data privacy incidents involving certain elements of personal data. These claims may result in significant liability and damages. These laws and regulations are constantly evolving and may impose limitations on our business activities. Several additional state consumer privacy laws recently went into effect and many other consumer privacy laws are expected to go into effect in the near future. Notably, these state laws provide more restrictions on the use of sensitive personal data, including health information. These states require robust consent and authorizations prior to any collection or use of this data, which may have a large impact on our ability to market to individuals in these jurisdictions based on their health conditions. At the federal level, Section 5 of the FTC Act is a consumer protection law that bars unfair and deceptive acts and practices and requires, among other things, companies to notify individuals that they will safeguard their personal data and that they will fulfil the commitments made in their privacy notices. The FTC has brought legal actions against organizations that have violated consumers' privacy rights or have misled them by failing to maintain appropriate security. For example, in recent years the FTC has issued several enforcement actions related to privacy in the healthcare space, under both Section 5 of the FTC Act and the Health Breach Notification Rule, involving companies allegedly using consumer health data for marketing purposes in violation of their own policies and assurances.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health privacy laws, data breach notification laws, consumer protection laws, data localization laws, biometric privacy laws, and genetic privacy laws may apply directly to our operations and/or those of our collaborators and business partners and may impose restrictions on our collection, use, and dissemination of individuals' health and other personal data. Individuals about whom we or our collaborators obtain health or other personal data, as well as the providers and third parties who share this data with us, may have statutory or contractual limits that impact our ability to further use and disclose the data.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Federal regulators, state attorneys general, and plaintiffs' attorneys have been active in this space.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local, or foreign regulatory requirements, we could be subject to a range of regulatory actions that could affect our or any collaborators' ability to commercialize our products. Any threatened or actual government enforcement action could also generate adverse publicity and could result in additional regulatory oversight.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artificial intelligence-based platforms could give rise to liability, breaches of data security and privacy laws, or reputational damage.</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data of our employees, clinical trial participants, customers, and others. Furthermore, negative posts or comments about us or our products in social media could seriously damage our reputation, brand image, and goodwill. Additionally, artificial intelligence ("AI")-based solutions, including generative AI, are increasingly being used in the biopharmaceutical industry (including by us). The use of AI solutions by our employees or third parties on which we rely may continue to increase and may lead to the public disclosure of confidential information (including personal data and proprietary information) in contravention of our internal policies, data protection laws, other applicable laws, or contractual requirements. The misuse of AI solutions may give rise to liability, lead to the loss of trade secrets or other intellectual property, result in reputational harm, or lead to outcomes with unintended biases or other consequences. The misuse of AI solutions could also result in unauthorized access and use of personal data of our employees, clinical trial participants, collaborators, or other third parties. Any of these events could have a material adverse effect on our business, prospects, operating results, and financial condition and could adversely affect the price of our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and product candidates that we are co-developing with Sanofi under our Antibody Collaboration (currently consisting of Dupixent, Kevzara, and itepekimab), Sanofi initially funds a significant portion of development expenses incurred in connection with the development of these products and product candidates. In addition, we rely on Sanofi to lead much of the clinical development efforts, assist with or lead efforts to obtain and maintain regulatory approvals, and lead the commercialization efforts for these products and product candidates.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obligations thereunder, our business, prospects, operating results, and financial condition may be materially harmed. We would be required to either expend substantially more resources than we have anticipated to support our development efforts or cut back on such activities. If Sanofi does not perform its obligations with respect to the products and product candidates it is co-developing and/or co-commercializing with us, our ability to develop, manufacture, and commercialize these products and product candidates may be adversely affected. While we have some commercial presence outside the United States, our commercial capabilities outside the United States are still limited and would need to be further developed or outsourced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sufficient commercial capabilities outside the United States for Libtayo, Dupixent, and any other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Antibody Collaboration may create substantial new and additional risks to the successful development and commercialization of the products and product candidates subject to such collaborations, particularly outside the United States.</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Bayer with respect to the commercialization of EYLEA HD and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HD and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HD and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require us to seek another collaboration that might not be available on favorable terms or at all, and could cause significant issues for the commercialization of EYLEA HD and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 sufficient commercial capabilities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outside the United States for Libtayo, Dupixent, and any other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 agreement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 substantial new and additional risks to the successful commercialization of EYLEA HD and EYLEA.</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such as due to the armed conflict between Russia and Ukraine) or in compliance with applicable GMPs, GLPs, or GCP standards, we could experience additional costs, delays, and difficulties in the manufacture or development of, or in obtaining approval by regulatory authorities for, or successfully commercializing our product candidates. See also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and September 2023, we completed our acquisition of Checkmate Pharmaceuticals, Inc. and Decibel Therapeutics, Inc., respectively; and in April 2024, we acquired full development and commercialization rights to 2seventy bio, Inc.'s oncology and autoimmune preclinical and clinical stage cell therapy pipeline.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controls, systems, practices, policies, and procedures of our Company and the acquired business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research and development, regulatory,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product development or regulatory setbacks (including those relating to issues that may have arisen before we completed the transaction in question),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receiving regulatory approval, and the market for any such product candidates. Our assumptions may prove to be incorrect, which could cause us to fail to realize the anticipated benefits of these transactions.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to consummate acquisitions. For transactions that are ultimately not consummated, these charges may include fees and expenses for investment bankers, attorneys, accountants, and other advisors in connection with our efforts. Even if our efforts to consummate a particular transaction are successful, we may incur substantial charges for closure costs associated with elimination of duplicate operations and facilities, acquired in-process research and development charges, or intangible asset impairment charges. In either case, the incurrence of these charges could adversely affect our operating results for particular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and other key members of our senior management team. If we are not able to retain (or for any other reason lose the services of) any of these persons, our business may suffer. In particular, we depend on the services of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and incidents. For example, in the past we have experienced, and expect to continue to experience, various types of cybersecurity incidents, including unauthorized access to our IT systems, data security breaches, malware incursions, denial-of-service attacks, phishing campaigns, and other similar disruptions. Similar incidents have been experienced and may in the future be experienced by certain third parties on which we rely. Although we believe, based on an assessment of the relevant facts available to us, that none of these incidents has had a material adverse impact on our operations, there can be no assurance that a future incident would not result in material harm to our business, prospects, operating results, and financial condition. There is also the potential that our systems may be directly or indirectly affected as nation-states conduct global cyberwarfare, including in connection with the current Russia-Ukraine or Hamas-Israel armed conflict.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plan for, or manage significant disruptions to these systems, we or our suppliers and/or service providers could have difficulty preventing, detecting, or controlling such disruptions or security breaches, which could result in legal proceedings, liability under U.S. and foreign laws that protect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privacy of personal information, disruptions to our operations, government investigations, breach of contract claims, and damage to our reputation (in each case in the U.S. or globally), which could have a material adverse effect on our business, prospects, operating results, and financial condition.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outbreaks, epidemics, or pandemics (such as the COVID-19 pandemic) have adversely affected and may in the future adversely affect our business.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previously adversely affected, and the COVID-19 pandemic or other actual or threatened public health outbreaks, epidemics, or pandemics may in the future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disruptions in our operations could materially adversely impact our business, prospects, operating results, and financial condition. To the extent a public health outbreak, epidemic, or pandemic adversely affects our business, prospects, operating results, or financial condition, it may also have the effect of heightening many of the other risks described in this "Risk Factors" section.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September 30, 2024, we had an aggregate of $2.704 billion of outstanding indebtedness under our senior unsecured notes and the lease financing facility. We may also incur additional debt in the future. Any such indebtedness could:</w:t>
      </w:r>
    </w:p>
    <w:p>
      <w:pPr>
        <w:spacing w:after="0" w:line="10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Chinese yuan, and Australian dollar. If the U.S. dollar weakens against a specific foreign currency, assuming all other variables remained constant, our revenues will increase, having a positive impact on net income, but our overall expenses will increase, having a negative impact. Conversely, if the U.S. dollar strengthens against a specific foreign currency, assuming all other variables remained constant, our revenues will decrease, having a negative impact on net income, but our overall expenses will decrease, having a positive impact. Therefore, significant changes in foreign exchange rates can impact our operating results and the financial condition of our Company. For example, as previously reported, the amount of our share of profits we earned in connection with commercialization of antibodies outside the United States was adversely impacted in 2022 by the U.S. dollar strengthening against foreign currencies, including the Japanese yen and the euro.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2024, we had $2.012 billion in cash and cash equivalents and $16.276 billion in marketable securities (including $1.308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94" w:lineRule="exact"/>
        <w:rPr>
          <w:sz w:val="20"/>
          <w:szCs w:val="20"/>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HD, EYLEA, Dupixent, and Libtayo, as well as our overall operating results;</w:t>
      </w:r>
    </w:p>
    <w:p>
      <w:pPr>
        <w:ind w:left="660" w:right="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HD,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other major market launch of a biosimilar version of one of our key marketed products (such as EYLEA or EYLEA HD);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 and developments relating to patent litigation and other proceedings and government investigations relating to our Company and operations;</w:t>
      </w: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outbreaks, epidemics, or pandemics (such as the COVID-19 pandemic) on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September 30, 2024, our five largest shareholders plus Dr. Schleifer, our Chief Executive Officer, beneficially owned approximately 39.5% of our outstanding shares of Common Stock, assuming, in the case of our Chief Executive Officer, the conversion of his Class A Stock into Common Stock and the exercise of all options held by him which are exercisable within 60 days of September 30, 2024.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Common Stock or that we will repurchase shares at favorable prices.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2024, our board of directors authorized a share repurchase program to repurchase up to $3.0 billion of our Common Stock (of which $2.893 billion remained available as of September 30, 2024). There can be no assurance of any future share repurchases or share repurchase program authorizations.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repurchase shares of our Common Stock at favorable prices, if at all.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September 30, 2024, holders of Class A Stock held 14.4%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2024:</w:t>
      </w:r>
    </w:p>
    <w:p>
      <w:pPr>
        <w:spacing w:after="0" w:line="106" w:lineRule="exact"/>
        <w:rPr>
          <w:sz w:val="20"/>
          <w:szCs w:val="20"/>
          <w:color w:val="auto"/>
        </w:rPr>
      </w:pPr>
    </w:p>
    <w:p>
      <w:pPr>
        <w:jc w:val="both"/>
        <w:ind w:left="660" w:hanging="328"/>
        <w:spacing w:after="0" w:line="25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5.3% of our outstanding shares of Common Stock, assuming conversion of their Class A Stock into Common Stock and the exercise of all options and release of all restricted stock units held by such persons which are exercisable or releasable within 60 days of September 30, 2024, and 17.0% of the combined voting power of our outstanding shares of Common Stock and Class A Stock, assuming the exercise of all options and release of all restricted stock units held by such persons which are exercisable or releasable within 60 days of September 30, 2024; and</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39.5% of our outstanding shares of Common Stock, assuming, in the case of our Chief Executive Officer, the conversion of his Class A Stock into Common Stock and the exercise of all options held by him which are exercisable within 60 days of September 30, 2024. In addition, these five shareholders plus our Chief Executive Officer held approximately 46.6% of the combined voting power of our outstanding shares of Common Stock and Class A Stock, assuming the exercise of all options held by our Chief Executive Officer which are exercisable within 60 days of September 30, 2024.</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2" w:lineRule="exact"/>
        <w:rPr>
          <w:sz w:val="20"/>
          <w:szCs w:val="20"/>
          <w:color w:val="auto"/>
        </w:rPr>
      </w:pPr>
    </w:p>
    <w:p>
      <w:pPr>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right="2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certain of our current or former collaborators are currently bound by "standstill" provisions under their respective agreements with us. These include the January 2014 amended and restated investor agreement between us and Sanofi, as amended, which contractually prohibits Sanofi from seeking to directly or indirectly exert control of our Company or acquiring more than 30% of our Class A Stock and Common Stock, taken together.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September 30, 2024. Refer to Part I, Item 2. "Management's Discussion and Analysis of Financial Condition and Results of Operations – Liquidity and Capital Resources" for further details of our share repurchase programs.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340" w:type="dxa"/>
            <w:vAlign w:val="bottom"/>
          </w:tcPr>
          <w:p>
            <w:pPr>
              <w:spacing w:after="0"/>
              <w:rPr>
                <w:sz w:val="17"/>
                <w:szCs w:val="17"/>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320" w:type="dxa"/>
            <w:vAlign w:val="bottom"/>
          </w:tcPr>
          <w:p>
            <w:pPr>
              <w:spacing w:after="0"/>
              <w:rPr>
                <w:sz w:val="15"/>
                <w:szCs w:val="15"/>
                <w:color w:val="auto"/>
              </w:rPr>
            </w:pPr>
          </w:p>
        </w:tc>
        <w:tc>
          <w:tcPr>
            <w:tcW w:w="23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6"/>
        </w:trPr>
        <w:tc>
          <w:tcPr>
            <w:tcW w:w="22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43"/>
        </w:trPr>
        <w:tc>
          <w:tcPr>
            <w:tcW w:w="2200" w:type="dxa"/>
            <w:vAlign w:val="bottom"/>
            <w:gridSpan w:val="2"/>
            <w:vMerge w:val="continue"/>
          </w:tcPr>
          <w:p>
            <w:pPr>
              <w:spacing w:after="0"/>
              <w:rPr>
                <w:sz w:val="21"/>
                <w:szCs w:val="21"/>
                <w:color w:val="auto"/>
              </w:rPr>
            </w:pPr>
          </w:p>
        </w:tc>
        <w:tc>
          <w:tcPr>
            <w:tcW w:w="19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7/1/2024–7/31/2024</w:t>
            </w:r>
          </w:p>
        </w:tc>
        <w:tc>
          <w:tcPr>
            <w:tcW w:w="3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210,338</w:t>
            </w:r>
          </w:p>
        </w:tc>
        <w:tc>
          <w:tcPr>
            <w:tcW w:w="3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1,068.59</w:t>
            </w:r>
          </w:p>
        </w:tc>
        <w:tc>
          <w:tcPr>
            <w:tcW w:w="3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210,338</w:t>
            </w: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3,406.5</w:t>
            </w:r>
          </w:p>
        </w:tc>
        <w:tc>
          <w:tcPr>
            <w:tcW w:w="0" w:type="dxa"/>
            <w:vAlign w:val="bottom"/>
          </w:tcPr>
          <w:p>
            <w:pPr>
              <w:spacing w:after="0"/>
              <w:rPr>
                <w:sz w:val="1"/>
                <w:szCs w:val="1"/>
                <w:color w:val="auto"/>
              </w:rPr>
            </w:pPr>
          </w:p>
        </w:tc>
      </w:tr>
      <w:tr>
        <w:trPr>
          <w:trHeight w:val="229"/>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8/1/2024–8/31/2024</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234,226</w:t>
            </w:r>
          </w:p>
        </w:tc>
        <w:tc>
          <w:tcPr>
            <w:tcW w:w="7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1,152.63</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234,226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w:t>
            </w:r>
          </w:p>
        </w:tc>
        <w:tc>
          <w:tcPr>
            <w:tcW w:w="0" w:type="dxa"/>
            <w:vAlign w:val="bottom"/>
          </w:tcPr>
          <w:p>
            <w:pPr>
              <w:spacing w:after="0"/>
              <w:rPr>
                <w:sz w:val="1"/>
                <w:szCs w:val="1"/>
                <w:color w:val="auto"/>
              </w:rPr>
            </w:pPr>
          </w:p>
        </w:tc>
      </w:tr>
      <w:tr>
        <w:trPr>
          <w:trHeight w:val="230"/>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9/1/2024–9/30/2024</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225,046</w:t>
            </w:r>
          </w:p>
        </w:tc>
        <w:tc>
          <w:tcPr>
            <w:tcW w:w="7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1,118.22</w:t>
            </w:r>
          </w:p>
        </w:tc>
        <w:tc>
          <w:tcPr>
            <w:tcW w:w="34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2,892.9</w:t>
            </w:r>
          </w:p>
        </w:tc>
        <w:tc>
          <w:tcPr>
            <w:tcW w:w="0" w:type="dxa"/>
            <w:vAlign w:val="bottom"/>
          </w:tcPr>
          <w:p>
            <w:pPr>
              <w:spacing w:after="0"/>
              <w:rPr>
                <w:sz w:val="1"/>
                <w:szCs w:val="1"/>
                <w:color w:val="auto"/>
              </w:rPr>
            </w:pPr>
          </w:p>
        </w:tc>
      </w:tr>
      <w:tr>
        <w:trPr>
          <w:trHeight w:val="22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669,610</w:t>
            </w:r>
          </w:p>
        </w:tc>
        <w:tc>
          <w:tcPr>
            <w:tcW w:w="760" w:type="dxa"/>
            <w:vAlign w:val="bottom"/>
            <w:gridSpan w:val="2"/>
          </w:tcPr>
          <w:p>
            <w:pPr>
              <w:jc w:val="right"/>
              <w:ind w:right="530"/>
              <w:spacing w:after="0" w:line="130" w:lineRule="exact"/>
              <w:rPr>
                <w:sz w:val="20"/>
                <w:szCs w:val="20"/>
                <w:color w:val="auto"/>
              </w:rPr>
            </w:pPr>
            <w:r>
              <w:rPr>
                <w:rFonts w:ascii="Times New Roman" w:cs="Times New Roman" w:eastAsia="Times New Roman" w:hAnsi="Times New Roman"/>
                <w:sz w:val="12"/>
                <w:szCs w:val="12"/>
                <w:color w:val="auto"/>
                <w:w w:val="89"/>
              </w:rPr>
              <w:t>(a)</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662,503</w:t>
            </w:r>
          </w:p>
        </w:tc>
        <w:tc>
          <w:tcPr>
            <w:tcW w:w="540" w:type="dxa"/>
            <w:vAlign w:val="bottom"/>
            <w:gridSpan w:val="2"/>
          </w:tcPr>
          <w:p>
            <w:pPr>
              <w:jc w:val="right"/>
              <w:ind w:right="290"/>
              <w:spacing w:after="0" w:line="130" w:lineRule="exact"/>
              <w:rPr>
                <w:sz w:val="20"/>
                <w:szCs w:val="20"/>
                <w:color w:val="auto"/>
              </w:rPr>
            </w:pPr>
            <w:r>
              <w:rPr>
                <w:rFonts w:ascii="Times New Roman" w:cs="Times New Roman" w:eastAsia="Times New Roman" w:hAnsi="Times New Roman"/>
                <w:sz w:val="12"/>
                <w:szCs w:val="12"/>
                <w:color w:val="auto"/>
              </w:rPr>
              <w:t>(a)</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180" w:right="20" w:firstLine="8"/>
        <w:spacing w:after="0" w:line="367" w:lineRule="auto"/>
        <w:tabs>
          <w:tab w:leader="none" w:pos="354"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disclosed in the table below, during the three months ended September 30, 2024, certain of our directors and/or executive officers adopted plans for trading arrangements intended to satisfy the affirmative defense conditions of Rule 10b5-1(c) of the Exchange Act.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 Plan</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Scheduled End Date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0" w:type="dxa"/>
            <w:vAlign w:val="bottom"/>
          </w:tcPr>
          <w:p>
            <w:pPr>
              <w:spacing w:after="0"/>
              <w:rPr>
                <w:sz w:val="1"/>
                <w:szCs w:val="1"/>
                <w:color w:val="auto"/>
              </w:rPr>
            </w:pPr>
          </w:p>
        </w:tc>
      </w:tr>
      <w:tr>
        <w:trPr>
          <w:trHeight w:val="184"/>
        </w:trPr>
        <w:tc>
          <w:tcPr>
            <w:tcW w:w="25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2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620" w:type="dxa"/>
            <w:vAlign w:val="bottom"/>
            <w:gridSpan w:val="2"/>
            <w:vMerge w:val="continue"/>
          </w:tcPr>
          <w:p>
            <w:pPr>
              <w:spacing w:after="0"/>
              <w:rPr>
                <w:sz w:val="16"/>
                <w:szCs w:val="16"/>
                <w:color w:val="auto"/>
              </w:rPr>
            </w:pPr>
          </w:p>
        </w:tc>
        <w:tc>
          <w:tcPr>
            <w:tcW w:w="18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of Trading</w:t>
            </w:r>
          </w:p>
        </w:tc>
        <w:tc>
          <w:tcPr>
            <w:tcW w:w="20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Securities to Be Sold</w:t>
            </w:r>
          </w:p>
        </w:tc>
        <w:tc>
          <w:tcPr>
            <w:tcW w:w="0" w:type="dxa"/>
            <w:vAlign w:val="bottom"/>
          </w:tcPr>
          <w:p>
            <w:pPr>
              <w:spacing w:after="0"/>
              <w:rPr>
                <w:sz w:val="1"/>
                <w:szCs w:val="1"/>
                <w:color w:val="auto"/>
              </w:rPr>
            </w:pPr>
          </w:p>
        </w:tc>
      </w:tr>
      <w:tr>
        <w:trPr>
          <w:trHeight w:val="229"/>
        </w:trPr>
        <w:tc>
          <w:tcPr>
            <w:tcW w:w="2540" w:type="dxa"/>
            <w:vAlign w:val="bottom"/>
            <w:gridSpan w:val="2"/>
            <w:vMerge w:val="continue"/>
          </w:tcPr>
          <w:p>
            <w:pPr>
              <w:spacing w:after="0"/>
              <w:rPr>
                <w:sz w:val="19"/>
                <w:szCs w:val="19"/>
                <w:color w:val="auto"/>
              </w:rPr>
            </w:pPr>
          </w:p>
        </w:tc>
        <w:tc>
          <w:tcPr>
            <w:tcW w:w="3120" w:type="dxa"/>
            <w:vAlign w:val="bottom"/>
            <w:gridSpan w:val="2"/>
            <w:vMerge w:val="continue"/>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86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5"/>
              </w:rPr>
              <w:t>Arrangement</w:t>
            </w:r>
            <w:r>
              <w:rPr>
                <w:rFonts w:ascii="Times New Roman" w:cs="Times New Roman" w:eastAsia="Times New Roman" w:hAnsi="Times New Roman"/>
                <w:sz w:val="23"/>
                <w:szCs w:val="23"/>
                <w:b w:val="1"/>
                <w:bCs w:val="1"/>
                <w:color w:val="auto"/>
                <w:w w:val="95"/>
                <w:vertAlign w:val="superscript"/>
              </w:rPr>
              <w:t>(a)</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w:t>
            </w: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L. Goldstein, M.D.</w:t>
            </w:r>
          </w:p>
        </w:tc>
        <w:tc>
          <w:tcPr>
            <w:tcW w:w="12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8/7/2024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2/7/2025</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2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Pitofsky</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Controller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8/7/2024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5/10/2025</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Arthur F. Ryan</w:t>
            </w: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8/3/2024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10/31/2025</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60" w:hanging="172"/>
        <w:spacing w:after="0"/>
        <w:tabs>
          <w:tab w:leader="none" w:pos="36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each case, the trading arrangement may expire on an earlier date if and when all transactions under the arrangement are completed.</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22"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50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tcPr>
          <w:p>
            <w:pPr>
              <w:spacing w:after="0"/>
              <w:rPr>
                <w:sz w:val="17"/>
                <w:szCs w:val="17"/>
                <w:color w:val="auto"/>
              </w:rPr>
            </w:pPr>
          </w:p>
        </w:tc>
        <w:tc>
          <w:tcPr>
            <w:tcW w:w="5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500" w:type="dxa"/>
            <w:vAlign w:val="bottom"/>
            <w:gridSpan w:val="6"/>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Amendment No. 3 to Master Agreement, dated as of August 1, 2024, by and between Regeneron Pharmaceuticals,</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2840" w:type="dxa"/>
            <w:vAlign w:val="bottom"/>
            <w:tcBorders>
              <w:top w:val="single" w:sz="8" w:color="0000FF"/>
              <w:bottom w:val="single" w:sz="8" w:color="0000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Inc. and Alnylam Pharmaceuticals, Inc.</w:t>
            </w:r>
          </w:p>
        </w:tc>
        <w:tc>
          <w:tcPr>
            <w:tcW w:w="564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 13a-14(a) under the Securities Exchange Act of 1934.</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5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vMerge w:val="continue"/>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5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0000FF"/>
            </w:tcBorders>
            <w:shd w:val="clear" w:color="auto" w:fill="CCEEFF"/>
          </w:tcPr>
          <w:p>
            <w:pPr>
              <w:spacing w:after="0" w:line="20" w:lineRule="exact"/>
              <w:rPr>
                <w:sz w:val="1"/>
                <w:szCs w:val="1"/>
                <w:color w:val="auto"/>
              </w:rPr>
            </w:pPr>
          </w:p>
        </w:tc>
        <w:tc>
          <w:tcPr>
            <w:tcW w:w="5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920" w:hanging="1071"/>
        <w:spacing w:after="0"/>
        <w:tabs>
          <w:tab w:leader="none" w:pos="1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14605</wp:posOffset>
            </wp:positionV>
            <wp:extent cx="6086475" cy="8312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86475" cy="831215"/>
                    </a:xfrm>
                    <a:prstGeom prst="rect">
                      <a:avLst/>
                    </a:prstGeom>
                    <a:noFill/>
                  </pic:spPr>
                </pic:pic>
              </a:graphicData>
            </a:graphic>
          </wp:anchor>
        </w:drawing>
      </w:r>
    </w:p>
    <w:p>
      <w:pPr>
        <w:spacing w:after="0" w:line="3" w:lineRule="exact"/>
        <w:rPr>
          <w:sz w:val="20"/>
          <w:szCs w:val="20"/>
          <w:color w:val="auto"/>
        </w:rPr>
      </w:pPr>
    </w:p>
    <w:p>
      <w:pPr>
        <w:ind w:left="1920" w:right="80" w:hanging="1071"/>
        <w:spacing w:after="0" w:line="216" w:lineRule="auto"/>
        <w:tabs>
          <w:tab w:leader="none" w:pos="1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Condensed Consolidated Balance Sheets as of September 30, 2024 and December 31, 2023; (ii) the registrant's Condensed Consolidated Statements of Operations and Comprehensive Income for the three and nine months ended September 30, 2024 and 2023; (iii) the registrant's Condensed Consolidated Statements of Stockholders’ Equity for the three and nine months ended September 30, 2024 and 2023; (iv) the registrant's Condensed Consolidated Statements of Cash Flows for the nine months ended September 30, 2024 and 2023; and (v) the notes to the registrant's Condensed Consolidated Financial Statements.</w:t>
      </w:r>
    </w:p>
    <w:p>
      <w:pPr>
        <w:spacing w:after="0" w:line="6" w:lineRule="exact"/>
        <w:rPr>
          <w:sz w:val="20"/>
          <w:szCs w:val="20"/>
          <w:color w:val="auto"/>
        </w:rPr>
      </w:pPr>
    </w:p>
    <w:p>
      <w:pPr>
        <w:ind w:left="840"/>
        <w:spacing w:after="0"/>
        <w:tabs>
          <w:tab w:leader="none" w:pos="1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17" w:lineRule="exact"/>
        <w:rPr>
          <w:sz w:val="20"/>
          <w:szCs w:val="20"/>
          <w:color w:val="auto"/>
        </w:rPr>
      </w:pPr>
    </w:p>
    <w:p>
      <w:pPr>
        <w:ind w:left="960" w:right="460" w:hanging="3"/>
        <w:spacing w:after="0" w:line="210" w:lineRule="auto"/>
        <w:tabs>
          <w:tab w:leader="none" w:pos="1053"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confidential portions of this Exhibit were omitted in accordance with Item 601(b)(10) of Regulation S-K. The registrant agrees to furnish supplementally a copy of all confidential portions of this Exhibit that were omitted to the SEC upon its request.</w:t>
      </w: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369" w:right="11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93" w:lineRule="exact"/>
        <w:rPr>
          <w:sz w:val="20"/>
          <w:szCs w:val="20"/>
          <w:color w:val="auto"/>
        </w:rPr>
      </w:pPr>
    </w:p>
    <w:p>
      <w:pPr>
        <w:ind w:left="20"/>
        <w:spacing w:after="0"/>
        <w:tabs>
          <w:tab w:leader="none" w:pos="760" w:val="left"/>
          <w:tab w:leader="none" w:pos="4240" w:val="left"/>
          <w:tab w:leader="none" w:pos="4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Christopher Fenimore</w:t>
      </w:r>
    </w:p>
    <w:p>
      <w:pPr>
        <w:spacing w:after="0" w:line="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Senior Vice President, Finance and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36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22"/>
          <w:szCs w:val="22"/>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Master Agreement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This Amendment No. 3 (“</w:t>
      </w:r>
      <w:r>
        <w:rPr>
          <w:rFonts w:ascii="Times New Roman" w:cs="Times New Roman" w:eastAsia="Times New Roman" w:hAnsi="Times New Roman"/>
          <w:sz w:val="22"/>
          <w:szCs w:val="22"/>
          <w:b w:val="1"/>
          <w:bCs w:val="1"/>
          <w:color w:val="auto"/>
        </w:rPr>
        <w:t>Amendment No. 3</w:t>
      </w:r>
      <w:r>
        <w:rPr>
          <w:rFonts w:ascii="Times New Roman" w:cs="Times New Roman" w:eastAsia="Times New Roman" w:hAnsi="Times New Roman"/>
          <w:sz w:val="22"/>
          <w:szCs w:val="22"/>
          <w:color w:val="auto"/>
        </w:rPr>
        <w:t>”) to the Master Agreement is entered into and effective as of August 1, 2024 (“</w:t>
      </w:r>
      <w:r>
        <w:rPr>
          <w:rFonts w:ascii="Times New Roman" w:cs="Times New Roman" w:eastAsia="Times New Roman" w:hAnsi="Times New Roman"/>
          <w:sz w:val="22"/>
          <w:szCs w:val="22"/>
          <w:b w:val="1"/>
          <w:bCs w:val="1"/>
          <w:color w:val="auto"/>
        </w:rPr>
        <w:t>Amendment No. 3 Effective Date</w:t>
      </w:r>
      <w:r>
        <w:rPr>
          <w:rFonts w:ascii="Times New Roman" w:cs="Times New Roman" w:eastAsia="Times New Roman" w:hAnsi="Times New Roman"/>
          <w:sz w:val="22"/>
          <w:szCs w:val="22"/>
          <w:color w:val="auto"/>
        </w:rPr>
        <w:t>”) by and between Regeneron Pharmaceuticals, Inc., a corporation organized under the laws of New York (“</w:t>
      </w:r>
      <w:r>
        <w:rPr>
          <w:rFonts w:ascii="Times New Roman" w:cs="Times New Roman" w:eastAsia="Times New Roman" w:hAnsi="Times New Roman"/>
          <w:sz w:val="22"/>
          <w:szCs w:val="22"/>
          <w:b w:val="1"/>
          <w:bCs w:val="1"/>
          <w:color w:val="auto"/>
        </w:rPr>
        <w:t>Regeneron</w:t>
      </w:r>
      <w:r>
        <w:rPr>
          <w:rFonts w:ascii="Times New Roman" w:cs="Times New Roman" w:eastAsia="Times New Roman" w:hAnsi="Times New Roman"/>
          <w:sz w:val="22"/>
          <w:szCs w:val="22"/>
          <w:color w:val="auto"/>
        </w:rPr>
        <w:t>”), and Alnylam Pharmaceuticals, Inc., a corporation organized under the laws of Delaware (“</w:t>
      </w:r>
      <w:r>
        <w:rPr>
          <w:rFonts w:ascii="Times New Roman" w:cs="Times New Roman" w:eastAsia="Times New Roman" w:hAnsi="Times New Roman"/>
          <w:sz w:val="22"/>
          <w:szCs w:val="22"/>
          <w:b w:val="1"/>
          <w:bCs w:val="1"/>
          <w:color w:val="auto"/>
        </w:rPr>
        <w:t>Alnylam</w:t>
      </w:r>
      <w:r>
        <w:rPr>
          <w:rFonts w:ascii="Times New Roman" w:cs="Times New Roman" w:eastAsia="Times New Roman" w:hAnsi="Times New Roman"/>
          <w:sz w:val="22"/>
          <w:szCs w:val="22"/>
          <w:color w:val="auto"/>
        </w:rPr>
        <w:t>”). All capitalized terms not otherwise defined herein shall have the meanings ascribed to such terms in the Agreement.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Regeneron and Alnylam are parties to that certain Master Agreement dated April 8, 2019 (“</w:t>
      </w:r>
      <w:r>
        <w:rPr>
          <w:rFonts w:ascii="Times New Roman" w:cs="Times New Roman" w:eastAsia="Times New Roman" w:hAnsi="Times New Roman"/>
          <w:sz w:val="22"/>
          <w:szCs w:val="22"/>
          <w:b w:val="1"/>
          <w:bCs w:val="1"/>
          <w:color w:val="auto"/>
        </w:rPr>
        <w:t>Master Agreement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amended by Amendment No. 1 to the Master Agreement dated April 10, 2023 (“</w:t>
      </w:r>
      <w:r>
        <w:rPr>
          <w:rFonts w:ascii="Times New Roman" w:cs="Times New Roman" w:eastAsia="Times New Roman" w:hAnsi="Times New Roman"/>
          <w:sz w:val="22"/>
          <w:szCs w:val="22"/>
          <w:b w:val="1"/>
          <w:bCs w:val="1"/>
          <w:color w:val="auto"/>
        </w:rPr>
        <w:t>Amendment No. 1</w:t>
      </w:r>
      <w:r>
        <w:rPr>
          <w:rFonts w:ascii="Times New Roman" w:cs="Times New Roman" w:eastAsia="Times New Roman" w:hAnsi="Times New Roman"/>
          <w:sz w:val="22"/>
          <w:szCs w:val="22"/>
          <w:color w:val="auto"/>
        </w:rPr>
        <w:t xml:space="preserve">”) and Amendment No. 2 to the Master Agreement dated March 7, 2024 </w:t>
      </w:r>
      <w:r>
        <w:rPr>
          <w:rFonts w:ascii="Times New Roman" w:cs="Times New Roman" w:eastAsia="Times New Roman" w:hAnsi="Times New Roman"/>
          <w:sz w:val="22"/>
          <w:szCs w:val="22"/>
          <w:b w:val="1"/>
          <w:bCs w:val="1"/>
          <w:color w:val="auto"/>
        </w:rPr>
        <w:t>(“Amendment No. 2”)</w:t>
      </w:r>
      <w:r>
        <w:rPr>
          <w:rFonts w:ascii="Times New Roman" w:cs="Times New Roman" w:eastAsia="Times New Roman" w:hAnsi="Times New Roman"/>
          <w:sz w:val="22"/>
          <w:szCs w:val="22"/>
          <w:color w:val="auto"/>
        </w:rPr>
        <w:t xml:space="preserve"> (the Master Agreement, together with Amendments No. 1 and No. 2,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now wish to further amend the Agreement to enable the conduct of certain technology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activities related to the generation and evaluation of [**] and to clarify certain terms:</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agreements below,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hereby agree as follows:</w:t>
      </w:r>
    </w:p>
    <w:p>
      <w:pPr>
        <w:spacing w:after="0" w:line="163" w:lineRule="exact"/>
        <w:rPr>
          <w:sz w:val="20"/>
          <w:szCs w:val="20"/>
          <w:color w:val="auto"/>
        </w:rPr>
      </w:pPr>
    </w:p>
    <w:p>
      <w:pPr>
        <w:ind w:right="20" w:firstLine="8"/>
        <w:spacing w:after="0" w:line="275" w:lineRule="auto"/>
        <w:tabs>
          <w:tab w:leader="none" w:pos="37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Defined Terms: </w:t>
      </w:r>
      <w:r>
        <w:rPr>
          <w:rFonts w:ascii="Times New Roman" w:cs="Times New Roman" w:eastAsia="Times New Roman" w:hAnsi="Times New Roman"/>
          <w:sz w:val="22"/>
          <w:szCs w:val="22"/>
          <w:color w:val="auto"/>
        </w:rPr>
        <w:t>The following new defined term is hereby added to Article 1 of the Agreement, effective as of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of the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1.278  “[**] </w:t>
      </w:r>
      <w:r>
        <w:rPr>
          <w:rFonts w:ascii="Times New Roman" w:cs="Times New Roman" w:eastAsia="Times New Roman" w:hAnsi="Times New Roman"/>
          <w:sz w:val="22"/>
          <w:szCs w:val="22"/>
          <w:b w:val="1"/>
          <w:bCs w:val="1"/>
          <w:color w:val="auto"/>
        </w:rPr>
        <w:t>Research Plan</w:t>
      </w:r>
      <w:r>
        <w:rPr>
          <w:rFonts w:ascii="Times New Roman" w:cs="Times New Roman" w:eastAsia="Times New Roman" w:hAnsi="Times New Roman"/>
          <w:sz w:val="22"/>
          <w:szCs w:val="22"/>
          <w:color w:val="auto"/>
        </w:rPr>
        <w:t>” has the meaning set forth in Section 3.2.3(f)(iii).</w:t>
      </w:r>
    </w:p>
    <w:p>
      <w:pPr>
        <w:spacing w:after="0" w:line="224" w:lineRule="exact"/>
        <w:rPr>
          <w:sz w:val="20"/>
          <w:szCs w:val="20"/>
          <w:color w:val="auto"/>
        </w:rPr>
      </w:pPr>
    </w:p>
    <w:p>
      <w:pPr>
        <w:ind w:firstLine="8"/>
        <w:spacing w:after="0" w:line="271" w:lineRule="auto"/>
        <w:tabs>
          <w:tab w:leader="none" w:pos="54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hereby agree that Sections 3.2.3(f)(ii) and (iii) of the Agreement are hereby restated and amended and new Sections 3.2.3(f)(iv) and 3.2.3(f)(v) are hereby added to the Agreement, effective as of the Effective Date of the Agreement:</w:t>
      </w:r>
    </w:p>
    <w:p>
      <w:pPr>
        <w:spacing w:after="0" w:line="171"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3.2.3(f) (ii) The Parties agree to conduct certain technology development activities related to formulation and the evaluation of [**] in accordance with the mutually agreed research plan attached as Schedule 1.275 to Amendment No. 1 (the “[</w:t>
      </w:r>
      <w:r>
        <w:rPr>
          <w:rFonts w:ascii="Times New Roman" w:cs="Times New Roman" w:eastAsia="Times New Roman" w:hAnsi="Times New Roman"/>
          <w:sz w:val="22"/>
          <w:szCs w:val="22"/>
          <w:b w:val="1"/>
          <w:bCs w:val="1"/>
          <w:color w:val="auto"/>
        </w:rPr>
        <w:t>**] Research Plan</w:t>
      </w:r>
      <w:r>
        <w:rPr>
          <w:rFonts w:ascii="Times New Roman" w:cs="Times New Roman" w:eastAsia="Times New Roman" w:hAnsi="Times New Roman"/>
          <w:sz w:val="22"/>
          <w:szCs w:val="22"/>
          <w:color w:val="auto"/>
        </w:rPr>
        <w:t>”). The [**] Research Plan may be updated or amended by mutual written agreement of the Parties (via the JSC and reflected in the JSC meeting minutes ) from time to time. In the event of any dispute between the Parties related to an update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8" w:right="339" w:bottom="1440" w:gutter="0" w:footer="0" w:header="0"/>
        </w:sectPr>
      </w:pPr>
    </w:p>
    <w:bookmarkStart w:id="86" w:name="page87"/>
    <w:bookmarkEnd w:id="86"/>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amendment to the [**] Research Plan, then such dispute will be deemed to be a Deadlocked Dispute and resolved in accordance with Section 2.2.3(a)(ii). Under the [**] Research Plan, Alnylam will provide the siRNAs for the activities under the workplan. For clarity, the [**] Research Plan is not part of the [**] Development Plan.</w:t>
      </w:r>
    </w:p>
    <w:p>
      <w:pPr>
        <w:spacing w:after="0" w:line="186" w:lineRule="exact"/>
        <w:rPr>
          <w:sz w:val="20"/>
          <w:szCs w:val="20"/>
          <w:color w:val="auto"/>
        </w:rPr>
      </w:pPr>
    </w:p>
    <w:p>
      <w:pPr>
        <w:jc w:val="both"/>
        <w:ind w:left="660" w:hanging="4"/>
        <w:spacing w:after="0" w:line="248" w:lineRule="auto"/>
        <w:tabs>
          <w:tab w:leader="none" w:pos="124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to conduct certain technology development activities related to the generation and evaluation of [**], in accordance with the mutually agreed research plan attached hereto as Schedule 1.278 (the “[</w:t>
      </w:r>
      <w:r>
        <w:rPr>
          <w:rFonts w:ascii="Times New Roman" w:cs="Times New Roman" w:eastAsia="Times New Roman" w:hAnsi="Times New Roman"/>
          <w:sz w:val="22"/>
          <w:szCs w:val="22"/>
          <w:b w:val="1"/>
          <w:bCs w:val="1"/>
          <w:color w:val="auto"/>
        </w:rPr>
        <w:t>**] Research Plan</w:t>
      </w:r>
      <w:r>
        <w:rPr>
          <w:rFonts w:ascii="Times New Roman" w:cs="Times New Roman" w:eastAsia="Times New Roman" w:hAnsi="Times New Roman"/>
          <w:sz w:val="22"/>
          <w:szCs w:val="22"/>
          <w:color w:val="auto"/>
        </w:rPr>
        <w:t>”). Each Party will provide [**] updates on such Party’s Technology Development Activities under the [**] Research Plan to the JSC. The [**] Research Plan may be updated or amended by mutual written agreement of the Parties (via the JSC and reflected in the JSC meeting minutes) from time to time. In the event of any dispute between the Parties related to an update or amendment to the [**] Research Plan, then such dispute will be deemed to be a Deadlocked Dispute and resolved in accordance with Section 2.2.3(a)(ii). Under the [**] Research Plan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Regeneron will provide one or more antibody ligand(s) and Alnylam will provide siRNAs for the activities under the workplan. For clarity, the [**] Research Plan is not part of the [**] Development Plan.</w:t>
      </w:r>
    </w:p>
    <w:p>
      <w:pPr>
        <w:spacing w:after="0" w:line="185"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21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technology development activities described in clauses (i), (ii) and (iii) above may be referred to herein as the “</w:t>
      </w:r>
      <w:r>
        <w:rPr>
          <w:rFonts w:ascii="Times New Roman" w:cs="Times New Roman" w:eastAsia="Times New Roman" w:hAnsi="Times New Roman"/>
          <w:sz w:val="22"/>
          <w:szCs w:val="22"/>
          <w:b w:val="1"/>
          <w:bCs w:val="1"/>
          <w:color w:val="auto"/>
        </w:rPr>
        <w:t>Technology Development Activities</w:t>
      </w:r>
      <w:r>
        <w:rPr>
          <w:rFonts w:ascii="Times New Roman" w:cs="Times New Roman" w:eastAsia="Times New Roman" w:hAnsi="Times New Roman"/>
          <w:sz w:val="22"/>
          <w:szCs w:val="22"/>
          <w:color w:val="auto"/>
        </w:rPr>
        <w:t>.” All costs associated with Technology Development Activities shall be borne by the Party performing such activities and shall not be creditable against any payments hereunder. The Parties shall conduct all Technology Development Activities in good faith. For clarity, any Materials provided by one Party to the other Party in connection with the Technology Development Activities shall be governed by Section 3.8 and, in particular, shall be used by the recipient Party solely for the intended Technology Development Activities. At least once each Calendar Quarter or upon the other Party’s reasonable request, each Party will provide the other Party information in its Control generated through the Technology Development Activities.</w:t>
      </w:r>
    </w:p>
    <w:p>
      <w:pPr>
        <w:spacing w:after="0" w:line="186" w:lineRule="exact"/>
        <w:rPr>
          <w:rFonts w:ascii="Times New Roman" w:cs="Times New Roman" w:eastAsia="Times New Roman" w:hAnsi="Times New Roman"/>
          <w:sz w:val="22"/>
          <w:szCs w:val="22"/>
          <w:color w:val="auto"/>
        </w:rPr>
      </w:pPr>
    </w:p>
    <w:p>
      <w:pPr>
        <w:jc w:val="both"/>
        <w:ind w:left="660" w:hanging="4"/>
        <w:spacing w:after="0" w:line="248" w:lineRule="auto"/>
        <w:tabs>
          <w:tab w:leader="none" w:pos="121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(including Section 7.1.1), with respect to the Technology Development Activities, (A) any improvement, discovery or Information, patentable or otherwise, that are conceived or reduced to practice (in whole or in part) or otherwise identified, discovered, made or developed, as applicable, solely by Alnylam, its employees, agents or consultants, solely by Regeneron, its employees, agents or consultants or jointly by individuals who are employees, agents or consultants of Alnylam or its Affiliates or its or their Sublicensees, on the one hand, and individuals who are employees, agents or consultants of Regeneron or its Affiliates or its or their Sublicensees, on the other hand, under or in the course of such Technology Development Activities, and (B) any Patent Rights that Cover such improvements, discoveries or Information described in clause (A), will be classified as Joint Collaboration IP, and the Patent Rights in clause (B) will be classified as Joint Collaboration Patents.</w:t>
      </w:r>
    </w:p>
    <w:p>
      <w:pPr>
        <w:spacing w:after="0" w:line="185" w:lineRule="exact"/>
        <w:rPr>
          <w:rFonts w:ascii="Times New Roman" w:cs="Times New Roman" w:eastAsia="Times New Roman" w:hAnsi="Times New Roman"/>
          <w:sz w:val="22"/>
          <w:szCs w:val="22"/>
          <w:color w:val="auto"/>
        </w:rPr>
      </w:pPr>
    </w:p>
    <w:p>
      <w:pPr>
        <w:ind w:right="20" w:firstLine="8"/>
        <w:spacing w:after="0" w:line="284" w:lineRule="auto"/>
        <w:tabs>
          <w:tab w:leader="none" w:pos="39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hereby agree that Sections 5.1.5 and 5.2.3 of the Agreement are hereby restated and amended, effective as of the Effective Date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87" w:name="page88"/>
    <w:bookmarkEnd w:id="87"/>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5.1.5 during the Research Term, a non-exclusive, non-transferable (except as permitted by Section 12.2), worldwide license (or sublicense), without any right to grant sublicenses (other than to subcontractors permitted under Section 3.4.5), under any Alnylam Technology that is relevant to the Technology Development Activities assigned to Regeneron under the [**] Research Plan, the [**] Research Plan, or the [**] Research Plan to perform such Technology Development Activities, which license shall be fully paid-up;</w:t>
      </w:r>
    </w:p>
    <w:p>
      <w:pPr>
        <w:spacing w:after="0" w:line="17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5.2.3 during the Research Term, a non-exclusive, non-transferable (except as permitted by Section 12.2), worldwide license (or sublicense), without any right to grant sublicenses (other than to subcontractors permitted under Section 3.4.5), under any Regeneron Technology that is relevant to the Technology Development Activities assigned to Alnylam under the [**] Research Plan, the [**] Research Plan, or the [**] Research Plan, to perform such Technology Development Activities, which license shall be fully paid-up;</w:t>
      </w:r>
    </w:p>
    <w:p>
      <w:pPr>
        <w:spacing w:after="0" w:line="179" w:lineRule="exact"/>
        <w:rPr>
          <w:sz w:val="20"/>
          <w:szCs w:val="20"/>
          <w:color w:val="auto"/>
        </w:rPr>
      </w:pPr>
    </w:p>
    <w:p>
      <w:pPr>
        <w:jc w:val="both"/>
        <w:ind w:firstLine="8"/>
        <w:spacing w:after="0" w:line="252" w:lineRule="auto"/>
        <w:tabs>
          <w:tab w:leader="none" w:pos="3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amended herein, all other terms of the Agreement shall remain in full force and effect. The Parties may execute this Amendment No. 3 in counterparts, each of which is deemed an original, but all of which together constitute one and the same agreement. This Amendment No. 3 may be executed or delivered electronically or by facsimile transmission, and the Parties hereby agree that any electronic or facsimile signatures hereto are legal, valid and enforceable as originals.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88" w:name="page89"/>
    <w:bookmarkEnd w:id="88"/>
    <w:p>
      <w:pPr>
        <w:spacing w:after="0" w:line="2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AMENDMENT NO. 3 IS EXECUTED by the authorized representatives of the Parties as of the Amendment No. 3 Effective Date.</w:t>
      </w:r>
    </w:p>
    <w:p>
      <w:pPr>
        <w:spacing w:after="0" w:line="208" w:lineRule="exact"/>
        <w:rPr>
          <w:sz w:val="20"/>
          <w:szCs w:val="20"/>
          <w:color w:val="auto"/>
        </w:rPr>
      </w:pPr>
    </w:p>
    <w:p>
      <w:pPr>
        <w:ind w:left="20"/>
        <w:spacing w:after="0"/>
        <w:tabs>
          <w:tab w:leader="none" w:pos="5420" w:val="left"/>
        </w:tabs>
        <w:rPr>
          <w:sz w:val="20"/>
          <w:szCs w:val="20"/>
          <w:color w:val="auto"/>
        </w:rPr>
      </w:pPr>
      <w:r>
        <w:rPr>
          <w:rFonts w:ascii="Times New Roman" w:cs="Times New Roman" w:eastAsia="Times New Roman" w:hAnsi="Times New Roman"/>
          <w:sz w:val="22"/>
          <w:szCs w:val="22"/>
          <w:b w:val="1"/>
          <w:bCs w:val="1"/>
          <w:color w:val="auto"/>
        </w:rPr>
        <w:t>ALNYLAM PHARMACEUTICALS, INC.</w:t>
      </w:r>
      <w:r>
        <w:rPr>
          <w:sz w:val="20"/>
          <w:szCs w:val="20"/>
          <w:color w:val="auto"/>
        </w:rPr>
        <w:tab/>
      </w:r>
      <w:r>
        <w:rPr>
          <w:rFonts w:ascii="Times New Roman" w:cs="Times New Roman" w:eastAsia="Times New Roman" w:hAnsi="Times New Roman"/>
          <w:sz w:val="21"/>
          <w:szCs w:val="21"/>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Jeff Poulton</w:t>
            </w:r>
          </w:p>
        </w:tc>
        <w:tc>
          <w:tcPr>
            <w:tcW w:w="4200" w:type="dxa"/>
            <w:vAlign w:val="bottom"/>
            <w:gridSpan w:val="2"/>
          </w:tcPr>
          <w:p>
            <w:pPr>
              <w:ind w:left="1440"/>
              <w:spacing w:after="0"/>
              <w:rPr>
                <w:sz w:val="20"/>
                <w:szCs w:val="20"/>
                <w:color w:val="auto"/>
              </w:rPr>
            </w:pPr>
            <w:r>
              <w:rPr>
                <w:rFonts w:ascii="Times New Roman" w:cs="Times New Roman" w:eastAsia="Times New Roman" w:hAnsi="Times New Roman"/>
                <w:sz w:val="22"/>
                <w:szCs w:val="22"/>
                <w:color w:val="auto"/>
              </w:rPr>
              <w:t>By: /s/ Kerry Reinertsen</w:t>
            </w:r>
          </w:p>
        </w:tc>
      </w:tr>
      <w:tr>
        <w:trPr>
          <w:trHeight w:val="20"/>
        </w:trPr>
        <w:tc>
          <w:tcPr>
            <w:tcW w:w="3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r>
        <w:trPr>
          <w:trHeight w:val="520"/>
        </w:trPr>
        <w:tc>
          <w:tcPr>
            <w:tcW w:w="3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Jeff Poulton</w:t>
            </w:r>
          </w:p>
        </w:tc>
        <w:tc>
          <w:tcPr>
            <w:tcW w:w="4200" w:type="dxa"/>
            <w:vAlign w:val="bottom"/>
            <w:gridSpan w:val="2"/>
          </w:tcPr>
          <w:p>
            <w:pPr>
              <w:ind w:left="1440"/>
              <w:spacing w:after="0"/>
              <w:rPr>
                <w:sz w:val="20"/>
                <w:szCs w:val="20"/>
                <w:color w:val="auto"/>
              </w:rPr>
            </w:pPr>
            <w:r>
              <w:rPr>
                <w:rFonts w:ascii="Times New Roman" w:cs="Times New Roman" w:eastAsia="Times New Roman" w:hAnsi="Times New Roman"/>
                <w:sz w:val="22"/>
                <w:szCs w:val="22"/>
                <w:color w:val="auto"/>
              </w:rPr>
              <w:t>Name:   Kerry Reinertsen</w:t>
            </w:r>
          </w:p>
        </w:tc>
      </w:tr>
      <w:tr>
        <w:trPr>
          <w:trHeight w:val="282"/>
        </w:trPr>
        <w:tc>
          <w:tcPr>
            <w:tcW w:w="3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4200" w:type="dxa"/>
            <w:vAlign w:val="bottom"/>
            <w:gridSpan w:val="2"/>
          </w:tcPr>
          <w:p>
            <w:pPr>
              <w:ind w:left="1440"/>
              <w:spacing w:after="0"/>
              <w:rPr>
                <w:sz w:val="20"/>
                <w:szCs w:val="20"/>
                <w:color w:val="auto"/>
              </w:rPr>
            </w:pPr>
            <w:r>
              <w:rPr>
                <w:rFonts w:ascii="Times New Roman" w:cs="Times New Roman" w:eastAsia="Times New Roman" w:hAnsi="Times New Roman"/>
                <w:sz w:val="22"/>
                <w:szCs w:val="22"/>
                <w:color w:val="auto"/>
              </w:rPr>
              <w:t>Title: SVP Strategic Alliances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1.278</w:t>
      </w:r>
    </w:p>
    <w:p>
      <w:pPr>
        <w:spacing w:after="0" w:line="32" w:lineRule="exact"/>
        <w:rPr>
          <w:sz w:val="20"/>
          <w:szCs w:val="20"/>
          <w:color w:val="auto"/>
        </w:rPr>
      </w:pPr>
    </w:p>
    <w:p>
      <w:pPr>
        <w:ind w:left="4060" w:hanging="424"/>
        <w:spacing w:after="0"/>
        <w:tabs>
          <w:tab w:leader="none" w:pos="4060"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Research Plan</w:t>
      </w:r>
    </w:p>
    <w:p>
      <w:pPr>
        <w:spacing w:after="0" w:line="230" w:lineRule="exact"/>
        <w:rPr>
          <w:rFonts w:ascii="Times New Roman" w:cs="Times New Roman" w:eastAsia="Times New Roman" w:hAnsi="Times New Roman"/>
          <w:sz w:val="21"/>
          <w:szCs w:val="21"/>
          <w:b w:val="1"/>
          <w:bCs w:val="1"/>
          <w:color w:val="auto"/>
        </w:rPr>
      </w:pPr>
    </w:p>
    <w:p>
      <w:pPr>
        <w:ind w:left="43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231F20"/>
        </w:rPr>
        <w:t>[**</w:t>
      </w:r>
      <w:r>
        <w:rPr>
          <w:rFonts w:ascii="Times New Roman" w:cs="Times New Roman" w:eastAsia="Times New Roman" w:hAnsi="Times New Roman"/>
          <w:sz w:val="21"/>
          <w:szCs w:val="21"/>
          <w:b w:val="1"/>
          <w:b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019"/>
          </w:cols>
          <w:pgMar w:left="1440" w:top="1440" w:right="1440"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October 31, 2024</w:t>
            </w:r>
          </w:p>
        </w:tc>
        <w:tc>
          <w:tcPr>
            <w:tcW w:w="1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100" w:type="dxa"/>
            <w:vAlign w:val="bottom"/>
            <w:vMerge w:val="continue"/>
          </w:tcPr>
          <w:p>
            <w:pPr>
              <w:spacing w:after="0"/>
              <w:rPr>
                <w:sz w:val="7"/>
                <w:szCs w:val="7"/>
                <w:color w:val="auto"/>
              </w:rPr>
            </w:pPr>
          </w:p>
        </w:tc>
        <w:tc>
          <w:tcPr>
            <w:tcW w:w="112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Fenimore, certify that:</w:t>
      </w:r>
    </w:p>
    <w:p>
      <w:pPr>
        <w:spacing w:after="0" w:line="104"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October 31, 2024</w:t>
            </w:r>
          </w:p>
        </w:tc>
        <w:tc>
          <w:tcPr>
            <w:tcW w:w="1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Fenimore</w:t>
            </w: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1120" w:type="dxa"/>
            <w:vAlign w:val="bottom"/>
            <w:vMerge w:val="restart"/>
          </w:tcPr>
          <w:p>
            <w:pPr>
              <w:spacing w:after="0"/>
              <w:rPr>
                <w:sz w:val="7"/>
                <w:szCs w:val="7"/>
                <w:color w:val="auto"/>
              </w:rPr>
            </w:pPr>
          </w:p>
        </w:tc>
        <w:tc>
          <w:tcPr>
            <w:tcW w:w="18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Christopher Fenimore</w:t>
            </w:r>
          </w:p>
        </w:tc>
        <w:tc>
          <w:tcPr>
            <w:tcW w:w="51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8100" w:type="dxa"/>
            <w:vAlign w:val="bottom"/>
            <w:gridSpan w:val="3"/>
          </w:tcPr>
          <w:p>
            <w:pPr>
              <w:ind w:left="1120"/>
              <w:spacing w:after="0" w:line="181" w:lineRule="exact"/>
              <w:rPr>
                <w:sz w:val="20"/>
                <w:szCs w:val="20"/>
                <w:color w:val="auto"/>
              </w:rPr>
            </w:pPr>
            <w:r>
              <w:rPr>
                <w:rFonts w:ascii="Times New Roman" w:cs="Times New Roman" w:eastAsia="Times New Roman" w:hAnsi="Times New Roman"/>
                <w:sz w:val="18"/>
                <w:szCs w:val="18"/>
                <w:color w:val="auto"/>
              </w:rPr>
              <w:t>Senior Vice President, Finance and Chief</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8"/>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800" w:type="dxa"/>
            <w:vAlign w:val="bottom"/>
            <w:tcBorders>
              <w:bottom w:val="single" w:sz="8" w:color="666666"/>
            </w:tcBorders>
          </w:tcPr>
          <w:p>
            <w:pPr>
              <w:spacing w:after="0"/>
              <w:rPr>
                <w:sz w:val="24"/>
                <w:szCs w:val="24"/>
                <w:color w:val="auto"/>
              </w:rPr>
            </w:pPr>
          </w:p>
        </w:tc>
        <w:tc>
          <w:tcPr>
            <w:tcW w:w="51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September 30, 2024 as filed with the Securities and Exchange Commission on the date hereof (the "Report"), Leonard S. Schleifer, M.D., Ph.D., as Principal Executive Officer of the Company, and Christopher Fenimore, as Principal Financial Officer of the Company, each hereby certifies, pursuant to 18 U.S.C. Section 1350, as adopted pursuant to Section 906 of the Sarbanes-Oxley Act of 2002, to the best of his knowledge, that:</w:t>
      </w:r>
    </w:p>
    <w:p>
      <w:pPr>
        <w:spacing w:after="0" w:line="58"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31, 2024</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Christopher Fenimore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31, 2024</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lvl w:ilvl="1">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decimal"/>
      <w:start w:val="32"/>
    </w:lvl>
  </w:abstractNum>
  <w:abstractNum w:abstractNumId="32">
    <w:nsid w:val="5C482A97"/>
    <w:multiLevelType w:val="hybridMultilevel"/>
    <w:lvl w:ilvl="0">
      <w:lvlJc w:val="left"/>
      <w:lvlText w:val="%1"/>
      <w:numFmt w:val="decimal"/>
      <w:start w:val="10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2"/>
    </w:lvl>
  </w:abstractNum>
  <w:abstractNum w:abstractNumId="36">
    <w:nsid w:val="2D517796"/>
    <w:multiLevelType w:val="hybridMultilevel"/>
    <w:lvl w:ilvl="0">
      <w:lvlJc w:val="left"/>
      <w:lvlText w:val="%1"/>
      <w:numFmt w:val="decimal"/>
      <w:start w:val="1"/>
    </w:lvl>
    <w:lvl w:ilvl="1">
      <w:lvlJc w:val="left"/>
      <w:lvlText w:val="(%2)"/>
      <w:numFmt w:val="lowerRoman"/>
      <w:start w:val="3"/>
    </w:lvl>
  </w:abstractNum>
  <w:abstractNum w:abstractNumId="37">
    <w:nsid w:val="580BD78F"/>
    <w:multiLevelType w:val="hybridMultilevel"/>
    <w:lvl w:ilvl="0">
      <w:lvlJc w:val="left"/>
      <w:lvlText w:val="%1."/>
      <w:numFmt w:val="decimal"/>
      <w:start w:val="3"/>
    </w:lvl>
    <w:lvl w:ilvl="1">
      <w:lvlJc w:val="left"/>
      <w:lvlText w:val="%2"/>
      <w:numFmt w:val="lowerRoman"/>
      <w:start w:val="1"/>
    </w:lvl>
  </w:abstractNum>
  <w:abstractNum w:abstractNumId="38">
    <w:nsid w:val="153EA438"/>
    <w:multiLevelType w:val="hybridMultilevel"/>
    <w:lvl w:ilvl="0">
      <w:lvlJc w:val="left"/>
      <w:lvlText w:val="%1."/>
      <w:numFmt w:val="decimal"/>
      <w:start w:val="4"/>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2024-10-31T06:37:59Z</dcterms:created>
  <dcterms:modified xsi:type="dcterms:W3CDTF">2024-10-31T06:37:59Z</dcterms:modified>
</cp:coreProperties>
</file>