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360" w:right="2200" w:hanging="334"/>
        <w:spacing w:after="0" w:line="304"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2025</w:t>
      </w:r>
    </w:p>
    <w:p>
      <w:pPr>
        <w:spacing w:after="0" w:line="181" w:lineRule="exact"/>
        <w:rPr>
          <w:sz w:val="24"/>
          <w:szCs w:val="24"/>
          <w:color w:val="auto"/>
        </w:rPr>
      </w:pPr>
    </w:p>
    <w:p>
      <w:pPr>
        <w:ind w:left="360" w:right="2180" w:hanging="334"/>
        <w:spacing w:after="0" w:line="319"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6" w:lineRule="exact"/>
        <w:rPr>
          <w:sz w:val="24"/>
          <w:szCs w:val="24"/>
          <w:color w:val="auto"/>
        </w:rPr>
      </w:pPr>
    </w:p>
    <w:tbl>
      <w:tblPr>
        <w:tblLayout w:type="fixed"/>
        <w:tblInd w:w="20" w:type="dxa"/>
        <w:tblCellMar>
          <w:top w:w="0" w:type="dxa"/>
          <w:left w:w="0" w:type="dxa"/>
          <w:bottom w:w="0" w:type="dxa"/>
          <w:right w:w="0" w:type="dxa"/>
        </w:tblCellMar>
      </w:tblPr>
      <w:tr>
        <w:trPr>
          <w:trHeight w:val="232"/>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1"/>
                <w:szCs w:val="21"/>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70"/>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23, 2025:</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Class of Common Stock</w:t>
            </w:r>
          </w:p>
        </w:tc>
        <w:tc>
          <w:tcPr>
            <w:tcW w:w="542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r>
      <w:tr>
        <w:trPr>
          <w:trHeight w:val="207"/>
        </w:trPr>
        <w:tc>
          <w:tcPr>
            <w:tcW w:w="2240" w:type="dxa"/>
            <w:vAlign w:val="bottom"/>
          </w:tcPr>
          <w:p>
            <w:pPr>
              <w:spacing w:after="0"/>
              <w:rPr>
                <w:sz w:val="17"/>
                <w:szCs w:val="17"/>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 w:type="dxa"/>
            <w:vAlign w:val="bottom"/>
          </w:tcPr>
          <w:p>
            <w:pPr>
              <w:spacing w:after="0"/>
              <w:rPr>
                <w:sz w:val="17"/>
                <w:szCs w:val="17"/>
                <w:color w:val="auto"/>
              </w:rPr>
            </w:pPr>
          </w:p>
        </w:tc>
        <w:tc>
          <w:tcPr>
            <w:tcW w:w="3200" w:type="dxa"/>
            <w:vAlign w:val="bottom"/>
            <w:tcBorders>
              <w:top w:val="single" w:sz="8" w:color="auto"/>
            </w:tcBorders>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7"/>
                <w:szCs w:val="17"/>
                <w:color w:val="auto"/>
              </w:rPr>
            </w:pPr>
          </w:p>
        </w:tc>
      </w:tr>
      <w:tr>
        <w:trPr>
          <w:trHeight w:val="216"/>
        </w:trPr>
        <w:tc>
          <w:tcPr>
            <w:tcW w:w="2240" w:type="dxa"/>
            <w:vAlign w:val="bottom"/>
          </w:tcPr>
          <w:p>
            <w:pPr>
              <w:spacing w:after="0"/>
              <w:rPr>
                <w:sz w:val="18"/>
                <w:szCs w:val="18"/>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103,282,318</w:t>
            </w:r>
          </w:p>
        </w:tc>
        <w:tc>
          <w:tcPr>
            <w:tcW w:w="2220" w:type="dxa"/>
            <w:vAlign w:val="bottom"/>
          </w:tcPr>
          <w:p>
            <w:pPr>
              <w:spacing w:after="0"/>
              <w:rPr>
                <w:sz w:val="18"/>
                <w:szCs w:val="18"/>
                <w:color w:val="auto"/>
              </w:rPr>
            </w:pPr>
          </w:p>
        </w:tc>
      </w:tr>
      <w:tr>
        <w:trPr>
          <w:trHeight w:val="1026"/>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shd w:val="clear" w:color="auto" w:fill="CCEEFF"/>
          </w:tcPr>
          <w:p>
            <w:pPr>
              <w:jc w:val="center"/>
              <w:ind w:left="39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9"/>
        </w:trPr>
        <w:tc>
          <w:tcPr>
            <w:tcW w:w="1180" w:type="dxa"/>
            <w:vAlign w:val="bottom"/>
            <w:gridSpan w:val="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8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640" w:type="dxa"/>
            <w:vAlign w:val="bottom"/>
            <w:gridSpan w:val="4"/>
            <w:shd w:val="clear" w:color="auto" w:fill="CCEEFF"/>
          </w:tcPr>
          <w:p>
            <w:pPr>
              <w:spacing w:after="0"/>
              <w:rPr>
                <w:sz w:val="18"/>
                <w:szCs w:val="18"/>
                <w:color w:val="auto"/>
              </w:rPr>
            </w:pPr>
          </w:p>
        </w:tc>
        <w:tc>
          <w:tcPr>
            <w:tcW w:w="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6980" w:type="dxa"/>
            <w:vAlign w:val="bottom"/>
            <w:gridSpan w:val="14"/>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right="48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8"/>
                <w:szCs w:val="18"/>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189"/>
        </w:trPr>
        <w:tc>
          <w:tcPr>
            <w:tcW w:w="8760" w:type="dxa"/>
            <w:vAlign w:val="bottom"/>
            <w:gridSpan w:val="2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0000FF"/>
              </w:rPr>
              <w:t>SIGNATURE PAGE</w:t>
            </w:r>
          </w:p>
        </w:tc>
        <w:tc>
          <w:tcPr>
            <w:tcW w:w="114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1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w:t>
      </w:r>
    </w:p>
    <w:p>
      <w:pPr>
        <w:jc w:val="both"/>
        <w:ind w:right="20"/>
        <w:spacing w:after="0" w:line="188" w:lineRule="auto"/>
        <w:rPr>
          <w:sz w:val="20"/>
          <w:szCs w:val="20"/>
          <w:color w:val="auto"/>
        </w:rPr>
      </w:pPr>
      <w:r>
        <w:rPr>
          <w:rFonts w:ascii="Times New Roman" w:cs="Times New Roman" w:eastAsia="Times New Roman" w:hAnsi="Times New Roman"/>
          <w:sz w:val="17"/>
          <w:szCs w:val="17"/>
          <w:color w:val="auto"/>
        </w:rPr>
        <w:t>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 Regeneron Pharmaceuticals, Inc., the property of their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1333500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7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60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710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 (Unaudited)</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710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8"/>
        </w:trPr>
        <w:tc>
          <w:tcPr>
            <w:tcW w:w="1160" w:type="dxa"/>
            <w:vAlign w:val="bottom"/>
          </w:tcPr>
          <w:p>
            <w:pPr>
              <w:spacing w:after="0"/>
              <w:rPr>
                <w:sz w:val="21"/>
                <w:szCs w:val="21"/>
                <w:color w:val="auto"/>
              </w:rPr>
            </w:pPr>
          </w:p>
        </w:tc>
        <w:tc>
          <w:tcPr>
            <w:tcW w:w="7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Borders>
              <w:bottom w:val="single" w:sz="8" w:color="CCEEFF"/>
            </w:tcBorders>
          </w:tcPr>
          <w:p>
            <w:pPr>
              <w:spacing w:after="0"/>
              <w:rPr>
                <w:sz w:val="20"/>
                <w:szCs w:val="20"/>
                <w:color w:val="auto"/>
              </w:rPr>
            </w:pPr>
          </w:p>
        </w:tc>
        <w:tc>
          <w:tcPr>
            <w:tcW w:w="7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1160" w:type="dxa"/>
            <w:vAlign w:val="bottom"/>
            <w:shd w:val="clear" w:color="auto" w:fill="CCEEFF"/>
          </w:tcPr>
          <w:p>
            <w:pPr>
              <w:spacing w:after="0"/>
              <w:rPr>
                <w:sz w:val="18"/>
                <w:szCs w:val="18"/>
                <w:color w:val="auto"/>
              </w:rPr>
            </w:pPr>
          </w:p>
        </w:tc>
        <w:tc>
          <w:tcPr>
            <w:tcW w:w="7100" w:type="dxa"/>
            <w:vAlign w:val="bottom"/>
            <w:shd w:val="clear" w:color="auto" w:fill="CCEEFF"/>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2,488.2</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r>
      <w:tr>
        <w:trPr>
          <w:trHeight w:val="203"/>
        </w:trPr>
        <w:tc>
          <w:tcPr>
            <w:tcW w:w="826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8,900.1</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4,599.7</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1,148.6</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3,314.1</w:t>
            </w:r>
          </w:p>
        </w:tc>
      </w:tr>
      <w:tr>
        <w:trPr>
          <w:trHeight w:val="229"/>
        </w:trPr>
        <w:tc>
          <w:tcPr>
            <w:tcW w:w="8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1,136.0</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1160" w:type="dxa"/>
            <w:vAlign w:val="bottom"/>
            <w:shd w:val="clear" w:color="auto" w:fill="CCEEFF"/>
          </w:tcPr>
          <w:p>
            <w:pPr>
              <w:spacing w:after="0"/>
              <w:rPr>
                <w:sz w:val="19"/>
                <w:szCs w:val="19"/>
                <w:color w:val="auto"/>
              </w:rPr>
            </w:pPr>
          </w:p>
        </w:tc>
        <w:tc>
          <w:tcPr>
            <w:tcW w:w="7100" w:type="dxa"/>
            <w:vAlign w:val="bottom"/>
            <w:shd w:val="clear" w:color="auto" w:fill="CCEEFF"/>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2,527.1</w:t>
            </w:r>
          </w:p>
        </w:tc>
      </w:tr>
      <w:tr>
        <w:trPr>
          <w:trHeight w:val="229"/>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3,944.3</w:t>
            </w:r>
          </w:p>
        </w:tc>
      </w:tr>
      <w:tr>
        <w:trPr>
          <w:trHeight w:val="183"/>
        </w:trPr>
        <w:tc>
          <w:tcPr>
            <w:tcW w:w="1160" w:type="dxa"/>
            <w:vAlign w:val="bottom"/>
            <w:shd w:val="clear" w:color="auto" w:fill="CCEEFF"/>
          </w:tcPr>
          <w:p>
            <w:pPr>
              <w:spacing w:after="0"/>
              <w:rPr>
                <w:sz w:val="15"/>
                <w:szCs w:val="15"/>
                <w:color w:val="auto"/>
              </w:rPr>
            </w:pPr>
          </w:p>
        </w:tc>
        <w:tc>
          <w:tcPr>
            <w:tcW w:w="7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8,405.8</w:t>
            </w:r>
          </w:p>
        </w:tc>
      </w:tr>
      <w:tr>
        <w:trPr>
          <w:trHeight w:val="142"/>
        </w:trPr>
        <w:tc>
          <w:tcPr>
            <w:tcW w:w="1160" w:type="dxa"/>
            <w:vAlign w:val="bottom"/>
            <w:shd w:val="clear" w:color="auto" w:fill="CCEEFF"/>
          </w:tcPr>
          <w:p>
            <w:pPr>
              <w:spacing w:after="0"/>
              <w:rPr>
                <w:sz w:val="12"/>
                <w:szCs w:val="12"/>
                <w:color w:val="auto"/>
              </w:rPr>
            </w:pPr>
          </w:p>
        </w:tc>
        <w:tc>
          <w:tcPr>
            <w:tcW w:w="7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2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8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1.8 in 2025 and 2024</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82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- 136.2 in 2025 and 136.0 in</w:t>
            </w: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1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2024</w:t>
            </w:r>
          </w:p>
        </w:tc>
        <w:tc>
          <w:tcPr>
            <w:tcW w:w="7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12,855.9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31,672.9</w:t>
            </w:r>
          </w:p>
        </w:tc>
      </w:tr>
      <w:tr>
        <w:trPr>
          <w:trHeight w:val="230"/>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32.7 shares in 2025 and 28.2 shares in 2024</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(15,167.4)</w:t>
            </w:r>
          </w:p>
        </w:tc>
      </w:tr>
      <w:tr>
        <w:trPr>
          <w:trHeight w:val="223"/>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29,353.6</w:t>
            </w:r>
          </w:p>
        </w:tc>
      </w:tr>
      <w:tr>
        <w:trPr>
          <w:trHeight w:val="248"/>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37,759.4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92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5"/>
        </w:trPr>
        <w:tc>
          <w:tcPr>
            <w:tcW w:w="3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3"/>
                <w:szCs w:val="23"/>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4,450.9</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r>
      <w:tr>
        <w:trPr>
          <w:trHeight w:val="223"/>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10,412.8</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w:t>
            </w:r>
          </w:p>
        </w:tc>
      </w:tr>
      <w:tr>
        <w:trPr>
          <w:trHeight w:val="229"/>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collaboration and contract manufacturing</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r>
      <w:tr>
        <w:trPr>
          <w:trHeight w:val="230"/>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3"/>
        </w:trPr>
        <w:tc>
          <w:tcPr>
            <w:tcW w:w="38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7,412.3</w:t>
            </w:r>
          </w:p>
        </w:tc>
      </w:tr>
      <w:tr>
        <w:trPr>
          <w:trHeight w:val="196"/>
        </w:trPr>
        <w:tc>
          <w:tcPr>
            <w:tcW w:w="3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r>
      <w:tr>
        <w:trPr>
          <w:trHeight w:val="216"/>
        </w:trPr>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3"/>
        </w:trPr>
        <w:tc>
          <w:tcPr>
            <w:tcW w:w="38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3,821.8</w:t>
            </w:r>
          </w:p>
        </w:tc>
      </w:tr>
      <w:tr>
        <w:trPr>
          <w:trHeight w:val="216"/>
        </w:trPr>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r>
      <w:tr>
        <w:trPr>
          <w:trHeight w:val="196"/>
        </w:trPr>
        <w:tc>
          <w:tcPr>
            <w:tcW w:w="38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8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2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r>
        <w:trPr>
          <w:trHeight w:val="216"/>
        </w:trPr>
        <w:tc>
          <w:tcPr>
            <w:tcW w:w="3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3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debt securities</w:t>
            </w:r>
          </w:p>
        </w:tc>
        <w:tc>
          <w:tcPr>
            <w:tcW w:w="1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29"/>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Gain on foreign currency translation</w:t>
            </w:r>
          </w:p>
        </w:tc>
        <w:tc>
          <w:tcPr>
            <w:tcW w:w="1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19685</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184785</wp:posOffset>
            </wp:positionH>
            <wp:positionV relativeFrom="paragraph">
              <wp:posOffset>45720</wp:posOffset>
            </wp:positionV>
            <wp:extent cx="67722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9"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09"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$12,855.9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$31,672.9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$(15,167.4)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13,490.8</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29,938.9</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13,787.3</w:t>
            </w: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35,045.8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(17,944.4)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30,957.8</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right"/>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$11,354.0</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$27,260.3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$(12,560.4)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26,991.1</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28,205.8</w:t>
            </w: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12,702.8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30,755.2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(14,192.4)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29,325.9</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97"/>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25"/>
        </w:trPr>
        <w:tc>
          <w:tcPr>
            <w:tcW w:w="80" w:type="dxa"/>
            <w:vAlign w:val="bottom"/>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70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8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Decrease (increase) in accounts receivable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in inventories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29"/>
        </w:trPr>
        <w:tc>
          <w:tcPr>
            <w:tcW w:w="80" w:type="dxa"/>
            <w:vAlign w:val="bottom"/>
          </w:tcPr>
          <w:p>
            <w:pPr>
              <w:spacing w:after="0"/>
              <w:rPr>
                <w:sz w:val="19"/>
                <w:szCs w:val="19"/>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deferred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30"/>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3"/>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3,157.7</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(14,664.5)</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12,445.3</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(2,818.7)</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r>
      <w:tr>
        <w:trPr>
          <w:trHeight w:val="229"/>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(775.7)</w:t>
            </w:r>
          </w:p>
        </w:tc>
      </w:tr>
      <w:tr>
        <w:trPr>
          <w:trHeight w:val="230"/>
        </w:trPr>
        <w:tc>
          <w:tcPr>
            <w:tcW w:w="80" w:type="dxa"/>
            <w:vAlign w:val="bottom"/>
          </w:tcPr>
          <w:p>
            <w:pPr>
              <w:spacing w:after="0"/>
              <w:rPr>
                <w:sz w:val="19"/>
                <w:szCs w:val="19"/>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(1,630.3)</w:t>
            </w: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81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(1,065.0)</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16"/>
        </w:trPr>
        <w:tc>
          <w:tcPr>
            <w:tcW w:w="80" w:type="dxa"/>
            <w:vAlign w:val="bottom"/>
          </w:tcPr>
          <w:p>
            <w:pPr>
              <w:spacing w:after="0"/>
              <w:rPr>
                <w:sz w:val="18"/>
                <w:szCs w:val="18"/>
                <w:color w:val="auto"/>
              </w:rPr>
            </w:pPr>
          </w:p>
        </w:tc>
        <w:tc>
          <w:tcPr>
            <w:tcW w:w="81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2,737.8</w:t>
            </w:r>
          </w:p>
        </w:tc>
      </w:tr>
      <w:tr>
        <w:trPr>
          <w:trHeight w:val="196"/>
        </w:trPr>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5"/>
        </w:trPr>
        <w:tc>
          <w:tcPr>
            <w:tcW w:w="80" w:type="dxa"/>
            <w:vAlign w:val="bottom"/>
          </w:tcPr>
          <w:p>
            <w:pPr>
              <w:spacing w:after="0"/>
              <w:rPr>
                <w:sz w:val="21"/>
                <w:szCs w:val="21"/>
                <w:color w:val="auto"/>
              </w:rPr>
            </w:pPr>
          </w:p>
        </w:tc>
        <w:tc>
          <w:tcPr>
            <w:tcW w:w="8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r>
      <w:tr>
        <w:trPr>
          <w:trHeight w:val="20"/>
        </w:trPr>
        <w:tc>
          <w:tcPr>
            <w:tcW w:w="8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566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Standard/Description</w:t>
            </w:r>
          </w:p>
        </w:tc>
        <w:tc>
          <w:tcPr>
            <w:tcW w:w="22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660" w:type="dxa"/>
            <w:vAlign w:val="bottom"/>
            <w:gridSpan w:val="2"/>
            <w:vMerge w:val="continue"/>
          </w:tcPr>
          <w:p>
            <w:pPr>
              <w:spacing w:after="0"/>
              <w:rPr>
                <w:sz w:val="20"/>
                <w:szCs w:val="20"/>
                <w:color w:val="auto"/>
              </w:rPr>
            </w:pPr>
          </w:p>
        </w:tc>
        <w:tc>
          <w:tcPr>
            <w:tcW w:w="2240" w:type="dxa"/>
            <w:vAlign w:val="bottom"/>
            <w:gridSpan w:val="2"/>
            <w:vMerge w:val="continue"/>
          </w:tcPr>
          <w:p>
            <w:pPr>
              <w:spacing w:after="0"/>
              <w:rPr>
                <w:sz w:val="20"/>
                <w:szCs w:val="20"/>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55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ASU 2023-09: In December 2023, the FASB issued amended guidance</w:t>
            </w:r>
          </w:p>
        </w:tc>
        <w:tc>
          <w:tcPr>
            <w:tcW w:w="100" w:type="dxa"/>
            <w:vAlign w:val="bottom"/>
            <w:tcBorders>
              <w:top w:val="single" w:sz="8" w:color="CCEEFF"/>
            </w:tcBorders>
            <w:shd w:val="clear" w:color="auto" w:fill="CCEEFF"/>
          </w:tcPr>
          <w:p>
            <w:pPr>
              <w:spacing w:after="0"/>
              <w:rPr>
                <w:sz w:val="15"/>
                <w:szCs w:val="15"/>
                <w:color w:val="auto"/>
              </w:rPr>
            </w:pPr>
          </w:p>
        </w:tc>
        <w:tc>
          <w:tcPr>
            <w:tcW w:w="212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January 1, 2025</w:t>
            </w:r>
          </w:p>
        </w:tc>
        <w:tc>
          <w:tcPr>
            <w:tcW w:w="120" w:type="dxa"/>
            <w:vAlign w:val="bottom"/>
            <w:tcBorders>
              <w:top w:val="single" w:sz="8" w:color="CCEEFF"/>
            </w:tcBorders>
            <w:shd w:val="clear" w:color="auto" w:fill="CCEEFF"/>
          </w:tcPr>
          <w:p>
            <w:pPr>
              <w:spacing w:after="0"/>
              <w:rPr>
                <w:sz w:val="15"/>
                <w:szCs w:val="15"/>
                <w:color w:val="auto"/>
              </w:rPr>
            </w:pPr>
          </w:p>
        </w:tc>
        <w:tc>
          <w:tcPr>
            <w:tcW w:w="320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No significant impact expected</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6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 xml:space="preserve">related to improvements to </w:t>
            </w:r>
            <w:r>
              <w:rPr>
                <w:rFonts w:ascii="Times New Roman" w:cs="Times New Roman" w:eastAsia="Times New Roman" w:hAnsi="Times New Roman"/>
                <w:sz w:val="18"/>
                <w:szCs w:val="18"/>
                <w:b w:val="1"/>
                <w:bCs w:val="1"/>
                <w:color w:val="auto"/>
              </w:rPr>
              <w:t>income tax disclosures</w:t>
            </w:r>
            <w:r>
              <w:rPr>
                <w:rFonts w:ascii="Times New Roman" w:cs="Times New Roman" w:eastAsia="Times New Roman" w:hAnsi="Times New Roman"/>
                <w:sz w:val="18"/>
                <w:szCs w:val="18"/>
                <w:color w:val="auto"/>
              </w:rPr>
              <w:t>. The amendments</w:t>
            </w:r>
          </w:p>
        </w:tc>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566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require annually (i) enhanced disclosures in connection with an entity's</w:t>
            </w:r>
          </w:p>
        </w:tc>
        <w:tc>
          <w:tcPr>
            <w:tcW w:w="2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66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effective tax rate reconciliation and (ii) income taxes paid disaggregated</w:t>
            </w:r>
          </w:p>
        </w:tc>
        <w:tc>
          <w:tcPr>
            <w:tcW w:w="2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jurisdiction.</w:t>
            </w: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100"/>
        <w:spacing w:after="0" w:line="236" w:lineRule="auto"/>
        <w:rPr>
          <w:sz w:val="20"/>
          <w:szCs w:val="20"/>
          <w:color w:val="auto"/>
        </w:rPr>
      </w:pPr>
      <w:r>
        <w:rPr>
          <w:rFonts w:ascii="Times New Roman" w:cs="Times New Roman" w:eastAsia="Times New Roman" w:hAnsi="Times New Roman"/>
          <w:sz w:val="18"/>
          <w:szCs w:val="18"/>
          <w:color w:val="auto"/>
        </w:rPr>
        <w:t>ASU 2024-03: In November 2024, the FASB issued new guidance which</w:t>
      </w:r>
    </w:p>
    <w:p>
      <w:pPr>
        <w:spacing w:after="0" w:line="1" w:lineRule="exact"/>
        <w:rPr>
          <w:sz w:val="20"/>
          <w:szCs w:val="20"/>
          <w:color w:val="auto"/>
        </w:rPr>
      </w:pPr>
    </w:p>
    <w:p>
      <w:pPr>
        <w:ind w:left="260"/>
        <w:spacing w:after="0" w:line="220" w:lineRule="auto"/>
        <w:rPr>
          <w:sz w:val="20"/>
          <w:szCs w:val="20"/>
          <w:color w:val="auto"/>
        </w:rPr>
      </w:pPr>
      <w:r>
        <w:rPr>
          <w:rFonts w:ascii="Times New Roman" w:cs="Times New Roman" w:eastAsia="Times New Roman" w:hAnsi="Times New Roman"/>
          <w:sz w:val="17"/>
          <w:szCs w:val="17"/>
          <w:color w:val="auto"/>
        </w:rPr>
        <w:t xml:space="preserve">requires disclosure of </w:t>
      </w:r>
      <w:r>
        <w:rPr>
          <w:rFonts w:ascii="Times New Roman" w:cs="Times New Roman" w:eastAsia="Times New Roman" w:hAnsi="Times New Roman"/>
          <w:sz w:val="17"/>
          <w:szCs w:val="17"/>
          <w:b w:val="1"/>
          <w:bCs w:val="1"/>
          <w:color w:val="auto"/>
        </w:rPr>
        <w:t>disaggregated income statement expense</w:t>
      </w:r>
      <w:r>
        <w:rPr>
          <w:rFonts w:ascii="Times New Roman" w:cs="Times New Roman" w:eastAsia="Times New Roman" w:hAnsi="Times New Roman"/>
          <w:sz w:val="17"/>
          <w:szCs w:val="17"/>
          <w:color w:val="auto"/>
        </w:rPr>
        <w:t xml:space="preserve"> information about specific categories (including purchases of inventory, employee compensation, depreciation, and intangible asset amortization)</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the notes to financial statements.</w:t>
      </w:r>
    </w:p>
    <w:p>
      <w:pPr>
        <w:spacing w:after="0" w:line="20" w:lineRule="exact"/>
        <w:rPr>
          <w:sz w:val="20"/>
          <w:szCs w:val="20"/>
          <w:color w:val="auto"/>
        </w:rPr>
      </w:pPr>
      <w:r>
        <w:rPr>
          <w:sz w:val="20"/>
          <w:szCs w:val="20"/>
          <w:color w:val="auto"/>
        </w:rPr>
        <w:br w:type="column"/>
      </w:r>
    </w:p>
    <w:p>
      <w:pPr>
        <w:spacing w:after="0"/>
        <w:tabs>
          <w:tab w:leader="none" w:pos="2220" w:val="left"/>
        </w:tabs>
        <w:rPr>
          <w:sz w:val="20"/>
          <w:szCs w:val="20"/>
          <w:color w:val="auto"/>
        </w:rPr>
      </w:pPr>
      <w:r>
        <w:rPr>
          <w:rFonts w:ascii="Times New Roman" w:cs="Times New Roman" w:eastAsia="Times New Roman" w:hAnsi="Times New Roman"/>
          <w:sz w:val="18"/>
          <w:szCs w:val="18"/>
          <w:color w:val="auto"/>
        </w:rPr>
        <w:t>January 1, 2027 for annual</w:t>
      </w:r>
      <w:r>
        <w:rPr>
          <w:sz w:val="20"/>
          <w:szCs w:val="20"/>
          <w:color w:val="auto"/>
        </w:rPr>
        <w:tab/>
      </w:r>
      <w:r>
        <w:rPr>
          <w:rFonts w:ascii="Times New Roman" w:cs="Times New Roman" w:eastAsia="Times New Roman" w:hAnsi="Times New Roman"/>
          <w:sz w:val="17"/>
          <w:szCs w:val="17"/>
          <w:color w:val="auto"/>
        </w:rPr>
        <w:t>Currently evaluating impact</w:t>
      </w:r>
    </w:p>
    <w:p>
      <w:pPr>
        <w:spacing w:after="0" w:line="204" w:lineRule="auto"/>
        <w:rPr>
          <w:sz w:val="20"/>
          <w:szCs w:val="20"/>
          <w:color w:val="auto"/>
        </w:rPr>
      </w:pPr>
      <w:r>
        <w:rPr>
          <w:rFonts w:ascii="Times New Roman" w:cs="Times New Roman" w:eastAsia="Times New Roman" w:hAnsi="Times New Roman"/>
          <w:sz w:val="18"/>
          <w:szCs w:val="18"/>
          <w:color w:val="auto"/>
        </w:rPr>
        <w:t>reporting periods and</w:t>
      </w:r>
    </w:p>
    <w:p>
      <w:pPr>
        <w:spacing w:after="0" w:line="203" w:lineRule="auto"/>
        <w:rPr>
          <w:sz w:val="20"/>
          <w:szCs w:val="20"/>
          <w:color w:val="auto"/>
        </w:rPr>
      </w:pPr>
      <w:r>
        <w:rPr>
          <w:rFonts w:ascii="Times New Roman" w:cs="Times New Roman" w:eastAsia="Times New Roman" w:hAnsi="Times New Roman"/>
          <w:sz w:val="18"/>
          <w:szCs w:val="18"/>
          <w:color w:val="auto"/>
        </w:rPr>
        <w:t>January 1, 2028 for interim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periods</w:t>
      </w:r>
    </w:p>
    <w:p>
      <w:pPr>
        <w:spacing w:after="0" w:line="389" w:lineRule="exact"/>
        <w:rPr>
          <w:sz w:val="20"/>
          <w:szCs w:val="20"/>
          <w:color w:val="auto"/>
        </w:rPr>
      </w:pPr>
    </w:p>
    <w:p>
      <w:pPr>
        <w:sectPr>
          <w:pgSz w:w="11900" w:h="16838" w:orient="portrait"/>
          <w:cols w:equalWidth="0" w:num="2">
            <w:col w:w="5500" w:space="260"/>
            <w:col w:w="5480"/>
          </w:cols>
          <w:pgMar w:left="320" w:top="369" w:right="339" w:bottom="1440" w:gutter="0" w:footer="0" w:header="0"/>
          <w:type w:val="continuous"/>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20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7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7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r>
      <w:tr>
        <w:trPr>
          <w:trHeight w:val="230"/>
        </w:trPr>
        <w:tc>
          <w:tcPr>
            <w:tcW w:w="27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7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3,576.7</w:t>
            </w:r>
          </w:p>
        </w:tc>
      </w:tr>
      <w:tr>
        <w:trPr>
          <w:trHeight w:val="223"/>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r>
      <w:tr>
        <w:trPr>
          <w:trHeight w:val="230"/>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w:t>
            </w: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r>
      <w:tr>
        <w:trPr>
          <w:trHeight w:val="223"/>
        </w:trPr>
        <w:tc>
          <w:tcPr>
            <w:tcW w:w="2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w:t>
            </w:r>
          </w:p>
        </w:tc>
      </w:tr>
      <w:tr>
        <w:trPr>
          <w:trHeight w:val="229"/>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29"/>
        </w:trPr>
        <w:tc>
          <w:tcPr>
            <w:tcW w:w="2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30"/>
        </w:trPr>
        <w:tc>
          <w:tcPr>
            <w:tcW w:w="2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Inmazeb</w:t>
            </w:r>
            <w:r>
              <w:rPr>
                <w:rFonts w:ascii="Times New Roman" w:cs="Times New Roman" w:eastAsia="Times New Roman" w:hAnsi="Times New Roman"/>
                <w:sz w:val="23"/>
                <w:szCs w:val="23"/>
                <w:color w:val="auto"/>
                <w:vertAlign w:val="superscript"/>
              </w:rPr>
              <w:t>®</w:t>
            </w:r>
          </w:p>
        </w:tc>
        <w:tc>
          <w:tcPr>
            <w:tcW w:w="1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1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7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r>
              <w:rPr>
                <w:rFonts w:ascii="Times New Roman" w:cs="Times New Roman" w:eastAsia="Times New Roman" w:hAnsi="Times New Roman"/>
                <w:sz w:val="18"/>
                <w:szCs w:val="18"/>
                <w:u w:val="single" w:color="auto"/>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r>
              <w:rPr>
                <w:rFonts w:ascii="Times New Roman" w:cs="Times New Roman" w:eastAsia="Times New Roman" w:hAnsi="Times New Roman"/>
                <w:sz w:val="18"/>
                <w:szCs w:val="18"/>
                <w:u w:val="single" w:color="auto"/>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r>
              <w:rPr>
                <w:rFonts w:ascii="Times New Roman" w:cs="Times New Roman" w:eastAsia="Times New Roman" w:hAnsi="Times New Roman"/>
                <w:sz w:val="18"/>
                <w:szCs w:val="18"/>
                <w:u w:val="single" w:color="auto"/>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5,626.3</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$3.471 billion and $4.278 billion, respectively, of trade accounts receivable that were recorded within Accounts receivable, net.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and nine months ended September 30, 2025 and 2024. Sales to each of these customers as a percentage of the Company's total gross product revenue are as follows:</w:t>
      </w:r>
    </w:p>
    <w:p>
      <w:pPr>
        <w:spacing w:after="0" w:line="189"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2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2420" w:type="dxa"/>
            <w:vAlign w:val="bottom"/>
          </w:tcPr>
          <w:p>
            <w:pPr>
              <w:spacing w:after="0"/>
              <w:rPr>
                <w:sz w:val="20"/>
                <w:szCs w:val="20"/>
                <w:color w:val="auto"/>
              </w:rPr>
            </w:pPr>
          </w:p>
        </w:tc>
        <w:tc>
          <w:tcPr>
            <w:tcW w:w="2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8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242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The Company is party to a global, strategic collaboration with Sanofi to research, develop, and commercialize fully human monoclonal antibodies, which currently consists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r>
        <w:rPr>
          <w:rFonts w:ascii="Times New Roman" w:cs="Times New Roman" w:eastAsia="Times New Roman" w:hAnsi="Times New Roman"/>
          <w:sz w:val="21"/>
          <w:szCs w:val="21"/>
          <w:i w:val="1"/>
          <w:iCs w:val="1"/>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Sanofi is generally responsible for funding 80% to 100% of agreed-upon development costs. The Company is obligated to reimburse Sanofi for 30% to 50% of development expenses that were funded by Sanofi (i.e., "development balance") based on the Company's share of collaboration profits; however, the Company is only required to apply 20% of its share of profits from the collaboration each calendar quarter to reimburse Sanofi for these development expenses. As of September 30, 2025, the Company's contingent reimbursement obligation to Sanofi in connection with the development balance was approximately $905 million.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Sanofi leads commercialization activities for products under the collaboration, subject to the Company's right to co-commercialize such products. The parties equally share profits from sales within the United States. The parties share profits outside the United States on a sliding scale based on sales starting at 65% (Sanofi)/35% (Regeneron) and ending at 55% (Sanofi)/45% (Regeneron).</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6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40" w:type="dxa"/>
            <w:vAlign w:val="bottom"/>
          </w:tcPr>
          <w:p>
            <w:pPr>
              <w:spacing w:after="0"/>
              <w:rPr>
                <w:sz w:val="20"/>
                <w:szCs w:val="20"/>
                <w:color w:val="auto"/>
              </w:rPr>
            </w:pPr>
          </w:p>
        </w:tc>
        <w:tc>
          <w:tcPr>
            <w:tcW w:w="27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74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r>
      <w:tr>
        <w:trPr>
          <w:trHeight w:val="175"/>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supplies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175"/>
        </w:trPr>
        <w:tc>
          <w:tcPr>
            <w:tcW w:w="3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4"/>
        </w:trPr>
        <w:tc>
          <w:tcPr>
            <w:tcW w:w="374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176"/>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of SG&amp;A expense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29"/>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global development and commercialization of EYLEA 8 mg (aflibercept 8 mg) and EYLEA (aflibercept) outside the United States. Agreed-upon development expenses incurred by the Company and Bayer are generally shared equally. 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8"/>
                <w:szCs w:val="18"/>
                <w:color w:val="auto"/>
              </w:rPr>
            </w:pPr>
          </w:p>
        </w:tc>
        <w:tc>
          <w:tcPr>
            <w:tcW w:w="19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40" w:type="dxa"/>
            <w:vAlign w:val="bottom"/>
          </w:tcPr>
          <w:p>
            <w:pPr>
              <w:spacing w:after="0"/>
              <w:rPr>
                <w:sz w:val="20"/>
                <w:szCs w:val="20"/>
                <w:color w:val="auto"/>
              </w:rPr>
            </w:pP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6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r>
      <w:tr>
        <w:trPr>
          <w:trHeight w:val="175"/>
        </w:trPr>
        <w:tc>
          <w:tcPr>
            <w:tcW w:w="37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Reimbursement for manufacturing of commercial</w:t>
            </w:r>
          </w:p>
        </w:tc>
        <w:tc>
          <w:tcPr>
            <w:tcW w:w="24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supplies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176"/>
        </w:trPr>
        <w:tc>
          <w:tcPr>
            <w:tcW w:w="37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Regeneron's obligation for its share of Bayer</w:t>
            </w:r>
          </w:p>
        </w:tc>
        <w:tc>
          <w:tcPr>
            <w:tcW w:w="24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4"/>
        </w:trPr>
        <w:tc>
          <w:tcPr>
            <w:tcW w:w="374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 R&amp;D</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4"/>
        </w:trPr>
        <w:tc>
          <w:tcPr>
            <w:tcW w:w="3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194" w:lineRule="exact"/>
        <w:rPr>
          <w:sz w:val="20"/>
          <w:szCs w:val="20"/>
          <w:color w:val="auto"/>
        </w:rPr>
      </w:pPr>
    </w:p>
    <w:tbl>
      <w:tblPr>
        <w:tblLayout w:type="fixed"/>
        <w:tblInd w:w="250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collaboration and license agreements that are not individually significant to its operating results or financial condition at this time. Pursuant to the terms of those agreements, the Company may (i) incur, and/or get reimbursed for, research and development costs, and/or (ii) be required to pay, and/or may receive, additional amounts contingent upon the occurrence of various future events (e.g., upon the achievement of development and commercial milestones), which in the aggregate could be significant.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Acquired In-Process Research and Development ("IPR&amp;D") Expenses</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to Acquired IPR&amp;D expense an $80.0 million up-front payment in connection with its license agreement with Hansoh Pharmaceuticals Group Company Limited to acquire development and commercial rights outside mainland China, Hong Kong, and Macau for HS-20094 (a dual GLP-1/GIP receptor agonist currently in Phase 3 clinical development in China).</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to Acquired IPR&amp;D expense a $45.0 million development milestone in connection with its collaboration agreement with Sonoma Biotherapeutics,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2025, the Company purchased an FDA Rare Pediatric Disease Priority Review Voucher from a third party for $155.0 million (which was recorded as an indefinite-lived intangible asset).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6"/>
        </w:trPr>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86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860" w:type="dxa"/>
            <w:vAlign w:val="bottom"/>
          </w:tcPr>
          <w:p>
            <w:pPr>
              <w:spacing w:after="0"/>
              <w:rPr>
                <w:sz w:val="19"/>
                <w:szCs w:val="19"/>
                <w:color w:val="auto"/>
              </w:rPr>
            </w:pPr>
          </w:p>
        </w:tc>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70"/>
        </w:trPr>
        <w:tc>
          <w:tcPr>
            <w:tcW w:w="86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29"/>
        </w:trPr>
        <w:tc>
          <w:tcPr>
            <w:tcW w:w="860" w:type="dxa"/>
            <w:vAlign w:val="bottom"/>
          </w:tcPr>
          <w:p>
            <w:pPr>
              <w:spacing w:after="0"/>
              <w:rPr>
                <w:sz w:val="19"/>
                <w:szCs w:val="19"/>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60" w:type="dxa"/>
            <w:vAlign w:val="bottom"/>
          </w:tcPr>
          <w:p>
            <w:pPr>
              <w:spacing w:after="0"/>
              <w:rPr>
                <w:sz w:val="19"/>
                <w:szCs w:val="19"/>
                <w:color w:val="auto"/>
              </w:rPr>
            </w:pPr>
          </w:p>
        </w:tc>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860" w:type="dxa"/>
            <w:vAlign w:val="bottom"/>
          </w:tcPr>
          <w:p>
            <w:pPr>
              <w:spacing w:after="0"/>
              <w:rPr>
                <w:sz w:val="19"/>
                <w:szCs w:val="19"/>
                <w:color w:val="auto"/>
              </w:rPr>
            </w:pPr>
          </w:p>
        </w:tc>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86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0"/>
        </w:trPr>
        <w:tc>
          <w:tcPr>
            <w:tcW w:w="860" w:type="dxa"/>
            <w:vAlign w:val="bottom"/>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34"/>
        </w:trPr>
        <w:tc>
          <w:tcPr>
            <w:tcW w:w="8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34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340" w:type="dxa"/>
            <w:vAlign w:val="bottom"/>
            <w:gridSpan w:val="4"/>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23"/>
        </w:trPr>
        <w:tc>
          <w:tcPr>
            <w:tcW w:w="1160" w:type="dxa"/>
            <w:vAlign w:val="bottom"/>
          </w:tcPr>
          <w:p>
            <w:pPr>
              <w:spacing w:after="0"/>
              <w:rPr>
                <w:sz w:val="19"/>
                <w:szCs w:val="19"/>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50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r>
      <w:tr>
        <w:trPr>
          <w:trHeight w:val="805"/>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September 30, 2025 and December 31, 2024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83"/>
        </w:trPr>
        <w:tc>
          <w:tcPr>
            <w:tcW w:w="20" w:type="dxa"/>
            <w:vAlign w:val="bottom"/>
          </w:tcPr>
          <w:p>
            <w:pPr>
              <w:spacing w:after="0"/>
              <w:rPr>
                <w:sz w:val="15"/>
                <w:szCs w:val="15"/>
                <w:color w:val="auto"/>
              </w:rPr>
            </w:pPr>
          </w:p>
        </w:tc>
        <w:tc>
          <w:tcPr>
            <w:tcW w:w="50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80" w:type="dxa"/>
            <w:vAlign w:val="bottom"/>
          </w:tcPr>
          <w:p>
            <w:pPr>
              <w:spacing w:after="0"/>
              <w:rPr>
                <w:sz w:val="15"/>
                <w:szCs w:val="15"/>
                <w:color w:val="auto"/>
              </w:rPr>
            </w:pPr>
          </w:p>
        </w:tc>
        <w:tc>
          <w:tcPr>
            <w:tcW w:w="124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9,697.7</w:t>
            </w: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4,703.3</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29"/>
        </w:trPr>
        <w:tc>
          <w:tcPr>
            <w:tcW w:w="20" w:type="dxa"/>
            <w:vAlign w:val="bottom"/>
            <w:tcBorders>
              <w:bottom w:val="single" w:sz="8" w:color="CCEEFF"/>
            </w:tcBorders>
          </w:tcPr>
          <w:p>
            <w:pPr>
              <w:spacing w:after="0"/>
              <w:rPr>
                <w:sz w:val="19"/>
                <w:szCs w:val="19"/>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15,434.9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10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30"/>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14,338.0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September 30, 2025 mature at various dates through February 2038. The fair values of available-for-sale debt securities by contractual maturity consist of the following:</w:t>
      </w:r>
    </w:p>
    <w:p>
      <w:pPr>
        <w:spacing w:after="0" w:line="226"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19"/>
                <w:szCs w:val="19"/>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7,804.8</w:t>
            </w: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14,329.1</w:t>
            </w:r>
          </w:p>
        </w:tc>
      </w:tr>
      <w:tr>
        <w:trPr>
          <w:trHeight w:val="21"/>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and gross unrealized losses by category and disaggregated by the length of time that the Company's available-for-sale debt securities have been in a continuous unrealized loss position.</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60" w:type="dxa"/>
            <w:vAlign w:val="bottom"/>
          </w:tcPr>
          <w:p>
            <w:pPr>
              <w:spacing w:after="0"/>
              <w:rPr>
                <w:sz w:val="20"/>
                <w:szCs w:val="20"/>
                <w:color w:val="auto"/>
              </w:rPr>
            </w:pPr>
          </w:p>
        </w:tc>
        <w:tc>
          <w:tcPr>
            <w:tcW w:w="24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140" w:type="dxa"/>
            <w:vAlign w:val="bottom"/>
            <w:gridSpan w:val="3"/>
          </w:tcPr>
          <w:p>
            <w:pPr>
              <w:spacing w:after="0" w:line="174" w:lineRule="exact"/>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0"/>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198"/>
        </w:trPr>
        <w:tc>
          <w:tcPr>
            <w:tcW w:w="31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70"/>
              <w:spacing w:after="0" w:line="198" w:lineRule="exact"/>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1"/>
        </w:trPr>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13,898.1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14,471.2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19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1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184"/>
        </w:trPr>
        <w:tc>
          <w:tcPr>
            <w:tcW w:w="314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U.S. government and government agency</w:t>
            </w: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3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8"/>
        </w:trPr>
        <w:tc>
          <w:tcPr>
            <w:tcW w:w="1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 into Other income (expense), net, related to realized gains/losses on sales of available-for-sale debt securities; such amounts were not material for the three and nine months ended September 30, 2025 and 2024.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assets and liabilities which are measured at fair value on a recurring basis. The following fair value hierarchy is used to classify assets and liabilities, based on inputs to valuation techniques utilized to measure fair value:</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gridSpan w:val="7"/>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Reporting Date</w:t>
            </w:r>
          </w:p>
        </w:tc>
      </w:tr>
      <w:tr>
        <w:trPr>
          <w:trHeight w:val="183"/>
        </w:trPr>
        <w:tc>
          <w:tcPr>
            <w:tcW w:w="4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260" w:type="dxa"/>
            <w:vAlign w:val="bottom"/>
          </w:tcPr>
          <w:p>
            <w:pPr>
              <w:spacing w:after="0"/>
              <w:rPr>
                <w:sz w:val="15"/>
                <w:szCs w:val="15"/>
                <w:color w:val="auto"/>
              </w:rPr>
            </w:pPr>
          </w:p>
        </w:tc>
        <w:tc>
          <w:tcPr>
            <w:tcW w:w="1480" w:type="dxa"/>
            <w:vAlign w:val="bottom"/>
            <w:gridSpan w:val="2"/>
          </w:tcPr>
          <w:p>
            <w:pPr>
              <w:ind w:left="160"/>
              <w:spacing w:after="0" w:line="18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320" w:type="dxa"/>
            <w:vAlign w:val="bottom"/>
          </w:tcPr>
          <w:p>
            <w:pPr>
              <w:spacing w:after="0"/>
              <w:rPr>
                <w:sz w:val="15"/>
                <w:szCs w:val="15"/>
                <w:color w:val="auto"/>
              </w:rPr>
            </w:pPr>
          </w:p>
        </w:tc>
        <w:tc>
          <w:tcPr>
            <w:tcW w:w="1440" w:type="dxa"/>
            <w:vAlign w:val="bottom"/>
            <w:gridSpan w:val="2"/>
          </w:tcPr>
          <w:p>
            <w:pPr>
              <w:ind w:left="22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5"/>
                <w:szCs w:val="15"/>
                <w:color w:val="auto"/>
              </w:rPr>
            </w:pPr>
          </w:p>
        </w:tc>
        <w:tc>
          <w:tcPr>
            <w:tcW w:w="1440" w:type="dxa"/>
            <w:vAlign w:val="bottom"/>
            <w:gridSpan w:val="2"/>
          </w:tcPr>
          <w:p>
            <w:pPr>
              <w:jc w:val="center"/>
              <w:ind w:right="440"/>
              <w:spacing w:after="0" w:line="182" w:lineRule="exact"/>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5"/>
                <w:szCs w:val="15"/>
                <w:color w:val="auto"/>
              </w:rPr>
            </w:pPr>
          </w:p>
        </w:tc>
        <w:tc>
          <w:tcPr>
            <w:tcW w:w="1320" w:type="dxa"/>
            <w:vAlign w:val="bottom"/>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r>
      <w:tr>
        <w:trPr>
          <w:trHeight w:val="21"/>
        </w:trPr>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9"/>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70"/>
        </w:trPr>
        <w:tc>
          <w:tcPr>
            <w:tcW w:w="19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189"/>
        </w:trPr>
        <w:tc>
          <w:tcPr>
            <w:tcW w:w="43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As of December 31, 2024</w:t>
            </w: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9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Asset-backed securities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Sovereign bonds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4"/>
        </w:trPr>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bl>
    <w:p>
      <w:pPr>
        <w:spacing w:after="0" w:line="49" w:lineRule="exact"/>
        <w:rPr>
          <w:sz w:val="20"/>
          <w:szCs w:val="20"/>
          <w:color w:val="auto"/>
        </w:rPr>
      </w:pPr>
    </w:p>
    <w:p>
      <w:pPr>
        <w:ind w:left="40" w:right="460" w:firstLine="6"/>
        <w:spacing w:after="0"/>
        <w:tabs>
          <w:tab w:leader="none" w:pos="199"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of $63.9 million and $43.2 million as of September 30, 2025 and December 31, 2024, respectively, that are subject to transfer restrictions expiring in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classified the following investments within Other noncurrent assets:</w:t>
      </w:r>
    </w:p>
    <w:p>
      <w:pPr>
        <w:spacing w:after="0" w:line="144"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and December 31, 2024, $316.8 million and $159.8 million, respectively, of equity securities that do not have a readily determinable fair value. The change in carrying value of such investments was a result of additional purchases.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2025 and December 31, 2024, equity securities held through ownership interest in an investment fund of $98.4 million and $52.0 million, respectively, which are measured at fair value based on Level 3 inputs. The change in carrying value was primarily the result of additional investments by the fund.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income (expense), net, related to the Company's investments in public equity securities consist of the following:</w:t>
      </w: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7"/>
                <w:szCs w:val="17"/>
                <w:color w:val="auto"/>
              </w:rPr>
            </w:pPr>
          </w:p>
        </w:tc>
        <w:tc>
          <w:tcPr>
            <w:tcW w:w="190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19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recognized during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978.1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184"/>
        </w:trPr>
        <w:tc>
          <w:tcPr>
            <w:tcW w:w="4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Net gains recognized on investments sold during the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tcPr>
          <w:p>
            <w:pPr>
              <w:spacing w:after="0"/>
              <w:rPr>
                <w:sz w:val="20"/>
                <w:szCs w:val="20"/>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650.4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482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Net unrealized gains recognized on investments still held as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 end date</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$1.568 billion and $1.484 billion as of September 30, 2025 and December 31, 2024, respectively, and the carrying value was $1.986 billion and $1.984 billion as of September 30, 2025 and December 31, 2024,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94" w:lineRule="exact"/>
        <w:rPr>
          <w:sz w:val="20"/>
          <w:szCs w:val="20"/>
          <w:color w:val="auto"/>
        </w:rPr>
      </w:pPr>
    </w:p>
    <w:tbl>
      <w:tblPr>
        <w:tblLayout w:type="fixed"/>
        <w:tblInd w:w="2680" w:type="dxa"/>
        <w:tblCellMar>
          <w:top w:w="0" w:type="dxa"/>
          <w:left w:w="0" w:type="dxa"/>
          <w:bottom w:w="0" w:type="dxa"/>
          <w:right w:w="0" w:type="dxa"/>
        </w:tblCellMar>
      </w:tblPr>
      <w:tr>
        <w:trPr>
          <w:trHeight w:val="229"/>
        </w:trPr>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19"/>
                <w:szCs w:val="19"/>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w:t>
            </w:r>
          </w:p>
        </w:tc>
      </w:tr>
      <w:tr>
        <w:trPr>
          <w:trHeight w:val="230"/>
        </w:trPr>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r>
      <w:tr>
        <w:trPr>
          <w:trHeight w:val="23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w:t>
            </w:r>
          </w:p>
        </w:tc>
      </w:tr>
      <w:tr>
        <w:trPr>
          <w:trHeight w:val="229"/>
        </w:trPr>
        <w:tc>
          <w:tcPr>
            <w:tcW w:w="2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48"/>
        </w:trPr>
        <w:tc>
          <w:tcPr>
            <w:tcW w:w="2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U.S. federal, state, and foreign income taxes. On July 4, 2025, bill H.R. 1, commonly referred to as the "One Big Beautiful Bill Act" or "OBBBA," was signed into law, with certain provisions effective in 2025 and others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As a result of the OBBBA being signed into law, the Company recognized a charge of $44.5 million in the third quarter of 2025 related to the re-measurement of the Company's U.S. net deferred tax assets.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effective tax rate was 17.2% and 10.2% for the three months ended September 30, 2025 and 2024, respectively, and 12.6% and 8.6% for the nine months ended September 30, 2025 and 2024, respectively. The Company's effective tax rate for the three and nine months ended September 30, 2025 was positively impacted, compared to the U.S. federal statutory rate, primarily by income earned in foreign jurisdictions with tax rates lower than the U.S. federal statutory rate and federal tax credits for research activities, partially offset by the impact of the OBBBA being signed into law. In addition, the Company's effective tax rate for the nine months ended September 30, 2025 was positively impacted by the release of liabilities for uncertain tax positions recognized upon the effective settlement of the IRS audit of the Company's 2017 and 2018 federal income tax returns in the second quarter of 2025, which reduced the Company's effective tax rate for the nine months ended September 30, 2025 by 1.4%.</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2024 was positively impacted, compared to the U.S. federal statutory rate, primarily by income earned in foreign jurisdictions with tax rates lower than the U.S. federal statutory rate and stock-based compensation. The Company's effective tax rate for the nine months ended September 30, 2024 was negatively impacted by the remeasurement of uncertain tax positions.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2023, the Company's board of directors authorized a share repurchase program for up to $3.0 billion of the Company's Common Stock. In each of April 2024 and February 2025, the Company's board of directors authorized an additional share repurchase program for up to $3.0 billion (up to $6.0 billion in the aggregate). The programs have no time limit and can be discontinued at any time.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and the cost of such shares, which were recorded as Treasury Stock.</w:t>
      </w:r>
    </w:p>
    <w:p>
      <w:pPr>
        <w:spacing w:after="0" w:line="108" w:lineRule="exact"/>
        <w:rPr>
          <w:sz w:val="20"/>
          <w:szCs w:val="20"/>
          <w:color w:val="auto"/>
        </w:rPr>
      </w:pPr>
    </w:p>
    <w:tbl>
      <w:tblPr>
        <w:tblLayout w:type="fixed"/>
        <w:tblInd w:w="1580" w:type="dxa"/>
        <w:tblCellMar>
          <w:top w:w="0" w:type="dxa"/>
          <w:left w:w="0" w:type="dxa"/>
          <w:bottom w:w="0" w:type="dxa"/>
          <w:right w:w="0" w:type="dxa"/>
        </w:tblCellMar>
      </w:tblPr>
      <w:tr>
        <w:trPr>
          <w:trHeight w:val="207"/>
        </w:trPr>
        <w:tc>
          <w:tcPr>
            <w:tcW w:w="2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28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2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2,785.3</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1,637.7</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$2.156 billion remained available for share repurchases under the programs.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Dividends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each of the first, second, and third quarters of 2025, the Company's board of directors declared quarterly cash dividends of $0.88 per share on its Common Stock and Class A Stock. Each quarterly dividend was paid to the Company's shareholders in the quarter in which the dividend was declared.</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in October 2025, the Company's board of directors declared a cash dividend of $0.88 per share on its Common Stock and Class A Stock. The dividend will be payable to the Company's shareholders in December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0" w:type="dxa"/>
            <w:vAlign w:val="bottom"/>
          </w:tcPr>
          <w:p>
            <w:pPr>
              <w:spacing w:after="0"/>
              <w:rPr>
                <w:sz w:val="1"/>
                <w:szCs w:val="1"/>
                <w:color w:val="auto"/>
              </w:rPr>
            </w:pPr>
          </w:p>
        </w:tc>
      </w:tr>
      <w:tr>
        <w:trPr>
          <w:trHeight w:val="23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57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w:t>
            </w: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0" w:type="dxa"/>
            <w:vAlign w:val="bottom"/>
          </w:tcPr>
          <w:p>
            <w:pPr>
              <w:spacing w:after="0"/>
              <w:rPr>
                <w:sz w:val="1"/>
                <w:szCs w:val="1"/>
                <w:color w:val="auto"/>
              </w:rPr>
            </w:pPr>
          </w:p>
        </w:tc>
      </w:tr>
      <w:tr>
        <w:trPr>
          <w:trHeight w:val="236"/>
        </w:trPr>
        <w:tc>
          <w:tcPr>
            <w:tcW w:w="5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of amounts held pursuant to contractual arrangements and for dividends payable on certain equity awards.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Supplemental disclosure of non-cash investing and financing activities</w:t>
            </w:r>
          </w:p>
        </w:tc>
        <w:tc>
          <w:tcPr>
            <w:tcW w:w="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83"/>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4"/>
                <w:szCs w:val="24"/>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4"/>
                <w:szCs w:val="24"/>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184"/>
        </w:trPr>
        <w:tc>
          <w:tcPr>
            <w:tcW w:w="36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Accrued contingent consideration in connection</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34"/>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acquisitions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Condensed Consolidated Statements of Operations, see below for disaggregated amounts that comprise research and development expenses:</w:t>
      </w:r>
    </w:p>
    <w:p>
      <w:pPr>
        <w:spacing w:after="0" w:line="108"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9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r>
      <w:tr>
        <w:trPr>
          <w:trHeight w:val="230"/>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29"/>
        </w:trPr>
        <w:tc>
          <w:tcPr>
            <w:tcW w:w="4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434.9</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r>
      <w:tr>
        <w:trPr>
          <w:trHeight w:val="250"/>
        </w:trPr>
        <w:tc>
          <w:tcPr>
            <w:tcW w:w="4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75"/>
        </w:trPr>
        <w:tc>
          <w:tcPr>
            <w:tcW w:w="49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70"/>
        </w:trPr>
        <w:tc>
          <w:tcPr>
            <w:tcW w:w="49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1180" w:right="1240" w:firstLine="7"/>
        <w:spacing w:after="0" w:line="204" w:lineRule="auto"/>
        <w:tabs>
          <w:tab w:leader="none" w:pos="1350" w:val="left"/>
        </w:tabs>
        <w:numPr>
          <w:ilvl w:val="1"/>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and product development activities, and the portion of research and development expenses incurred by our collaborators that we are obligated to reimburse</w:t>
      </w:r>
    </w:p>
    <w:p>
      <w:pPr>
        <w:spacing w:after="0" w:line="214" w:lineRule="exact"/>
        <w:rPr>
          <w:rFonts w:ascii="Times New Roman" w:cs="Times New Roman" w:eastAsia="Times New Roman" w:hAnsi="Times New Roman"/>
          <w:sz w:val="22"/>
          <w:szCs w:val="22"/>
          <w:color w:val="auto"/>
          <w:vertAlign w:val="superscript"/>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a party to legal proceedings in the course of the Company's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 Costs associated with the Company's involvement in legal proceedings are expensed as incurred. The Company recognizes gain contingencies associated with such proceedings when the award or recovery is realized or realizable and loss contingencies when it is probable that a liability will be incurred and the amount of loss can be reasonably estimated. As of September 30, 2025 and December 31, 2024, the Company's accruals for loss contingencies were not material. There are certain loss contingencies that the Company deems reasonably possible for which the possible loss or range of possible loss is not estimable at this time.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patents pertaining to EYLEA are subject to post-grant proceedings before the United States Patent and Trademark Office ("USPTO"), the European Patent Office (the "EPO"), or other comparable foreign authorities, including those described in greater detail below. In addition, the Company has filed patent infringement lawsuits in several jurisdictions alleging infringement of certain Company patents pertaining to EYLEA, including those described in greater detail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 Patent Litigation</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 2022, the Company filed a patent infringement lawsuit against Mylan Pharmaceuticals Inc. ("Mylan"), a wholly-owned subsidiary of Viatris Inc., in the United States District Court for the Northern District of West Virginia alleging that Mylan's filing for U.S. Food and Drug Administration ("FDA") approval of an aflibercept 2 mg biosimilar infringes certain Company patents. On June 5, 2023, Biocon Biologics Inc. ("Biocon"), as successor-in-interest to the aflibercept 2 mg biosimilar, was joined as a defendant to the lawsuit. On December 27, 2023, following a trial, the court issued a decision finding that (i) the asserted claims of the Company's U.S. Patent No. 11,084,865 (the "'865 Patent") were valid and infringed by Mylan and Biocon and (ii) the asserted claims of two other Company patents were infringed by Mylan and Biocon but were invalid as obvious. On June 11, 2024, the court granted the Company's motion for a permanent injunction, enjoining Mylan and Biocon from selling in the United States their aflibercept 2 mg biosimilar until the expiration of the '865 Patent. On April 14, 2025, the parties entered into a settlement agreement, pursuant to which Mylan and Biocon's appeal to the Federal Circuit and all related litigation have been dismissed and Biocon is precluded from launching its aflibercept 2 mg biosimilar until the second half of 2026.</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8, November 22, and November 29, 2023, respectively, the Company filed patent infringement lawsuits against Celltrion, Inc. ("Celltrion"), Samsung Bioepis Co., Ltd. ("Samsung Bioepis"), and Formycon AG ("Formycon") in the United States District Court for the Northern District of West Virginia following service on Regeneron of each company's notice of commercial marketing. The lawsuits alleged that each company had infringed certain Company patents, including based on each company's filing for FDA approval of an aflibercept 2 mg biosimilar. On December 27, 2023, the Company filed a second patent infringement lawsuit against Samsung Bioepis. On June 14, June 21, and June 28, 2024, respectively, the court granted the Company's motions for preliminary injunctions against Samsung Bioepis, Formycon, and Celltrion; each of these decisions was affirmed by the Federal Circuit on appeal. On May 23, 2025, Formycon petitioned the district court to revoke the preliminary injunction. On September 28, 2025, the Company and Formycon entered into a settlement agreement, pursuant to which Formycon's motion to revoke the preliminary injunction and all related litigation have been dismissed and Formycon is precluded from launching its aflibercept 2 mg biosimilar until the fourth quarter of 2026. On October 20, 2025, the Company and Celltrion entered into a settlement agreement, pursuant to which all litigation in the United States related to Celltrion's aflibercept 2 mg biosimilar has been dismissed and Celltrion is precluded from launching such biosimilar until December 31, 2026.</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against Amgen Inc. ("Amgen") in the United States District Court for the Central District of California alleging that Amgen's filing for FDA approval of an aflibercept 2 mg biosimilar infringed certain Company patents. On April 11,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paragraph. On September 23, 2024, the court denied the Company's motion for a preliminary injunction; and on September 25, 2024, the Federal Circuit issued an administrative stay pending its review of the Company's temporary injunction motion. On October 22, 2024, the Federal Circuit denied the Company's temporary injunction motion and lifted the administrative stay. On March 14, 2025, the Federal Circuit affirmed the district court's preliminary injunction decision. On June 17, 2025, the Company filed an additional patent infringement lawsuit against Amgen in the United States District Court for the Central District of California alleging that Amgen's continued commercialization of its aflibercept 2 mg biosimilar infringes the Company's U.S. Patent No. 12,331,099.</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26, 2024, the Company filed a patent infringement lawsuit against Sandoz Inc. ("Sandoz") in the United States District Court for the District of New Jersey alleging that Sandoz's filing for FDA approval of an aflibercept 2 mg biosimilar infringed certain Company patents. On September 12, 2024, the United States Judicial Panel on Multidistrict Litigation granted the Company's motion to transfer this lawsuit to the United States District Court for the Northern District of West Virginia for coordinated and consolidated pretrial proceedings with the lawsuits described in the preceding two paragraphs. On July 11, 2025, the Company filed a motion for a preliminary injunction against Sandoz based on the '865 Patent. On September 8, 2025, the Company and Sandoz entered into a settlement agreement, pursuant to which the Company's preliminary injunction motion and all related litigation have been dismissed and Sandoz is precluded from launching its aflibercept 2 mg biosimilar until the fourth quarter of 2026.</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Post-Grant Proceedings Before the USPTO</w:t>
      </w:r>
    </w:p>
    <w:p>
      <w:pPr>
        <w:spacing w:after="0" w:line="1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On November 20, 2024, November 29, 2024, and January 15, 2025, Samsung Bioepis, Formycon, and Celltrion, respectively, filed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petitions in the USPTO against the '865 Patent, each seeking a declaration that the '865 Patent is invalid. On June 6, 2025, the USPTO denied institution of Samsung and Formycon's respective IPR petitions, and on June 25, 2025, the USPTO denied institution of Celltrion's IPR petition.</w:t>
      </w:r>
    </w:p>
    <w:p>
      <w:pPr>
        <w:spacing w:after="0" w:line="10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14, 2025, Fresenius Kabi SwissBioSim GmbH filed IPR petitions in the USPTO against the '865 Patent and U.S. Patent No. 10,828,345 (the "'345 Patent"), seeking a declaration that the '865 Patent and '345 Patent are invalid.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EPO Post-Grant Proceedings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parties, including Amgen and other, anonymous parties, are seeking revocation of the Company's European Patent Nos. 2,944,306 (the "'306 Patent"), 3,716,992 (the "'992 Patent"), and 3,384,049 (the "'049 Patent") before the Opposition Division ("OD") of the EPO. On November 26, 2024, following an oral hearing, the OD announced its decision to revoke the '306 Patent. On March 11, 2025, the Company appealed the OD's decision. On October 22, 2025, following an oral hearing, the OD upheld the validity of the '992 Patent's claims in amended form. An oral hearing concerning the '049 Patent has been scheduled for December 2025.</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Country-Specific Proceedings</w:t>
      </w:r>
    </w:p>
    <w:p>
      <w:pPr>
        <w:spacing w:after="0" w:line="1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Various parties, including Samsung Bioepis and Formycon and/or their affiliated entities, are seeking revocation of the '306 Patent, the '992 Patent, and the Company's European Patent No. 2,364,691 (the "'691 Patent") and/or a declaration that its aflibercept 2 mg biosimilar would not infringe these patents in several European national courts (including those in Belgium, France, Germany, Italy, the Netherlands, and the United Kingdom). In certain of these proceedings, the Company has filed a preemptive counterclaim for infringement of one or more of such patents. In the United Kingdom, following trials held in June 2025, the High Court of England and Wales issued a decision in October 2025 that found that Formycon and Samsung Bioepis's aflibercept 2 mg biosimilar products do not infringe the '691 and '306 Patents; upheld the '691 Patent as valid; and invalidated the '306 Patent. Proceedings in the United Kingdom concerning the '992 Patent are stayed pending resolution of the EPO proceedings concerning this patent. In Germany, following a June 2025 trial concerning the revocation proceeding brought by Samsung Bioepis, the German Federal Patent Court upheld the '691 Patent as valid. In addition, in October 2025, the Munich Regional Court issued a decision that found that Formycon's aflibercept biosimilar product infringes the '691 Patent and granted the Company's motion for a permanent injunction, enjoining Formycon from selling its aflibercept 2 mg biosimilar in Germany and several other EU countries (including Spain and the Netherlands) until the expiration of the '691 Patent. In the Netherlands, following a trial held in July 2025, the District Court of the Hague issued a decision in October 2025 that upheld the '691 and '306 Patents as valid; found that Samsung Bioepis's aflibercept 2 mg biosimilar product infringes the '691 and '306 Patents; and granted the Company's request for a permanent injunction, enjoining Samsung Bioepis from selling its aflibercept 2 mg biosimilar in the Netherlands until the expiration of the '691 and '306 Patents.</w:t>
      </w:r>
    </w:p>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commenced proceedings in Belgium against various parties, including Amgen, Celltrion, Sterigenics (Petit-Rechain) NV, and Sandoz GmbH, for infringement of the Company's European Patent No. 1,183,353 (as extended by Supplementary Protection Certificate 2013C/029).</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Amgen Canada</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9, 2023, Amgen Canada Inc. ("Amgen Canada") filed invalidation proceedings against the Company in the Federal Court of Canada seeking revocation of the Company's Canadian Patent Nos. 2,654,510 (the "'510 Patent") and 3,007,276 (the "'276 Patent"). On September 14, 2023, the Company, Bayer Inc., and Bayer Healthcare LLC filed patent infringement lawsuits against Amgen Canada in the Federal Court of Canada seeking a declaration that the making, constructing, using, or selling of an aflibercept 2 mg biosimilar would directly or indirectly infringe one or more claims of Bayer Healthcare LLC's Canadian Patent No. 2,970,315 (the "'315 Patent"). On September 14, 2023, the Company and Bayer Inc. filed three separate patent infringement lawsuits against Amgen Canada in the Federal Court of Canada seeking a declaration that the making, constructing, using, or selling of an aflibercept 2 mg biosimilar would directly or indirectly infringe one or more claims of the Company's Canadian Patent Nos. 3,129,193 (the "'193 Patent"), 2,965,495 (the "'495 Patent"), and 2,906,768 (the "'768 Patent"), respectively. On October 11, 2023, the Company, Bayer Inc., and Bayer Healthcare LLC filed two separate patent infringement lawsuits against Amgen Canada in the Federal Court of Canada seeking a declaration that the making, constructing, using, or selling of an aflibercept 2 mg biosimilar would directly or indirectly infringe one or more claims of the Company's '510 Patent and '276 Patent, respectively. A trial concerning the '510 Patent and the '276 Patent was held in May–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June 2025. On August 15, 2025, the Company, Bayer Inc., Bayer Healthcare LLC, and Amgen Canada entered into a settlement agreement concerning these patent infringement lawsuits, pursuant to which each such lawsuit has been dismissed. As a result of the settlement agreement, the Company, Bayer Inc., and Bayer Healthcare LLC are no longer seeking a declaration that Amgen Canada's aflibercept 2 mg biosimilar infringes the patents referenced in this paragraph.</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Proceedings against Sandoz</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2025, the Company, Bayer Inc., and Bayer Healthcare LLC filed patent infringement lawsuits against Sandoz Canada Inc. in the Federal Court of Canada seeking a declaration that the making, constructing, using, or selling of an aflibercept 2 mg biosimilar would directly or indirectly infringe one or more claims of the '510 Patent, the '276 Patent, the '495 Patent, the '768 Patent, the '193 Patent, the '315 Patent, and Canadian Patent No. 3,137,326 (the "'326 Patent"). On August 15, 2025, the Company, Bayer Inc., Bayer Healthcare LLC, and Sandoz Canada Inc. entered into a settlement agreement concerning these patent infringement lawsuits, pursuant to which each such lawsuit has been dismissed. As a result of the settlement agreement, the Company, Bayer Inc., and Bayer Healthcare LLC are no longer seeking a declaration that Sandoz Canada Inc.'s aflibercept 2 mg biosimilar infringes the patents referenced in this paragraph.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South Korea</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13, 2022, Samsung Bioepis initiated invalidation proceedings before the Intellectual Property Trial and Appeal Board of the Korean Intellectual Property Office ("KIPO") against the Company's Korean Patent No. 1406811 (the "'811 Patent"), seeking revocation of the '811 Patent in its entirety. On October 23, 2024, the KIPO maintained the '811 Patent as valid; Samsung Bioepis has appealed that decision.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as applicable, Bayer Consumer Care AG, have also filed patent infringement lawsuits in the Seoul Central District Court against various parties including Samsung Bioepis and its parent company Samsung Biologics Co., Ltd. (collectively, "Samsung"), Sam Chun Dang Pharm. Co., Ltd. and OPTUS Pharmaceutical Co., Ltd., and Celltrion. These lawsuits seek damages and/or injunctive relief and allege that the making, constructing, using, or selling of an aflibercept 2 mg biosimilar by the relevant defendant(s) would infringe one or more claims of the '811 Patent and/or the Company's Korean Patent Nos. 659477 (the "'477 Patent") and 2519234 (the "'234 Patent"). On February 7, 2025, the Seoul Central District Court granted the Company's preliminary injunction request against Samsung on the basis of the '811 Patent; Samsung has appealed that decision. The preliminary injunction against Samsung prohibits Samsung from manufacturing and selling its aflibercept 2 mg biosimilar in South Korea. Also on February 7, 2025, the Seoul Central District Court denied Regeneron's preliminary injunction request against Celltrion; Regeneron has appealed that decision.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Australia</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4, 2025, the Company, Bayer Consumer Care AG, and Bayer Australia filed a patent infringement lawsuit against Sandoz Pty Ltd. and a request for a preliminary injunction in the Federal Court of Australia alleging that the importing, selling, supplying, or otherwise disposing of an aflibercept 2 mg biosimilar would infringe one or more claims of the Company's Australian Patent No. 2012205599. On September 3, 2025, the court denied the Company's request for a preliminary injunction, and this ruling has been appealed.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EYLEA (aflibercept) Injection Pre-filled Syringe</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seeking a judgment that the defendants' conduct relating to Novartis's attempt to assert its U.S. Patent No. 9,220,631 against Regeneron in 2020 violated Sections 1 and 2 of the Sherman Antitrust Act of 1890, as amended,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Southern District of New York, which motion was granted on December 5, 2024.</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Relating to Praluent (alirocumab) Injection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On February 10, 2023, the court denied Amgen's motion to stay these proceedings; and on March 21, 2023, the court denied Amgen's motion to dismiss the complaint. On August 28, 2023, the Company filed an amended complaint in this matter; and, as part of its response, on September 20, 2023, Amgen filed a counterclaim alleging that the Company engaged in unfair business practices in violation of state law. On April 10, 2025, the court denied Amgen's motion for summary judgment.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 (i) permanent injunctive relief, (ii) a constructive trust, and (iii) prejudgment interest. An oral hearing on Amgen's and Regeneron's respective post-trial motions was held on August 27,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Europe</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 2023, Sanofi filed an action in the Munich Central Division of the Unified Patent Court (the "UPC") seeking revocation of Amgen's European Patent No. 3,666,797 (the "'797 Patent"). The '797 Patent is a divisional patent of European Patent No. 2,215,124 (the "'124 Patent") (i.e., a patent that shares the same priority date, disclosure, and patent term of the parent '124 Patent), which was previously invalidated by the Technical Board of Appeal of the EPO. On July 16, 2024, following a trial, the Munich Central Division of the UPC issued a decision revoking the '797 Patent in its entirety. On September 16, 2024, Amgen appealed the decision of the Munich Central Division of the UPC to the Court of Appeal of the UPC. An oral hearing before the Court of Appeal of the UPC was held in August 2025.</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on June 1, 2023, Amgen filed a lawsuit against the Company and certain of Sanofi's affiliated entities in the Munich Local Division of the UPC alleging infringement of the '797 Patent. The lawsuit seeks, among other things, a permanent injunction in several countries in Europe and monetary damages. On July 29, 2024, the Munich Local Division of the UPC ordered a stay of the infringement lawsuit in light of the decision of the Munich Central Division of the UPC to revoke the '797 Patent in its entirety (discussed above).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Sanofi are also seeking revocation of the '797 Patent at the EPO. On April 3, 2025, the OD upheld the '797 Patent as valid. The Company and Sanofi have appealed this decision to the Technical Board of Appeal of the EPO. An oral hearing before the Technical Board of Appeal of the EPO has been scheduled for April 2026.</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Department of Justice Matters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relating to the Company's support of 501(c)(3) organizations that provide financial assistance to patients.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 On October 1, 2025, the U.S. Attorney's Office for the District of Massachusetts filed a second motion for partial summary judgment.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2019, the Company and Regeneron Healthcare Solutions, Inc., a wholly-owned subsidiary of the Company, each received a civil investigative demand ("CID") from the U.S. Department of Justice pursuant to the federal False Claims Act relating to remuneration paid to physicians in the form of consulting fees, advisory boards, speaker fees, and payment or reimbursement for travel and entertainment allegedly in violation of the federal Anti-Kickback Statute. The CIDs relate to EYLEA, Praluent, Dupixent, ZALTRAP, ARCALYST, and Kevzara and cover the period from January 2015 to the present. On June 3, 2021, the United States District Court for the Central District of California unsealed a qui tam complaint filed against the Company, Regeneron Healthcare Solutions, Inc., and Sanofi-Aventis U.S. LLC by two qui tam plaintiffs (known as relators) purportedly on behalf of the United States and various states (the "State Plaintiffs"), asserting causes of action under the federal False Claims Act and state law. Also on June 3, 2021, the United States and the State Plaintiffs notified the court of their decision to decline to intervene in the case. On October 29, 2021, the qui tam plaintiffs filed an amended complaint in this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matter. On January 14, 2022, the Company filed a motion to dismiss the amended complaint in its entirety. On July 25, 2023, the 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 Oral argument on the appeal has been scheduled for November 18, 2025.</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2021, the Company received a CID from the U.S. Department of Justice pursuant to the federal False Claims Act. The CID states that the investigation concerns allegations that the Company (i) violated the False Claims Act by paying kickbacks to distributors and ophthalmology practices to induce purchase of EYLEA, including through discounts, rebates, credit card fees, free units of EYLEA, and inventory management systems; and (ii) inflated reimbursement rates for EYLEA by excluding applicable discounts, rebates, and benefits from the average sales price reported to the Centers for Medicare &amp; Medicaid Services. The CID covers the period from January 2011 through June 2021. On November 29, 2023, the U.S. Department of Justice informed the Company that it had filed a notice of partial intervention in this matter. On March 28, 2024, the Department of Justice and the U.S. Attorney's Office for the District of Massachusetts filed a civil complaint intervention (the "March 2024 Civil Complaint") in the U.S. District Court for the District of Massachusetts asserting causes of action under the federal False Claims Act and a claim for unjust enrichment. Also on March 28, 2024, the U.S. District Court for the District of Massachusetts unsealed a qui tam complaint against the Company, AmerisourceBergen, and Besse Medical by two qui tam plaintiffs (known as relators) purportedly on behalf of the United States and various states and municipalities, asserting causes of action under the federal False Claims Act and state and local laws, and alleging violations of the federal Anti-Kickback statute. On June 25, 2024, the States of Colorado, Georgia, Michigan, North Carolina, Texas, and Washington filed a civil complaint in partial intervention (the "June 2024 Civil Complaint") in the U.S. District Court for the District of Massachusetts asserting causes of action under various state laws. On July 18, 2024, the Company filed a motion to dismiss the March 2024 Civil Complaint and the June 2024 Civil Complaint. An oral hearing on the Company's motion to dismiss was held on December 16, 2024. On April 29, 2025, the court denied the Company's motion to dismiss. On May 27, 2025, the Company filed its answers to the March 2024 Civil Complaint and the June 2024 Civil Complaint. On June 17, 2025, the court granted a motion by the States of Maine, Nebraska, Ohio, Oregon, and Wyoming to intervene in the action. On June 18, 2025, those states filed a consolidated complaint asserting causes of action under their respective state laws (the "June 2025 Civil Complaint"). On July 23, 2025, the Company filed its answer and counterclaims to the June 2025 Civil Complaint. On August 14, 2025, the Company moved to amend its answer and assert counterclaims to the March 2024 Civil Complaint and June 2024 Civil Complaint.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Proceedings Initiated by Other Payors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"Department of Justice Matters" above. These lawsuits were filed by UnitedHealthcare Insurance Company and United Healthcare Services, Inc. (collectively, "UHC") and Humana Inc. ("Humana") in the United States District Court for the Southern District of New York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United States District Court for the Southern District of New York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 parties, the proceedings were transferred to the U.S. District Court for the District of Massachusetts. On February 1, 2025,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parties jointly filed a stipulation to stay the action pending resolution of the proceedings before the same court concerning the allegations in the June 2020 Civil Complaint.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 – Department of Justice June 2020 Civil Complaint Matters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New York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New York Supreme Court to the U.S. District Court for the Southern District of New York. On September 23, 2021, the plaintiff moved to remand the case to the New York Supreme Court. Also on September 23, 2021, the individual defendants moved to dismiss the complaint in its entirety. On December 19, 2022, the U.S. District Court for the Southern District of New York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Complaints – Department of Justice March 2024 Civil Complaint Matters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16 and January 22, 2025, purported shareholders filed two separate shareholder derivative complaints in the U.S. District Court for the Southern District of New York against members of the Company's board of directors and certain current and former executive officers of the Company as defendants and Regeneron as a nominal defendant. The complaints each allege that the individual defendants, among other things, breached their fiduciary duties to the Company by failing to properly manage and oversee the Company in connection with the conduct alleged in the March 2024 Civil Complaint discussed under "Department of Justice Matters" above. The complaints also each allege that the individual defendants breached the federal securities laws, wasted corporate assets, and unjustly enriched themselves at the expense of the Company. The complaints each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On June 3, 2025, the court consolidated the two separate shareholder derivative complaints pursuant to a joint stipulation by the parties.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6, 2025, two purported shareholders filed separate shareholder derivative complaints in the New York Supreme Court against members of the Company's board of directors and certain current and former executive officers of the Company as defendants and Regeneron as a nominal defendant. These complaints make similar allegations to the 2025 derivative complaints referenced above. On June 16, 2025, the Company filed notices of removal, removing both of the newly filed actions from the New York Supreme Court to the U.S. District Court for the Southern District of New York. On July 16, 2025, the purported shareholders each filed a motion to remand their respective actions back to the New York Supreme Court.</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30, 2025, a purported shareholder filed another shareholder derivative complaint in the U.S. District Court for the Southern District of New York against members of the Company's board of directors and certain current and former executive officers of the Company as defendants and Regeneron as a nominal defendant. This complaint makes similar allegations to the 2025 derivative complaints referenced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 2025, a purported shareholder filed another shareholder derivative complaint in the New York Supreme Court against members of the Company's board of directors and certain current and former executive officers of the Company as defendants and Regeneron as a nominal defendant. This complaint makes similar allegations to the 2025 derivative complaints referenced above. On September 11, 2025, the Company filed a notice of removal, removing this action from the New York Supreme Court to the U.S. District Court for the Southern District of New York. On October 14, 2025, the purported shareholder filed a motion to remand the action back to the New York Supreme Court.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Derivative Complaint – Director Compensation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2025, an alleged shareholder filed a shareholder derivative complaint in the New York Supreme Court, naming the current non-employee members of our board of directors, and the co-Chairs of our board of directors (who also serve as our President and Chief Executive Officer and our President and Chief Scientific Officer, respectively) as defendants and Regeneron as a nominal defendant. The complaint asserts that the individual defendants breached their fiduciary duties and/or</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 On September 25, 2025, the Company filed a motion to dismiss the complaint.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Action Civil Complaint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7, 2025 (as amended on September 8, 2025), a purported shareholder filed a putative class action civil complaint, on behalf of himself and all others similarly situated, in the U.S. District Court for the Southern District of New York against the Company and certain current and former executive officers of the Company. The complaint asserts violations of federal securities laws in connection with statements or disclosures purportedly related to the conduct alleged in the March 2024 Civil Complaint discussed under "Department of Justice Matters" above. On July 10, 2025, the court appointed a lead plaintiff and lead counsel for the action.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Sanofi Litigation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United States District Court for the Southern District of New York against Sanofi and certain of its affiliated entities. The lawsuit alleges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seeks a declaratory judgment, injunctive relief, damages, and other relief. On July 3, 2025, Sanofi filed a motion to dismiss the complaint.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drugs and product candidates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 (including biosimilar versions of Regeneron's Products);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drug pricing regulations and requirements and our drug pricing strategy;</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laws, regulations, and policies affecting the healthcare industry;</w:t>
      </w:r>
    </w:p>
    <w:p>
      <w:pPr>
        <w:ind w:left="660" w:hanging="328"/>
        <w:spacing w:after="0" w:line="23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including without limitation capital expenditures, and changes to the assumptions underlying those projections or guidance;</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jc w:val="both"/>
        <w:ind w:left="660" w:hanging="328"/>
        <w:spacing w:after="0" w:line="242"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12 to our Condensed Consolidated Financial Statements included in this report), risks associated with intellectual property of other parties and pending or future litigation relating thereto (including without limitation the patent litigation and other related proceedings described further in Note 12 to our Condensed Consolidated Financial Statements included in this report), the ultimate outcome of any such proceedings and investigations, and the impact any of the foregoing may have on our business, prospects, operating results, and financial condition.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42"/>
        </w:trPr>
        <w:tc>
          <w:tcPr>
            <w:tcW w:w="14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4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146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10,412.8</w:t>
            </w:r>
          </w:p>
        </w:tc>
      </w:tr>
      <w:tr>
        <w:trPr>
          <w:trHeight w:val="229"/>
        </w:trPr>
        <w:tc>
          <w:tcPr>
            <w:tcW w:w="14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3,494.9</w:t>
            </w:r>
          </w:p>
        </w:tc>
      </w:tr>
      <w:tr>
        <w:trPr>
          <w:trHeight w:val="230"/>
        </w:trPr>
        <w:tc>
          <w:tcPr>
            <w:tcW w:w="1460" w:type="dxa"/>
            <w:vAlign w:val="bottom"/>
          </w:tcPr>
          <w:p>
            <w:pPr>
              <w:spacing w:after="0"/>
              <w:rPr>
                <w:sz w:val="19"/>
                <w:szCs w:val="19"/>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Borders>
              <w:bottom w:val="single" w:sz="8" w:color="CCEEFF"/>
            </w:tcBorders>
          </w:tcPr>
          <w:p>
            <w:pPr>
              <w:spacing w:after="0"/>
              <w:rPr>
                <w:sz w:val="20"/>
                <w:szCs w:val="20"/>
                <w:color w:val="auto"/>
              </w:rPr>
            </w:pPr>
          </w:p>
        </w:tc>
        <w:tc>
          <w:tcPr>
            <w:tcW w:w="390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23"/>
        </w:trPr>
        <w:tc>
          <w:tcPr>
            <w:tcW w:w="384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23"/>
        </w:trPr>
        <w:tc>
          <w:tcPr>
            <w:tcW w:w="3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3"/>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88"/>
              </w:rPr>
              <w:t>a</w:t>
            </w: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-2540</wp:posOffset>
            </wp:positionV>
            <wp:extent cx="45605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60570" cy="825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Macular edema following retinal vein occlusion</w:t>
      </w:r>
    </w:p>
    <w:p>
      <w:pPr>
        <w:ind w:left="4020"/>
        <w:spacing w:after="0" w:line="205" w:lineRule="auto"/>
        <w:rPr>
          <w:sz w:val="20"/>
          <w:szCs w:val="20"/>
          <w:color w:val="auto"/>
        </w:rPr>
      </w:pPr>
      <w:r>
        <w:rPr>
          <w:rFonts w:ascii="Times New Roman" w:cs="Times New Roman" w:eastAsia="Times New Roman" w:hAnsi="Times New Roman"/>
          <w:sz w:val="18"/>
          <w:szCs w:val="18"/>
          <w:color w:val="auto"/>
        </w:rPr>
        <w:t>("RVO"), which includes macular edema following</w:t>
      </w:r>
    </w:p>
    <w:p>
      <w:pPr>
        <w:ind w:left="4020"/>
        <w:spacing w:after="0" w:line="216" w:lineRule="auto"/>
        <w:rPr>
          <w:sz w:val="20"/>
          <w:szCs w:val="20"/>
          <w:color w:val="auto"/>
        </w:rPr>
      </w:pPr>
      <w:r>
        <w:rPr>
          <w:rFonts w:ascii="Times New Roman" w:cs="Times New Roman" w:eastAsia="Times New Roman" w:hAnsi="Times New Roman"/>
          <w:sz w:val="17"/>
          <w:szCs w:val="17"/>
          <w:color w:val="auto"/>
        </w:rPr>
        <w:t>central retinal vein occlusion ("CRVO") and macular</w:t>
      </w:r>
    </w:p>
    <w:p>
      <w:pPr>
        <w:ind w:left="4020"/>
        <w:spacing w:after="0" w:line="219" w:lineRule="auto"/>
        <w:rPr>
          <w:sz w:val="20"/>
          <w:szCs w:val="20"/>
          <w:color w:val="auto"/>
        </w:rPr>
      </w:pPr>
      <w:r>
        <w:rPr>
          <w:rFonts w:ascii="Times New Roman" w:cs="Times New Roman" w:eastAsia="Times New Roman" w:hAnsi="Times New Roman"/>
          <w:sz w:val="18"/>
          <w:szCs w:val="18"/>
          <w:color w:val="auto"/>
        </w:rPr>
        <w:t>edema following branch retinal vein occlusion</w:t>
      </w:r>
    </w:p>
    <w:p>
      <w:pPr>
        <w:ind w:left="4020"/>
        <w:spacing w:after="0"/>
        <w:rPr>
          <w:sz w:val="20"/>
          <w:szCs w:val="20"/>
          <w:color w:val="auto"/>
        </w:rPr>
      </w:pPr>
      <w:r>
        <w:rPr>
          <w:rFonts w:ascii="Times New Roman" w:cs="Times New Roman" w:eastAsia="Times New Roman" w:hAnsi="Times New Roman"/>
          <w:sz w:val="18"/>
          <w:szCs w:val="18"/>
          <w:color w:val="auto"/>
        </w:rPr>
        <w:t>("BRVO")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4445</wp:posOffset>
            </wp:positionV>
            <wp:extent cx="24771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ind w:left="4020"/>
        <w:spacing w:after="0"/>
        <w:rPr>
          <w:sz w:val="20"/>
          <w:szCs w:val="20"/>
          <w:color w:val="auto"/>
        </w:rPr>
      </w:pPr>
      <w:r>
        <w:rPr>
          <w:rFonts w:ascii="Times New Roman" w:cs="Times New Roman" w:eastAsia="Times New Roman" w:hAnsi="Times New Roman"/>
          <w:sz w:val="18"/>
          <w:szCs w:val="18"/>
          <w:color w:val="auto"/>
        </w:rPr>
        <w:t>Myopic choroidal neovascularization ("mCNV")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17145</wp:posOffset>
            </wp:positionV>
            <wp:extent cx="24771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1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Neovascular glaucoma ("NVG")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43180</wp:posOffset>
            </wp:positionV>
            <wp:extent cx="24771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9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Retinopathy of prematurity ("ROP")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49891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483870</wp:posOffset>
            </wp:positionV>
            <wp:extent cx="20142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100"/>
        <w:spacing w:after="0"/>
        <w:tabs>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20955</wp:posOffset>
            </wp:positionV>
            <wp:extent cx="2014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45" w:lineRule="exact"/>
        <w:rPr>
          <w:sz w:val="20"/>
          <w:szCs w:val="20"/>
          <w:color w:val="auto"/>
        </w:rPr>
      </w:pPr>
    </w:p>
    <w:p>
      <w:pPr>
        <w:ind w:left="2200"/>
        <w:spacing w:after="0"/>
        <w:rPr>
          <w:sz w:val="20"/>
          <w:szCs w:val="20"/>
          <w:color w:val="auto"/>
        </w:rPr>
      </w:pP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58420</wp:posOffset>
            </wp:positionV>
            <wp:extent cx="20142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101" w:lineRule="exact"/>
        <w:rPr>
          <w:sz w:val="20"/>
          <w:szCs w:val="20"/>
          <w:color w:val="auto"/>
        </w:rPr>
      </w:pPr>
    </w:p>
    <w:p>
      <w:pPr>
        <w:spacing w:after="0"/>
        <w:tabs>
          <w:tab w:leader="none" w:pos="1080" w:val="left"/>
          <w:tab w:leader="none" w:pos="2180" w:val="left"/>
        </w:tabs>
        <w:rPr>
          <w:sz w:val="20"/>
          <w:szCs w:val="20"/>
          <w:color w:val="auto"/>
        </w:rPr>
      </w:pP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8"/>
          <w:szCs w:val="18"/>
          <w:b w:val="1"/>
          <w:bCs w:val="1"/>
          <w:color w:val="auto"/>
        </w:rPr>
        <w:t>a</w:t>
      </w:r>
      <w:r>
        <w:rPr>
          <w:sz w:val="20"/>
          <w:szCs w:val="20"/>
          <w:color w:val="auto"/>
        </w:rPr>
        <w:tab/>
      </w:r>
      <w:r>
        <w:rPr>
          <w:rFonts w:ascii="Webdings" w:cs="Webdings" w:eastAsia="Webdings" w:hAnsi="Webdings"/>
          <w:sz w:val="16"/>
          <w:szCs w:val="16"/>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46990</wp:posOffset>
            </wp:positionV>
            <wp:extent cx="2014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7840" w:space="580"/>
            <w:col w:w="282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38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Dupixent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(dupilumab) Injection</w:t>
            </w:r>
            <w:r>
              <w:rPr>
                <w:rFonts w:ascii="Times New Roman" w:cs="Times New Roman" w:eastAsia="Times New Roman" w:hAnsi="Times New Roman"/>
                <w:sz w:val="20"/>
                <w:szCs w:val="20"/>
                <w:color w:val="auto"/>
                <w:vertAlign w:val="superscript"/>
              </w:rPr>
              <w:t>(b)</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Atopic dermatitis (in adults, adolescents, and</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adults and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Asthma (in pediatrics 6–11 years of 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Chronic rhinosinusitis with nasal polyposis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Eosinophilic esophagitis ("EoE") (in adults,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 and pediatrics aged 1 year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8"/>
                <w:szCs w:val="18"/>
                <w:color w:val="auto"/>
              </w:rPr>
            </w:pPr>
          </w:p>
        </w:tc>
      </w:tr>
      <w:tr>
        <w:trPr>
          <w:trHeight w:val="229"/>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Bullous pemphigoid</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60" w:type="dxa"/>
            <w:vAlign w:val="bottom"/>
          </w:tcPr>
          <w:p>
            <w:pPr>
              <w:spacing w:after="0"/>
              <w:rPr>
                <w:sz w:val="18"/>
                <w:szCs w:val="18"/>
                <w:color w:val="auto"/>
              </w:rPr>
            </w:pPr>
          </w:p>
        </w:tc>
        <w:tc>
          <w:tcPr>
            <w:tcW w:w="386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first-line non-small</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84"/>
        </w:trPr>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cell lung cancer ("NSCLC"), monotherapy and in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Metastatic or locally advanced cutaneous squamous</w:t>
            </w:r>
          </w:p>
        </w:tc>
        <w:tc>
          <w:tcPr>
            <w:tcW w:w="100" w:type="dxa"/>
            <w:vAlign w:val="bottom"/>
          </w:tcPr>
          <w:p>
            <w:pPr>
              <w:spacing w:after="0"/>
              <w:rPr>
                <w:sz w:val="15"/>
                <w:szCs w:val="15"/>
                <w:color w:val="auto"/>
              </w:rPr>
            </w:pPr>
          </w:p>
        </w:tc>
        <w:tc>
          <w:tcPr>
            <w:tcW w:w="100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jc w:val="center"/>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cell 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Adjuvant CSCC</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4"/>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178"/>
        </w:trPr>
        <w:tc>
          <w:tcPr>
            <w:tcW w:w="60" w:type="dxa"/>
            <w:vAlign w:val="bottom"/>
          </w:tcPr>
          <w:p>
            <w:pPr>
              <w:spacing w:after="0"/>
              <w:rPr>
                <w:sz w:val="15"/>
                <w:szCs w:val="15"/>
                <w:color w:val="auto"/>
              </w:rPr>
            </w:pPr>
          </w:p>
        </w:tc>
        <w:tc>
          <w:tcPr>
            <w:tcW w:w="3860" w:type="dxa"/>
            <w:vAlign w:val="bottom"/>
            <w:tcBorders>
              <w:top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Praluent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(alirocumab) Injection</w:t>
            </w:r>
            <w:r>
              <w:rPr>
                <w:rFonts w:ascii="Times New Roman" w:cs="Times New Roman" w:eastAsia="Times New Roman" w:hAnsi="Times New Roman"/>
                <w:sz w:val="20"/>
                <w:szCs w:val="20"/>
                <w:color w:val="auto"/>
                <w:vertAlign w:val="superscript"/>
              </w:rPr>
              <w:t>(c)</w:t>
            </w:r>
          </w:p>
        </w:tc>
        <w:tc>
          <w:tcPr>
            <w:tcW w:w="1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LDL-lowering in heterozygous familial</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hypercholesterolemia ("HeFH") or clinical</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atherosclerotic cardiovascular disease ("ASCVD")</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6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HeFH in pediatrics and adolescents (8–17 years of</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Cardiovascular risk reduction in patients with</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established cardiovascular disease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Homozygous familial hypercholesterolemia</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38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1020" w:type="dxa"/>
            <w:vAlign w:val="bottom"/>
            <w:gridSpan w:val="2"/>
          </w:tcPr>
          <w:p>
            <w:pPr>
              <w:jc w:val="center"/>
              <w:ind w:right="60"/>
              <w:spacing w:after="0"/>
              <w:rPr>
                <w:sz w:val="20"/>
                <w:szCs w:val="20"/>
                <w:color w:val="auto"/>
              </w:rPr>
            </w:pPr>
            <w:r>
              <w:rPr>
                <w:rFonts w:ascii="Webdings" w:cs="Webdings" w:eastAsia="Webdings" w:hAnsi="Webdings"/>
                <w:sz w:val="18"/>
                <w:szCs w:val="18"/>
                <w:b w:val="1"/>
                <w:bCs w:val="1"/>
                <w:color w:val="auto"/>
                <w:w w:val="88"/>
              </w:rPr>
              <w:t>a</w:t>
            </w:r>
          </w:p>
        </w:tc>
      </w:tr>
      <w:tr>
        <w:trPr>
          <w:trHeight w:val="263"/>
        </w:trPr>
        <w:tc>
          <w:tcPr>
            <w:tcW w:w="6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(d)</w:t>
            </w: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88"/>
              </w:rPr>
              <w:t>a</w:t>
            </w:r>
          </w:p>
        </w:tc>
        <w:tc>
          <w:tcPr>
            <w:tcW w:w="40" w:type="dxa"/>
            <w:vAlign w:val="bottom"/>
          </w:tcPr>
          <w:p>
            <w:pPr>
              <w:spacing w:after="0"/>
              <w:rPr>
                <w:sz w:val="19"/>
                <w:szCs w:val="19"/>
                <w:color w:val="auto"/>
              </w:rPr>
            </w:pPr>
          </w:p>
        </w:tc>
      </w:tr>
      <w:tr>
        <w:trPr>
          <w:trHeight w:val="264"/>
        </w:trPr>
        <w:tc>
          <w:tcPr>
            <w:tcW w:w="60" w:type="dxa"/>
            <w:vAlign w:val="bottom"/>
          </w:tcPr>
          <w:p>
            <w:pPr>
              <w:spacing w:after="0"/>
              <w:rPr>
                <w:sz w:val="22"/>
                <w:szCs w:val="22"/>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20" w:type="dxa"/>
            <w:vAlign w:val="bottom"/>
          </w:tcPr>
          <w:p>
            <w:pPr>
              <w:spacing w:after="0"/>
              <w:rPr>
                <w:sz w:val="22"/>
                <w:szCs w:val="22"/>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60" w:type="dxa"/>
            <w:vAlign w:val="bottom"/>
          </w:tcPr>
          <w:p>
            <w:pPr>
              <w:spacing w:after="0"/>
              <w:rPr>
                <w:sz w:val="22"/>
                <w:szCs w:val="22"/>
                <w:color w:val="auto"/>
              </w:rPr>
            </w:pPr>
          </w:p>
        </w:tc>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20" w:type="dxa"/>
            <w:vAlign w:val="bottom"/>
            <w:shd w:val="clear" w:color="auto" w:fill="CCEEFF"/>
          </w:tcPr>
          <w:p>
            <w:pPr>
              <w:spacing w:after="0"/>
              <w:rPr>
                <w:sz w:val="22"/>
                <w:szCs w:val="22"/>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r>
      <w:tr>
        <w:trPr>
          <w:trHeight w:val="178"/>
        </w:trPr>
        <w:tc>
          <w:tcPr>
            <w:tcW w:w="60" w:type="dxa"/>
            <w:vAlign w:val="bottom"/>
          </w:tcPr>
          <w:p>
            <w:pPr>
              <w:spacing w:after="0"/>
              <w:rPr>
                <w:sz w:val="15"/>
                <w:szCs w:val="15"/>
                <w:color w:val="auto"/>
              </w:rPr>
            </w:pPr>
          </w:p>
        </w:tc>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Inmazeb</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(atoltivimab, maftivimab, and</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5"/>
                <w:szCs w:val="15"/>
                <w:color w:val="auto"/>
              </w:rPr>
            </w:pPr>
          </w:p>
        </w:tc>
        <w:tc>
          <w:tcPr>
            <w:tcW w:w="1000" w:type="dxa"/>
            <w:vAlign w:val="bottom"/>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0" w:type="dxa"/>
            <w:vAlign w:val="bottom"/>
          </w:tcPr>
          <w:p>
            <w:pPr>
              <w:spacing w:after="0"/>
              <w:rPr>
                <w:sz w:val="20"/>
                <w:szCs w:val="20"/>
                <w:color w:val="auto"/>
              </w:rPr>
            </w:pP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20" w:type="dxa"/>
            <w:vAlign w:val="bottom"/>
            <w:tcBorders>
              <w:bottom w:val="single" w:sz="8" w:color="CCEEFF"/>
            </w:tcBorders>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78"/>
        </w:trPr>
        <w:tc>
          <w:tcPr>
            <w:tcW w:w="60" w:type="dxa"/>
            <w:vAlign w:val="bottom"/>
          </w:tcPr>
          <w:p>
            <w:pPr>
              <w:spacing w:after="0"/>
              <w:rPr>
                <w:sz w:val="15"/>
                <w:szCs w:val="15"/>
                <w:color w:val="auto"/>
              </w:rPr>
            </w:pPr>
          </w:p>
        </w:tc>
        <w:tc>
          <w:tcPr>
            <w:tcW w:w="38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Veopoz</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(pozelimab) Injection</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CD55-deficient protein-losing enteropathy</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8" w:lineRule="exact"/>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80"/>
        </w:trPr>
        <w:tc>
          <w:tcPr>
            <w:tcW w:w="6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("CHAPLE") (in adults, adolescents, and pediatrics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30"/>
        </w:trPr>
        <w:tc>
          <w:tcPr>
            <w:tcW w:w="60" w:type="dxa"/>
            <w:vAlign w:val="bottom"/>
          </w:tcPr>
          <w:p>
            <w:pPr>
              <w:spacing w:after="0"/>
              <w:rPr>
                <w:sz w:val="19"/>
                <w:szCs w:val="19"/>
                <w:color w:val="auto"/>
              </w:rPr>
            </w:pPr>
          </w:p>
        </w:tc>
        <w:tc>
          <w:tcPr>
            <w:tcW w:w="38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aged 1 year and older)</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749"/>
        </w:trPr>
        <w:tc>
          <w:tcPr>
            <w:tcW w:w="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00" w:type="dxa"/>
            <w:vAlign w:val="bottom"/>
            <w:gridSpan w:val="2"/>
          </w:tcPr>
          <w:p>
            <w:pPr>
              <w:jc w:val="right"/>
              <w:ind w:right="211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8"/>
        </w:trPr>
        <w:tc>
          <w:tcPr>
            <w:tcW w:w="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8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20" w:type="dxa"/>
            <w:vAlign w:val="bottom"/>
          </w:tcPr>
          <w:p>
            <w:pPr>
              <w:spacing w:after="0"/>
              <w:rPr>
                <w:sz w:val="20"/>
                <w:szCs w:val="20"/>
                <w:color w:val="auto"/>
              </w:rPr>
            </w:pPr>
          </w:p>
        </w:tc>
        <w:tc>
          <w:tcPr>
            <w:tcW w:w="388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78"/>
        </w:trPr>
        <w:tc>
          <w:tcPr>
            <w:tcW w:w="3860" w:type="dxa"/>
            <w:vAlign w:val="bottom"/>
          </w:tcPr>
          <w:p>
            <w:pPr>
              <w:ind w:left="20"/>
              <w:spacing w:after="0" w:line="178" w:lineRule="exact"/>
              <w:rPr>
                <w:sz w:val="20"/>
                <w:szCs w:val="20"/>
                <w:color w:val="auto"/>
              </w:rPr>
            </w:pPr>
            <w:r>
              <w:rPr>
                <w:rFonts w:ascii="Times New Roman" w:cs="Times New Roman" w:eastAsia="Times New Roman" w:hAnsi="Times New Roman"/>
                <w:sz w:val="16"/>
                <w:szCs w:val="16"/>
                <w:color w:val="auto"/>
              </w:rPr>
              <w:t>ARCALYST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(rilonacept) Injection</w:t>
            </w:r>
            <w:r>
              <w:rPr>
                <w:rFonts w:ascii="Times New Roman" w:cs="Times New Roman" w:eastAsia="Times New Roman" w:hAnsi="Times New Roman"/>
                <w:sz w:val="20"/>
                <w:szCs w:val="20"/>
                <w:color w:val="auto"/>
                <w:vertAlign w:val="superscript"/>
              </w:rPr>
              <w:t>(e)</w:t>
            </w: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5"/>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0"/>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3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Deficiency of interleukin-1 receptor antagonist</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line="177"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4"/>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("DIRA") (in adults, adolescents, and pediatrics)</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4"/>
        </w:trPr>
        <w:tc>
          <w:tcPr>
            <w:tcW w:w="38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6"/>
                <w:szCs w:val="16"/>
                <w:color w:val="auto"/>
              </w:rPr>
              <w:t>ZALTRAP</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(ziv-aflibercept) Injection for</w:t>
            </w:r>
          </w:p>
        </w:tc>
        <w:tc>
          <w:tcPr>
            <w:tcW w:w="120" w:type="dxa"/>
            <w:vAlign w:val="bottom"/>
            <w:shd w:val="clear" w:color="auto" w:fill="CCEEFF"/>
          </w:tcPr>
          <w:p>
            <w:pPr>
              <w:spacing w:after="0"/>
              <w:rPr>
                <w:sz w:val="15"/>
                <w:szCs w:val="15"/>
                <w:color w:val="auto"/>
              </w:rPr>
            </w:pPr>
          </w:p>
        </w:tc>
        <w:tc>
          <w:tcPr>
            <w:tcW w:w="38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line="175" w:lineRule="exact"/>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line="175" w:lineRule="exact"/>
              <w:rPr>
                <w:sz w:val="20"/>
                <w:szCs w:val="20"/>
                <w:color w:val="auto"/>
              </w:rPr>
            </w:pPr>
            <w:r>
              <w:rPr>
                <w:rFonts w:ascii="Webdings" w:cs="Webdings" w:eastAsia="Webdings" w:hAnsi="Webdings"/>
                <w:sz w:val="18"/>
                <w:szCs w:val="18"/>
                <w:b w:val="1"/>
                <w:bCs w:val="1"/>
                <w:color w:val="auto"/>
                <w:w w:val="88"/>
              </w:rPr>
              <w:t>a</w:t>
            </w:r>
          </w:p>
        </w:tc>
      </w:tr>
      <w:tr>
        <w:trPr>
          <w:trHeight w:val="238"/>
        </w:trPr>
        <w:tc>
          <w:tcPr>
            <w:tcW w:w="386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(f)</w:t>
            </w:r>
          </w:p>
        </w:tc>
        <w:tc>
          <w:tcPr>
            <w:tcW w:w="120" w:type="dxa"/>
            <w:vAlign w:val="bottom"/>
            <w:shd w:val="clear" w:color="auto" w:fill="CCEEFF"/>
          </w:tcPr>
          <w:p>
            <w:pPr>
              <w:spacing w:after="0"/>
              <w:rPr>
                <w:sz w:val="20"/>
                <w:szCs w:val="20"/>
                <w:color w:val="auto"/>
              </w:rPr>
            </w:pPr>
          </w:p>
        </w:tc>
        <w:tc>
          <w:tcPr>
            <w:tcW w:w="38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spacing w:after="0" w:line="40" w:lineRule="exact"/>
        <w:rPr>
          <w:sz w:val="20"/>
          <w:szCs w:val="20"/>
          <w:color w:val="auto"/>
        </w:rPr>
      </w:pPr>
    </w:p>
    <w:p>
      <w:pPr>
        <w:ind w:left="240" w:right="440"/>
        <w:spacing w:after="0" w:line="242"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400" w:hanging="165"/>
        <w:spacing w:after="0" w:line="206"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23"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24" w:lineRule="exact"/>
        <w:rPr>
          <w:rFonts w:ascii="Times New Roman" w:cs="Times New Roman" w:eastAsia="Times New Roman" w:hAnsi="Times New Roman"/>
          <w:sz w:val="22"/>
          <w:szCs w:val="22"/>
          <w:color w:val="auto"/>
          <w:vertAlign w:val="superscript"/>
        </w:rPr>
      </w:pPr>
    </w:p>
    <w:p>
      <w:pPr>
        <w:ind w:left="240" w:right="720" w:hanging="5"/>
        <w:spacing w:after="0" w:line="189" w:lineRule="auto"/>
        <w:tabs>
          <w:tab w:leader="none" w:pos="41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Praluent in the United States and Sanofi is responsible for the development and commercialization of Praluent outside the United States</w:t>
      </w:r>
    </w:p>
    <w:p>
      <w:pPr>
        <w:spacing w:after="0" w:line="6" w:lineRule="exact"/>
        <w:rPr>
          <w:rFonts w:ascii="Times New Roman" w:cs="Times New Roman" w:eastAsia="Times New Roman" w:hAnsi="Times New Roman"/>
          <w:sz w:val="23"/>
          <w:szCs w:val="23"/>
          <w:color w:val="auto"/>
          <w:vertAlign w:val="superscript"/>
        </w:rPr>
      </w:pPr>
    </w:p>
    <w:p>
      <w:pPr>
        <w:ind w:left="240" w:right="400" w:hanging="5"/>
        <w:spacing w:after="0" w:line="199" w:lineRule="auto"/>
        <w:tabs>
          <w:tab w:leader="none" w:pos="417"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Evkeeza in the United States and Ultragenyx is responsible for the development and commercialization of Evkeeza outside the United States</w:t>
      </w:r>
    </w:p>
    <w:p>
      <w:pPr>
        <w:ind w:left="400" w:hanging="165"/>
        <w:spacing w:after="0" w:line="217"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Kiniksa is responsible for the development and commercialization of ARCALYST</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responsible for the development and commercialization of ZALTRAP</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line="223"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(f)</w:t>
            </w:r>
          </w:p>
        </w:tc>
        <w:tc>
          <w:tcPr>
            <w:tcW w:w="22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2,001.1</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2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68"/>
        </w:trPr>
        <w:tc>
          <w:tcPr>
            <w:tcW w:w="2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2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23"/>
        </w:trPr>
        <w:tc>
          <w:tcPr>
            <w:tcW w:w="2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Pr>
          <w:p>
            <w:pPr>
              <w:spacing w:after="0"/>
              <w:rPr>
                <w:sz w:val="19"/>
                <w:szCs w:val="19"/>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18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220" w:type="dxa"/>
            <w:vAlign w:val="bottom"/>
          </w:tcPr>
          <w:p>
            <w:pPr>
              <w:spacing w:after="0"/>
              <w:rPr>
                <w:sz w:val="19"/>
                <w:szCs w:val="19"/>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23"/>
        </w:trPr>
        <w:tc>
          <w:tcPr>
            <w:tcW w:w="2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2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(a)</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6,116.1</w:t>
            </w:r>
          </w:p>
        </w:tc>
        <w:tc>
          <w:tcPr>
            <w:tcW w:w="15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9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87"/>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ind w:left="180" w:right="40" w:firstLine="8"/>
        <w:spacing w:after="0"/>
        <w:tabs>
          <w:tab w:leader="none" w:pos="35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1" w:lineRule="exact"/>
        <w:rPr>
          <w:rFonts w:ascii="Times New Roman" w:cs="Times New Roman" w:eastAsia="Times New Roman" w:hAnsi="Times New Roman"/>
          <w:sz w:val="21"/>
          <w:szCs w:val="21"/>
          <w:color w:val="auto"/>
          <w:vertAlign w:val="superscript"/>
        </w:rPr>
      </w:pPr>
    </w:p>
    <w:p>
      <w:pPr>
        <w:ind w:left="180" w:right="800" w:firstLine="8"/>
        <w:spacing w:after="0" w:line="215" w:lineRule="auto"/>
        <w:tabs>
          <w:tab w:leader="none" w:pos="356"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1" w:lineRule="exact"/>
        <w:rPr>
          <w:rFonts w:ascii="Times New Roman" w:cs="Times New Roman" w:eastAsia="Times New Roman" w:hAnsi="Times New Roman"/>
          <w:sz w:val="21"/>
          <w:szCs w:val="21"/>
          <w:color w:val="auto"/>
          <w:vertAlign w:val="superscript"/>
        </w:rPr>
      </w:pPr>
    </w:p>
    <w:p>
      <w:pPr>
        <w:ind w:left="360" w:hanging="172"/>
        <w:spacing w:after="0" w:line="208" w:lineRule="auto"/>
        <w:tabs>
          <w:tab w:leader="none" w:pos="36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37" w:lineRule="exact"/>
        <w:rPr>
          <w:rFonts w:ascii="Times New Roman" w:cs="Times New Roman" w:eastAsia="Times New Roman" w:hAnsi="Times New Roman"/>
          <w:sz w:val="23"/>
          <w:szCs w:val="23"/>
          <w:color w:val="auto"/>
          <w:vertAlign w:val="superscript"/>
        </w:rPr>
      </w:pPr>
    </w:p>
    <w:p>
      <w:pPr>
        <w:ind w:left="180" w:right="100" w:firstLine="8"/>
        <w:spacing w:after="0" w:line="202" w:lineRule="auto"/>
        <w:tabs>
          <w:tab w:leader="none" w:pos="36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5" w:lineRule="exact"/>
        <w:rPr>
          <w:rFonts w:ascii="Times New Roman" w:cs="Times New Roman" w:eastAsia="Times New Roman" w:hAnsi="Times New Roman"/>
          <w:sz w:val="22"/>
          <w:szCs w:val="22"/>
          <w:color w:val="auto"/>
          <w:vertAlign w:val="superscript"/>
        </w:rPr>
      </w:pPr>
    </w:p>
    <w:p>
      <w:pPr>
        <w:ind w:left="180" w:right="60" w:firstLine="8"/>
        <w:spacing w:after="0" w:line="211" w:lineRule="auto"/>
        <w:tabs>
          <w:tab w:leader="none" w:pos="354"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listing of net product sales recorded by us. Not included in this line item are net product sales of ARCALYST, which are recorded by Kiniksa.</w:t>
      </w:r>
    </w:p>
    <w:p>
      <w:pPr>
        <w:spacing w:after="0" w:line="1" w:lineRule="exact"/>
        <w:rPr>
          <w:rFonts w:ascii="Times New Roman" w:cs="Times New Roman" w:eastAsia="Times New Roman" w:hAnsi="Times New Roman"/>
          <w:sz w:val="22"/>
          <w:szCs w:val="22"/>
          <w:color w:val="auto"/>
          <w:vertAlign w:val="superscript"/>
        </w:rPr>
      </w:pPr>
    </w:p>
    <w:p>
      <w:pPr>
        <w:ind w:left="340" w:hanging="152"/>
        <w:spacing w:after="0" w:line="192" w:lineRule="auto"/>
        <w:tabs>
          <w:tab w:leader="none" w:pos="34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candidates in Phase 2 and Phase 3 clinical development, which are being developed by us and/or our collaborators, are summarized in the table below.</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263"/>
        </w:trPr>
        <w:tc>
          <w:tcPr>
            <w:tcW w:w="2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bl>
    <w:p>
      <w:pPr>
        <w:spacing w:after="0" w:line="271" w:lineRule="exact"/>
        <w:rPr>
          <w:sz w:val="20"/>
          <w:szCs w:val="20"/>
          <w:color w:val="auto"/>
        </w:rPr>
      </w:pPr>
    </w:p>
    <w:p>
      <w:pPr>
        <w:sectPr>
          <w:pgSz w:w="11900" w:h="16838" w:orient="portrait"/>
          <w:cols w:equalWidth="0" w:num="2">
            <w:col w:w="7080" w:space="80"/>
            <w:col w:w="4080"/>
          </w:cols>
          <w:pgMar w:left="320" w:top="369" w:right="339" w:bottom="1440" w:gutter="0" w:footer="0" w:header="0"/>
          <w:type w:val="continuous"/>
        </w:sectPr>
      </w:pPr>
    </w:p>
    <w:p>
      <w:pPr>
        <w:ind w:left="20"/>
        <w:spacing w:after="0"/>
        <w:tabs>
          <w:tab w:leader="none" w:pos="3780" w:val="left"/>
          <w:tab w:leader="none" w:pos="5500" w:val="left"/>
        </w:tabs>
        <w:rPr>
          <w:sz w:val="20"/>
          <w:szCs w:val="20"/>
          <w:color w:val="auto"/>
        </w:rPr>
      </w:pPr>
      <w:r>
        <w:rPr>
          <w:rFonts w:ascii="Times New Roman" w:cs="Times New Roman" w:eastAsia="Times New Roman" w:hAnsi="Times New Roman"/>
          <w:sz w:val="18"/>
          <w:szCs w:val="18"/>
          <w:b w:val="1"/>
          <w:bCs w:val="1"/>
          <w:color w:val="auto"/>
        </w:rPr>
        <w:t>EYLEA HD (aflibercept)</w:t>
      </w:r>
      <w:r>
        <w:rPr>
          <w:sz w:val="20"/>
          <w:szCs w:val="20"/>
          <w:color w:val="auto"/>
        </w:rPr>
        <w:tab/>
      </w:r>
      <w:r>
        <w:rPr>
          <w:rFonts w:ascii="Times New Roman" w:cs="Times New Roman" w:eastAsia="Times New Roman" w:hAnsi="Times New Roman"/>
          <w:sz w:val="18"/>
          <w:szCs w:val="18"/>
          <w:color w:val="auto"/>
        </w:rPr>
        <w:t>–RVO</w:t>
      </w:r>
      <w:r>
        <w:rPr>
          <w:sz w:val="20"/>
          <w:szCs w:val="20"/>
          <w:color w:val="auto"/>
        </w:rPr>
        <w:tab/>
      </w:r>
      <w:r>
        <w:rPr>
          <w:rFonts w:ascii="Times New Roman" w:cs="Times New Roman" w:eastAsia="Times New Roman" w:hAnsi="Times New Roman"/>
          <w:sz w:val="17"/>
          <w:szCs w:val="17"/>
          <w:color w:val="auto"/>
        </w:rPr>
        <w:t>–RVO (U.S., 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3343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r>
    </w:p>
    <w:p>
      <w:pPr>
        <w:ind w:left="20"/>
        <w:spacing w:after="0"/>
        <w:tabs>
          <w:tab w:leader="none" w:pos="5500" w:val="left"/>
        </w:tabs>
        <w:rPr>
          <w:sz w:val="20"/>
          <w:szCs w:val="20"/>
          <w:color w:val="auto"/>
        </w:rPr>
      </w:pPr>
      <w:r>
        <w:rPr>
          <w:rFonts w:ascii="Times New Roman" w:cs="Times New Roman" w:eastAsia="Times New Roman" w:hAnsi="Times New Roman"/>
          <w:sz w:val="18"/>
          <w:szCs w:val="18"/>
          <w:b w:val="1"/>
          <w:bCs w:val="1"/>
          <w:color w:val="auto"/>
        </w:rPr>
        <w:t>8 mg</w:t>
      </w:r>
      <w:r>
        <w:rPr>
          <w:rFonts w:ascii="Times New Roman" w:cs="Times New Roman" w:eastAsia="Times New Roman" w:hAnsi="Times New Roman"/>
          <w:sz w:val="23"/>
          <w:szCs w:val="23"/>
          <w:b w:val="1"/>
          <w:bCs w:val="1"/>
          <w:color w:val="auto"/>
          <w:vertAlign w:val="superscript"/>
        </w:rPr>
        <w:t>(a)</w:t>
      </w:r>
      <w:r>
        <w:rPr>
          <w:sz w:val="20"/>
          <w:szCs w:val="20"/>
          <w:color w:val="auto"/>
        </w:rPr>
        <w:tab/>
      </w:r>
      <w:r>
        <w:rPr>
          <w:rFonts w:ascii="Times New Roman" w:cs="Times New Roman" w:eastAsia="Times New Roman" w:hAnsi="Times New Roman"/>
          <w:sz w:val="18"/>
          <w:szCs w:val="18"/>
          <w:color w:val="auto"/>
        </w:rPr>
        <w:t>and Japan)</w:t>
      </w:r>
    </w:p>
    <w:p>
      <w:pPr>
        <w:spacing w:after="0" w:line="1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–Every 4-week</w:t>
      </w:r>
    </w:p>
    <w:p>
      <w:pPr>
        <w:ind w:left="5520"/>
        <w:spacing w:after="0" w:line="219" w:lineRule="auto"/>
        <w:rPr>
          <w:sz w:val="20"/>
          <w:szCs w:val="20"/>
          <w:color w:val="auto"/>
        </w:rPr>
      </w:pPr>
      <w:r>
        <w:rPr>
          <w:rFonts w:ascii="Times New Roman" w:cs="Times New Roman" w:eastAsia="Times New Roman" w:hAnsi="Times New Roman"/>
          <w:sz w:val="18"/>
          <w:szCs w:val="18"/>
          <w:color w:val="auto"/>
        </w:rPr>
        <w:t>dosing regimen for</w:t>
      </w:r>
    </w:p>
    <w:p>
      <w:pPr>
        <w:ind w:left="5520"/>
        <w:spacing w:after="0" w:line="215" w:lineRule="auto"/>
        <w:rPr>
          <w:sz w:val="20"/>
          <w:szCs w:val="20"/>
          <w:color w:val="auto"/>
        </w:rPr>
      </w:pPr>
      <w:r>
        <w:rPr>
          <w:rFonts w:ascii="Times New Roman" w:cs="Times New Roman" w:eastAsia="Times New Roman" w:hAnsi="Times New Roman"/>
          <w:sz w:val="17"/>
          <w:szCs w:val="17"/>
          <w:color w:val="auto"/>
        </w:rPr>
        <w:t>approved indications</w:t>
      </w:r>
    </w:p>
    <w:p>
      <w:pPr>
        <w:spacing w:after="0" w:line="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–Geographic atrophy,</w:t>
            </w:r>
          </w:p>
        </w:tc>
      </w:tr>
      <w:tr>
        <w:trPr>
          <w:trHeight w:val="181"/>
        </w:trPr>
        <w:tc>
          <w:tcPr>
            <w:tcW w:w="2860" w:type="dxa"/>
            <w:vAlign w:val="bottom"/>
          </w:tcPr>
          <w:p>
            <w:pPr>
              <w:spacing w:after="0" w:line="181" w:lineRule="exact"/>
              <w:rPr>
                <w:sz w:val="20"/>
                <w:szCs w:val="20"/>
                <w:color w:val="auto"/>
              </w:rPr>
            </w:pPr>
            <w:r>
              <w:rPr>
                <w:rFonts w:ascii="Times New Roman" w:cs="Times New Roman" w:eastAsia="Times New Roman" w:hAnsi="Times New Roman"/>
                <w:sz w:val="18"/>
                <w:szCs w:val="18"/>
                <w:i w:val="1"/>
                <w:iCs w:val="1"/>
                <w:color w:val="auto"/>
              </w:rPr>
              <w:t>Antibody to C5</w:t>
            </w:r>
          </w:p>
        </w:tc>
        <w:tc>
          <w:tcPr>
            <w:tcW w:w="3880" w:type="dxa"/>
            <w:vAlign w:val="bottom"/>
          </w:tcPr>
          <w:p>
            <w:pPr>
              <w:ind w:left="920"/>
              <w:spacing w:after="0" w:line="181" w:lineRule="exact"/>
              <w:rPr>
                <w:sz w:val="20"/>
                <w:szCs w:val="20"/>
                <w:color w:val="auto"/>
              </w:rPr>
            </w:pPr>
            <w:r>
              <w:rPr>
                <w:rFonts w:ascii="Times New Roman" w:cs="Times New Roman" w:eastAsia="Times New Roman" w:hAnsi="Times New Roman"/>
                <w:sz w:val="18"/>
                <w:szCs w:val="18"/>
                <w:color w:val="auto"/>
              </w:rPr>
              <w:t>cemdisiran</w:t>
            </w:r>
          </w:p>
        </w:tc>
      </w:tr>
      <w:tr>
        <w:trPr>
          <w:trHeight w:val="283"/>
        </w:trPr>
        <w:tc>
          <w:tcPr>
            <w:tcW w:w="2860" w:type="dxa"/>
            <w:vAlign w:val="bottom"/>
          </w:tcPr>
          <w:p>
            <w:pPr>
              <w:spacing w:after="0"/>
              <w:rPr>
                <w:sz w:val="24"/>
                <w:szCs w:val="24"/>
                <w:color w:val="auto"/>
              </w:rPr>
            </w:pPr>
          </w:p>
        </w:tc>
        <w:tc>
          <w:tcPr>
            <w:tcW w:w="38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(l)(q)</w:t>
            </w:r>
          </w:p>
        </w:tc>
      </w:tr>
      <w:tr>
        <w:trPr>
          <w:trHeight w:val="238"/>
        </w:trPr>
        <w:tc>
          <w:tcPr>
            <w:tcW w:w="2860" w:type="dxa"/>
            <w:vAlign w:val="bottom"/>
          </w:tcPr>
          <w:p>
            <w:pPr>
              <w:spacing w:after="0"/>
              <w:rPr>
                <w:sz w:val="20"/>
                <w:szCs w:val="20"/>
                <w:color w:val="auto"/>
              </w:rPr>
            </w:pPr>
          </w:p>
        </w:tc>
        <w:tc>
          <w:tcPr>
            <w:tcW w:w="388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9"/>
              </w:rPr>
              <w:t>Immunology &amp; Inflammation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positive</w:t>
      </w:r>
    </w:p>
    <w:p>
      <w:pPr>
        <w:spacing w:after="0" w:line="2" w:lineRule="exact"/>
        <w:rPr>
          <w:sz w:val="20"/>
          <w:szCs w:val="20"/>
          <w:color w:val="auto"/>
        </w:rPr>
      </w:pPr>
    </w:p>
    <w:p>
      <w:pPr>
        <w:ind w:right="80"/>
        <w:spacing w:after="0" w:line="208" w:lineRule="auto"/>
        <w:rPr>
          <w:sz w:val="20"/>
          <w:szCs w:val="20"/>
          <w:color w:val="auto"/>
        </w:rPr>
      </w:pPr>
      <w:r>
        <w:rPr>
          <w:rFonts w:ascii="Times New Roman" w:cs="Times New Roman" w:eastAsia="Times New Roman" w:hAnsi="Times New Roman"/>
          <w:sz w:val="18"/>
          <w:szCs w:val="18"/>
          <w:color w:val="auto"/>
        </w:rPr>
        <w:t>three-year data from extension study of Phase 3 wAMD trial at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Angiogenesis, Exudation, and Degeneration ("Angiogenesis")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124"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–Presented positive data from Phase 3 QUASAR</w:t>
      </w:r>
    </w:p>
    <w:p>
      <w:pPr>
        <w:ind w:right="480"/>
        <w:spacing w:after="0" w:line="231" w:lineRule="auto"/>
        <w:rPr>
          <w:sz w:val="20"/>
          <w:szCs w:val="20"/>
          <w:color w:val="auto"/>
        </w:rPr>
      </w:pPr>
      <w:r>
        <w:rPr>
          <w:rFonts w:ascii="Times New Roman" w:cs="Times New Roman" w:eastAsia="Times New Roman" w:hAnsi="Times New Roman"/>
          <w:sz w:val="17"/>
          <w:szCs w:val="17"/>
          <w:color w:val="auto"/>
        </w:rPr>
        <w:t>trial in RVO at Angiogenesis 2025 annual meeting</w:t>
      </w:r>
    </w:p>
    <w:p>
      <w:pPr>
        <w:spacing w:after="0" w:line="131"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–FDA issued Complete Response Letters ("CRLs") for sBLA for</w:t>
      </w:r>
    </w:p>
    <w:p>
      <w:pPr>
        <w:spacing w:after="0" w:line="1"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addition of extended dosing intervals and for regulatory application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pre-filled syringe</w:t>
      </w:r>
    </w:p>
    <w:p>
      <w:pPr>
        <w:spacing w:after="0" w:line="12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17"/>
          <w:szCs w:val="17"/>
          <w:color w:val="auto"/>
        </w:rPr>
        <w:t>–Approved by European Commission ("EC") for</w:t>
      </w:r>
    </w:p>
    <w:p>
      <w:pPr>
        <w:ind w:right="20"/>
        <w:spacing w:after="0" w:line="220" w:lineRule="auto"/>
        <w:rPr>
          <w:sz w:val="20"/>
          <w:szCs w:val="20"/>
          <w:color w:val="auto"/>
        </w:rPr>
      </w:pPr>
      <w:r>
        <w:rPr>
          <w:rFonts w:ascii="Times New Roman" w:cs="Times New Roman" w:eastAsia="Times New Roman" w:hAnsi="Times New Roman"/>
          <w:sz w:val="17"/>
          <w:szCs w:val="17"/>
          <w:color w:val="auto"/>
        </w:rPr>
        <w:t>extended dosing intervals up to 6 months (24 weeks) in wAMD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DME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Food and Drug</w:t>
      </w:r>
    </w:p>
    <w:p>
      <w:pPr>
        <w:spacing w:after="0" w:line="2" w:lineRule="exact"/>
        <w:rPr>
          <w:sz w:val="20"/>
          <w:szCs w:val="20"/>
          <w:color w:val="auto"/>
        </w:rPr>
      </w:pPr>
    </w:p>
    <w:p>
      <w:pPr>
        <w:jc w:val="both"/>
        <w:ind w:right="260"/>
        <w:spacing w:after="0" w:line="220" w:lineRule="auto"/>
        <w:rPr>
          <w:sz w:val="20"/>
          <w:szCs w:val="20"/>
          <w:color w:val="auto"/>
        </w:rPr>
      </w:pPr>
      <w:r>
        <w:rPr>
          <w:rFonts w:ascii="Times New Roman" w:cs="Times New Roman" w:eastAsia="Times New Roman" w:hAnsi="Times New Roman"/>
          <w:sz w:val="17"/>
          <w:szCs w:val="17"/>
          <w:color w:val="auto"/>
        </w:rPr>
        <w:t>Administration ("FDA") decision on supplemental Biologics License</w:t>
      </w:r>
    </w:p>
    <w:p>
      <w:pPr>
        <w:spacing w:after="0" w:line="2"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7"/>
          <w:szCs w:val="17"/>
          <w:color w:val="auto"/>
        </w:rPr>
        <w:t>Application ("sBLA") for RVO (November 2025)</w:t>
      </w:r>
      <w:r>
        <w:rPr>
          <w:rFonts w:ascii="Times New Roman" w:cs="Times New Roman" w:eastAsia="Times New Roman" w:hAnsi="Times New Roman"/>
          <w:sz w:val="22"/>
          <w:szCs w:val="22"/>
          <w:color w:val="auto"/>
          <w:vertAlign w:val="superscript"/>
        </w:rPr>
        <w:t>(r)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–FDA decision on sBLA for</w:t>
      </w:r>
    </w:p>
    <w:p>
      <w:pPr>
        <w:spacing w:after="0" w:line="1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7"/>
          <w:szCs w:val="17"/>
          <w:color w:val="auto"/>
        </w:rPr>
        <w:t>every 4-week dosing regimen (November 2025)</w:t>
      </w:r>
      <w:r>
        <w:rPr>
          <w:rFonts w:ascii="Times New Roman" w:cs="Times New Roman" w:eastAsia="Times New Roman" w:hAnsi="Times New Roman"/>
          <w:sz w:val="22"/>
          <w:szCs w:val="22"/>
          <w:color w:val="auto"/>
          <w:vertAlign w:val="superscript"/>
        </w:rPr>
        <w:t>(r)</w:t>
      </w:r>
    </w:p>
    <w:p>
      <w:pPr>
        <w:spacing w:after="0" w:line="4191" w:lineRule="exact"/>
        <w:rPr>
          <w:sz w:val="20"/>
          <w:szCs w:val="20"/>
          <w:color w:val="auto"/>
        </w:rPr>
      </w:pPr>
    </w:p>
    <w:p>
      <w:pPr>
        <w:sectPr>
          <w:pgSz w:w="11900" w:h="16838" w:orient="portrait"/>
          <w:cols w:equalWidth="0" w:num="3">
            <w:col w:w="7020" w:space="160"/>
            <w:col w:w="1860" w:space="120"/>
            <w:col w:w="2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8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p>
        </w:tc>
        <w:tc>
          <w:tcPr>
            <w:tcW w:w="26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–Asthma in pediatrics</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–Asthma in</w:t>
            </w:r>
          </w:p>
        </w:tc>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–Approved by Japan's</w:t>
            </w:r>
          </w:p>
        </w:tc>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2"/>
        </w:trPr>
        <w:tc>
          <w:tcPr>
            <w:tcW w:w="2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2600" w:type="dxa"/>
            <w:vAlign w:val="bottom"/>
            <w:shd w:val="clear" w:color="auto" w:fill="CCEEFF"/>
          </w:tcPr>
          <w:p>
            <w:pPr>
              <w:ind w:left="960"/>
              <w:spacing w:after="0" w:line="182" w:lineRule="exact"/>
              <w:rPr>
                <w:sz w:val="20"/>
                <w:szCs w:val="20"/>
                <w:color w:val="auto"/>
              </w:rPr>
            </w:pPr>
            <w:r>
              <w:rPr>
                <w:rFonts w:ascii="Times New Roman" w:cs="Times New Roman" w:eastAsia="Times New Roman" w:hAnsi="Times New Roman"/>
                <w:sz w:val="18"/>
                <w:szCs w:val="18"/>
                <w:color w:val="auto"/>
              </w:rPr>
              <w:t>(2–5 years of age)</w:t>
            </w:r>
          </w:p>
        </w:tc>
        <w:tc>
          <w:tcPr>
            <w:tcW w:w="166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pediatrics (6–11</w:t>
            </w:r>
          </w:p>
        </w:tc>
        <w:tc>
          <w:tcPr>
            <w:tcW w:w="192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Ministry of Health,</w:t>
            </w:r>
          </w:p>
        </w:tc>
        <w:tc>
          <w:tcPr>
            <w:tcW w:w="2220" w:type="dxa"/>
            <w:vAlign w:val="bottom"/>
            <w:shd w:val="clear" w:color="auto" w:fill="CCEEFF"/>
          </w:tcPr>
          <w:p>
            <w:pPr>
              <w:ind w:left="140"/>
              <w:spacing w:after="0" w:line="182" w:lineRule="exact"/>
              <w:rPr>
                <w:sz w:val="20"/>
                <w:szCs w:val="20"/>
                <w:color w:val="auto"/>
              </w:rPr>
            </w:pPr>
            <w:r>
              <w:rPr>
                <w:rFonts w:ascii="Times New Roman" w:cs="Times New Roman" w:eastAsia="Times New Roman" w:hAnsi="Times New Roman"/>
                <w:sz w:val="18"/>
                <w:szCs w:val="18"/>
                <w:color w:val="auto"/>
              </w:rPr>
              <w:t>submission for CSU in</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subunit</w:t>
            </w:r>
          </w:p>
        </w:tc>
        <w:tc>
          <w:tcPr>
            <w:tcW w:w="2600" w:type="dxa"/>
            <w:vAlign w:val="bottom"/>
            <w:shd w:val="clear" w:color="auto" w:fill="CCEEFF"/>
          </w:tcPr>
          <w:p>
            <w:pPr>
              <w:spacing w:after="0"/>
              <w:rPr>
                <w:sz w:val="15"/>
                <w:szCs w:val="15"/>
                <w:color w:val="auto"/>
              </w:rPr>
            </w:pPr>
          </w:p>
        </w:tc>
        <w:tc>
          <w:tcPr>
            <w:tcW w:w="166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years of age) (Japan)</w:t>
            </w:r>
          </w:p>
        </w:tc>
        <w:tc>
          <w:tcPr>
            <w:tcW w:w="19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Labour and Welfare</w:t>
            </w:r>
          </w:p>
        </w:tc>
        <w:tc>
          <w:tcPr>
            <w:tcW w:w="2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adults and adolescents</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spacing w:after="0"/>
              <w:rPr>
                <w:sz w:val="21"/>
                <w:szCs w:val="21"/>
                <w:color w:val="auto"/>
              </w:rPr>
            </w:pPr>
          </w:p>
        </w:tc>
        <w:tc>
          <w:tcPr>
            <w:tcW w:w="26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–Chronic pruritus of</w:t>
            </w: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–CSU in adults and</w:t>
            </w:r>
          </w:p>
        </w:tc>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("MHLW") for COPD</w:t>
            </w:r>
          </w:p>
        </w:tc>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(fourth quarter 2025)</w:t>
            </w:r>
          </w:p>
        </w:tc>
        <w:tc>
          <w:tcPr>
            <w:tcW w:w="0" w:type="dxa"/>
            <w:vAlign w:val="bottom"/>
          </w:tcPr>
          <w:p>
            <w:pPr>
              <w:spacing w:after="0"/>
              <w:rPr>
                <w:sz w:val="1"/>
                <w:szCs w:val="1"/>
                <w:color w:val="auto"/>
              </w:rPr>
            </w:pPr>
          </w:p>
        </w:tc>
      </w:tr>
      <w:tr>
        <w:trPr>
          <w:trHeight w:val="184"/>
        </w:trPr>
        <w:tc>
          <w:tcPr>
            <w:tcW w:w="2840" w:type="dxa"/>
            <w:vAlign w:val="bottom"/>
            <w:shd w:val="clear" w:color="auto" w:fill="CCEEFF"/>
          </w:tcPr>
          <w:p>
            <w:pPr>
              <w:spacing w:after="0"/>
              <w:rPr>
                <w:sz w:val="16"/>
                <w:szCs w:val="16"/>
                <w:color w:val="auto"/>
              </w:rPr>
            </w:pPr>
          </w:p>
        </w:tc>
        <w:tc>
          <w:tcPr>
            <w:tcW w:w="2600" w:type="dxa"/>
            <w:vAlign w:val="bottom"/>
            <w:shd w:val="clear" w:color="auto" w:fill="CCEEFF"/>
          </w:tcPr>
          <w:p>
            <w:pPr>
              <w:ind w:left="960"/>
              <w:spacing w:after="0" w:line="184" w:lineRule="exact"/>
              <w:rPr>
                <w:sz w:val="20"/>
                <w:szCs w:val="20"/>
                <w:color w:val="auto"/>
              </w:rPr>
            </w:pPr>
            <w:r>
              <w:rPr>
                <w:rFonts w:ascii="Times New Roman" w:cs="Times New Roman" w:eastAsia="Times New Roman" w:hAnsi="Times New Roman"/>
                <w:sz w:val="18"/>
                <w:szCs w:val="18"/>
                <w:color w:val="auto"/>
              </w:rPr>
              <w:t>unknown origin</w:t>
            </w:r>
          </w:p>
        </w:tc>
        <w:tc>
          <w:tcPr>
            <w:tcW w:w="1660" w:type="dxa"/>
            <w:vAlign w:val="bottom"/>
            <w:vMerge w:val="continue"/>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spacing w:after="0"/>
              <w:rPr>
                <w:sz w:val="15"/>
                <w:szCs w:val="15"/>
                <w:color w:val="auto"/>
              </w:rPr>
            </w:pPr>
          </w:p>
        </w:tc>
        <w:tc>
          <w:tcPr>
            <w:tcW w:w="2600" w:type="dxa"/>
            <w:vAlign w:val="bottom"/>
            <w:shd w:val="clear" w:color="auto" w:fill="CCEEFF"/>
          </w:tcPr>
          <w:p>
            <w:pPr>
              <w:ind w:left="960"/>
              <w:spacing w:after="0" w:line="181" w:lineRule="exact"/>
              <w:rPr>
                <w:sz w:val="20"/>
                <w:szCs w:val="20"/>
                <w:color w:val="auto"/>
              </w:rPr>
            </w:pPr>
            <w:r>
              <w:rPr>
                <w:rFonts w:ascii="Times New Roman" w:cs="Times New Roman" w:eastAsia="Times New Roman" w:hAnsi="Times New Roman"/>
                <w:sz w:val="18"/>
                <w:szCs w:val="18"/>
                <w:color w:val="auto"/>
              </w:rPr>
              <w:t>("CPUO")</w:t>
            </w:r>
          </w:p>
        </w:tc>
        <w:tc>
          <w:tcPr>
            <w:tcW w:w="166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adolescents (EU)</w:t>
            </w:r>
          </w:p>
        </w:tc>
        <w:tc>
          <w:tcPr>
            <w:tcW w:w="192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–Approved by FDA for</w:t>
            </w:r>
          </w:p>
        </w:tc>
        <w:tc>
          <w:tcPr>
            <w:tcW w:w="22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9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CSU in adults and</w:t>
            </w:r>
          </w:p>
        </w:tc>
        <w:tc>
          <w:tcPr>
            <w:tcW w:w="22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submission for bullous</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spacing w:after="0"/>
              <w:rPr>
                <w:sz w:val="21"/>
                <w:szCs w:val="21"/>
                <w:color w:val="auto"/>
              </w:rPr>
            </w:pPr>
          </w:p>
        </w:tc>
        <w:tc>
          <w:tcPr>
            <w:tcW w:w="26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–Lichen simplex</w:t>
            </w:r>
          </w:p>
        </w:tc>
        <w:tc>
          <w:tcPr>
            <w:tcW w:w="1660" w:type="dxa"/>
            <w:vAlign w:val="bottom"/>
            <w:shd w:val="clear" w:color="auto" w:fill="CCEEFF"/>
          </w:tcPr>
          <w:p>
            <w:pPr>
              <w:spacing w:after="0"/>
              <w:rPr>
                <w:sz w:val="21"/>
                <w:szCs w:val="21"/>
                <w:color w:val="auto"/>
              </w:rPr>
            </w:pPr>
          </w:p>
        </w:tc>
        <w:tc>
          <w:tcPr>
            <w:tcW w:w="1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adolescents</w:t>
            </w:r>
          </w:p>
        </w:tc>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pemphigoid (first half 2026)</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spacing w:after="0"/>
              <w:rPr>
                <w:sz w:val="19"/>
                <w:szCs w:val="19"/>
                <w:color w:val="auto"/>
              </w:rPr>
            </w:pPr>
          </w:p>
        </w:tc>
        <w:tc>
          <w:tcPr>
            <w:tcW w:w="26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chronicus</w:t>
            </w:r>
          </w:p>
        </w:tc>
        <w:tc>
          <w:tcPr>
            <w:tcW w:w="16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ind w:left="44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20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Dupixent (dupilumab)</w:t>
            </w:r>
            <w:r>
              <w:rPr>
                <w:rFonts w:ascii="Times New Roman" w:cs="Times New Roman" w:eastAsia="Times New Roman" w:hAnsi="Times New Roman"/>
                <w:sz w:val="20"/>
                <w:szCs w:val="20"/>
                <w:b w:val="1"/>
                <w:bCs w:val="1"/>
                <w:color w:val="auto"/>
                <w:vertAlign w:val="superscript"/>
              </w:rPr>
              <w:t>(b)</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–CSU in pediatrics</w:t>
            </w: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 European Medicines</w:t>
            </w: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(2–11 years of age)</w:t>
            </w:r>
          </w:p>
        </w:tc>
        <w:tc>
          <w:tcPr>
            <w:tcW w:w="196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Agency's ("EMA")</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(U.S. and EU)</w:t>
            </w: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Committee for Medicinal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Products for Human Use</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–Bullous</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("CHMP") adopted</w:t>
            </w: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pemphigoid (EU and</w:t>
            </w: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positive opinion for CSU</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adults and adolescents</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–Allergic fungal</w:t>
            </w: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positive data</w:t>
            </w: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rhinosinusitis</w:t>
            </w:r>
          </w:p>
        </w:tc>
        <w:tc>
          <w:tcPr>
            <w:tcW w:w="196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from Phase 2/3 bullous</w:t>
            </w: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960" w:type="dxa"/>
            <w:vAlign w:val="bottom"/>
            <w:gridSpan w:val="2"/>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pemphigoid trial at 2025</w:t>
            </w:r>
          </w:p>
        </w:tc>
        <w:tc>
          <w:tcPr>
            <w:tcW w:w="2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("AFRS")</w:t>
            </w:r>
          </w:p>
        </w:tc>
        <w:tc>
          <w:tcPr>
            <w:tcW w:w="1960" w:type="dxa"/>
            <w:vAlign w:val="bottom"/>
            <w:gridSpan w:val="2"/>
            <w:vMerge w:val="continue"/>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continue"/>
            <w:shd w:val="clear" w:color="auto" w:fill="CCEEFF"/>
          </w:tcPr>
          <w:p>
            <w:pPr>
              <w:spacing w:after="0"/>
              <w:rPr>
                <w:sz w:val="10"/>
                <w:szCs w:val="10"/>
                <w:color w:val="auto"/>
              </w:rPr>
            </w:pPr>
          </w:p>
        </w:tc>
        <w:tc>
          <w:tcPr>
            <w:tcW w:w="1960" w:type="dxa"/>
            <w:vAlign w:val="bottom"/>
            <w:gridSpan w:val="2"/>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American Academy of</w:t>
            </w:r>
          </w:p>
        </w:tc>
        <w:tc>
          <w:tcPr>
            <w:tcW w:w="2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60" w:type="dxa"/>
            <w:vAlign w:val="bottom"/>
            <w:gridSpan w:val="2"/>
            <w:vMerge w:val="continue"/>
            <w:shd w:val="clear" w:color="auto" w:fill="CCEEFF"/>
          </w:tcPr>
          <w:p>
            <w:pPr>
              <w:spacing w:after="0"/>
              <w:rPr>
                <w:sz w:val="5"/>
                <w:szCs w:val="5"/>
                <w:color w:val="auto"/>
              </w:rPr>
            </w:pPr>
          </w:p>
        </w:tc>
        <w:tc>
          <w:tcPr>
            <w:tcW w:w="2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Dermatology ("AAD")</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Meeting</w:t>
            </w: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Kevzara (sarilumab)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–Systemic juvenile</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EC for</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idiopathic arthritis</w:t>
            </w: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pJIA</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8"/>
                <w:szCs w:val="18"/>
                <w:color w:val="auto"/>
              </w:rPr>
              <w:t>("sJIA") (pivotal</w:t>
            </w:r>
          </w:p>
        </w:tc>
        <w:tc>
          <w:tcPr>
            <w:tcW w:w="1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Itepekimab</w:t>
            </w:r>
            <w:r>
              <w:rPr>
                <w:rFonts w:ascii="Times New Roman" w:cs="Times New Roman" w:eastAsia="Times New Roman" w:hAnsi="Times New Roman"/>
                <w:sz w:val="23"/>
                <w:szCs w:val="23"/>
                <w:b w:val="1"/>
                <w:bCs w:val="1"/>
                <w:color w:val="auto"/>
                <w:vertAlign w:val="superscript"/>
              </w:rPr>
              <w:t>(b)</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–Non-cystic fibrosis</w:t>
            </w:r>
          </w:p>
        </w:tc>
        <w:tc>
          <w:tcPr>
            <w:tcW w:w="174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–COPD</w:t>
            </w:r>
            <w:r>
              <w:rPr>
                <w:rFonts w:ascii="Times New Roman" w:cs="Times New Roman" w:eastAsia="Times New Roman" w:hAnsi="Times New Roman"/>
                <w:sz w:val="23"/>
                <w:szCs w:val="23"/>
                <w:color w:val="auto"/>
                <w:vertAlign w:val="superscript"/>
              </w:rPr>
              <w:t>(e)</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(REGN3500)</w:t>
            </w:r>
          </w:p>
        </w:tc>
        <w:tc>
          <w:tcPr>
            <w:tcW w:w="16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bronchiectasis</w:t>
            </w:r>
          </w:p>
        </w:tc>
        <w:tc>
          <w:tcPr>
            <w:tcW w:w="1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trial (AERIFY-1) in</w:t>
            </w:r>
          </w:p>
        </w:tc>
        <w:tc>
          <w:tcPr>
            <w:tcW w:w="2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IL-33</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("NCFB")</w:t>
            </w: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COPD met its primary</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endpoint; second Phase 3</w:t>
            </w:r>
          </w:p>
        </w:tc>
        <w:tc>
          <w:tcPr>
            <w:tcW w:w="2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–Chronic</w:t>
            </w:r>
          </w:p>
        </w:tc>
        <w:tc>
          <w:tcPr>
            <w:tcW w:w="1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trial (AERIFY-2) did not</w:t>
            </w:r>
          </w:p>
        </w:tc>
        <w:tc>
          <w:tcPr>
            <w:tcW w:w="2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rhinosinusitis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meet same primary</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without nasal</w:t>
            </w: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endpoint</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polyposis</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("CRSsNP")</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REGN5713-5715</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–Birch allergy</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75"/>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in birch allergy met</w:t>
            </w: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in birch allergy</w:t>
            </w:r>
          </w:p>
        </w:tc>
        <w:tc>
          <w:tcPr>
            <w:tcW w:w="0" w:type="dxa"/>
            <w:vAlign w:val="bottom"/>
          </w:tcPr>
          <w:p>
            <w:pPr>
              <w:spacing w:after="0"/>
              <w:rPr>
                <w:sz w:val="1"/>
                <w:szCs w:val="1"/>
                <w:color w:val="auto"/>
              </w:rPr>
            </w:pPr>
          </w:p>
        </w:tc>
      </w:tr>
      <w:tr>
        <w:trPr>
          <w:trHeight w:val="189"/>
        </w:trPr>
        <w:tc>
          <w:tcPr>
            <w:tcW w:w="212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Bet v 1</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its primary and key</w:t>
            </w:r>
          </w:p>
        </w:tc>
        <w:tc>
          <w:tcPr>
            <w:tcW w:w="21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(fourth quarter 2025)</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secondary endpoints</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REGN1908-1909</w:t>
            </w:r>
            <w:r>
              <w:rPr>
                <w:rFonts w:ascii="Times New Roman" w:cs="Times New Roman" w:eastAsia="Times New Roman" w:hAnsi="Times New Roman"/>
                <w:sz w:val="23"/>
                <w:szCs w:val="23"/>
                <w:b w:val="1"/>
                <w:bCs w:val="1"/>
                <w:color w:val="auto"/>
                <w:vertAlign w:val="superscript"/>
              </w:rPr>
              <w:t>(f)</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 allergy</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that Phase 3</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trial in cat allergy met its</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study in cat allergy (first</w:t>
            </w: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Fel d 1</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primary and key</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half 2026)</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secondary endpoints</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15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3400" w:type="dxa"/>
            <w:vAlign w:val="bottom"/>
            <w:gridSpan w:val="4"/>
            <w:shd w:val="clear" w:color="auto" w:fill="ACACAC"/>
          </w:tcPr>
          <w:p>
            <w:pPr>
              <w:ind w:left="980"/>
              <w:spacing w:after="0"/>
              <w:rPr>
                <w:sz w:val="20"/>
                <w:szCs w:val="20"/>
                <w:color w:val="auto"/>
              </w:rPr>
            </w:pPr>
            <w:r>
              <w:rPr>
                <w:rFonts w:ascii="Times New Roman" w:cs="Times New Roman" w:eastAsia="Times New Roman" w:hAnsi="Times New Roman"/>
                <w:sz w:val="18"/>
                <w:szCs w:val="18"/>
                <w:b w:val="1"/>
                <w:bCs w:val="1"/>
                <w:color w:val="auto"/>
              </w:rPr>
              <w:t>Solid Organ Oncology</w:t>
            </w:r>
          </w:p>
        </w:tc>
        <w:tc>
          <w:tcPr>
            <w:tcW w:w="1880" w:type="dxa"/>
            <w:vAlign w:val="bottom"/>
            <w:shd w:val="clear" w:color="auto" w:fill="ACACAC"/>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10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 CSCC</w:t>
            </w: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–Early-stage CSCC</w:t>
            </w: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 decision on regulatory</w:t>
            </w: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(intralesional)</w:t>
            </w:r>
          </w:p>
        </w:tc>
        <w:tc>
          <w:tcPr>
            <w:tcW w:w="16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(EU)</w:t>
            </w:r>
          </w:p>
        </w:tc>
        <w:tc>
          <w:tcPr>
            <w:tcW w:w="19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adjuvant CSCC</w:t>
            </w:r>
          </w:p>
        </w:tc>
        <w:tc>
          <w:tcPr>
            <w:tcW w:w="21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submission for adjuvant</w:t>
            </w: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–First-line NSCLC,</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–EMA's CHMP adopted</w:t>
            </w: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CSCC (fourth quarter 2025)</w:t>
            </w:r>
          </w:p>
        </w:tc>
        <w:tc>
          <w:tcPr>
            <w:tcW w:w="0" w:type="dxa"/>
            <w:vAlign w:val="bottom"/>
          </w:tcPr>
          <w:p>
            <w:pPr>
              <w:spacing w:after="0"/>
              <w:rPr>
                <w:sz w:val="1"/>
                <w:szCs w:val="1"/>
                <w:color w:val="auto"/>
              </w:rPr>
            </w:pPr>
          </w:p>
        </w:tc>
      </w:tr>
      <w:tr>
        <w:trPr>
          <w:trHeight w:val="175"/>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2"/>
            <w:vMerge w:val="continue"/>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combination</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color w:val="auto"/>
              </w:rPr>
              <w:t>positive opinion for</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200"/>
        <w:spacing w:after="0"/>
        <w:rPr>
          <w:sz w:val="20"/>
          <w:szCs w:val="20"/>
          <w:color w:val="auto"/>
        </w:rPr>
      </w:pPr>
      <w:r>
        <w:rPr>
          <w:rFonts w:ascii="Times New Roman" w:cs="Times New Roman" w:eastAsia="Times New Roman" w:hAnsi="Times New Roman"/>
          <w:sz w:val="18"/>
          <w:szCs w:val="18"/>
          <w:color w:val="auto"/>
        </w:rPr>
        <w:t>adjuvant CSCC</w:t>
      </w:r>
    </w:p>
    <w:p>
      <w:pPr>
        <w:spacing w:after="0" w:line="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–Neoadjuvant</w:t>
      </w:r>
    </w:p>
    <w:p>
      <w:pPr>
        <w:ind w:left="2140"/>
        <w:spacing w:after="0"/>
        <w:rPr>
          <w:sz w:val="20"/>
          <w:szCs w:val="20"/>
          <w:color w:val="auto"/>
        </w:rPr>
      </w:pPr>
      <w:r>
        <w:rPr>
          <w:rFonts w:ascii="Times New Roman" w:cs="Times New Roman" w:eastAsia="Times New Roman" w:hAnsi="Times New Roman"/>
          <w:sz w:val="18"/>
          <w:szCs w:val="18"/>
          <w:color w:val="auto"/>
        </w:rPr>
        <w:t>NSCLC</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4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(g)</w:t>
            </w:r>
          </w:p>
        </w:tc>
        <w:tc>
          <w:tcPr>
            <w:tcW w:w="8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–Neoadjuvant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–Reported positive data</w:t>
            </w: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(continued)</w:t>
            </w: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hepatocellular</w:t>
            </w: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3 trial in</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carcinoma ("HCC")</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adjuvant CSCC; results</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6"/>
                <w:szCs w:val="16"/>
                <w:color w:val="auto"/>
              </w:rPr>
              <w:t>presented at 2025</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American Society of</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Clinical Oncology</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("ASCO") Annual</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Meeting and published in</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New England Journal of</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Medicine ("NEJM")</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MHLW</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 NSCLC,</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monotherapy and</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chemotherapy</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–Reported positive five-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year follow-up data from</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3 trial in</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combination with</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chemotherapy for</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 results</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presented at IASLC 2025</w:t>
            </w: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World Conference on</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Lung Cancer ("WCLC")</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–First-line advanced</w:t>
            </w: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–First-line metastatic</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on pre-planned</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results from Phase</w:t>
            </w: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LAG-3</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 (Phase 2/3)</w:t>
            </w:r>
          </w:p>
        </w:tc>
        <w:tc>
          <w:tcPr>
            <w:tcW w:w="17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melanoma</w:t>
            </w:r>
            <w:r>
              <w:rPr>
                <w:rFonts w:ascii="Times New Roman" w:cs="Times New Roman" w:eastAsia="Times New Roman" w:hAnsi="Times New Roman"/>
                <w:sz w:val="20"/>
                <w:szCs w:val="20"/>
                <w:color w:val="auto"/>
                <w:vertAlign w:val="superscript"/>
              </w:rPr>
              <w:t>(e)</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interim analysis of two</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 study versus</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Phase 2/3 studies in first-</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pembrolizumab in first-line</w:t>
            </w: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–Perioperative</w:t>
            </w:r>
          </w:p>
        </w:tc>
        <w:tc>
          <w:tcPr>
            <w:tcW w:w="17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–Adjuvant melanoma</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line advanced NSCLC,</w:t>
            </w:r>
          </w:p>
        </w:tc>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metastatic melanoma (first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NSCLC</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2 portion of the</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half 2026)</w:t>
            </w: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8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studies will continue</w:t>
            </w:r>
          </w:p>
        </w:tc>
        <w:tc>
          <w:tcPr>
            <w:tcW w:w="2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–Perioperative</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unchanged</w:t>
            </w:r>
          </w:p>
        </w:tc>
        <w:tc>
          <w:tcPr>
            <w:tcW w:w="21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9"/>
              </w:rPr>
              <w:t>–Report data from Phase 2/3</w:t>
            </w:r>
          </w:p>
        </w:tc>
        <w:tc>
          <w:tcPr>
            <w:tcW w:w="0" w:type="dxa"/>
            <w:vAlign w:val="bottom"/>
          </w:tcPr>
          <w:p>
            <w:pPr>
              <w:spacing w:after="0"/>
              <w:rPr>
                <w:sz w:val="1"/>
                <w:szCs w:val="1"/>
                <w:color w:val="auto"/>
              </w:rPr>
            </w:pPr>
          </w:p>
        </w:tc>
      </w:tr>
      <w:tr>
        <w:trPr>
          <w:trHeight w:val="68"/>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60" w:type="dxa"/>
            <w:vAlign w:val="bottom"/>
            <w:gridSpan w:val="2"/>
            <w:vMerge w:val="continue"/>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00" w:type="dxa"/>
            <w:vAlign w:val="bottom"/>
            <w:vMerge w:val="restart"/>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studies in first-line</w:t>
            </w:r>
          </w:p>
        </w:tc>
        <w:tc>
          <w:tcPr>
            <w:tcW w:w="0" w:type="dxa"/>
            <w:vAlign w:val="bottom"/>
          </w:tcPr>
          <w:p>
            <w:pPr>
              <w:spacing w:after="0"/>
              <w:rPr>
                <w:sz w:val="1"/>
                <w:szCs w:val="1"/>
                <w:color w:val="auto"/>
              </w:rPr>
            </w:pPr>
          </w:p>
        </w:tc>
      </w:tr>
      <w:tr>
        <w:trPr>
          <w:trHeight w:val="117"/>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melanoma</w:t>
            </w: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60" w:type="dxa"/>
            <w:vAlign w:val="bottom"/>
            <w:gridSpan w:val="2"/>
            <w:vMerge w:val="continue"/>
            <w:shd w:val="clear" w:color="auto" w:fill="CCEEFF"/>
          </w:tcPr>
          <w:p>
            <w:pPr>
              <w:spacing w:after="0"/>
              <w:rPr>
                <w:sz w:val="10"/>
                <w:szCs w:val="10"/>
                <w:color w:val="auto"/>
              </w:rPr>
            </w:pPr>
          </w:p>
        </w:tc>
        <w:tc>
          <w:tcPr>
            <w:tcW w:w="1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00" w:type="dxa"/>
            <w:vAlign w:val="bottom"/>
            <w:vMerge w:val="restart"/>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advanced NSCLC (first half</w:t>
            </w:r>
          </w:p>
        </w:tc>
        <w:tc>
          <w:tcPr>
            <w:tcW w:w="0" w:type="dxa"/>
            <w:vAlign w:val="bottom"/>
          </w:tcPr>
          <w:p>
            <w:pPr>
              <w:spacing w:after="0"/>
              <w:rPr>
                <w:sz w:val="1"/>
                <w:szCs w:val="1"/>
                <w:color w:val="auto"/>
              </w:rPr>
            </w:pPr>
          </w:p>
        </w:tc>
      </w:tr>
      <w:tr>
        <w:trPr>
          <w:trHeight w:val="63"/>
        </w:trPr>
        <w:tc>
          <w:tcPr>
            <w:tcW w:w="20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368"/>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–Initiate Phase 2 study (in</w:t>
            </w: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combination with Libtayo)</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 first-line metastatic head</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and neck squamous cell</w:t>
            </w: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carcinoma (first half 2026)</w:t>
            </w: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Vidutolimod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Immune activator targeting</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TLR9</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Ubamatamab</w:t>
            </w:r>
            <w:r>
              <w:rPr>
                <w:rFonts w:ascii="Times New Roman" w:cs="Times New Roman" w:eastAsia="Times New Roman" w:hAnsi="Times New Roman"/>
                <w:sz w:val="23"/>
                <w:szCs w:val="23"/>
                <w:b w:val="1"/>
                <w:bCs w:val="1"/>
                <w:color w:val="auto"/>
                <w:vertAlign w:val="superscript"/>
              </w:rPr>
              <w:t>(f)</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–Ovarian cancer</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additional</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Phase 2 study</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 platinum-resistant</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ovarian cancer at</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European Society for</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Medical Oncology</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("ESMO") 2025 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640" w:type="dxa"/>
            <w:vAlign w:val="bottom"/>
            <w:gridSpan w:val="2"/>
            <w:vMerge w:val="continue"/>
          </w:tcPr>
          <w:p>
            <w:pPr>
              <w:spacing w:after="0"/>
              <w:rPr>
                <w:sz w:val="20"/>
                <w:szCs w:val="20"/>
                <w:color w:val="auto"/>
              </w:rPr>
            </w:pPr>
          </w:p>
        </w:tc>
        <w:tc>
          <w:tcPr>
            <w:tcW w:w="174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76"/>
        </w:trPr>
        <w:tc>
          <w:tcPr>
            <w:tcW w:w="20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REGN5668</w:t>
            </w:r>
            <w:r>
              <w:rPr>
                <w:rFonts w:ascii="Times New Roman" w:cs="Times New Roman" w:eastAsia="Times New Roman" w:hAnsi="Times New Roman"/>
                <w:sz w:val="20"/>
                <w:szCs w:val="20"/>
                <w:b w:val="1"/>
                <w:bCs w:val="1"/>
                <w:color w:val="auto"/>
                <w:vertAlign w:val="superscript"/>
              </w:rPr>
              <w:t>(p)</w:t>
            </w:r>
          </w:p>
        </w:tc>
        <w:tc>
          <w:tcPr>
            <w:tcW w:w="80" w:type="dxa"/>
            <w:vAlign w:val="bottom"/>
          </w:tcPr>
          <w:p>
            <w:pPr>
              <w:spacing w:after="0"/>
              <w:rPr>
                <w:sz w:val="15"/>
                <w:szCs w:val="15"/>
                <w:color w:val="auto"/>
              </w:rPr>
            </w:pPr>
          </w:p>
        </w:tc>
        <w:tc>
          <w:tcPr>
            <w:tcW w:w="156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–Ovarian cancer</w:t>
            </w:r>
          </w:p>
        </w:tc>
        <w:tc>
          <w:tcPr>
            <w:tcW w:w="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Nezastomig (REGN5678)</w:t>
            </w: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–Prostate cancer</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additional</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data from study in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prostate cancer at</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American Association</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for Cancer Research</w:t>
            </w: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("AACR") Annual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REGN7075</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–Solid tumors</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 additional data</w:t>
            </w:r>
          </w:p>
        </w:tc>
        <w:tc>
          <w:tcPr>
            <w:tcW w:w="0" w:type="dxa"/>
            <w:vAlign w:val="bottom"/>
          </w:tcPr>
          <w:p>
            <w:pPr>
              <w:spacing w:after="0"/>
              <w:rPr>
                <w:sz w:val="1"/>
                <w:szCs w:val="1"/>
                <w:color w:val="auto"/>
              </w:rPr>
            </w:pPr>
          </w:p>
        </w:tc>
      </w:tr>
      <w:tr>
        <w:trPr>
          <w:trHeight w:val="175"/>
        </w:trPr>
        <w:tc>
          <w:tcPr>
            <w:tcW w:w="21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study in solid tumors</w:t>
            </w:r>
          </w:p>
        </w:tc>
        <w:tc>
          <w:tcPr>
            <w:tcW w:w="0" w:type="dxa"/>
            <w:vAlign w:val="bottom"/>
          </w:tcPr>
          <w:p>
            <w:pPr>
              <w:spacing w:after="0"/>
              <w:rPr>
                <w:sz w:val="1"/>
                <w:szCs w:val="1"/>
                <w:color w:val="auto"/>
              </w:rPr>
            </w:pPr>
          </w:p>
        </w:tc>
      </w:tr>
      <w:tr>
        <w:trPr>
          <w:trHeight w:val="234"/>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half 2026)</w:t>
            </w:r>
          </w:p>
        </w:tc>
        <w:tc>
          <w:tcPr>
            <w:tcW w:w="0" w:type="dxa"/>
            <w:vAlign w:val="bottom"/>
          </w:tcPr>
          <w:p>
            <w:pPr>
              <w:spacing w:after="0"/>
              <w:rPr>
                <w:sz w:val="1"/>
                <w:szCs w:val="1"/>
                <w:color w:val="auto"/>
              </w:rPr>
            </w:pPr>
          </w:p>
        </w:tc>
      </w:tr>
      <w:tr>
        <w:trPr>
          <w:trHeight w:val="191"/>
        </w:trPr>
        <w:tc>
          <w:tcPr>
            <w:tcW w:w="21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–MET-altered</w:t>
            </w: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advanced NSCLC</w:t>
            </w: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4883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ind w:left="20"/>
        <w:spacing w:after="0" w:line="203" w:lineRule="auto"/>
        <w:rPr>
          <w:sz w:val="20"/>
          <w:szCs w:val="20"/>
          <w:color w:val="auto"/>
        </w:rPr>
      </w:pPr>
      <w:r>
        <w:rPr>
          <w:rFonts w:ascii="Times New Roman" w:cs="Times New Roman" w:eastAsia="Times New Roman" w:hAnsi="Times New Roman"/>
          <w:sz w:val="18"/>
          <w:szCs w:val="18"/>
          <w:i w:val="1"/>
          <w:iCs w:val="1"/>
          <w:color w:val="auto"/>
        </w:rPr>
        <w:t>targeting two distinct MET</w:t>
      </w:r>
    </w:p>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Hematology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25" w:lineRule="exact"/>
        <w:rPr>
          <w:sz w:val="20"/>
          <w:szCs w:val="20"/>
          <w:color w:val="auto"/>
        </w:rPr>
      </w:pPr>
    </w:p>
    <w:p>
      <w:pPr>
        <w:ind w:left="20"/>
        <w:spacing w:after="0"/>
        <w:tabs>
          <w:tab w:leader="none" w:pos="3780" w:val="left"/>
        </w:tabs>
        <w:rPr>
          <w:sz w:val="20"/>
          <w:szCs w:val="20"/>
          <w:color w:val="auto"/>
        </w:rPr>
      </w:pP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(REGN3918)</w:t>
      </w:r>
      <w:r>
        <w:rPr>
          <w:sz w:val="20"/>
          <w:szCs w:val="20"/>
          <w:color w:val="auto"/>
        </w:rPr>
        <w:tab/>
      </w:r>
      <w:r>
        <w:rPr>
          <w:rFonts w:ascii="Times New Roman" w:cs="Times New Roman" w:eastAsia="Times New Roman" w:hAnsi="Times New Roman"/>
          <w:sz w:val="17"/>
          <w:szCs w:val="17"/>
          <w:color w:val="auto"/>
        </w:rPr>
        <w:t>–Myasthenia gravis,</w:t>
      </w:r>
    </w:p>
    <w:p>
      <w:pPr>
        <w:ind w:left="20"/>
        <w:spacing w:after="0" w:line="190" w:lineRule="auto"/>
        <w:tabs>
          <w:tab w:leader="none" w:pos="3780" w:val="left"/>
        </w:tabs>
        <w:rPr>
          <w:sz w:val="20"/>
          <w:szCs w:val="20"/>
          <w:color w:val="auto"/>
        </w:rPr>
      </w:pPr>
      <w:r>
        <w:rPr>
          <w:rFonts w:ascii="Times New Roman" w:cs="Times New Roman" w:eastAsia="Times New Roman" w:hAnsi="Times New Roman"/>
          <w:sz w:val="18"/>
          <w:szCs w:val="18"/>
          <w:i w:val="1"/>
          <w:iCs w:val="1"/>
          <w:color w:val="auto"/>
        </w:rPr>
        <w:t>Antibody to C5</w:t>
      </w:r>
      <w:r>
        <w:rPr>
          <w:sz w:val="20"/>
          <w:szCs w:val="20"/>
          <w:color w:val="auto"/>
        </w:rPr>
        <w:tab/>
      </w:r>
      <w:r>
        <w:rPr>
          <w:rFonts w:ascii="Times New Roman" w:cs="Times New Roman" w:eastAsia="Times New Roman" w:hAnsi="Times New Roman"/>
          <w:sz w:val="18"/>
          <w:szCs w:val="18"/>
          <w:color w:val="auto"/>
        </w:rPr>
        <w:t>cemdisiran</w:t>
      </w:r>
    </w:p>
    <w:p>
      <w:pPr>
        <w:ind w:left="3800"/>
        <w:spacing w:after="0"/>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p>
      <w:pPr>
        <w:spacing w:after="0" w:line="14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–Paroxysmal</w:t>
      </w:r>
    </w:p>
    <w:p>
      <w:pPr>
        <w:ind w:left="3800"/>
        <w:spacing w:after="0" w:line="205" w:lineRule="auto"/>
        <w:rPr>
          <w:sz w:val="20"/>
          <w:szCs w:val="20"/>
          <w:color w:val="auto"/>
        </w:rPr>
      </w:pPr>
      <w:r>
        <w:rPr>
          <w:rFonts w:ascii="Times New Roman" w:cs="Times New Roman" w:eastAsia="Times New Roman" w:hAnsi="Times New Roman"/>
          <w:sz w:val="18"/>
          <w:szCs w:val="18"/>
          <w:color w:val="auto"/>
        </w:rPr>
        <w:t>nocturnal</w:t>
      </w:r>
    </w:p>
    <w:p>
      <w:pPr>
        <w:ind w:left="3800"/>
        <w:spacing w:after="0" w:line="204" w:lineRule="auto"/>
        <w:rPr>
          <w:sz w:val="20"/>
          <w:szCs w:val="20"/>
          <w:color w:val="auto"/>
        </w:rPr>
      </w:pPr>
      <w:r>
        <w:rPr>
          <w:rFonts w:ascii="Times New Roman" w:cs="Times New Roman" w:eastAsia="Times New Roman" w:hAnsi="Times New Roman"/>
          <w:sz w:val="18"/>
          <w:szCs w:val="18"/>
          <w:color w:val="auto"/>
        </w:rPr>
        <w:t>hemoglobinuria</w:t>
      </w:r>
    </w:p>
    <w:p>
      <w:pPr>
        <w:ind w:left="3800"/>
        <w:spacing w:after="0" w:line="206" w:lineRule="auto"/>
        <w:rPr>
          <w:sz w:val="20"/>
          <w:szCs w:val="20"/>
          <w:color w:val="auto"/>
        </w:rPr>
      </w:pPr>
      <w:r>
        <w:rPr>
          <w:rFonts w:ascii="Times New Roman" w:cs="Times New Roman" w:eastAsia="Times New Roman" w:hAnsi="Times New Roman"/>
          <w:sz w:val="18"/>
          <w:szCs w:val="18"/>
          <w:color w:val="auto"/>
        </w:rPr>
        <w:t>("PNH"), cemdisiran</w:t>
      </w:r>
    </w:p>
    <w:p>
      <w:pPr>
        <w:ind w:left="3800"/>
        <w:spacing w:after="0" w:line="203" w:lineRule="auto"/>
        <w:rPr>
          <w:sz w:val="20"/>
          <w:szCs w:val="20"/>
          <w:color w:val="auto"/>
        </w:rPr>
      </w:pPr>
      <w:r>
        <w:rPr>
          <w:rFonts w:ascii="Times New Roman" w:cs="Times New Roman" w:eastAsia="Times New Roman" w:hAnsi="Times New Roman"/>
          <w:sz w:val="18"/>
          <w:szCs w:val="18"/>
          <w:color w:val="auto"/>
        </w:rPr>
        <w:t>combination</w:t>
      </w:r>
      <w:r>
        <w:rPr>
          <w:rFonts w:ascii="Times New Roman" w:cs="Times New Roman" w:eastAsia="Times New Roman" w:hAnsi="Times New Roman"/>
          <w:sz w:val="23"/>
          <w:szCs w:val="23"/>
          <w:color w:val="auto"/>
          <w:vertAlign w:val="superscript"/>
        </w:rPr>
        <w:t>(c)(l)</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that Phase 3</w:t>
      </w:r>
    </w:p>
    <w:p>
      <w:pPr>
        <w:spacing w:after="0" w:line="219" w:lineRule="auto"/>
        <w:rPr>
          <w:sz w:val="20"/>
          <w:szCs w:val="20"/>
          <w:color w:val="auto"/>
        </w:rPr>
      </w:pPr>
      <w:r>
        <w:rPr>
          <w:rFonts w:ascii="Times New Roman" w:cs="Times New Roman" w:eastAsia="Times New Roman" w:hAnsi="Times New Roman"/>
          <w:sz w:val="18"/>
          <w:szCs w:val="18"/>
          <w:color w:val="auto"/>
        </w:rPr>
        <w:t>cemdisiran combination</w:t>
      </w:r>
    </w:p>
    <w:p>
      <w:pPr>
        <w:spacing w:after="0" w:line="215" w:lineRule="auto"/>
        <w:rPr>
          <w:sz w:val="20"/>
          <w:szCs w:val="20"/>
          <w:color w:val="auto"/>
        </w:rPr>
      </w:pPr>
      <w:r>
        <w:rPr>
          <w:rFonts w:ascii="Times New Roman" w:cs="Times New Roman" w:eastAsia="Times New Roman" w:hAnsi="Times New Roman"/>
          <w:sz w:val="17"/>
          <w:szCs w:val="17"/>
          <w:color w:val="auto"/>
        </w:rPr>
        <w:t>trial in myasthenia gravis</w:t>
      </w:r>
    </w:p>
    <w:p>
      <w:pPr>
        <w:spacing w:after="0" w:line="204" w:lineRule="auto"/>
        <w:rPr>
          <w:sz w:val="20"/>
          <w:szCs w:val="20"/>
          <w:color w:val="auto"/>
        </w:rPr>
      </w:pPr>
      <w:r>
        <w:rPr>
          <w:rFonts w:ascii="Times New Roman" w:cs="Times New Roman" w:eastAsia="Times New Roman" w:hAnsi="Times New Roman"/>
          <w:sz w:val="18"/>
          <w:szCs w:val="18"/>
          <w:color w:val="auto"/>
        </w:rPr>
        <w:t>met its primary and key</w:t>
      </w:r>
    </w:p>
    <w:p>
      <w:pPr>
        <w:spacing w:after="0"/>
        <w:rPr>
          <w:sz w:val="20"/>
          <w:szCs w:val="20"/>
          <w:color w:val="auto"/>
        </w:rPr>
      </w:pPr>
      <w:r>
        <w:rPr>
          <w:rFonts w:ascii="Times New Roman" w:cs="Times New Roman" w:eastAsia="Times New Roman" w:hAnsi="Times New Roman"/>
          <w:sz w:val="18"/>
          <w:szCs w:val="18"/>
          <w:color w:val="auto"/>
        </w:rPr>
        <w:t>secondary endpoints</w:t>
      </w:r>
    </w:p>
    <w:p>
      <w:pPr>
        <w:spacing w:after="0" w:line="762" w:lineRule="exact"/>
        <w:rPr>
          <w:sz w:val="20"/>
          <w:szCs w:val="20"/>
          <w:color w:val="auto"/>
        </w:rPr>
      </w:pPr>
    </w:p>
    <w:p>
      <w:pPr>
        <w:sectPr>
          <w:pgSz w:w="11900" w:h="16838" w:orient="portrait"/>
          <w:cols w:equalWidth="0" w:num="2">
            <w:col w:w="6480" w:space="720"/>
            <w:col w:w="40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20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(l)</w:t>
            </w:r>
          </w:p>
        </w:tc>
        <w:tc>
          <w:tcPr>
            <w:tcW w:w="1640" w:type="dxa"/>
            <w:vAlign w:val="bottom"/>
            <w:shd w:val="clear" w:color="auto" w:fill="CCEEFF"/>
          </w:tcPr>
          <w:p>
            <w:pPr>
              <w:spacing w:after="0"/>
              <w:rPr>
                <w:sz w:val="18"/>
                <w:szCs w:val="18"/>
                <w:color w:val="auto"/>
              </w:rPr>
            </w:pPr>
          </w:p>
        </w:tc>
        <w:tc>
          <w:tcPr>
            <w:tcW w:w="1720" w:type="dxa"/>
            <w:vAlign w:val="bottom"/>
            <w:shd w:val="clear" w:color="auto" w:fill="CCEEFF"/>
          </w:tcPr>
          <w:p>
            <w:pPr>
              <w:ind w:left="80"/>
              <w:spacing w:after="0" w:line="219" w:lineRule="exact"/>
              <w:rPr>
                <w:sz w:val="20"/>
                <w:szCs w:val="20"/>
                <w:color w:val="auto"/>
              </w:rPr>
            </w:pPr>
            <w:r>
              <w:rPr>
                <w:rFonts w:ascii="Times New Roman" w:cs="Times New Roman" w:eastAsia="Times New Roman" w:hAnsi="Times New Roman"/>
                <w:sz w:val="18"/>
                <w:szCs w:val="18"/>
                <w:color w:val="auto"/>
              </w:rPr>
              <w:t>–Myasthenia gravis</w:t>
            </w:r>
            <w:r>
              <w:rPr>
                <w:rFonts w:ascii="Times New Roman" w:cs="Times New Roman" w:eastAsia="Times New Roman" w:hAnsi="Times New Roman"/>
                <w:sz w:val="23"/>
                <w:szCs w:val="23"/>
                <w:color w:val="auto"/>
                <w:vertAlign w:val="superscript"/>
              </w:rPr>
              <w:t>(c)</w:t>
            </w:r>
          </w:p>
        </w:tc>
        <w:tc>
          <w:tcPr>
            <w:tcW w:w="36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–Reported that Phase 3</w:t>
            </w: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–Submit New Drug</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siRNA therapeutic</w:t>
            </w:r>
          </w:p>
        </w:tc>
        <w:tc>
          <w:tcPr>
            <w:tcW w:w="16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6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8"/>
                <w:szCs w:val="18"/>
                <w:color w:val="auto"/>
              </w:rPr>
              <w:t>trial in myasthenia gravis</w:t>
            </w:r>
          </w:p>
        </w:tc>
        <w:tc>
          <w:tcPr>
            <w:tcW w:w="21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Application ("NDA") for</w:t>
            </w: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targeting C5</w:t>
            </w:r>
          </w:p>
        </w:tc>
        <w:tc>
          <w:tcPr>
            <w:tcW w:w="16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3660" w:type="dxa"/>
            <w:vAlign w:val="bottom"/>
            <w:shd w:val="clear" w:color="auto" w:fill="CCEEFF"/>
          </w:tcPr>
          <w:p>
            <w:pPr>
              <w:ind w:left="1760"/>
              <w:spacing w:after="0" w:line="189" w:lineRule="exact"/>
              <w:rPr>
                <w:sz w:val="20"/>
                <w:szCs w:val="20"/>
                <w:color w:val="auto"/>
              </w:rPr>
            </w:pPr>
            <w:r>
              <w:rPr>
                <w:rFonts w:ascii="Times New Roman" w:cs="Times New Roman" w:eastAsia="Times New Roman" w:hAnsi="Times New Roman"/>
                <w:sz w:val="18"/>
                <w:szCs w:val="18"/>
                <w:color w:val="auto"/>
              </w:rPr>
              <w:t>met its primary and key</w:t>
            </w:r>
          </w:p>
        </w:tc>
        <w:tc>
          <w:tcPr>
            <w:tcW w:w="2140" w:type="dxa"/>
            <w:vAlign w:val="bottom"/>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myasthenia gravis (first</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366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8"/>
                <w:szCs w:val="18"/>
                <w:color w:val="auto"/>
              </w:rPr>
              <w:t>secondary endpoints</w:t>
            </w:r>
          </w:p>
        </w:tc>
        <w:tc>
          <w:tcPr>
            <w:tcW w:w="21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quarter 2026), pending</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discussions with FDA</w:t>
            </w: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Ordspono</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–B-cell non-</w:t>
            </w:r>
          </w:p>
        </w:tc>
        <w:tc>
          <w:tcPr>
            <w:tcW w:w="1720" w:type="dxa"/>
            <w:vAlign w:val="bottom"/>
          </w:tcPr>
          <w:p>
            <w:pPr>
              <w:ind w:left="80"/>
              <w:spacing w:after="0" w:line="216" w:lineRule="exact"/>
              <w:rPr>
                <w:sz w:val="20"/>
                <w:szCs w:val="20"/>
                <w:color w:val="auto"/>
              </w:rPr>
            </w:pPr>
            <w:r>
              <w:rPr>
                <w:rFonts w:ascii="Times New Roman" w:cs="Times New Roman" w:eastAsia="Times New Roman" w:hAnsi="Times New Roman"/>
                <w:sz w:val="18"/>
                <w:szCs w:val="18"/>
                <w:color w:val="auto"/>
              </w:rPr>
              <w:t>–FL</w:t>
            </w:r>
            <w:r>
              <w:rPr>
                <w:rFonts w:ascii="Times New Roman" w:cs="Times New Roman" w:eastAsia="Times New Roman" w:hAnsi="Times New Roman"/>
                <w:sz w:val="23"/>
                <w:szCs w:val="23"/>
                <w:color w:val="auto"/>
                <w:vertAlign w:val="superscript"/>
              </w:rPr>
              <w:t>(c)(e)</w:t>
            </w:r>
            <w:r>
              <w:rPr>
                <w:rFonts w:ascii="Times New Roman" w:cs="Times New Roman" w:eastAsia="Times New Roman" w:hAnsi="Times New Roman"/>
                <w:sz w:val="18"/>
                <w:szCs w:val="18"/>
                <w:color w:val="auto"/>
              </w:rPr>
              <w:t xml:space="preserve"> (multiple</w:t>
            </w:r>
          </w:p>
        </w:tc>
        <w:tc>
          <w:tcPr>
            <w:tcW w:w="36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–FDA issued CRL for</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80" w:type="dxa"/>
            <w:vAlign w:val="bottom"/>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(odronextamab)</w:t>
            </w:r>
          </w:p>
        </w:tc>
        <w:tc>
          <w:tcPr>
            <w:tcW w:w="1640" w:type="dxa"/>
            <w:vAlign w:val="bottom"/>
          </w:tcPr>
          <w:p>
            <w:pPr>
              <w:ind w:left="80"/>
              <w:spacing w:after="0" w:line="163" w:lineRule="exact"/>
              <w:rPr>
                <w:sz w:val="20"/>
                <w:szCs w:val="20"/>
                <w:color w:val="auto"/>
              </w:rPr>
            </w:pPr>
            <w:r>
              <w:rPr>
                <w:rFonts w:ascii="Times New Roman" w:cs="Times New Roman" w:eastAsia="Times New Roman" w:hAnsi="Times New Roman"/>
                <w:sz w:val="18"/>
                <w:szCs w:val="18"/>
                <w:color w:val="auto"/>
              </w:rPr>
              <w:t>Hodgkin lymphoma</w:t>
            </w:r>
          </w:p>
        </w:tc>
        <w:tc>
          <w:tcPr>
            <w:tcW w:w="1720" w:type="dxa"/>
            <w:vAlign w:val="bottom"/>
          </w:tcPr>
          <w:p>
            <w:pPr>
              <w:ind w:left="80"/>
              <w:spacing w:after="0" w:line="163" w:lineRule="exact"/>
              <w:rPr>
                <w:sz w:val="20"/>
                <w:szCs w:val="20"/>
                <w:color w:val="auto"/>
              </w:rPr>
            </w:pPr>
            <w:r>
              <w:rPr>
                <w:rFonts w:ascii="Times New Roman" w:cs="Times New Roman" w:eastAsia="Times New Roman" w:hAnsi="Times New Roman"/>
                <w:sz w:val="18"/>
                <w:szCs w:val="18"/>
                <w:color w:val="auto"/>
              </w:rPr>
              <w:t>lines and settings)</w:t>
            </w:r>
          </w:p>
        </w:tc>
        <w:tc>
          <w:tcPr>
            <w:tcW w:w="3660" w:type="dxa"/>
            <w:vAlign w:val="bottom"/>
          </w:tcPr>
          <w:p>
            <w:pPr>
              <w:ind w:left="1760"/>
              <w:spacing w:after="0" w:line="163" w:lineRule="exact"/>
              <w:rPr>
                <w:sz w:val="20"/>
                <w:szCs w:val="20"/>
                <w:color w:val="auto"/>
              </w:rPr>
            </w:pPr>
            <w:r>
              <w:rPr>
                <w:rFonts w:ascii="Times New Roman" w:cs="Times New Roman" w:eastAsia="Times New Roman" w:hAnsi="Times New Roman"/>
                <w:sz w:val="18"/>
                <w:szCs w:val="18"/>
                <w:color w:val="auto"/>
              </w:rPr>
              <w:t>BLA for</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("B-NHL") (pivotal</w:t>
            </w:r>
          </w:p>
        </w:tc>
        <w:tc>
          <w:tcPr>
            <w:tcW w:w="1720" w:type="dxa"/>
            <w:vAlign w:val="bottom"/>
          </w:tcPr>
          <w:p>
            <w:pPr>
              <w:spacing w:after="0"/>
              <w:rPr>
                <w:sz w:val="17"/>
                <w:szCs w:val="17"/>
                <w:color w:val="auto"/>
              </w:rPr>
            </w:pPr>
          </w:p>
        </w:tc>
        <w:tc>
          <w:tcPr>
            <w:tcW w:w="3660" w:type="dxa"/>
            <w:vAlign w:val="bottom"/>
          </w:tcPr>
          <w:p>
            <w:pPr>
              <w:ind w:left="1760"/>
              <w:spacing w:after="0" w:line="201" w:lineRule="exact"/>
              <w:rPr>
                <w:sz w:val="20"/>
                <w:szCs w:val="20"/>
                <w:color w:val="auto"/>
              </w:rPr>
            </w:pPr>
            <w:r>
              <w:rPr>
                <w:rFonts w:ascii="Times New Roman" w:cs="Times New Roman" w:eastAsia="Times New Roman" w:hAnsi="Times New Roman"/>
                <w:sz w:val="18"/>
                <w:szCs w:val="18"/>
                <w:color w:val="auto"/>
              </w:rPr>
              <w:t>relapsed/refractory FL</w:t>
            </w: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CD20 and CD3</w:t>
            </w:r>
          </w:p>
        </w:tc>
        <w:tc>
          <w:tcPr>
            <w:tcW w:w="164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study)</w:t>
            </w:r>
          </w:p>
        </w:tc>
        <w:tc>
          <w:tcPr>
            <w:tcW w:w="172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–DLBCL</w:t>
            </w:r>
            <w:r>
              <w:rPr>
                <w:rFonts w:ascii="Times New Roman" w:cs="Times New Roman" w:eastAsia="Times New Roman" w:hAnsi="Times New Roman"/>
                <w:sz w:val="23"/>
                <w:szCs w:val="23"/>
                <w:color w:val="auto"/>
                <w:vertAlign w:val="superscript"/>
              </w:rPr>
              <w:t>(c)(e)</w:t>
            </w:r>
          </w:p>
        </w:tc>
        <w:tc>
          <w:tcPr>
            <w:tcW w:w="36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2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(multiple lines and</w:t>
            </w:r>
          </w:p>
        </w:tc>
        <w:tc>
          <w:tcPr>
            <w:tcW w:w="36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settings)</w:t>
            </w:r>
          </w:p>
        </w:tc>
        <w:tc>
          <w:tcPr>
            <w:tcW w:w="36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16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–Earlier (pre-</w:t>
            </w:r>
          </w:p>
        </w:tc>
        <w:tc>
          <w:tcPr>
            <w:tcW w:w="17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2"/>
                <w:szCs w:val="12"/>
                <w:color w:val="auto"/>
              </w:rPr>
              <w:t>(c)</w:t>
            </w:r>
          </w:p>
        </w:tc>
        <w:tc>
          <w:tcPr>
            <w:tcW w:w="366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8"/>
                <w:szCs w:val="18"/>
                <w:color w:val="auto"/>
              </w:rPr>
              <w:t>–Approved by FDA and</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80" w:type="dxa"/>
            <w:vAlign w:val="bottom"/>
            <w:shd w:val="clear" w:color="auto" w:fill="CCEEFF"/>
          </w:tcPr>
          <w:p>
            <w:pPr>
              <w:ind w:left="20"/>
              <w:spacing w:after="0" w:line="41" w:lineRule="exact"/>
              <w:rPr>
                <w:sz w:val="20"/>
                <w:szCs w:val="20"/>
                <w:color w:val="auto"/>
              </w:rPr>
            </w:pPr>
            <w:r>
              <w:rPr>
                <w:rFonts w:ascii="Times New Roman" w:cs="Times New Roman" w:eastAsia="Times New Roman" w:hAnsi="Times New Roman"/>
                <w:sz w:val="4"/>
                <w:szCs w:val="4"/>
                <w:b w:val="1"/>
                <w:bCs w:val="1"/>
                <w:color w:val="auto"/>
              </w:rPr>
              <w:t>(f)</w:t>
            </w: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malignant) multiple</w:t>
            </w:r>
          </w:p>
        </w:tc>
        <w:tc>
          <w:tcPr>
            <w:tcW w:w="1720" w:type="dxa"/>
            <w:vAlign w:val="bottom"/>
            <w:shd w:val="clear" w:color="auto" w:fill="CCEEFF"/>
          </w:tcPr>
          <w:p>
            <w:pPr>
              <w:ind w:left="80"/>
              <w:spacing w:after="0" w:line="41" w:lineRule="exact"/>
              <w:rPr>
                <w:sz w:val="20"/>
                <w:szCs w:val="20"/>
                <w:color w:val="auto"/>
              </w:rPr>
            </w:pPr>
            <w:r>
              <w:rPr>
                <w:rFonts w:ascii="Times New Roman" w:cs="Times New Roman" w:eastAsia="Times New Roman" w:hAnsi="Times New Roman"/>
                <w:sz w:val="4"/>
                <w:szCs w:val="4"/>
                <w:color w:val="auto"/>
              </w:rPr>
              <w:t>–Multiple myeloma</w:t>
            </w:r>
          </w:p>
        </w:tc>
        <w:tc>
          <w:tcPr>
            <w:tcW w:w="3660" w:type="dxa"/>
            <w:vAlign w:val="bottom"/>
            <w:vMerge w:val="restart"/>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EC for</w:t>
            </w:r>
          </w:p>
        </w:tc>
        <w:tc>
          <w:tcPr>
            <w:tcW w:w="2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Bispecific antibody</w:t>
            </w:r>
          </w:p>
        </w:tc>
        <w:tc>
          <w:tcPr>
            <w:tcW w:w="1640" w:type="dxa"/>
            <w:vAlign w:val="bottom"/>
            <w:vMerge w:val="continue"/>
            <w:shd w:val="clear" w:color="auto" w:fill="CCEEFF"/>
          </w:tcPr>
          <w:p>
            <w:pPr>
              <w:spacing w:after="0"/>
              <w:rPr>
                <w:sz w:val="15"/>
                <w:szCs w:val="15"/>
                <w:color w:val="auto"/>
              </w:rPr>
            </w:pPr>
          </w:p>
        </w:tc>
        <w:tc>
          <w:tcPr>
            <w:tcW w:w="17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20"/>
                <w:szCs w:val="20"/>
                <w:color w:val="auto"/>
                <w:vertAlign w:val="superscript"/>
              </w:rPr>
              <w:t>(e)</w:t>
            </w:r>
            <w:r>
              <w:rPr>
                <w:rFonts w:ascii="Times New Roman" w:cs="Times New Roman" w:eastAsia="Times New Roman" w:hAnsi="Times New Roman"/>
                <w:sz w:val="16"/>
                <w:szCs w:val="16"/>
                <w:color w:val="auto"/>
              </w:rPr>
              <w:t xml:space="preserve"> (multiple lines and</w:t>
            </w:r>
          </w:p>
        </w:tc>
        <w:tc>
          <w:tcPr>
            <w:tcW w:w="3660" w:type="dxa"/>
            <w:vAlign w:val="bottom"/>
            <w:vMerge w:val="continue"/>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shd w:val="clear" w:color="auto" w:fill="CCEEFF"/>
          </w:tcPr>
          <w:p>
            <w:pPr>
              <w:spacing w:after="0"/>
              <w:rPr>
                <w:sz w:val="7"/>
                <w:szCs w:val="7"/>
                <w:color w:val="auto"/>
              </w:rPr>
            </w:pPr>
          </w:p>
        </w:tc>
        <w:tc>
          <w:tcPr>
            <w:tcW w:w="1640" w:type="dxa"/>
            <w:vAlign w:val="bottom"/>
            <w:vMerge w:val="restart"/>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myeloma</w:t>
            </w:r>
          </w:p>
        </w:tc>
        <w:tc>
          <w:tcPr>
            <w:tcW w:w="1720" w:type="dxa"/>
            <w:vAlign w:val="bottom"/>
            <w:vMerge w:val="restart"/>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settings)</w:t>
            </w:r>
          </w:p>
        </w:tc>
        <w:tc>
          <w:tcPr>
            <w:tcW w:w="3660" w:type="dxa"/>
            <w:vAlign w:val="bottom"/>
            <w:vMerge w:val="restart"/>
            <w:shd w:val="clear" w:color="auto" w:fill="CCEEFF"/>
          </w:tcPr>
          <w:p>
            <w:pPr>
              <w:ind w:left="1760"/>
              <w:spacing w:after="0" w:line="189" w:lineRule="exact"/>
              <w:rPr>
                <w:sz w:val="20"/>
                <w:szCs w:val="20"/>
                <w:color w:val="auto"/>
              </w:rPr>
            </w:pPr>
            <w:r>
              <w:rPr>
                <w:rFonts w:ascii="Times New Roman" w:cs="Times New Roman" w:eastAsia="Times New Roman" w:hAnsi="Times New Roman"/>
                <w:sz w:val="18"/>
                <w:szCs w:val="18"/>
                <w:color w:val="auto"/>
              </w:rPr>
              <w:t>relapsed/refractory</w:t>
            </w:r>
          </w:p>
        </w:tc>
        <w:tc>
          <w:tcPr>
            <w:tcW w:w="2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BCMA and CD3</w:t>
            </w:r>
          </w:p>
        </w:tc>
        <w:tc>
          <w:tcPr>
            <w:tcW w:w="1640" w:type="dxa"/>
            <w:vAlign w:val="bottom"/>
            <w:vMerge w:val="continue"/>
            <w:shd w:val="clear" w:color="auto" w:fill="CCEEFF"/>
          </w:tcPr>
          <w:p>
            <w:pPr>
              <w:spacing w:after="0"/>
              <w:rPr>
                <w:sz w:val="8"/>
                <w:szCs w:val="8"/>
                <w:color w:val="auto"/>
              </w:rPr>
            </w:pPr>
          </w:p>
        </w:tc>
        <w:tc>
          <w:tcPr>
            <w:tcW w:w="1720" w:type="dxa"/>
            <w:vAlign w:val="bottom"/>
            <w:vMerge w:val="continue"/>
            <w:shd w:val="clear" w:color="auto" w:fill="CCEEFF"/>
          </w:tcPr>
          <w:p>
            <w:pPr>
              <w:spacing w:after="0"/>
              <w:rPr>
                <w:sz w:val="8"/>
                <w:szCs w:val="8"/>
                <w:color w:val="auto"/>
              </w:rPr>
            </w:pPr>
          </w:p>
        </w:tc>
        <w:tc>
          <w:tcPr>
            <w:tcW w:w="3660" w:type="dxa"/>
            <w:vAlign w:val="bottom"/>
            <w:vMerge w:val="continue"/>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2080" w:type="dxa"/>
            <w:vAlign w:val="bottom"/>
            <w:vMerge w:val="continue"/>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660" w:type="dxa"/>
            <w:vAlign w:val="bottom"/>
            <w:shd w:val="clear" w:color="auto" w:fill="CCEEFF"/>
          </w:tcPr>
          <w:p>
            <w:pPr>
              <w:ind w:left="1760"/>
              <w:spacing w:after="0" w:line="198" w:lineRule="exact"/>
              <w:rPr>
                <w:sz w:val="20"/>
                <w:szCs w:val="20"/>
                <w:color w:val="auto"/>
              </w:rPr>
            </w:pPr>
            <w:r>
              <w:rPr>
                <w:rFonts w:ascii="Times New Roman" w:cs="Times New Roman" w:eastAsia="Times New Roman" w:hAnsi="Times New Roman"/>
                <w:sz w:val="18"/>
                <w:szCs w:val="18"/>
                <w:color w:val="auto"/>
              </w:rPr>
              <w:t>multiple myeloma</w:t>
            </w: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spacing w:after="0"/>
              <w:rPr>
                <w:sz w:val="16"/>
                <w:szCs w:val="16"/>
                <w:color w:val="auto"/>
              </w:rPr>
            </w:pPr>
          </w:p>
        </w:tc>
        <w:tc>
          <w:tcPr>
            <w:tcW w:w="16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–Monoclonal</w:t>
            </w:r>
          </w:p>
        </w:tc>
        <w:tc>
          <w:tcPr>
            <w:tcW w:w="17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gammopathy of</w:t>
            </w:r>
          </w:p>
        </w:tc>
        <w:tc>
          <w:tcPr>
            <w:tcW w:w="1720" w:type="dxa"/>
            <w:vAlign w:val="bottom"/>
            <w:shd w:val="clear" w:color="auto" w:fill="CCEEFF"/>
          </w:tcPr>
          <w:p>
            <w:pPr>
              <w:spacing w:after="0"/>
              <w:rPr>
                <w:sz w:val="15"/>
                <w:szCs w:val="15"/>
                <w:color w:val="auto"/>
              </w:rPr>
            </w:pPr>
          </w:p>
        </w:tc>
        <w:tc>
          <w:tcPr>
            <w:tcW w:w="3660" w:type="dxa"/>
            <w:vAlign w:val="bottom"/>
            <w:shd w:val="clear" w:color="auto" w:fill="CCEEFF"/>
          </w:tcPr>
          <w:p>
            <w:pPr>
              <w:ind w:left="1760"/>
              <w:spacing w:after="0" w:line="181" w:lineRule="exact"/>
              <w:rPr>
                <w:sz w:val="20"/>
                <w:szCs w:val="20"/>
                <w:color w:val="auto"/>
              </w:rPr>
            </w:pPr>
            <w:r>
              <w:rPr>
                <w:rFonts w:ascii="Times New Roman" w:cs="Times New Roman" w:eastAsia="Times New Roman" w:hAnsi="Times New Roman"/>
                <w:sz w:val="18"/>
                <w:szCs w:val="18"/>
                <w:color w:val="auto"/>
              </w:rPr>
              <w:t>–Completed enrollment</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undetermined</w:t>
            </w:r>
          </w:p>
        </w:tc>
        <w:tc>
          <w:tcPr>
            <w:tcW w:w="1720" w:type="dxa"/>
            <w:vAlign w:val="bottom"/>
            <w:shd w:val="clear" w:color="auto" w:fill="CCEEFF"/>
          </w:tcPr>
          <w:p>
            <w:pPr>
              <w:spacing w:after="0"/>
              <w:rPr>
                <w:sz w:val="15"/>
                <w:szCs w:val="15"/>
                <w:color w:val="auto"/>
              </w:rPr>
            </w:pPr>
          </w:p>
        </w:tc>
        <w:tc>
          <w:tcPr>
            <w:tcW w:w="366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8"/>
                <w:szCs w:val="18"/>
                <w:color w:val="auto"/>
              </w:rPr>
              <w:t>in Phase 3 confirmatory</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spacing w:after="0"/>
              <w:rPr>
                <w:sz w:val="16"/>
                <w:szCs w:val="16"/>
                <w:color w:val="auto"/>
              </w:rPr>
            </w:pPr>
          </w:p>
        </w:tc>
        <w:tc>
          <w:tcPr>
            <w:tcW w:w="164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significance</w:t>
            </w:r>
          </w:p>
        </w:tc>
        <w:tc>
          <w:tcPr>
            <w:tcW w:w="1720" w:type="dxa"/>
            <w:vAlign w:val="bottom"/>
            <w:shd w:val="clear" w:color="auto" w:fill="CCEEFF"/>
          </w:tcPr>
          <w:p>
            <w:pPr>
              <w:spacing w:after="0"/>
              <w:rPr>
                <w:sz w:val="16"/>
                <w:szCs w:val="16"/>
                <w:color w:val="auto"/>
              </w:rPr>
            </w:pPr>
          </w:p>
        </w:tc>
        <w:tc>
          <w:tcPr>
            <w:tcW w:w="3660" w:type="dxa"/>
            <w:vAlign w:val="bottom"/>
            <w:shd w:val="clear" w:color="auto" w:fill="CCEEFF"/>
          </w:tcPr>
          <w:p>
            <w:pPr>
              <w:ind w:left="1760"/>
              <w:spacing w:after="0" w:line="184" w:lineRule="exact"/>
              <w:rPr>
                <w:sz w:val="20"/>
                <w:szCs w:val="20"/>
                <w:color w:val="auto"/>
              </w:rPr>
            </w:pPr>
            <w:r>
              <w:rPr>
                <w:rFonts w:ascii="Times New Roman" w:cs="Times New Roman" w:eastAsia="Times New Roman" w:hAnsi="Times New Roman"/>
                <w:sz w:val="18"/>
                <w:szCs w:val="18"/>
                <w:color w:val="auto"/>
              </w:rPr>
              <w:t>trial (LINKER-MM3) in</w:t>
            </w: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80" w:type="dxa"/>
            <w:vAlign w:val="bottom"/>
            <w:shd w:val="clear" w:color="auto" w:fill="CCEEFF"/>
          </w:tcPr>
          <w:p>
            <w:pPr>
              <w:spacing w:after="0"/>
              <w:rPr>
                <w:sz w:val="15"/>
                <w:szCs w:val="15"/>
                <w:color w:val="auto"/>
              </w:rPr>
            </w:pPr>
          </w:p>
        </w:tc>
        <w:tc>
          <w:tcPr>
            <w:tcW w:w="1640" w:type="dxa"/>
            <w:vAlign w:val="bottom"/>
            <w:shd w:val="clear" w:color="auto" w:fill="CCEEFF"/>
          </w:tcPr>
          <w:p>
            <w:pPr>
              <w:ind w:left="80"/>
              <w:spacing w:after="0" w:line="181" w:lineRule="exact"/>
              <w:rPr>
                <w:sz w:val="20"/>
                <w:szCs w:val="20"/>
                <w:color w:val="auto"/>
              </w:rPr>
            </w:pPr>
            <w:r>
              <w:rPr>
                <w:rFonts w:ascii="Times New Roman" w:cs="Times New Roman" w:eastAsia="Times New Roman" w:hAnsi="Times New Roman"/>
                <w:sz w:val="18"/>
                <w:szCs w:val="18"/>
                <w:color w:val="auto"/>
              </w:rPr>
              <w:t>("MGUS")</w:t>
            </w:r>
          </w:p>
        </w:tc>
        <w:tc>
          <w:tcPr>
            <w:tcW w:w="1720" w:type="dxa"/>
            <w:vAlign w:val="bottom"/>
            <w:shd w:val="clear" w:color="auto" w:fill="CCEEFF"/>
          </w:tcPr>
          <w:p>
            <w:pPr>
              <w:spacing w:after="0"/>
              <w:rPr>
                <w:sz w:val="15"/>
                <w:szCs w:val="15"/>
                <w:color w:val="auto"/>
              </w:rPr>
            </w:pPr>
          </w:p>
        </w:tc>
        <w:tc>
          <w:tcPr>
            <w:tcW w:w="3660" w:type="dxa"/>
            <w:vAlign w:val="bottom"/>
            <w:shd w:val="clear" w:color="auto" w:fill="CCEEFF"/>
          </w:tcPr>
          <w:p>
            <w:pPr>
              <w:ind w:left="1760"/>
              <w:spacing w:after="0" w:line="181" w:lineRule="exact"/>
              <w:rPr>
                <w:sz w:val="20"/>
                <w:szCs w:val="20"/>
                <w:color w:val="auto"/>
              </w:rPr>
            </w:pPr>
            <w:r>
              <w:rPr>
                <w:rFonts w:ascii="Times New Roman" w:cs="Times New Roman" w:eastAsia="Times New Roman" w:hAnsi="Times New Roman"/>
                <w:sz w:val="18"/>
                <w:szCs w:val="18"/>
                <w:color w:val="auto"/>
              </w:rPr>
              <w:t>relapsed/refractory</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36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multiple myeloma</w:t>
            </w: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15"/>
        </w:trPr>
        <w:tc>
          <w:tcPr>
            <w:tcW w:w="2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33</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60" w:type="dxa"/>
            <w:vAlign w:val="bottom"/>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8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80" w:type="dxa"/>
            <w:vAlign w:val="bottom"/>
            <w:vMerge w:val="restart"/>
          </w:tcPr>
          <w:p>
            <w:pPr>
              <w:spacing w:after="0"/>
              <w:rPr>
                <w:sz w:val="17"/>
                <w:szCs w:val="17"/>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8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186"/>
        </w:trPr>
        <w:tc>
          <w:tcPr>
            <w:tcW w:w="2040" w:type="dxa"/>
            <w:vAlign w:val="bottom"/>
            <w:shd w:val="clear" w:color="auto" w:fill="CCEEFF"/>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rPr>
              <w:t>Lynozyfic (linvoseltamab)</w:t>
            </w: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–Light chain</w:t>
            </w:r>
          </w:p>
        </w:tc>
        <w:tc>
          <w:tcPr>
            <w:tcW w:w="1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20" w:type="dxa"/>
            <w:vAlign w:val="bottom"/>
            <w:gridSpan w:val="2"/>
            <w:shd w:val="clear" w:color="auto" w:fill="CCEEFF"/>
          </w:tcPr>
          <w:p>
            <w:pPr>
              <w:ind w:left="20"/>
              <w:spacing w:after="0" w:line="208" w:lineRule="exact"/>
              <w:rPr>
                <w:sz w:val="20"/>
                <w:szCs w:val="20"/>
                <w:color w:val="auto"/>
              </w:rPr>
            </w:pP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i w:val="1"/>
                <w:iCs w:val="1"/>
                <w:color w:val="auto"/>
              </w:rPr>
              <w:t xml:space="preserve"> (continued)</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amyloidosis</w:t>
            </w: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("ALA") (Phase 1/2)</w:t>
            </w:r>
          </w:p>
        </w:tc>
        <w:tc>
          <w:tcPr>
            <w:tcW w:w="1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tbl>
      <w:tblPr>
        <w:tblLayout w:type="fixed"/>
        <w:tblInd w:w="20" w:type="dxa"/>
        <w:tblCellMar>
          <w:top w:w="0" w:type="dxa"/>
          <w:left w:w="0" w:type="dxa"/>
          <w:bottom w:w="0" w:type="dxa"/>
          <w:right w:w="0" w:type="dxa"/>
        </w:tblCellMar>
      </w:tblPr>
      <w:tr>
        <w:trPr>
          <w:trHeight w:val="179"/>
        </w:trPr>
        <w:tc>
          <w:tcPr>
            <w:tcW w:w="2800" w:type="dxa"/>
            <w:vAlign w:val="bottom"/>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Nexiguran ziclumeran</w:t>
            </w:r>
          </w:p>
        </w:tc>
        <w:tc>
          <w:tcPr>
            <w:tcW w:w="2360" w:type="dxa"/>
            <w:vAlign w:val="bottom"/>
          </w:tcPr>
          <w:p>
            <w:pPr>
              <w:ind w:left="980"/>
              <w:spacing w:after="0" w:line="179" w:lineRule="exact"/>
              <w:rPr>
                <w:sz w:val="20"/>
                <w:szCs w:val="20"/>
                <w:color w:val="auto"/>
              </w:rPr>
            </w:pPr>
            <w:r>
              <w:rPr>
                <w:rFonts w:ascii="Times New Roman" w:cs="Times New Roman" w:eastAsia="Times New Roman" w:hAnsi="Times New Roman"/>
                <w:sz w:val="18"/>
                <w:szCs w:val="18"/>
                <w:color w:val="auto"/>
              </w:rPr>
              <w:t>–Transthyretin</w:t>
            </w:r>
          </w:p>
        </w:tc>
      </w:tr>
      <w:tr>
        <w:trPr>
          <w:trHeight w:val="186"/>
        </w:trPr>
        <w:tc>
          <w:tcPr>
            <w:tcW w:w="2800" w:type="dxa"/>
            <w:vAlign w:val="bottom"/>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(Nex-z, NTLA-2001)</w:t>
            </w:r>
            <w:r>
              <w:rPr>
                <w:rFonts w:ascii="Times New Roman" w:cs="Times New Roman" w:eastAsia="Times New Roman" w:hAnsi="Times New Roman"/>
                <w:sz w:val="21"/>
                <w:szCs w:val="21"/>
                <w:b w:val="1"/>
                <w:bCs w:val="1"/>
                <w:color w:val="auto"/>
                <w:vertAlign w:val="superscript"/>
              </w:rPr>
              <w:t>(j)</w:t>
            </w:r>
          </w:p>
        </w:tc>
        <w:tc>
          <w:tcPr>
            <w:tcW w:w="2360" w:type="dxa"/>
            <w:vAlign w:val="bottom"/>
          </w:tcPr>
          <w:p>
            <w:pPr>
              <w:ind w:left="980"/>
              <w:spacing w:after="0" w:line="186" w:lineRule="exact"/>
              <w:rPr>
                <w:sz w:val="20"/>
                <w:szCs w:val="20"/>
                <w:color w:val="auto"/>
              </w:rPr>
            </w:pPr>
            <w:r>
              <w:rPr>
                <w:rFonts w:ascii="Times New Roman" w:cs="Times New Roman" w:eastAsia="Times New Roman" w:hAnsi="Times New Roman"/>
                <w:sz w:val="18"/>
                <w:szCs w:val="18"/>
                <w:color w:val="auto"/>
              </w:rPr>
              <w:t>amyloidosis with</w:t>
            </w:r>
          </w:p>
        </w:tc>
      </w:tr>
      <w:tr>
        <w:trPr>
          <w:trHeight w:val="176"/>
        </w:trPr>
        <w:tc>
          <w:tcPr>
            <w:tcW w:w="280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236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cardiomyopathy</w:t>
            </w:r>
          </w:p>
        </w:tc>
      </w:tr>
      <w:tr>
        <w:trPr>
          <w:trHeight w:val="312"/>
        </w:trPr>
        <w:tc>
          <w:tcPr>
            <w:tcW w:w="2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236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2"/>
              </w:rPr>
              <w:t>("ATTR-CM")</w:t>
            </w:r>
            <w:r>
              <w:rPr>
                <w:rFonts w:ascii="Times New Roman" w:cs="Times New Roman" w:eastAsia="Times New Roman" w:hAnsi="Times New Roman"/>
                <w:sz w:val="23"/>
                <w:szCs w:val="23"/>
                <w:color w:val="auto"/>
                <w:w w:val="92"/>
                <w:vertAlign w:val="superscript"/>
              </w:rPr>
              <w:t>(c)(m)</w:t>
            </w:r>
          </w:p>
        </w:tc>
      </w:tr>
      <w:tr>
        <w:trPr>
          <w:trHeight w:val="296"/>
        </w:trPr>
        <w:tc>
          <w:tcPr>
            <w:tcW w:w="2800" w:type="dxa"/>
            <w:vAlign w:val="bottom"/>
          </w:tcPr>
          <w:p>
            <w:pPr>
              <w:spacing w:after="0"/>
              <w:rPr>
                <w:sz w:val="24"/>
                <w:szCs w:val="24"/>
                <w:color w:val="auto"/>
              </w:rPr>
            </w:pPr>
          </w:p>
        </w:tc>
        <w:tc>
          <w:tcPr>
            <w:tcW w:w="2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–Hereditary</w:t>
            </w:r>
          </w:p>
        </w:tc>
      </w:tr>
      <w:tr>
        <w:trPr>
          <w:trHeight w:val="176"/>
        </w:trPr>
        <w:tc>
          <w:tcPr>
            <w:tcW w:w="2800" w:type="dxa"/>
            <w:vAlign w:val="bottom"/>
          </w:tcPr>
          <w:p>
            <w:pPr>
              <w:spacing w:after="0"/>
              <w:rPr>
                <w:sz w:val="15"/>
                <w:szCs w:val="15"/>
                <w:color w:val="auto"/>
              </w:rPr>
            </w:pPr>
          </w:p>
        </w:tc>
        <w:tc>
          <w:tcPr>
            <w:tcW w:w="2360" w:type="dxa"/>
            <w:vAlign w:val="bottom"/>
          </w:tcPr>
          <w:p>
            <w:pPr>
              <w:ind w:left="980"/>
              <w:spacing w:after="0" w:line="176" w:lineRule="exact"/>
              <w:rPr>
                <w:sz w:val="20"/>
                <w:szCs w:val="20"/>
                <w:color w:val="auto"/>
              </w:rPr>
            </w:pPr>
            <w:r>
              <w:rPr>
                <w:rFonts w:ascii="Times New Roman" w:cs="Times New Roman" w:eastAsia="Times New Roman" w:hAnsi="Times New Roman"/>
                <w:sz w:val="18"/>
                <w:szCs w:val="18"/>
                <w:color w:val="auto"/>
              </w:rPr>
              <w:t>transthyretin</w:t>
            </w:r>
          </w:p>
        </w:tc>
      </w:tr>
      <w:tr>
        <w:trPr>
          <w:trHeight w:val="184"/>
        </w:trPr>
        <w:tc>
          <w:tcPr>
            <w:tcW w:w="2800" w:type="dxa"/>
            <w:vAlign w:val="bottom"/>
          </w:tcPr>
          <w:p>
            <w:pPr>
              <w:spacing w:after="0"/>
              <w:rPr>
                <w:sz w:val="16"/>
                <w:szCs w:val="16"/>
                <w:color w:val="auto"/>
              </w:rPr>
            </w:pPr>
          </w:p>
        </w:tc>
        <w:tc>
          <w:tcPr>
            <w:tcW w:w="2360" w:type="dxa"/>
            <w:vAlign w:val="bottom"/>
          </w:tcPr>
          <w:p>
            <w:pPr>
              <w:ind w:left="98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r>
      <w:tr>
        <w:trPr>
          <w:trHeight w:val="180"/>
        </w:trPr>
        <w:tc>
          <w:tcPr>
            <w:tcW w:w="2800" w:type="dxa"/>
            <w:vAlign w:val="bottom"/>
          </w:tcPr>
          <w:p>
            <w:pPr>
              <w:spacing w:after="0"/>
              <w:rPr>
                <w:sz w:val="15"/>
                <w:szCs w:val="15"/>
                <w:color w:val="auto"/>
              </w:rPr>
            </w:pPr>
          </w:p>
        </w:tc>
        <w:tc>
          <w:tcPr>
            <w:tcW w:w="2360" w:type="dxa"/>
            <w:vAlign w:val="bottom"/>
          </w:tcPr>
          <w:p>
            <w:pPr>
              <w:ind w:left="980"/>
              <w:spacing w:after="0" w:line="181" w:lineRule="exact"/>
              <w:rPr>
                <w:sz w:val="20"/>
                <w:szCs w:val="20"/>
                <w:color w:val="auto"/>
              </w:rPr>
            </w:pPr>
            <w:r>
              <w:rPr>
                <w:rFonts w:ascii="Times New Roman" w:cs="Times New Roman" w:eastAsia="Times New Roman" w:hAnsi="Times New Roman"/>
                <w:sz w:val="18"/>
                <w:szCs w:val="18"/>
                <w:color w:val="auto"/>
              </w:rPr>
              <w:t>polyneuropathy</w:t>
            </w:r>
          </w:p>
        </w:tc>
      </w:tr>
      <w:tr>
        <w:trPr>
          <w:trHeight w:val="228"/>
        </w:trPr>
        <w:tc>
          <w:tcPr>
            <w:tcW w:w="2800" w:type="dxa"/>
            <w:vAlign w:val="bottom"/>
          </w:tcPr>
          <w:p>
            <w:pPr>
              <w:spacing w:after="0"/>
              <w:rPr>
                <w:sz w:val="19"/>
                <w:szCs w:val="19"/>
                <w:color w:val="auto"/>
              </w:rPr>
            </w:pPr>
          </w:p>
        </w:tc>
        <w:tc>
          <w:tcPr>
            <w:tcW w:w="2360" w:type="dxa"/>
            <w:vAlign w:val="bottom"/>
          </w:tcPr>
          <w:p>
            <w:pPr>
              <w:ind w:left="980"/>
              <w:spacing w:after="0" w:line="228" w:lineRule="exact"/>
              <w:rPr>
                <w:sz w:val="20"/>
                <w:szCs w:val="20"/>
                <w:color w:val="auto"/>
              </w:rPr>
            </w:pPr>
            <w:r>
              <w:rPr>
                <w:rFonts w:ascii="Times New Roman" w:cs="Times New Roman" w:eastAsia="Times New Roman" w:hAnsi="Times New Roman"/>
                <w:sz w:val="18"/>
                <w:szCs w:val="18"/>
                <w:color w:val="auto"/>
                <w:w w:val="90"/>
              </w:rPr>
              <w:t>("ATTRv-PN")</w:t>
            </w:r>
            <w:r>
              <w:rPr>
                <w:rFonts w:ascii="Times New Roman" w:cs="Times New Roman" w:eastAsia="Times New Roman" w:hAnsi="Times New Roman"/>
                <w:sz w:val="23"/>
                <w:szCs w:val="23"/>
                <w:color w:val="auto"/>
                <w:w w:val="90"/>
                <w:vertAlign w:val="superscript"/>
              </w:rPr>
              <w:t>(c)(m)</w:t>
            </w:r>
          </w:p>
        </w:tc>
      </w:tr>
    </w:tbl>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Times New Roman" w:cs="Times New Roman" w:eastAsia="Times New Roman" w:hAnsi="Times New Roman"/>
          <w:sz w:val="18"/>
          <w:szCs w:val="18"/>
          <w:color w:val="auto"/>
        </w:rPr>
        <w:t>–Intellia temporarily</w:t>
      </w:r>
    </w:p>
    <w:p>
      <w:pPr>
        <w:spacing w:after="0" w:line="204" w:lineRule="auto"/>
        <w:rPr>
          <w:sz w:val="20"/>
          <w:szCs w:val="20"/>
          <w:color w:val="auto"/>
        </w:rPr>
      </w:pPr>
      <w:r>
        <w:rPr>
          <w:rFonts w:ascii="Times New Roman" w:cs="Times New Roman" w:eastAsia="Times New Roman" w:hAnsi="Times New Roman"/>
          <w:sz w:val="18"/>
          <w:szCs w:val="18"/>
          <w:color w:val="auto"/>
        </w:rPr>
        <w:t>paused dosing and</w:t>
      </w:r>
    </w:p>
    <w:p>
      <w:pPr>
        <w:spacing w:after="0" w:line="203" w:lineRule="auto"/>
        <w:rPr>
          <w:sz w:val="20"/>
          <w:szCs w:val="20"/>
          <w:color w:val="auto"/>
        </w:rPr>
      </w:pPr>
      <w:r>
        <w:rPr>
          <w:rFonts w:ascii="Times New Roman" w:cs="Times New Roman" w:eastAsia="Times New Roman" w:hAnsi="Times New Roman"/>
          <w:sz w:val="18"/>
          <w:szCs w:val="18"/>
          <w:color w:val="auto"/>
        </w:rPr>
        <w:t>screening in Phase 3</w:t>
      </w:r>
    </w:p>
    <w:p>
      <w:pPr>
        <w:spacing w:after="0" w:line="232" w:lineRule="auto"/>
        <w:rPr>
          <w:sz w:val="20"/>
          <w:szCs w:val="20"/>
          <w:color w:val="auto"/>
        </w:rPr>
      </w:pPr>
      <w:r>
        <w:rPr>
          <w:rFonts w:ascii="Times New Roman" w:cs="Times New Roman" w:eastAsia="Times New Roman" w:hAnsi="Times New Roman"/>
          <w:sz w:val="17"/>
          <w:szCs w:val="17"/>
          <w:color w:val="auto"/>
        </w:rPr>
        <w:t>ATTR-CM and ATTRv-</w:t>
      </w:r>
    </w:p>
    <w:p>
      <w:pPr>
        <w:spacing w:after="0" w:line="204" w:lineRule="auto"/>
        <w:rPr>
          <w:sz w:val="20"/>
          <w:szCs w:val="20"/>
          <w:color w:val="auto"/>
        </w:rPr>
      </w:pPr>
      <w:r>
        <w:rPr>
          <w:rFonts w:ascii="Times New Roman" w:cs="Times New Roman" w:eastAsia="Times New Roman" w:hAnsi="Times New Roman"/>
          <w:sz w:val="18"/>
          <w:szCs w:val="18"/>
          <w:color w:val="auto"/>
        </w:rPr>
        <w:t>PN trials due to a Grade</w:t>
      </w:r>
    </w:p>
    <w:p>
      <w:pPr>
        <w:spacing w:after="0" w:line="203" w:lineRule="auto"/>
        <w:rPr>
          <w:sz w:val="20"/>
          <w:szCs w:val="20"/>
          <w:color w:val="auto"/>
        </w:rPr>
      </w:pPr>
      <w:r>
        <w:rPr>
          <w:rFonts w:ascii="Times New Roman" w:cs="Times New Roman" w:eastAsia="Times New Roman" w:hAnsi="Times New Roman"/>
          <w:sz w:val="18"/>
          <w:szCs w:val="18"/>
          <w:color w:val="auto"/>
        </w:rPr>
        <w:t>4 adverse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involving the liver</w:t>
      </w:r>
    </w:p>
    <w:p>
      <w:pPr>
        <w:spacing w:after="0" w:line="623" w:lineRule="exact"/>
        <w:rPr>
          <w:sz w:val="20"/>
          <w:szCs w:val="20"/>
          <w:color w:val="auto"/>
        </w:rPr>
      </w:pPr>
    </w:p>
    <w:p>
      <w:pPr>
        <w:sectPr>
          <w:pgSz w:w="11900" w:h="16838" w:orient="portrait"/>
          <w:cols w:equalWidth="0" w:num="2">
            <w:col w:w="6480" w:space="720"/>
            <w:col w:w="404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REGN9933</w:t>
            </w:r>
          </w:p>
        </w:tc>
        <w:tc>
          <w:tcPr>
            <w:tcW w:w="1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–Thrombosis</w:t>
            </w:r>
          </w:p>
        </w:tc>
        <w:tc>
          <w:tcPr>
            <w:tcW w:w="3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–Initiate Phase 3 studies</w:t>
            </w: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 (A2</w:t>
            </w:r>
          </w:p>
        </w:tc>
        <w:tc>
          <w:tcPr>
            <w:tcW w:w="15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(first half 2026)</w:t>
            </w:r>
          </w:p>
        </w:tc>
      </w:tr>
      <w:tr>
        <w:trPr>
          <w:trHeight w:val="203"/>
        </w:trPr>
        <w:tc>
          <w:tcPr>
            <w:tcW w:w="2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domain)</w:t>
            </w:r>
          </w:p>
        </w:tc>
        <w:tc>
          <w:tcPr>
            <w:tcW w:w="156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REGN7508</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–Thrombosis</w:t>
            </w: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–Venous</w:t>
            </w:r>
          </w:p>
        </w:tc>
        <w:tc>
          <w:tcPr>
            <w:tcW w:w="18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–Initiate additional Phase 3</w:t>
            </w: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60" w:type="dxa"/>
            <w:vAlign w:val="bottom"/>
          </w:tcPr>
          <w:p>
            <w:pPr>
              <w:spacing w:after="0"/>
              <w:rPr>
                <w:sz w:val="15"/>
                <w:szCs w:val="15"/>
                <w:color w:val="auto"/>
              </w:rPr>
            </w:pPr>
          </w:p>
        </w:tc>
        <w:tc>
          <w:tcPr>
            <w:tcW w:w="352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thromboembolism</w:t>
            </w:r>
          </w:p>
        </w:tc>
        <w:tc>
          <w:tcPr>
            <w:tcW w:w="1880" w:type="dxa"/>
            <w:vAlign w:val="bottom"/>
          </w:tcPr>
          <w:p>
            <w:pPr>
              <w:spacing w:after="0"/>
              <w:rPr>
                <w:sz w:val="15"/>
                <w:szCs w:val="15"/>
                <w:color w:val="auto"/>
              </w:rPr>
            </w:pPr>
          </w:p>
        </w:tc>
        <w:tc>
          <w:tcPr>
            <w:tcW w:w="22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color w:val="auto"/>
              </w:rPr>
              <w:t>studies (first half 2026)</w:t>
            </w:r>
          </w:p>
        </w:tc>
      </w:tr>
      <w:tr>
        <w:trPr>
          <w:trHeight w:val="149"/>
        </w:trPr>
        <w:tc>
          <w:tcPr>
            <w:tcW w:w="2040" w:type="dxa"/>
            <w:vAlign w:val="bottom"/>
          </w:tcPr>
          <w:p>
            <w:pPr>
              <w:ind w:left="20"/>
              <w:spacing w:after="0" w:line="149" w:lineRule="exact"/>
              <w:rPr>
                <w:sz w:val="20"/>
                <w:szCs w:val="20"/>
                <w:color w:val="auto"/>
              </w:rPr>
            </w:pPr>
            <w:r>
              <w:rPr>
                <w:rFonts w:ascii="Times New Roman" w:cs="Times New Roman" w:eastAsia="Times New Roman" w:hAnsi="Times New Roman"/>
                <w:sz w:val="17"/>
                <w:szCs w:val="17"/>
                <w:i w:val="1"/>
                <w:iCs w:val="1"/>
                <w:color w:val="auto"/>
              </w:rPr>
              <w:t>(catalytic domain)</w:t>
            </w:r>
          </w:p>
        </w:tc>
        <w:tc>
          <w:tcPr>
            <w:tcW w:w="156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Times New Roman" w:cs="Times New Roman" w:eastAsia="Times New Roman" w:hAnsi="Times New Roman"/>
                <w:sz w:val="17"/>
                <w:szCs w:val="17"/>
                <w:color w:val="auto"/>
              </w:rPr>
              <w:t>after total knee</w:t>
            </w:r>
          </w:p>
        </w:tc>
        <w:tc>
          <w:tcPr>
            <w:tcW w:w="1880" w:type="dxa"/>
            <w:vAlign w:val="bottom"/>
          </w:tcPr>
          <w:p>
            <w:pPr>
              <w:spacing w:after="0"/>
              <w:rPr>
                <w:sz w:val="12"/>
                <w:szCs w:val="12"/>
                <w:color w:val="auto"/>
              </w:rPr>
            </w:pPr>
          </w:p>
        </w:tc>
        <w:tc>
          <w:tcPr>
            <w:tcW w:w="2240" w:type="dxa"/>
            <w:vAlign w:val="bottom"/>
          </w:tcPr>
          <w:p>
            <w:pPr>
              <w:spacing w:after="0"/>
              <w:rPr>
                <w:sz w:val="12"/>
                <w:szCs w:val="12"/>
                <w:color w:val="auto"/>
              </w:rPr>
            </w:pPr>
          </w:p>
        </w:tc>
      </w:tr>
      <w:tr>
        <w:trPr>
          <w:trHeight w:val="229"/>
        </w:trPr>
        <w:tc>
          <w:tcPr>
            <w:tcW w:w="2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replacement surgery</w:t>
            </w:r>
          </w:p>
        </w:tc>
        <w:tc>
          <w:tcPr>
            <w:tcW w:w="18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182"/>
        </w:trPr>
        <w:tc>
          <w:tcPr>
            <w:tcW w:w="2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REGN7257</w:t>
            </w:r>
          </w:p>
        </w:tc>
        <w:tc>
          <w:tcPr>
            <w:tcW w:w="15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88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–Discontinued study in</w:t>
            </w:r>
          </w:p>
        </w:tc>
        <w:tc>
          <w:tcPr>
            <w:tcW w:w="2240" w:type="dxa"/>
            <w:vAlign w:val="bottom"/>
            <w:shd w:val="clear" w:color="auto" w:fill="CCEEFF"/>
          </w:tcPr>
          <w:p>
            <w:pPr>
              <w:spacing w:after="0"/>
              <w:rPr>
                <w:sz w:val="15"/>
                <w:szCs w:val="15"/>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IL2Rg</w:t>
            </w:r>
          </w:p>
        </w:tc>
        <w:tc>
          <w:tcPr>
            <w:tcW w:w="156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aplastic anemia</w:t>
            </w:r>
          </w:p>
        </w:tc>
        <w:tc>
          <w:tcPr>
            <w:tcW w:w="2240" w:type="dxa"/>
            <w:vAlign w:val="bottom"/>
            <w:shd w:val="clear" w:color="auto" w:fill="CCEEFF"/>
          </w:tcPr>
          <w:p>
            <w:pPr>
              <w:spacing w:after="0"/>
              <w:rPr>
                <w:sz w:val="20"/>
                <w:szCs w:val="20"/>
                <w:color w:val="auto"/>
              </w:rPr>
            </w:pPr>
          </w:p>
        </w:tc>
      </w:tr>
      <w:tr>
        <w:trPr>
          <w:trHeight w:val="182"/>
        </w:trPr>
        <w:tc>
          <w:tcPr>
            <w:tcW w:w="20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REGN7999</w:t>
            </w:r>
          </w:p>
        </w:tc>
        <w:tc>
          <w:tcPr>
            <w:tcW w:w="156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–Iron overload in</w:t>
            </w:r>
          </w:p>
        </w:tc>
        <w:tc>
          <w:tcPr>
            <w:tcW w:w="3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3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TMPRSS6</w:t>
            </w:r>
          </w:p>
        </w:tc>
        <w:tc>
          <w:tcPr>
            <w:tcW w:w="1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beta-thalassemia</w:t>
            </w:r>
          </w:p>
        </w:tc>
        <w:tc>
          <w:tcPr>
            <w:tcW w:w="35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54"/>
        </w:trPr>
        <w:tc>
          <w:tcPr>
            <w:tcW w:w="20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30"/>
        </w:trPr>
        <w:tc>
          <w:tcPr>
            <w:tcW w:w="2040" w:type="dxa"/>
            <w:vAlign w:val="bottom"/>
            <w:shd w:val="clear" w:color="auto" w:fill="ACACAC"/>
          </w:tcPr>
          <w:p>
            <w:pPr>
              <w:spacing w:after="0"/>
              <w:rPr>
                <w:sz w:val="19"/>
                <w:szCs w:val="19"/>
                <w:color w:val="auto"/>
              </w:rPr>
            </w:pPr>
          </w:p>
        </w:tc>
        <w:tc>
          <w:tcPr>
            <w:tcW w:w="1560" w:type="dxa"/>
            <w:vAlign w:val="bottom"/>
            <w:shd w:val="clear" w:color="auto" w:fill="ACACAC"/>
          </w:tcPr>
          <w:p>
            <w:pPr>
              <w:spacing w:after="0"/>
              <w:rPr>
                <w:sz w:val="19"/>
                <w:szCs w:val="19"/>
                <w:color w:val="auto"/>
              </w:rPr>
            </w:pPr>
          </w:p>
        </w:tc>
        <w:tc>
          <w:tcPr>
            <w:tcW w:w="3520" w:type="dxa"/>
            <w:vAlign w:val="bottom"/>
            <w:shd w:val="clear" w:color="auto" w:fill="ACACAC"/>
          </w:tcPr>
          <w:p>
            <w:pPr>
              <w:ind w:left="600"/>
              <w:spacing w:after="0"/>
              <w:rPr>
                <w:sz w:val="20"/>
                <w:szCs w:val="20"/>
                <w:color w:val="auto"/>
              </w:rPr>
            </w:pPr>
            <w:r>
              <w:rPr>
                <w:rFonts w:ascii="Times New Roman" w:cs="Times New Roman" w:eastAsia="Times New Roman" w:hAnsi="Times New Roman"/>
                <w:sz w:val="18"/>
                <w:szCs w:val="18"/>
                <w:b w:val="1"/>
                <w:bCs w:val="1"/>
                <w:color w:val="auto"/>
              </w:rPr>
              <w:t>Internal Medicine/Genetic Medicines</w:t>
            </w:r>
          </w:p>
        </w:tc>
        <w:tc>
          <w:tcPr>
            <w:tcW w:w="1880" w:type="dxa"/>
            <w:vAlign w:val="bottom"/>
            <w:shd w:val="clear" w:color="auto" w:fill="ACACAC"/>
          </w:tcPr>
          <w:p>
            <w:pPr>
              <w:spacing w:after="0"/>
              <w:rPr>
                <w:sz w:val="19"/>
                <w:szCs w:val="19"/>
                <w:color w:val="auto"/>
              </w:rPr>
            </w:pPr>
          </w:p>
        </w:tc>
        <w:tc>
          <w:tcPr>
            <w:tcW w:w="2240" w:type="dxa"/>
            <w:vAlign w:val="bottom"/>
            <w:shd w:val="clear" w:color="auto" w:fill="ACACAC"/>
          </w:tcPr>
          <w:p>
            <w:pPr>
              <w:spacing w:after="0"/>
              <w:rPr>
                <w:sz w:val="19"/>
                <w:szCs w:val="19"/>
                <w:color w:val="auto"/>
              </w:rPr>
            </w:pPr>
          </w:p>
        </w:tc>
      </w:tr>
      <w:tr>
        <w:trPr>
          <w:trHeight w:val="54"/>
        </w:trPr>
        <w:tc>
          <w:tcPr>
            <w:tcW w:w="20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2240" w:type="dxa"/>
            <w:vAlign w:val="bottom"/>
          </w:tcPr>
          <w:p>
            <w:pPr>
              <w:spacing w:after="0"/>
              <w:rPr>
                <w:sz w:val="4"/>
                <w:szCs w:val="4"/>
                <w:color w:val="auto"/>
              </w:rPr>
            </w:pPr>
          </w:p>
        </w:tc>
      </w:tr>
      <w:tr>
        <w:trPr>
          <w:trHeight w:val="216"/>
        </w:trPr>
        <w:tc>
          <w:tcPr>
            <w:tcW w:w="204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Garetosmab</w:t>
            </w:r>
            <w:r>
              <w:rPr>
                <w:rFonts w:ascii="Times New Roman" w:cs="Times New Roman" w:eastAsia="Times New Roman" w:hAnsi="Times New Roman"/>
                <w:sz w:val="23"/>
                <w:szCs w:val="23"/>
                <w:b w:val="1"/>
                <w:bCs w:val="1"/>
                <w:color w:val="auto"/>
                <w:vertAlign w:val="superscript"/>
              </w:rPr>
              <w:t>(f)</w:t>
            </w:r>
          </w:p>
        </w:tc>
        <w:tc>
          <w:tcPr>
            <w:tcW w:w="1560" w:type="dxa"/>
            <w:vAlign w:val="bottom"/>
            <w:shd w:val="clear" w:color="auto" w:fill="CCEEFF"/>
          </w:tcPr>
          <w:p>
            <w:pPr>
              <w:spacing w:after="0"/>
              <w:rPr>
                <w:sz w:val="18"/>
                <w:szCs w:val="18"/>
                <w:color w:val="auto"/>
              </w:rPr>
            </w:pPr>
          </w:p>
        </w:tc>
        <w:tc>
          <w:tcPr>
            <w:tcW w:w="3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–Fibrodysplasia</w:t>
            </w:r>
          </w:p>
        </w:tc>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–Reported that Phase 3</w:t>
            </w:r>
          </w:p>
        </w:tc>
        <w:tc>
          <w:tcPr>
            <w:tcW w:w="2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–Submit BLA for FOP</w:t>
            </w: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(REGN2477)</w:t>
            </w:r>
          </w:p>
        </w:tc>
        <w:tc>
          <w:tcPr>
            <w:tcW w:w="1560" w:type="dxa"/>
            <w:vAlign w:val="bottom"/>
            <w:shd w:val="clear" w:color="auto" w:fill="CCEEFF"/>
          </w:tcPr>
          <w:p>
            <w:pPr>
              <w:spacing w:after="0"/>
              <w:rPr>
                <w:sz w:val="15"/>
                <w:szCs w:val="15"/>
                <w:color w:val="auto"/>
              </w:rPr>
            </w:pPr>
          </w:p>
        </w:tc>
        <w:tc>
          <w:tcPr>
            <w:tcW w:w="3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ossificans progressiva</w:t>
            </w:r>
          </w:p>
        </w:tc>
        <w:tc>
          <w:tcPr>
            <w:tcW w:w="188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trial in FOP met its</w:t>
            </w:r>
          </w:p>
        </w:tc>
        <w:tc>
          <w:tcPr>
            <w:tcW w:w="22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(fourth quarter 2025)</w:t>
            </w:r>
          </w:p>
        </w:tc>
      </w:tr>
      <w:tr>
        <w:trPr>
          <w:trHeight w:val="24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Antibody to Activin A</w:t>
            </w:r>
          </w:p>
        </w:tc>
        <w:tc>
          <w:tcPr>
            <w:tcW w:w="1560" w:type="dxa"/>
            <w:vAlign w:val="bottom"/>
            <w:shd w:val="clear" w:color="auto" w:fill="CCEEFF"/>
          </w:tcPr>
          <w:p>
            <w:pPr>
              <w:spacing w:after="0"/>
              <w:rPr>
                <w:sz w:val="21"/>
                <w:szCs w:val="21"/>
                <w:color w:val="auto"/>
              </w:rPr>
            </w:pPr>
          </w:p>
        </w:tc>
        <w:tc>
          <w:tcPr>
            <w:tcW w:w="3520" w:type="dxa"/>
            <w:vAlign w:val="bottom"/>
            <w:shd w:val="clear" w:color="auto" w:fill="CCEEFF"/>
          </w:tcPr>
          <w:p>
            <w:pPr>
              <w:ind w:left="200"/>
              <w:spacing w:after="0" w:line="243" w:lineRule="exact"/>
              <w:rPr>
                <w:sz w:val="20"/>
                <w:szCs w:val="20"/>
                <w:color w:val="auto"/>
              </w:rPr>
            </w:pPr>
            <w:r>
              <w:rPr>
                <w:rFonts w:ascii="Times New Roman" w:cs="Times New Roman" w:eastAsia="Times New Roman" w:hAnsi="Times New Roman"/>
                <w:sz w:val="28"/>
                <w:szCs w:val="28"/>
                <w:color w:val="auto"/>
                <w:vertAlign w:val="subscript"/>
              </w:rPr>
              <w:t>("FOP")</w:t>
            </w:r>
            <w:r>
              <w:rPr>
                <w:rFonts w:ascii="Times New Roman" w:cs="Times New Roman" w:eastAsia="Times New Roman" w:hAnsi="Times New Roman"/>
                <w:sz w:val="11"/>
                <w:szCs w:val="11"/>
                <w:color w:val="auto"/>
              </w:rPr>
              <w:t>(c)(d)(e)</w:t>
            </w:r>
          </w:p>
        </w:tc>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primary endpoint</w:t>
            </w:r>
          </w:p>
        </w:tc>
        <w:tc>
          <w:tcPr>
            <w:tcW w:w="2240" w:type="dxa"/>
            <w:vAlign w:val="bottom"/>
            <w:shd w:val="clear" w:color="auto" w:fill="CCEEFF"/>
          </w:tcPr>
          <w:p>
            <w:pPr>
              <w:spacing w:after="0"/>
              <w:rPr>
                <w:sz w:val="21"/>
                <w:szCs w:val="21"/>
                <w:color w:val="auto"/>
              </w:rPr>
            </w:pPr>
          </w:p>
        </w:tc>
      </w:tr>
      <w:tr>
        <w:trPr>
          <w:trHeight w:val="216"/>
        </w:trPr>
        <w:tc>
          <w:tcPr>
            <w:tcW w:w="20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p>
        </w:tc>
        <w:tc>
          <w:tcPr>
            <w:tcW w:w="156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–Obesity</w:t>
            </w:r>
            <w:r>
              <w:rPr>
                <w:rFonts w:ascii="Times New Roman" w:cs="Times New Roman" w:eastAsia="Times New Roman" w:hAnsi="Times New Roman"/>
                <w:sz w:val="23"/>
                <w:szCs w:val="23"/>
                <w:color w:val="auto"/>
                <w:vertAlign w:val="superscript"/>
              </w:rPr>
              <w:t>(n)</w:t>
            </w:r>
          </w:p>
        </w:tc>
        <w:tc>
          <w:tcPr>
            <w:tcW w:w="352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–Reported 26-week</w:t>
            </w:r>
          </w:p>
        </w:tc>
        <w:tc>
          <w:tcPr>
            <w:tcW w:w="2240" w:type="dxa"/>
            <w:vAlign w:val="bottom"/>
          </w:tcPr>
          <w:p>
            <w:pPr>
              <w:spacing w:after="0"/>
              <w:rPr>
                <w:sz w:val="18"/>
                <w:szCs w:val="18"/>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(REGN1033)</w:t>
            </w:r>
          </w:p>
        </w:tc>
        <w:tc>
          <w:tcPr>
            <w:tcW w:w="15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8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results from Phase 2</w:t>
            </w:r>
          </w:p>
        </w:tc>
        <w:tc>
          <w:tcPr>
            <w:tcW w:w="2240" w:type="dxa"/>
            <w:vAlign w:val="bottom"/>
          </w:tcPr>
          <w:p>
            <w:pPr>
              <w:spacing w:after="0"/>
              <w:rPr>
                <w:sz w:val="15"/>
                <w:szCs w:val="15"/>
                <w:color w:val="auto"/>
              </w:rPr>
            </w:pPr>
          </w:p>
        </w:tc>
      </w:tr>
      <w:tr>
        <w:trPr>
          <w:trHeight w:val="189"/>
        </w:trPr>
        <w:tc>
          <w:tcPr>
            <w:tcW w:w="2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Antibody to myostatin</w:t>
            </w:r>
          </w:p>
        </w:tc>
        <w:tc>
          <w:tcPr>
            <w:tcW w:w="15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8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study in obesity</w:t>
            </w:r>
          </w:p>
        </w:tc>
        <w:tc>
          <w:tcPr>
            <w:tcW w:w="2240" w:type="dxa"/>
            <w:vAlign w:val="bottom"/>
          </w:tcPr>
          <w:p>
            <w:pPr>
              <w:spacing w:after="0"/>
              <w:rPr>
                <w:sz w:val="16"/>
                <w:szCs w:val="16"/>
                <w:color w:val="auto"/>
              </w:rPr>
            </w:pPr>
          </w:p>
        </w:tc>
      </w:tr>
      <w:tr>
        <w:trPr>
          <w:trHeight w:val="189"/>
        </w:trPr>
        <w:tc>
          <w:tcPr>
            <w:tcW w:w="2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(GDF8)</w:t>
            </w:r>
          </w:p>
        </w:tc>
        <w:tc>
          <w:tcPr>
            <w:tcW w:w="15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0"/>
        </w:trPr>
        <w:tc>
          <w:tcPr>
            <w:tcW w:w="2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Mibavademab</w:t>
            </w:r>
            <w:r>
              <w:rPr>
                <w:rFonts w:ascii="Times New Roman" w:cs="Times New Roman" w:eastAsia="Times New Roman" w:hAnsi="Times New Roman"/>
                <w:sz w:val="20"/>
                <w:szCs w:val="20"/>
                <w:b w:val="1"/>
                <w:bCs w:val="1"/>
                <w:color w:val="auto"/>
                <w:vertAlign w:val="superscript"/>
              </w:rPr>
              <w:t>(f)(o)</w:t>
            </w:r>
          </w:p>
        </w:tc>
        <w:tc>
          <w:tcPr>
            <w:tcW w:w="1560" w:type="dxa"/>
            <w:vAlign w:val="bottom"/>
            <w:shd w:val="clear" w:color="auto" w:fill="CCEEFF"/>
          </w:tcPr>
          <w:p>
            <w:pPr>
              <w:spacing w:after="0"/>
              <w:rPr>
                <w:sz w:val="15"/>
                <w:szCs w:val="15"/>
                <w:color w:val="auto"/>
              </w:rPr>
            </w:pPr>
          </w:p>
        </w:tc>
        <w:tc>
          <w:tcPr>
            <w:tcW w:w="3520" w:type="dxa"/>
            <w:vAlign w:val="bottom"/>
            <w:shd w:val="clear" w:color="auto" w:fill="CCEEFF"/>
          </w:tcPr>
          <w:p>
            <w:pPr>
              <w:ind w:left="200"/>
              <w:spacing w:after="0" w:line="180" w:lineRule="exact"/>
              <w:rPr>
                <w:sz w:val="20"/>
                <w:szCs w:val="20"/>
                <w:color w:val="auto"/>
              </w:rPr>
            </w:pPr>
            <w:r>
              <w:rPr>
                <w:rFonts w:ascii="Times New Roman" w:cs="Times New Roman" w:eastAsia="Times New Roman" w:hAnsi="Times New Roman"/>
                <w:sz w:val="18"/>
                <w:szCs w:val="18"/>
                <w:color w:val="auto"/>
              </w:rPr>
              <w:t>–Generalized</w:t>
            </w:r>
          </w:p>
        </w:tc>
        <w:tc>
          <w:tcPr>
            <w:tcW w:w="18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184"/>
        </w:trPr>
        <w:tc>
          <w:tcPr>
            <w:tcW w:w="2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560" w:type="dxa"/>
            <w:vAlign w:val="bottom"/>
            <w:shd w:val="clear" w:color="auto" w:fill="CCEEFF"/>
          </w:tcPr>
          <w:p>
            <w:pPr>
              <w:spacing w:after="0"/>
              <w:rPr>
                <w:sz w:val="16"/>
                <w:szCs w:val="16"/>
                <w:color w:val="auto"/>
              </w:rPr>
            </w:pPr>
          </w:p>
        </w:tc>
        <w:tc>
          <w:tcPr>
            <w:tcW w:w="3520" w:type="dxa"/>
            <w:vAlign w:val="bottom"/>
            <w:shd w:val="clear" w:color="auto" w:fill="CCEEFF"/>
          </w:tcPr>
          <w:p>
            <w:pPr>
              <w:ind w:left="20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(c)(d)(e)</w:t>
            </w:r>
          </w:p>
        </w:tc>
        <w:tc>
          <w:tcPr>
            <w:tcW w:w="188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560" w:type="dxa"/>
            <w:vAlign w:val="bottom"/>
            <w:shd w:val="clear" w:color="auto" w:fill="CCEEFF"/>
          </w:tcPr>
          <w:p>
            <w:pPr>
              <w:spacing w:after="0"/>
              <w:rPr>
                <w:sz w:val="15"/>
                <w:szCs w:val="15"/>
                <w:color w:val="auto"/>
              </w:rPr>
            </w:pPr>
          </w:p>
        </w:tc>
        <w:tc>
          <w:tcPr>
            <w:tcW w:w="35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56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16"/>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REGN5381</w:t>
            </w:r>
          </w:p>
        </w:tc>
        <w:tc>
          <w:tcPr>
            <w:tcW w:w="15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–Discontinued Phase 2</w:t>
            </w:r>
          </w:p>
        </w:tc>
        <w:tc>
          <w:tcPr>
            <w:tcW w:w="2240" w:type="dxa"/>
            <w:vAlign w:val="bottom"/>
          </w:tcPr>
          <w:p>
            <w:pPr>
              <w:spacing w:after="0"/>
              <w:rPr>
                <w:sz w:val="18"/>
                <w:szCs w:val="18"/>
                <w:color w:val="auto"/>
              </w:rPr>
            </w:pPr>
          </w:p>
        </w:tc>
      </w:tr>
      <w:tr>
        <w:trPr>
          <w:trHeight w:val="184"/>
        </w:trPr>
        <w:tc>
          <w:tcPr>
            <w:tcW w:w="2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Agonist antibody to NPR1</w:t>
            </w:r>
          </w:p>
        </w:tc>
        <w:tc>
          <w:tcPr>
            <w:tcW w:w="15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8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studies in heart failure</w:t>
            </w:r>
          </w:p>
        </w:tc>
        <w:tc>
          <w:tcPr>
            <w:tcW w:w="2240" w:type="dxa"/>
            <w:vAlign w:val="bottom"/>
          </w:tcPr>
          <w:p>
            <w:pPr>
              <w:spacing w:after="0"/>
              <w:rPr>
                <w:sz w:val="16"/>
                <w:szCs w:val="16"/>
                <w:color w:val="auto"/>
              </w:rPr>
            </w:pPr>
          </w:p>
        </w:tc>
      </w:tr>
      <w:tr>
        <w:trPr>
          <w:trHeight w:val="180"/>
        </w:trPr>
        <w:tc>
          <w:tcPr>
            <w:tcW w:w="2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and uncontrolled</w:t>
            </w:r>
          </w:p>
        </w:tc>
        <w:tc>
          <w:tcPr>
            <w:tcW w:w="2240" w:type="dxa"/>
            <w:vAlign w:val="bottom"/>
          </w:tcPr>
          <w:p>
            <w:pPr>
              <w:spacing w:after="0"/>
              <w:rPr>
                <w:sz w:val="15"/>
                <w:szCs w:val="15"/>
                <w:color w:val="auto"/>
              </w:rPr>
            </w:pPr>
          </w:p>
        </w:tc>
      </w:tr>
      <w:tr>
        <w:trPr>
          <w:trHeight w:val="234"/>
        </w:trPr>
        <w:tc>
          <w:tcPr>
            <w:tcW w:w="2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hypertension</w:t>
            </w: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7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2025 Events to Date</w:t>
            </w:r>
          </w:p>
        </w:tc>
        <w:tc>
          <w:tcPr>
            <w:tcW w:w="21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2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w:t>
            </w:r>
          </w:p>
        </w:tc>
        <w:tc>
          <w:tcPr>
            <w:tcW w:w="1700" w:type="dxa"/>
            <w:vAlign w:val="bottom"/>
            <w:gridSpan w:val="2"/>
            <w:vMerge w:val="continue"/>
          </w:tcPr>
          <w:p>
            <w:pPr>
              <w:spacing w:after="0"/>
              <w:rPr>
                <w:sz w:val="20"/>
                <w:szCs w:val="20"/>
                <w:color w:val="auto"/>
              </w:rPr>
            </w:pPr>
          </w:p>
        </w:tc>
        <w:tc>
          <w:tcPr>
            <w:tcW w:w="1700" w:type="dxa"/>
            <w:vAlign w:val="bottom"/>
            <w:gridSpan w:val="2"/>
            <w:vMerge w:val="continue"/>
          </w:tcPr>
          <w:p>
            <w:pPr>
              <w:spacing w:after="0"/>
              <w:rPr>
                <w:sz w:val="20"/>
                <w:szCs w:val="20"/>
                <w:color w:val="auto"/>
              </w:rPr>
            </w:pPr>
          </w:p>
        </w:tc>
        <w:tc>
          <w:tcPr>
            <w:tcW w:w="166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1960" w:type="dxa"/>
            <w:vAlign w:val="bottom"/>
            <w:gridSpan w:val="2"/>
            <w:vMerge w:val="continue"/>
          </w:tcPr>
          <w:p>
            <w:pPr>
              <w:spacing w:after="0"/>
              <w:rPr>
                <w:sz w:val="20"/>
                <w:szCs w:val="20"/>
                <w:color w:val="auto"/>
              </w:rPr>
            </w:pPr>
          </w:p>
        </w:tc>
        <w:tc>
          <w:tcPr>
            <w:tcW w:w="21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76"/>
        </w:trPr>
        <w:tc>
          <w:tcPr>
            <w:tcW w:w="204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REGN7544</w:t>
            </w: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–Postural orthostatic</w:t>
            </w:r>
          </w:p>
        </w:tc>
        <w:tc>
          <w:tcPr>
            <w:tcW w:w="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12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("POTS")</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6"/>
        </w:trPr>
        <w:tc>
          <w:tcPr>
            <w:tcW w:w="2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–Sepsis-induced</w:t>
            </w:r>
          </w:p>
        </w:tc>
        <w:tc>
          <w:tcPr>
            <w:tcW w:w="16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hypotension</w:t>
            </w: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1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Rapirosiran (ALN-HSD)</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–Metabolic</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12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(k)</w:t>
            </w:r>
          </w:p>
        </w:tc>
        <w:tc>
          <w:tcPr>
            <w:tcW w:w="170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dysfunction-</w:t>
            </w: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vMerge w:val="continue"/>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120" w:type="dxa"/>
            <w:vAlign w:val="bottom"/>
            <w:gridSpan w:val="2"/>
            <w:vMerge w:val="continue"/>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HSD17B13</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steatohepatitis</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("MASH")</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DB-OTO</w:t>
            </w: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deficit due</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–Presented updated data</w:t>
            </w:r>
          </w:p>
        </w:tc>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–Submit BLA for hearing</w:t>
            </w:r>
          </w:p>
        </w:tc>
        <w:tc>
          <w:tcPr>
            <w:tcW w:w="0" w:type="dxa"/>
            <w:vAlign w:val="bottom"/>
          </w:tcPr>
          <w:p>
            <w:pPr>
              <w:spacing w:after="0"/>
              <w:rPr>
                <w:sz w:val="1"/>
                <w:szCs w:val="1"/>
                <w:color w:val="auto"/>
              </w:rPr>
            </w:pPr>
          </w:p>
        </w:tc>
      </w:tr>
      <w:tr>
        <w:trPr>
          <w:trHeight w:val="176"/>
        </w:trPr>
        <w:tc>
          <w:tcPr>
            <w:tcW w:w="2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 variants of the</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Phase 1/2 trial and</w:t>
            </w: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deficit due to variants of the</w:t>
            </w:r>
          </w:p>
        </w:tc>
        <w:tc>
          <w:tcPr>
            <w:tcW w:w="0" w:type="dxa"/>
            <w:vAlign w:val="bottom"/>
          </w:tcPr>
          <w:p>
            <w:pPr>
              <w:spacing w:after="0"/>
              <w:rPr>
                <w:sz w:val="1"/>
                <w:szCs w:val="1"/>
                <w:color w:val="auto"/>
              </w:rPr>
            </w:pPr>
          </w:p>
        </w:tc>
      </w:tr>
      <w:tr>
        <w:trPr>
          <w:trHeight w:val="189"/>
        </w:trPr>
        <w:tc>
          <w:tcPr>
            <w:tcW w:w="2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otoferlin gene</w:t>
            </w:r>
            <w:r>
              <w:rPr>
                <w:rFonts w:ascii="Times New Roman" w:cs="Times New Roman" w:eastAsia="Times New Roman" w:hAnsi="Times New Roman"/>
                <w:sz w:val="21"/>
                <w:szCs w:val="21"/>
                <w:color w:val="auto"/>
                <w:vertAlign w:val="superscript"/>
              </w:rPr>
              <w:t>(c)(e)(m)</w:t>
            </w: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published in </w:t>
            </w:r>
            <w:r>
              <w:rPr>
                <w:rFonts w:ascii="Times New Roman" w:cs="Times New Roman" w:eastAsia="Times New Roman" w:hAnsi="Times New Roman"/>
                <w:sz w:val="18"/>
                <w:szCs w:val="18"/>
                <w:i w:val="1"/>
                <w:iCs w:val="1"/>
                <w:color w:val="auto"/>
              </w:rPr>
              <w:t>NEJM</w:t>
            </w:r>
          </w:p>
        </w:tc>
        <w:tc>
          <w:tcPr>
            <w:tcW w:w="21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otoferlin gene (fourth</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1/2) (pivotal</w:t>
            </w: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quarter 2025)</w:t>
            </w:r>
          </w:p>
        </w:tc>
        <w:tc>
          <w:tcPr>
            <w:tcW w:w="0" w:type="dxa"/>
            <w:vAlign w:val="bottom"/>
          </w:tcPr>
          <w:p>
            <w:pPr>
              <w:spacing w:after="0"/>
              <w:rPr>
                <w:sz w:val="1"/>
                <w:szCs w:val="1"/>
                <w:color w:val="auto"/>
              </w:rPr>
            </w:pPr>
          </w:p>
        </w:tc>
      </w:tr>
      <w:tr>
        <w:trPr>
          <w:trHeight w:val="211"/>
        </w:trPr>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–FDA granted</w:t>
            </w: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Commissioner's National</w:t>
            </w: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Priority Voucher</w:t>
            </w:r>
          </w:p>
        </w:tc>
        <w:tc>
          <w:tcPr>
            <w:tcW w:w="2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240" w:right="760"/>
        <w:spacing w:after="0"/>
        <w:rPr>
          <w:sz w:val="20"/>
          <w:szCs w:val="20"/>
          <w:color w:val="auto"/>
        </w:rPr>
      </w:pPr>
      <w:r>
        <w:rPr>
          <w:rFonts w:ascii="Times New Roman" w:cs="Times New Roman" w:eastAsia="Times New Roman" w:hAnsi="Times New Roman"/>
          <w:sz w:val="16"/>
          <w:szCs w:val="16"/>
          <w:color w:val="auto"/>
        </w:rPr>
        <w:t>Note: For purposes of the table above, a program is classified in Phase 2 or 3 clinical development after recruitment for the corresponding study or studies has commenced</w:t>
      </w:r>
    </w:p>
    <w:p>
      <w:pPr>
        <w:ind w:left="400" w:hanging="165"/>
        <w:spacing w:after="0" w:line="209"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w:t>
      </w:r>
    </w:p>
    <w:p>
      <w:pPr>
        <w:spacing w:after="0" w:line="6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entitled to receive royalties on sales of the product, if any</w:t>
      </w:r>
    </w:p>
    <w:p>
      <w:pPr>
        <w:spacing w:after="0" w:line="75"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and/or Japan regulatory authorities</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2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2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Alnylam elected to opt-out of the product candidate. Under the terms of our agreement, Alnylam is entitled to receive royalties on sales of the product, if any.</w:t>
      </w:r>
    </w:p>
    <w:p>
      <w:pPr>
        <w:spacing w:after="0" w:line="64"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Under the terms of our license agreement for cemdisiran, Alnylam is entitled to receive royalties on sales (if any), as well as milestone payments</w:t>
      </w:r>
    </w:p>
    <w:p>
      <w:pPr>
        <w:spacing w:after="0" w:line="24"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w:t>
      </w:r>
    </w:p>
    <w:p>
      <w:pPr>
        <w:spacing w:after="0" w:line="64" w:lineRule="exact"/>
        <w:rPr>
          <w:rFonts w:ascii="Times New Roman" w:cs="Times New Roman" w:eastAsia="Times New Roman" w:hAnsi="Times New Roman"/>
          <w:sz w:val="21"/>
          <w:szCs w:val="21"/>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garetosmab</w:t>
      </w:r>
    </w:p>
    <w:p>
      <w:pPr>
        <w:spacing w:after="0" w:line="24" w:lineRule="exact"/>
        <w:rPr>
          <w:rFonts w:ascii="Times New Roman" w:cs="Times New Roman" w:eastAsia="Times New Roman" w:hAnsi="Times New Roman"/>
          <w:sz w:val="22"/>
          <w:szCs w:val="22"/>
          <w:color w:val="auto"/>
          <w:vertAlign w:val="superscript"/>
        </w:rPr>
      </w:pPr>
    </w:p>
    <w:p>
      <w:pPr>
        <w:ind w:left="240" w:right="100" w:hanging="5"/>
        <w:spacing w:after="0" w:line="189" w:lineRule="auto"/>
        <w:tabs>
          <w:tab w:leader="none" w:pos="417"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196" w:lineRule="auto"/>
        <w:tabs>
          <w:tab w:leader="none" w:pos="42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w:t>
      </w:r>
    </w:p>
    <w:p>
      <w:pPr>
        <w:spacing w:after="0" w:line="23" w:lineRule="exact"/>
        <w:rPr>
          <w:rFonts w:ascii="Times New Roman" w:cs="Times New Roman" w:eastAsia="Times New Roman" w:hAnsi="Times New Roman"/>
          <w:sz w:val="23"/>
          <w:szCs w:val="23"/>
          <w:color w:val="auto"/>
          <w:vertAlign w:val="superscript"/>
        </w:rPr>
      </w:pPr>
    </w:p>
    <w:p>
      <w:pPr>
        <w:ind w:left="420" w:hanging="185"/>
        <w:spacing w:after="0" w:line="182" w:lineRule="auto"/>
        <w:tabs>
          <w:tab w:leader="none" w:pos="42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Geographic atrophy also studied with cemdisiran monotherapy</w:t>
      </w:r>
    </w:p>
    <w:p>
      <w:pPr>
        <w:spacing w:after="0" w:line="24" w:lineRule="exact"/>
        <w:rPr>
          <w:rFonts w:ascii="Times New Roman" w:cs="Times New Roman" w:eastAsia="Times New Roman" w:hAnsi="Times New Roman"/>
          <w:sz w:val="22"/>
          <w:szCs w:val="22"/>
          <w:color w:val="auto"/>
          <w:vertAlign w:val="superscript"/>
        </w:rPr>
      </w:pPr>
    </w:p>
    <w:p>
      <w:pPr>
        <w:ind w:left="400" w:hanging="165"/>
        <w:spacing w:after="0" w:line="182" w:lineRule="auto"/>
        <w:tabs>
          <w:tab w:leader="none" w:pos="4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Refer to "Additional Information - Clinical Development Programs - EYLEA HD" for further details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the FDA extended the target action dates for the Company's FDA applications for EYLEA HD (pre-filled syringe, every-four-week dosing, and for the treatment of RVO). The delay resulted from observations from a July 2025 FDA general site inspection (not specific to EYLEA HD) at Catalent Indiana, LLC ("Catalent"), part of Novo Nordisk A/S, the manufacturing filler in the EYLEA HD BLA. The FDA extended the review periods after determining that the information submitted by the manufacturing filler in August 2025 to address the observations constituted a major amendment to each regulatory application.</w:t>
      </w:r>
    </w:p>
    <w:p>
      <w:pPr>
        <w:spacing w:after="0" w:line="1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October 2025, the Company was notified by Catalent that they received an official action indicated ("OAI") letter from the FDA citing unresolved issues related to a July 2025 FDA general site inspection. On October 27, 2025, the FDA issued a CRL for the pre-filled syringe sBLA. The sole approvability issue cited in the CRL relates to unresolved inspection findings at Catalent. The Company is planning to submit by January 2026 an application to include a new pre-filled syringe manufacturing filler in the EYLEA HD BLA.</w:t>
      </w:r>
    </w:p>
    <w:p>
      <w:pPr>
        <w:spacing w:after="0" w:line="1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has submitted an application to include an additional vial filler, should this be needed for approval of every-four-week dosing and RVO label enhancements, with an FDA decision regarding this new vial filler expected by late December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Itepekimab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and Sanofi announced that a Phase 3 trial, AERIFY-1, in adults who were former smokers with inadequately controlled COPD met the primary endpoint of significantly reducing moderate or severe acute exacerbations by 27% compared to placebo at week 52, a clinically meaningful benefit. A second Phase 3 trial, AERIFY-2, did not meet the same primary endpoint, although a benefit was seen earlier in the trial. The safety profile of itepekimab observed in the Phase 3 trials was consistent with prior clinical trials. The Company and Sanofi are evaluating next steps.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Fianlimab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a pre-planned interim analysis was conducted on two ongoing Phase 2/3 studies evaluating the combination of fianlimab and cemiplimab in first-line advanced NSCLC. Due to limited follow-up, the Phase 2 portion of the studies will continue unchanged until additional data are available. The next analyses for these studies are expected in the first half of 2026, at which time a decision whether to advance to Phase 3 is expected to be made. No new safety signals were observed in either study.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Ordspono (odronextamab)</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30, 2025, the FDA issued a CRL for the BLA for odronextamab in relapsed/refractory follicular lymphoma after two or more lines of systemic therapy, which was also impacted by the Catalent Indiana LLC site inspection (as described in the "EYLEA HD" section above).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collaborating with Sanofi on the global development and commercialization of Dupixent, Kevzara, and itepekimab (the "Antibody Collaboration"). Under the terms of the Antibody Collaboration, Sanofi is generally responsible for funding 80% to 100% of agreed-upon development costs. We are obligated to reimburse Sanofi for 30% to 50% of development expenses that were funded by Sanofi based on our share of collaboration profits; however, we are only required to apply 20% of our share of profits from the collaboration each calendar quarter to reimburse Sanofi for these development expenses. As of September 30, 2025, the total amount of our contingent reimbursement obligation to Sanofi (i.e., "development balance") in connection with such development expenses was approximately $905 million.</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collaboration agreement, Sanofi records product sales for commercialized products, and we have the right to co-commercialize such products on a country-by-country basis. We co-commercialize Dupixent in the United States and in certain countries outside the United States. We supply certain commercial bulk product to Sanofi. We and Sanofi equally share profits from sales within the United States, and share profits outside the United States on a sliding scale based on sales starting at 65% (Sanofi)/35% (us) and ending at 55% (Sanofi)/45% (us).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global development and commercialization of EYLEA 8 mg and EYLEA outside the United States. Agreed-upon development expenses incurred by the Company and Bayer are generally shared equally. Bayer is responsible for commercialization activities outside the United States, and the companies share equally in profits from such sales.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collaboration, the parties perform discovery research until designation of lead candidates. Following designation of a lead candidate, the parties may further advance such lead candidate under either a co-development and co-commercialization agreement or a license agreement. The initial target nomination and discovery period of five years has been automatically extended until the earlier of seven years from the effective date of the collaboration or the achievement of certain milestones (the "Research Term"). In addition, we have an option to extend the Research Term for an additional five-year period for a research extension fee of $300.0 million.</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 small interfering RNA ("siRNA") therapeutic targeting the C5 component of the human complement pathway) as a monotherapy and for a combination consisting of cemdisiran and pozelimab.</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and Intellia Therapeutics, Inc. are parties to a license and collaboration agreement to advance CRISPR/Cas9 gene-editing technology for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therapeutic development, including therapies focused on neurological and muscular diseases. We have the right to select targets under the license and collaboration agreement until April 2026.</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be entitled to 25% of any profits.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Hansoh</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our license agreement with Hansoh Pharmaceuticals Group Company Limited to acquire development and commercial rights outside of mainland China, Hong Kong, and Macau for HS-20094 (a dual GLP-1/GIP receptor agonist currently in Phase 3 clinical development in China) became effective. In-licensing a late-stage GLP-1/GIP agonist enables us to study combinations with our products and product candidates in order to address muscle loss and potentially other comorbidities of obesity, such as cardiovascular diseases, diabetes, and liver conditions. Under the terms of the agreement, we made an $80.0 million up-front payment in July 2025. In addition, we are obligated to make additional payments upon achievement of development, regulatory, and sales milestones, as well as a low double-digit royalty on sales.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our products, including EYLEA HD and Dupixent. We expect to continue to incur substantial expenses related to our research and development activities, and our research and development activities and related costs which are not reimbursed by collaborators are expected to expand and require additional resources. We also expect to incur substantial costs related to the commercialization of our marketed products. Our financial results may fluctuate from</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38"/>
        </w:trPr>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Borders>
              <w:bottom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10,458.6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7,760.6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7,412.3</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1,489.0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3,821.8</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526.7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48"/>
        </w:trPr>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3,660.3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3,494.9</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7"/>
        </w:trPr>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59"/>
        </w:trPr>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2"/>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0" w:type="dxa"/>
            <w:vAlign w:val="bottom"/>
          </w:tcPr>
          <w:p>
            <w:pPr>
              <w:spacing w:after="0"/>
              <w:rPr>
                <w:sz w:val="18"/>
                <w:szCs w:val="18"/>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EYLEA HD - 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3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EYLEA - U.S.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1,144.6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(1,405.8)</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1,536.9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Libtayo - U.S.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Libtayo - ROW</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Praluent - U.S.</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Evkeeza - U.S.</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Inmazeb - U.S.</w:t>
            </w:r>
          </w:p>
        </w:tc>
        <w:tc>
          <w:tcPr>
            <w:tcW w:w="18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products - Global</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Pr>
          <w:p>
            <w:pPr>
              <w:spacing w:after="0"/>
              <w:rPr>
                <w:sz w:val="19"/>
                <w:szCs w:val="19"/>
                <w:color w:val="auto"/>
              </w:rPr>
            </w:pPr>
          </w:p>
        </w:tc>
      </w:tr>
      <w:tr>
        <w:trPr>
          <w:trHeight w:val="223"/>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1,946.4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4,634.3</w:t>
            </w:r>
          </w:p>
        </w:tc>
        <w:tc>
          <w:tcPr>
            <w:tcW w:w="100" w:type="dxa"/>
            <w:vAlign w:val="bottom"/>
          </w:tcPr>
          <w:p>
            <w:pPr>
              <w:spacing w:after="0"/>
              <w:rPr>
                <w:sz w:val="19"/>
                <w:szCs w:val="19"/>
                <w:color w:val="auto"/>
              </w:rPr>
            </w:pPr>
          </w:p>
        </w:tc>
        <w:tc>
          <w:tcPr>
            <w:tcW w:w="1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5,626.3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360" w:type="dxa"/>
            <w:vAlign w:val="bottom"/>
          </w:tcPr>
          <w:p>
            <w:pPr>
              <w:spacing w:after="0"/>
              <w:rPr>
                <w:sz w:val="19"/>
                <w:szCs w:val="19"/>
                <w:color w:val="auto"/>
              </w:rPr>
            </w:pPr>
          </w:p>
        </w:tc>
      </w:tr>
      <w:tr>
        <w:trPr>
          <w:trHeight w:val="270"/>
        </w:trPr>
        <w:tc>
          <w:tcPr>
            <w:tcW w:w="380" w:type="dxa"/>
            <w:vAlign w:val="bottom"/>
          </w:tcPr>
          <w:p>
            <w:pPr>
              <w:spacing w:after="0"/>
              <w:rPr>
                <w:sz w:val="23"/>
                <w:szCs w:val="23"/>
                <w:color w:val="auto"/>
              </w:rPr>
            </w:pPr>
          </w:p>
        </w:tc>
        <w:tc>
          <w:tcPr>
            <w:tcW w:w="378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60" w:type="dxa"/>
            <w:vAlign w:val="bottom"/>
          </w:tcPr>
          <w:p>
            <w:pPr>
              <w:spacing w:after="0"/>
              <w:rPr>
                <w:sz w:val="23"/>
                <w:szCs w:val="23"/>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Sanofi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1,263.4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Bayer</w:t>
            </w: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3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360" w:type="dxa"/>
            <w:vAlign w:val="bottom"/>
          </w:tcPr>
          <w:p>
            <w:pPr>
              <w:spacing w:after="0"/>
              <w:rPr>
                <w:sz w:val="19"/>
                <w:szCs w:val="19"/>
                <w:color w:val="auto"/>
              </w:rPr>
            </w:pPr>
          </w:p>
        </w:tc>
      </w:tr>
      <w:tr>
        <w:trPr>
          <w:trHeight w:val="248"/>
        </w:trPr>
        <w:tc>
          <w:tcPr>
            <w:tcW w:w="380" w:type="dxa"/>
            <w:vAlign w:val="bottom"/>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6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635"/>
        </w:trPr>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58"/>
        </w:trPr>
        <w:tc>
          <w:tcPr>
            <w:tcW w:w="3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product sales of EYLEA HD increased for the three and nine months ended September 30, 2025, compared to the same periods in 2024, due to higher sales volumes, partly offset by a lower net selling price.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of EYLEA for the three and nine months ended September 30, 2025, compared to the same periods in 2024, were negatively impacted by</w:t>
      </w:r>
    </w:p>
    <w:p>
      <w:pPr>
        <w:spacing w:after="0" w:line="27" w:lineRule="exact"/>
        <w:rPr>
          <w:sz w:val="20"/>
          <w:szCs w:val="20"/>
          <w:color w:val="auto"/>
        </w:rPr>
      </w:pPr>
    </w:p>
    <w:p>
      <w:pPr>
        <w:ind w:firstLine="8"/>
        <w:spacing w:after="0" w:line="260"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volumes as a result of continued competitive pressures (as described below), loss in market share to compounded bevacizumab due to patient affordability constraints, and the continued transition of patients to EYLEA HD, and (ii) a lower net selling price.</w:t>
      </w:r>
    </w:p>
    <w:p>
      <w:pPr>
        <w:spacing w:after="0" w:line="1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We are substantially dependent on the success of EYLEA, EYLEA HD, and Dupixent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In addition, if independent not-for-profit 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funds that provide copay assistance are unable to support eligible patients, this will likely have a continued negative impact on patient affordability resulting in lower utilization of higher-cost anti-VEGF agents.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24"/>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4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r>
      <w:tr>
        <w:trPr>
          <w:trHeight w:val="229"/>
        </w:trPr>
        <w:tc>
          <w:tcPr>
            <w:tcW w:w="440" w:type="dxa"/>
            <w:vAlign w:val="bottom"/>
          </w:tcPr>
          <w:p>
            <w:pPr>
              <w:spacing w:after="0"/>
              <w:rPr>
                <w:sz w:val="19"/>
                <w:szCs w:val="19"/>
                <w:color w:val="auto"/>
              </w:rPr>
            </w:pPr>
          </w:p>
        </w:tc>
        <w:tc>
          <w:tcPr>
            <w:tcW w:w="58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48"/>
        </w:trPr>
        <w:tc>
          <w:tcPr>
            <w:tcW w:w="440" w:type="dxa"/>
            <w:vAlign w:val="bottom"/>
          </w:tcPr>
          <w:p>
            <w:pPr>
              <w:spacing w:after="0"/>
              <w:rPr>
                <w:sz w:val="21"/>
                <w:szCs w:val="21"/>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r>
      <w:tr>
        <w:trPr>
          <w:trHeight w:val="20"/>
        </w:trPr>
        <w:tc>
          <w:tcPr>
            <w:tcW w:w="44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620" w:right="1400"/>
        <w:spacing w:after="0" w:line="204" w:lineRule="auto"/>
        <w:tabs>
          <w:tab w:leader="none" w:pos="79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52"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8"/>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8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0" w:type="dxa"/>
            <w:vAlign w:val="bottom"/>
          </w:tcPr>
          <w:p>
            <w:pPr>
              <w:spacing w:after="0"/>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0" w:type="dxa"/>
            <w:vAlign w:val="bottom"/>
          </w:tcPr>
          <w:p>
            <w:pPr>
              <w:spacing w:after="0"/>
              <w:rPr>
                <w:sz w:val="1"/>
                <w:szCs w:val="1"/>
                <w:color w:val="auto"/>
              </w:rPr>
            </w:pPr>
          </w:p>
        </w:tc>
      </w:tr>
      <w:tr>
        <w:trPr>
          <w:trHeight w:val="22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bl>
    <w:p>
      <w:pPr>
        <w:ind w:left="740" w:hanging="174"/>
        <w:spacing w:after="0"/>
        <w:tabs>
          <w:tab w:leader="none" w:pos="7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Sanofi" above for additional details on our contingent reimbursement obligation</w:t>
      </w:r>
    </w:p>
    <w:p>
      <w:pPr>
        <w:spacing w:after="0" w:line="2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increase in our share of profits for the three and nine months ended September 30, 2025, compared to the same periods in 2024, was driven by higher profits associated with an increase in Dupixent sales.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63"/>
        </w:trPr>
        <w:tc>
          <w:tcPr>
            <w:tcW w:w="4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4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440" w:type="dxa"/>
            <w:vAlign w:val="bottom"/>
          </w:tcPr>
          <w:p>
            <w:pPr>
              <w:spacing w:after="0"/>
              <w:rPr>
                <w:sz w:val="19"/>
                <w:szCs w:val="19"/>
                <w:color w:val="auto"/>
              </w:rPr>
            </w:pPr>
          </w:p>
        </w:tc>
        <w:tc>
          <w:tcPr>
            <w:tcW w:w="5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w:t>
            </w:r>
          </w:p>
        </w:tc>
      </w:tr>
      <w:tr>
        <w:trPr>
          <w:trHeight w:val="230"/>
        </w:trPr>
        <w:tc>
          <w:tcPr>
            <w:tcW w:w="440" w:type="dxa"/>
            <w:vAlign w:val="bottom"/>
          </w:tcPr>
          <w:p>
            <w:pPr>
              <w:spacing w:after="0"/>
              <w:rPr>
                <w:sz w:val="19"/>
                <w:szCs w:val="19"/>
                <w:color w:val="auto"/>
              </w:rPr>
            </w:pPr>
          </w:p>
        </w:tc>
        <w:tc>
          <w:tcPr>
            <w:tcW w:w="58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48"/>
        </w:trPr>
        <w:tc>
          <w:tcPr>
            <w:tcW w:w="440" w:type="dxa"/>
            <w:vAlign w:val="bottom"/>
          </w:tcPr>
          <w:p>
            <w:pPr>
              <w:spacing w:after="0"/>
              <w:rPr>
                <w:sz w:val="21"/>
                <w:szCs w:val="21"/>
                <w:color w:val="auto"/>
              </w:rPr>
            </w:pPr>
          </w:p>
        </w:tc>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r>
      <w:tr>
        <w:trPr>
          <w:trHeight w:val="20"/>
        </w:trPr>
        <w:tc>
          <w:tcPr>
            <w:tcW w:w="4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620" w:right="1400"/>
        <w:spacing w:after="0" w:line="204" w:lineRule="auto"/>
        <w:tabs>
          <w:tab w:leader="none" w:pos="79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and we and Bayer share profits on such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 mg and EYLEA outside the United States is summarized below:</w:t>
      </w:r>
    </w:p>
    <w:p>
      <w:pPr>
        <w:spacing w:after="0" w:line="266"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8"/>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384.2</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1,061.5</w:t>
            </w:r>
          </w:p>
        </w:tc>
        <w:tc>
          <w:tcPr>
            <w:tcW w:w="12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1,103.7</w:t>
            </w:r>
          </w:p>
        </w:tc>
        <w:tc>
          <w:tcPr>
            <w:tcW w:w="0" w:type="dxa"/>
            <w:vAlign w:val="bottom"/>
          </w:tcPr>
          <w:p>
            <w:pPr>
              <w:spacing w:after="0"/>
              <w:rPr>
                <w:sz w:val="1"/>
                <w:szCs w:val="1"/>
                <w:color w:val="auto"/>
              </w:rPr>
            </w:pPr>
          </w:p>
        </w:tc>
      </w:tr>
      <w:tr>
        <w:trPr>
          <w:trHeight w:val="176"/>
        </w:trPr>
        <w:tc>
          <w:tcPr>
            <w:tcW w:w="5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1,054.5</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 net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bl>
    <w:p>
      <w:pPr>
        <w:ind w:left="800" w:hanging="180"/>
        <w:spacing w:after="0"/>
        <w:tabs>
          <w:tab w:leader="none" w:pos="80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Bayer" above for additional details on our contingent reimbursement obligation</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our share of profits for the three and nine months ended September 30, 2025, compared to the same periods in 2024, was driven by lower profits associated with a decrease in EYLEA sales outside the United States.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 increased for the three and nine months ended September 30, 2025, compared to the same periods in 2024. Other revenue included royalties and share of profits earned in connection with license agreements of $165.4 million and $90.7 million for the three months ended September 30, 2025 and 2024, respectively, and $353.0 million and $207.5 million for the nine months ended September 30, 2025 and 2024, respectively.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2"/>
        </w:trPr>
        <w:tc>
          <w:tcPr>
            <w:tcW w:w="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3"/>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headcount data)</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60" w:type="dxa"/>
            <w:vAlign w:val="bottom"/>
          </w:tcPr>
          <w:p>
            <w:pPr>
              <w:spacing w:after="0"/>
              <w:rPr>
                <w:sz w:val="19"/>
                <w:szCs w:val="19"/>
                <w:color w:val="auto"/>
              </w:rPr>
            </w:pPr>
          </w:p>
        </w:tc>
        <w:tc>
          <w:tcPr>
            <w:tcW w:w="442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30"/>
        </w:trPr>
        <w:tc>
          <w:tcPr>
            <w:tcW w:w="60" w:type="dxa"/>
            <w:vAlign w:val="bottom"/>
          </w:tcPr>
          <w:p>
            <w:pPr>
              <w:spacing w:after="0"/>
              <w:rPr>
                <w:sz w:val="19"/>
                <w:szCs w:val="19"/>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9"/>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29"/>
        </w:trPr>
        <w:tc>
          <w:tcPr>
            <w:tcW w:w="60" w:type="dxa"/>
            <w:vAlign w:val="bottom"/>
          </w:tcPr>
          <w:p>
            <w:pPr>
              <w:spacing w:after="0"/>
              <w:rPr>
                <w:sz w:val="19"/>
                <w:szCs w:val="19"/>
                <w:color w:val="auto"/>
              </w:rPr>
            </w:pPr>
          </w:p>
        </w:tc>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8"/>
        </w:trPr>
        <w:tc>
          <w:tcPr>
            <w:tcW w:w="6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r>
              <w:rPr>
                <w:rFonts w:ascii="Times New Roman" w:cs="Times New Roman" w:eastAsia="Times New Roman" w:hAnsi="Times New Roman"/>
                <w:sz w:val="18"/>
                <w:szCs w:val="18"/>
                <w:u w:val="single" w:color="auto"/>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r>
              <w:rPr>
                <w:rFonts w:ascii="Times New Roman" w:cs="Times New Roman" w:eastAsia="Times New Roman" w:hAnsi="Times New Roman"/>
                <w:sz w:val="18"/>
                <w:szCs w:val="18"/>
                <w:u w:val="single" w:color="auto"/>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r>
              <w:rPr>
                <w:rFonts w:ascii="Times New Roman" w:cs="Times New Roman" w:eastAsia="Times New Roman" w:hAnsi="Times New Roman"/>
                <w:sz w:val="18"/>
                <w:szCs w:val="18"/>
                <w:u w:val="single" w:color="auto"/>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0"/>
        </w:trPr>
        <w:tc>
          <w:tcPr>
            <w:tcW w:w="6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headcount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r>
    </w:tbl>
    <w:p>
      <w:pPr>
        <w:spacing w:after="0" w:line="11" w:lineRule="exact"/>
        <w:rPr>
          <w:sz w:val="20"/>
          <w:szCs w:val="20"/>
          <w:color w:val="auto"/>
        </w:rPr>
      </w:pPr>
    </w:p>
    <w:p>
      <w:pPr>
        <w:ind w:left="400" w:hanging="165"/>
        <w:spacing w:after="0"/>
        <w:tabs>
          <w:tab w:leader="none" w:pos="40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64"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manufacturing drug supplies for collaborators and others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included stock-based compensation expense of $237.0 million and $225.1 million for the three months ended September 30, 2025 and 2024, respectively, and $744.4 million and $678.4 million for the nine months ended September 30, 2025 and 2024,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10"/>
              <w:spacing w:after="0" w:line="228"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30"/>
              <w:spacing w:after="0" w:line="228" w:lineRule="exact"/>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HD (aflibercept) 8 mg</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Trevogrumab</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76"/>
        </w:trPr>
        <w:tc>
          <w:tcPr>
            <w:tcW w:w="44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4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50"/>
        </w:trPr>
        <w:tc>
          <w:tcPr>
            <w:tcW w:w="4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50"/>
        </w:trPr>
        <w:tc>
          <w:tcPr>
            <w:tcW w:w="4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70"/>
        </w:trPr>
        <w:tc>
          <w:tcPr>
            <w:tcW w:w="44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176"/>
        </w:trPr>
        <w:tc>
          <w:tcPr>
            <w:tcW w:w="4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70"/>
        </w:trPr>
        <w:tc>
          <w:tcPr>
            <w:tcW w:w="44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ind w:left="280" w:hanging="92"/>
        <w:spacing w:after="0" w:line="215" w:lineRule="auto"/>
        <w:tabs>
          <w:tab w:leader="none" w:pos="28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$125.1 million and $123.7 million for the three months ended September 30, 2025 and 2024, respectively, and $405.1 million and $369.1 million for the nine months ended September 30, 2025 and 2024, respectively.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three and nine months ended September 30, 2025 included an $80.0 million up-front payment in connection with our license agreement with Hansoh Pharmaceuticals Group Company Limited.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three and nine months ended September 30, 2024 included a $45.0 million development milestone in connection with our collaboration agreement with Sonoma Biotherapeutics,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and nine months ended September 30, 2025, compared to the same periods in 2024, primarily due to lower charitable contributions to an independent not-for-profit patient assistance organization. Selling, general, and administrative expenses included stock-based compensation expense of $92.0 million and $83.1 million for the three months ended September 30, 2025 and 2024, respectively, and $279.0 million and $251.9 million for the nine months ended September 30, 2025 and 2024,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51"/>
        </w:trPr>
        <w:tc>
          <w:tcPr>
            <w:tcW w:w="12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1280" w:type="dxa"/>
            <w:vAlign w:val="bottom"/>
          </w:tcPr>
          <w:p>
            <w:pPr>
              <w:spacing w:after="0"/>
              <w:rPr>
                <w:sz w:val="19"/>
                <w:szCs w:val="19"/>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1280" w:type="dxa"/>
            <w:vAlign w:val="bottom"/>
          </w:tcPr>
          <w:p>
            <w:pPr>
              <w:spacing w:after="0"/>
              <w:rPr>
                <w:sz w:val="19"/>
                <w:szCs w:val="19"/>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760.5</w:t>
            </w:r>
          </w:p>
        </w:tc>
      </w:tr>
      <w:tr>
        <w:trPr>
          <w:trHeight w:val="287"/>
        </w:trPr>
        <w:tc>
          <w:tcPr>
            <w:tcW w:w="128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w:t>
            </w:r>
          </w:p>
        </w:tc>
      </w:tr>
    </w:tbl>
    <w:p>
      <w:pPr>
        <w:spacing w:after="0" w:line="9" w:lineRule="exact"/>
        <w:rPr>
          <w:sz w:val="20"/>
          <w:szCs w:val="20"/>
          <w:color w:val="auto"/>
        </w:rPr>
      </w:pPr>
    </w:p>
    <w:p>
      <w:pPr>
        <w:ind w:left="1460" w:right="1540" w:hanging="3"/>
        <w:spacing w:after="0" w:line="199" w:lineRule="auto"/>
        <w:tabs>
          <w:tab w:leader="none" w:pos="1634"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margin on net product sales decreased for the three and nine months ended September 30, 2025, compared to the same periods in 2024, partly due to ongoing investments to support our manufacturing operations. In addition, gross margin on net product sales decreased due to higher amortization expense associated with our Libtayo intangible asset as each quarter we record additions to the intangible asset related to royalties due to Sanofi.</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Expense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(income) expense, net, for the nine months ended September 30, 2024 reflected a charge of $37.9 million related to the increase in the estimated fair value of the contingent consideration liability recognized in connection with our 2023 acquisition of Decibel Therapeutics, Inc.</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51"/>
        </w:trPr>
        <w:tc>
          <w:tcPr>
            <w:tcW w:w="1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3020" w:type="dxa"/>
            <w:vAlign w:val="bottom"/>
            <w:gridSpan w:val="5"/>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0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3020" w:type="dxa"/>
            <w:vAlign w:val="bottom"/>
            <w:gridSpan w:val="5"/>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28"/>
        </w:trPr>
        <w:tc>
          <w:tcPr>
            <w:tcW w:w="1040" w:type="dxa"/>
            <w:vAlign w:val="bottom"/>
          </w:tcPr>
          <w:p>
            <w:pPr>
              <w:spacing w:after="0"/>
              <w:rPr>
                <w:sz w:val="19"/>
                <w:szCs w:val="19"/>
                <w:color w:val="auto"/>
              </w:rPr>
            </w:pPr>
          </w:p>
        </w:tc>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0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102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1020" w:type="dxa"/>
            <w:vAlign w:val="bottom"/>
          </w:tcPr>
          <w:p>
            <w:pPr>
              <w:spacing w:after="0"/>
              <w:rPr>
                <w:sz w:val="19"/>
                <w:szCs w:val="19"/>
                <w:color w:val="auto"/>
              </w:rPr>
            </w:pPr>
          </w:p>
        </w:tc>
      </w:tr>
      <w:tr>
        <w:trPr>
          <w:trHeight w:val="229"/>
        </w:trPr>
        <w:tc>
          <w:tcPr>
            <w:tcW w:w="1040" w:type="dxa"/>
            <w:vAlign w:val="bottom"/>
          </w:tcPr>
          <w:p>
            <w:pPr>
              <w:spacing w:after="0"/>
              <w:rPr>
                <w:sz w:val="19"/>
                <w:szCs w:val="19"/>
                <w:color w:val="auto"/>
              </w:rPr>
            </w:pPr>
          </w:p>
        </w:tc>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20" w:type="dxa"/>
            <w:vAlign w:val="bottom"/>
          </w:tcPr>
          <w:p>
            <w:pPr>
              <w:spacing w:after="0"/>
              <w:rPr>
                <w:sz w:val="19"/>
                <w:szCs w:val="19"/>
                <w:color w:val="auto"/>
              </w:rPr>
            </w:pPr>
          </w:p>
        </w:tc>
      </w:tr>
      <w:tr>
        <w:trPr>
          <w:trHeight w:val="223"/>
        </w:trPr>
        <w:tc>
          <w:tcPr>
            <w:tcW w:w="10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7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1020" w:type="dxa"/>
            <w:vAlign w:val="bottom"/>
          </w:tcPr>
          <w:p>
            <w:pPr>
              <w:spacing w:after="0"/>
              <w:rPr>
                <w:sz w:val="19"/>
                <w:szCs w:val="19"/>
                <w:color w:val="auto"/>
              </w:rPr>
            </w:pPr>
          </w:p>
        </w:tc>
      </w:tr>
      <w:tr>
        <w:trPr>
          <w:trHeight w:val="21"/>
        </w:trPr>
        <w:tc>
          <w:tcPr>
            <w:tcW w:w="10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790"/>
        </w:trPr>
        <w:tc>
          <w:tcPr>
            <w:tcW w:w="10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58"/>
        </w:trPr>
        <w:tc>
          <w:tcPr>
            <w:tcW w:w="10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4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326.9</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0"/>
                <w:szCs w:val="20"/>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17.2%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July 4, 2025, bill H.R. 1, commonly referred to as the "One Big Beautiful Bill Act" or "OBBBA," was signed into law, with certain provisions effective in 2025 and others in 2026. The OBBBA significantly revises U.S. corporate income tax laws by, among other things, restoring the option for immediate expense recognition for U.S.-based research and development expenditures and making permanent the ability to claim first-year bonus depreciation on qualified property. The OBBBA also modifies U.S. taxation on foreign earnings by, among other things, changing the tax rates for global intangible low-taxed income (now known as Net CFC Tested Income) and foreign-derived intangible income (now known as foreign-derived deduction eligible income), modifying the allocation of expenses in calculating foreign tax credits, as well as changing foreign tax credit limitations. As a result of the OBBBA being signed into law, we recognized a charge of $44.5 million in the third quarter of 2025 related to the re-measurement of our U.S. net deferred tax assets.</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2025 was positively impacted, compared to the U.S. federal statutory rate, primarily by income earned in foreign jurisdictions with tax rates lower than the U.S. federal statutory rate and federal tax credits for research activities, partially offset by the impact of the OBBBA being signed into law. In addition, our effective tax rate for the nine months ended September 30, 2025 was positively impacted by the release of liabilities for uncertain tax positions recognized upon the effective settlement of the IRS audit of our 2017 and 2018 federal income tax returns in the second quarter of 2025, which reduced our effective tax rate for the nine months ended September 30, 2025 by 1.4%.</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our effective tax rate for the three and nine months ended September 30, 2025, compared to the same periods in 2024, was primarily impacted by the net change in uncertain tax positions, as well as lower tax benefits from less stock option exercises and the enactment of the OBBBA.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75" w:lineRule="exact"/>
        <w:rPr>
          <w:sz w:val="20"/>
          <w:szCs w:val="20"/>
          <w:color w:val="auto"/>
        </w:rPr>
      </w:pPr>
    </w:p>
    <w:tbl>
      <w:tblPr>
        <w:tblLayout w:type="fixed"/>
        <w:tblInd w:w="138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8"/>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w:t>
            </w: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23"/>
        </w:trPr>
        <w:tc>
          <w:tcPr>
            <w:tcW w:w="38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w:t>
            </w:r>
          </w:p>
        </w:tc>
      </w:tr>
      <w:tr>
        <w:trPr>
          <w:trHeight w:val="270"/>
        </w:trPr>
        <w:tc>
          <w:tcPr>
            <w:tcW w:w="3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3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23"/>
        </w:trPr>
        <w:tc>
          <w:tcPr>
            <w:tcW w:w="38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14,716.6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also had borrowing availability of $750.0 million under a revolving credit facility.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 for the Nine Months Ended September 30, 2025 and 2024</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42"/>
        </w:trPr>
        <w:tc>
          <w:tcPr>
            <w:tcW w:w="12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12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3"/>
        </w:trPr>
        <w:tc>
          <w:tcPr>
            <w:tcW w:w="1240" w:type="dxa"/>
            <w:vAlign w:val="bottom"/>
          </w:tcPr>
          <w:p>
            <w:pPr>
              <w:spacing w:after="0"/>
              <w:rPr>
                <w:sz w:val="19"/>
                <w:szCs w:val="19"/>
                <w:color w:val="auto"/>
              </w:rPr>
            </w:pPr>
          </w:p>
        </w:tc>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1240" w:type="dxa"/>
            <w:vAlign w:val="bottom"/>
          </w:tcPr>
          <w:p>
            <w:pPr>
              <w:spacing w:after="0"/>
              <w:rPr>
                <w:sz w:val="18"/>
                <w:szCs w:val="18"/>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1240" w:type="dxa"/>
            <w:vAlign w:val="bottom"/>
          </w:tcPr>
          <w:p>
            <w:pPr>
              <w:spacing w:after="0"/>
              <w:rPr>
                <w:sz w:val="19"/>
                <w:szCs w:val="19"/>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2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3,157.7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r>
      <w:tr>
        <w:trPr>
          <w:trHeight w:val="229"/>
        </w:trPr>
        <w:tc>
          <w:tcPr>
            <w:tcW w:w="1240" w:type="dxa"/>
            <w:vAlign w:val="bottom"/>
          </w:tcPr>
          <w:p>
            <w:pPr>
              <w:spacing w:after="0"/>
              <w:rPr>
                <w:sz w:val="19"/>
                <w:szCs w:val="19"/>
                <w:color w:val="auto"/>
              </w:rPr>
            </w:pPr>
          </w:p>
        </w:tc>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(2,818.7)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w:t>
            </w:r>
          </w:p>
        </w:tc>
      </w:tr>
      <w:tr>
        <w:trPr>
          <w:trHeight w:val="234"/>
        </w:trPr>
        <w:tc>
          <w:tcPr>
            <w:tcW w:w="124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2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(1,065.0)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2025 included costs incurred in connection with the expansion of our research, preclinical manufacturing, and support facilities at our Tarrytown, New York corporate headquarters. We expect to incur capital expenditures of $850 million to $890 million for the full year of 2025.</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for intangible assets for the nine months ended September 30, 2025 included $155.0 million related to our purchase of an FDA Rare Pediatric Disease Priority Review Voucher from a third party in the second quarter of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of April 2024 and February 2025, our board of directors authorized an additional share repurchase program for up to $3.0 billion of our Common Stock (up to $6.0 billion in the aggregate). The programs have no time limit and can be discontinued at any time. As of September 30, 2025, $2.156 billion remained available for share repurchases under the programs.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first, second, and third quarters of 2025, our board of directors declared quarterly cash dividends of $0.88 per share on our Common Stock and Class A Stock. Each quarterly dividend was paid to our shareholders in the quarter in which the dividend was declared.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October 2025, our board of directors declared a cash dividend of $0.88 per share on our Common Stock and Class A Stock. The dividend will be payable on December 5, 2025 to our shareholders of record as of November 20,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2024 (filed February 5, 2025). There have been no material changes to critical accounting estimates during the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this report for a description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2024 (filed February 5, 2025). There have been no material changes to our market risks or to our management of such risks as of September 30, 2025.</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September 30, 2025 that has materially affected, or is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Securities and Exchange Commission ("SEC") before making an investment decision regarding Regeneron.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EYLEA, EYLEA HD,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pricing regulations and requirements, and our pricing strategy could change due to various factors beyond our control, such as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products is costly, time-consuming, and highly uncertain.</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62" w:lineRule="exact"/>
        <w:rPr>
          <w:sz w:val="20"/>
          <w:szCs w:val="20"/>
          <w:color w:val="auto"/>
        </w:rPr>
      </w:pPr>
    </w:p>
    <w:p>
      <w:pPr>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a potential regulatory approval,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would adversely affect our ability to supply our products.</w:t>
      </w:r>
    </w:p>
    <w:p>
      <w:pPr>
        <w:jc w:val="both"/>
        <w:ind w:left="660" w:hanging="328"/>
        <w:spacing w:after="0" w:line="253"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48" w:lineRule="exact"/>
        <w:rPr>
          <w:sz w:val="20"/>
          <w:szCs w:val="20"/>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and retain key members of our senior management team, including leaders in our research, development, manufacturing, and commercial organizations.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the success of EYLEA, EYLEA HD, and Dupixent.</w:t>
      </w: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the success of EYLEA and EYLEA HD. EYLEA net product sales have historically represented a substantial portion of our revenues, and we expect that there will continue to be a concentration of our net sales from the net product sales of EYLEA HD and EYLEA. For the nine months ended September 30, 2025 and 2024, our aggregate EYLEA HD and EYLEA net product sales in the United States represented 32% and 43% of our total revenues, respectively. For the nine months ended September 30, 2025, EYLEA HD U.S. net product sales represented 34% of our aggregate EYLEA HD and EYLEA U.S. net product sales. As we further commercialize EYLEA HD, we expect that our dependence on EYLEA HD will grow relative to our historical dependence on EYLEA. If we experience difficulty with the commercialization of EYLEA HD or EYLEA in the United States or if Bayer experiences any difficulty with the commercialization of EYLEA HD or EYLEA outside the United States, if EYLEA net product sales experience a sustained decline in or outside the United States without an offset from EYLEA HD net product sales,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Commercialization of EYLEA and EYLEA HD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the three and nine months ended September 30, 2025, EYLEA U.S. net product sales declined by 41% and 39%, respectively, compared to the corresponding periods in 2024 as a result of competitive pressures and other factors described under Part I, Item 2. "Management's Discussion and Analysis of Financial Condition and Results of Operations – Results of Operations." Following the expiration of the U.S. regulatory exclusivity period for EYLEA (i.e., the period during which no biosimilar product can be approved by the FDA) in May 2024, several biosimilar versions of EYLEA have been approved by the FDA, and one such product has launched in the United States. EYLEA and/or EYLEA HD net product sales recorded by us are likely to continue to be negatively impacted by biosimilar competition in the United States, which may have a material adverse impact on our results of operations. In addition, we expect that competition for EYLEA outside the United States will continue to increase as biosimilar versions of EYLEA (including those already approved but not yet launched) are brought to market in additional countries, which may negatively</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6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impact the amount of collaboration revenue we earn from Bayer. While we expect certain regulatory decisions relevant to further commercialization of EYLEA HD as shown in the table under Part I, Item 2. "Management's Discussion and Analysis of Financial Condition and Results of Operations - Overview - Programs in Clinical Development" and further discussed under Part I, Item 2. "Management's Discussion and Analysis of Financial Condition and Results of Operations - Overview - Additional Information - Clinical Development Programs - EYLEA HD," there can be no assurance that any such milestones will be achieved in the currently anticipated time frame or at all and, if achieved, that they will help accelerate the ongoing launch and further commercialization of EYLEA HD. The degree to which EYLEA HD net product sales may offset further potential decreases in EYLEA net product sales, resulting from the factors discussed above or otherwise, is uncertain.</w:t>
      </w:r>
    </w:p>
    <w:p>
      <w:pPr>
        <w:spacing w:after="0" w:line="1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Antibody Collaboration with Sanofi. For the nine months ended September 30, 2025 and 2024, Sanofi collaboration revenue (most of which is attributable to our share of profits from the commercialization of Dupixent) represented 41% and 32%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9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and EYLEA HD,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(particularly those launched recently, such as EYLEA HD) seen in a broader patient group (i.e., real-world use);</w:t>
      </w: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of our products and in clinical trials for our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pharmaceutical manufacturing facilities;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EYLEA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proceedings initiated or joined by the U.S. Department of Justice and the U.S. Attorney's Office for the District of Massachusetts);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for the products' currently approved indications in the United States, EU, Japan, and other countries. If we or our collaborators fail to maintain regulatory compliance or satisfy other obligations for such products' currently approved indications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and EYLEA HD)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three and nine months ended September 30, 2025, as further described under Part I, Item 2. "Management's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Results of Operations."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currently marketed products and most of our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the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establish sufficient commercial capabilities outside the United States for products we intend to commercialize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these and other commercialization-related risks in order for us to successfully maintain and/or further develop sufficient commercial capabilities outside the United States (including those necessary for our successful commercialization and co-commercialization of Libtayo and Dupixent, respectively).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reimbursement and coverage policies and practices, pricing regulations and requirements, and our pricing strategy could change due to various factors beyond our control, which may adversely impact our business, prospects, operating results, and financial condition.</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100" w:lineRule="exact"/>
        <w:rPr>
          <w:sz w:val="20"/>
          <w:szCs w:val="20"/>
          <w:color w:val="auto"/>
        </w:rPr>
      </w:pPr>
    </w:p>
    <w:p>
      <w:pPr>
        <w:jc w:val="both"/>
        <w:ind w:left="660" w:hanging="328"/>
        <w:spacing w:after="0" w:line="23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Starting in 2023 and 2026, the government is authorized to select Part D and Part B drugs, respectively, for inclusion in the Medicare Drug Price Negotiation Program, with established prices to go into effect for selected Part D drugs in 2026 and for selected Part B drugs in 2028, in each case absent certain disqualifying events.</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full extent to which the policy changes described above will ultimately impact reimbursement levels of our marketed products, including those covered under Medicare Part B (such as EYLEA and EYLEA HD), or our product candidates that may be covered under Medicare Part B or Medicare Part D in the future, is currently unclear. In addition, the current U.S. administration is pursuing other measures to reduce the cost of drugs in the United States. For example, a recent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(commonly referred to as "most-favored-nation" ("MFN") pricing). On July 31, 2025, as a follow-up to this executive order, President Trump sent a letter to several pharmaceutical companies (including Regeneron) requesting that within the next 60 days they, among other matters, provide their existing drugs at MFN rates to Medicaid patients, guarantee MFN pricing for newly launched drugs, and provide for direct-to-consumer and direct-to-business distribution models for high-volume, high-rebate prescription drugs. In addition, a prior executive order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It is currently unclear how and to what extent these measures may be implemented and what impact any such implementation would have on our Company.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price and marketing cost disclosure and transparency measures, and measures that could impact the availability of the ceiling price under the federal government's 340B program (see also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 In some cases,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our marketed products. Economic pressure on state budgets may also have a similar impact.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0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EYLEA and EYLEA HD. </w:t>
      </w:r>
      <w:r>
        <w:rPr>
          <w:rFonts w:ascii="Times New Roman" w:cs="Times New Roman" w:eastAsia="Times New Roman" w:hAnsi="Times New Roman"/>
          <w:sz w:val="18"/>
          <w:szCs w:val="18"/>
          <w:color w:val="auto"/>
        </w:rPr>
        <w:t>EYLEA and EYLEA HD face significant competition in the marketplace. For example, each of EYLEA and EYLEA HD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a biosimilar version of Lucentis commercialized in the United States by Biogen Inc. In addition, biosimilar versions of EYLEA have been approved and/or launched both in and outside the United States, including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(launched in the United States in the fourth quarter of 2024). We are aware of several other companies developing biosimilar versions of EYLEA, EYLEA HD, and/or other approved anti-VEGF treatments. We expect that biosimilar competition for EYLEA will continue to increase as additional biosimilar versions of EYLEA are launched in the United States and other countries, the timing of which will depend on, among other factors, the outcome of the pending patent litigation proceedings and the settlement terms of the previously pending litigation proceedings described in Note 12 to our Condensed Consolidated Financial Statements included in this report and the expiration of the patents protecting EYLEA (including those set forth under Part I - Item 1. "Business - Patents, Trademarks, and Trade Secrets" of our Annual Report on Form 10-K for the fiscal year ended December 31, 2024 (filed February 5, 2025)). Ophthalmologists are also using off-label, third-party repackaged versions of Genentech/Roche's approved VEGF antagonist, bevacizumab, for the treatment of certain of EYLEA's and EYLEA HD's respective indications, and we are aware of another company developing an ophthalmic formulation of such product that has been approved in the EU. In DME (and, in the case of EYLEA, also RVO), EYLEA and EYLEA HD also compete with intravitreal implants of corticosteroids. We are also aware of a number of companies working on the development of product candidates and extended delivery devices for the potential treatment of one or more of EYLEA's and EYLEA HD's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3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approved by the FDA in August 2023 for the treatment of wAMD, DME, and DR and entered the highly competitive environment described above. Our success in commercializing EYLEA HD will continue to depend on a number of factors, including the degree of success and relative timing of our commercial launch and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antibodies against other targets, including OX40(L), that may compete with Dupixent in atopic dermatitis and other indications (including asthma and/or prurigo nodularis). In asthma, competitors to Dupixent include antibodies against the IL-5 ligand or the IL-5 receptor, immunoglobulin E, or thymic stromal lymphopoietin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asthma, COPD, and potential future indications, including antibodies against the IL-33 ligand or receptor. Dupixent also faces competition from inhaled products in asthma, COPD, and potential future indications.</w:t>
      </w:r>
    </w:p>
    <w:p>
      <w:pPr>
        <w:spacing w:after="0" w:line="10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Sun Pharma's Unloxcyt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also significant actual and potential future competition for other products marketed or otherwise commercialized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our collaborators under our collaboration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and oral small molecules) against PCSK9, ANGPTL3 and IL-6 and/or IL-6R, which currently (or, for product candidates in development, may in the future if approved) treat the same conditions as Praluent, Evkeeza, and Kevzara,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chimeric antigen receptor T cell (CAR-T cell), and gene therapy technologies. For example, we are aware of other pharmaceutical and biotechnology companies actively engaged in the research and development of antibody-based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exercised our option under the Antibody Collaboration to co-commercialize Dupixent in certain jurisdictions outside the United States, we continue to rely in considerable part on Sanofi's sales and marketing organization in such jurisdictions. As described in Note 12 to our Condensed Consolidated Financial Statements included in this report, we have sued Sanofi and certain of its affiliated entities (the "Antibody Collaboration Litigation") alleging that the defendants breached certain provisions of the agreement governing the Antibody Collaboration (the "Collaboration Agreement"). These provisions concern Sanofi's obligation to provide Regeneron with full access to material information relating to the commercialization of Dupixent or other products commercialized pursuant to the Collaboration Agreement and Regeneron's audit rights under the Collaboration Agreement. It is not possible to determine what impact (if any) the Antibody Collaboration Litigation may have on the Antibody Collaboration and our business relationship with Sanofi, or whether we will be successful in the Antibody Collaboration Litigation.</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Product reimbursement and coverage policies and practices, pricing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a recent executive order has directed the Secretary of the HHS to take appropriate steps to facilitate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the nine months ended September 30, 2025 and 2024, our product sales to two distributor customers accounted on a combined basis for 77% and 75% of our total gross product revenue, respectively. We expect significant distributor customer concentration to continue for the foreseeable future. Our ability to generate and grow sales of these products will depend, in part, on the extent to which our distributor customers are able to provide adequate distribution of these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w:t>
      </w:r>
    </w:p>
    <w:p>
      <w:pPr>
        <w:spacing w:after="0" w:line="11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sufficient commercial capabilities outside the United States for products we intend to commercialize or co-commercialize outside the United States, our business, prospects, operating results, and financial condition may be adversely affected.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connection with our acquisition of the exclusive right to develop, commercialize, and manufacture Libtayo worldwide pursuant to the 2022 Amended and Restated Immuno-oncology License and Collaboration Agreement with Sanofi (the "A&amp;R IO LCA") and the exercise of our option under the Antibody Collaboration to co-commercialize Dupixent in certain jurisdictions outside the United States,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other products independently; we are unable to find an appropriate collaborator; or an existing collaborator decides to opt out or breaches its obligations to us with respect to a particular product.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products is costly, time-consuming, and highly uncertain. If we or our 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and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we intend to sell. We must obtain and maintain similar regulatory approvals from comparable foreign regulatory authorities in order to sell drugs outside the United States. Obtaining FDA or comparable foreign regulatory authority approval for a new drug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depending on what the FDA considers necessary for the safe use of the drug.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more resources. It is also possible that any such additional studies or analyses, if performed and completed, may not be considered sufficient by the FDA to make our applications approvable. If any of these outcomes occur, we may be forced to delay or abandon our applications for approval. For example, in October 2023, the FDA issued a CRL for the sBLA for Dupixent in CSU stating that additional efficacy data are required to support an approval, which delayed by nearly 18 months the FDA's April 2025 approval of Dupixent in this indication.</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or Phase 4 studies), labeling changes based on new safety information, and compliance with FDA-approved REMS.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 labeling, restrictions on use, product withdrawal or recall, loss of approval, or lower sales of our products. Obligations equivalent in scope, but which can vary widely in application, apply in countries outside the United States.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includes standard review and priority review. While the FDA has performance goals that provide for action on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the recently announced and any future reductions of staffing or other resources at the FDA, as discussed further below).</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functioning of the FDA has been in the past and may in the future be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recent efforts to reduce the size and budgets of U.S. government agencies, downsize the federal workforce, and restructure parts of the executive branch of the federal government have directly or indirectly impacted agencies that support research and development activities or are otherwise important to our business, including the HHS and the FDA.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the recent reductions in communication and policymaking roles) may negatively impact the transparency of agency actions, lead to modifications in FDA approval requirements, and alter the FDA's existing guidance pertinent to the development strategy for our products and product candidates. In addition, the U.S. government has shut down multiple times in the past (including the shutdown that started on October 1, 2025 and continues as of the date of this report) and certain regulatory agencies, such as the FDA, had to furlough employees and stop some of their activities. A prolonged government shutdown (including prolonged continuation of the current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or priority review, where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cannot guarantee we would be successful in obtaining beneficial regulatory designations by the FDA or other regulatory agencies. Even if obtained, such designations may not result in faster development processes, reviews, or approvals compared to drugs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BLA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thus delaying any potential FDA approval. See Part I, Item 2. "Management's Discussion and Analysis of Financial Condition and Results of Operations - Overview - Additional Information - Clinical Development Programs - Ordspono (odronextamab)" regarding the current status of the FDA's review of this program.</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Before approving a new drug or biologic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biological products and their facilities are subject to payment of substantial user fees and continual review and periodic inspections by the FDA and other regulatory authorities for compliance with cGMP regulations and adherence to any commitments made in the applicable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any potential FDA approval of odronextamab in this indication; and the October 2025 CRL concerning the Company's regulatory application for the EYLEA HD pre-filled syringe (as described in Part I, Item</w:t>
      </w:r>
    </w:p>
    <w:p>
      <w:pPr>
        <w:spacing w:after="0" w:line="11" w:lineRule="exact"/>
        <w:rPr>
          <w:sz w:val="20"/>
          <w:szCs w:val="20"/>
          <w:color w:val="auto"/>
        </w:rPr>
      </w:pPr>
    </w:p>
    <w:p>
      <w:pPr>
        <w:jc w:val="both"/>
        <w:ind w:firstLine="8"/>
        <w:spacing w:after="0" w:line="252" w:lineRule="auto"/>
        <w:tabs>
          <w:tab w:leader="none" w:pos="18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 Overview - Additional Information - Clinical Development Programs - EYLEA HD"), which has delayed further any potential FDA approval of the EYLEA HD pre-filled syringe.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noncompliance with the requirements and regulations described in this paragraph.</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BLA or foreign equivalent is obligated to monitor and report adverse events and any failure of a product to meet the specifications in the BLA. The holder of an approved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countries outside the U.S. grant similar powers to the competent authorities and impose similar obligations on companies.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countries outside the United States. The foreign regulatory approval process is similarly a lengthy and expensive process, the result of which is highly uncertain, and foreign regulatory requirements include all of the risks associated with FDA approval as well as country specific regulations. We and our collaborators must maintain regulatory compliance for the products we or they commercialize in countries outside the United States. From time to time, we may hold a product's marketing approval in a jurisdiction outside the United States where we may have less experience and where our regulatory capabilities may be more limited; for example, this is now the case for Libtayo in many jurisdictions outside the United States (including Europe and Japan) due to the transition under the A&amp;R IO LCA discussed above. In addition, actions by a regulatory agency in a country or region with respect to a product candidate may have an impact on the approval process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that product candidate in another country or region. Foreign regulatory authorities may ask for additional data in order to begin a clinical study, including Phase 3 clinical trials required to submit a Marketing Authorization Application ("MAA") in the EU. In addition, such authorities often have the authority to require post-approval studies, such as a post-authorization safety study ("PASS") and/or a post-authorization efficacy study ("PAES"), which involve various risks similar to those described above. Whether or not we obtain FDA approval for a product in the United States, we must obtain approval of the product by the comparable regulatory authorities in countries outside the United States before we can market that product or any other product in those countries.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countries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we may be at risk of our clinical trials being closed prematurely, our marketing authorization being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not make it 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Good Laboratory Practice requirements ("GLPs") or GCPs. A clinical trial may also fail because the dose(s) of the investigational drug included in the trial were either too low or too high to determine the optimal effect of the investigational drug in the disease setting.</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that are not present in the United States, such as armed conflict and economic embargoes or boycotts. For example, we and our collaborators are currently conducting and may in the future conduct or initiate clinical trials with sites in Russia, Ukraine, and/or Israel. While we currently do not expect the Russia-Ukraine or Hamas-Israel armed conflict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some of our products and product candidates (such as Libtayo)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to expand our research and development capabilities in the future. Expanding our research and laboratory facilities may require significant time and resources. Further, we may be unable to pursue our research and development efforts if the relevant facility were to cease operations due to fire, climate change, natural disasters, acts of war or terrorism, or other disruptions. Any related delays may interfere with our research and development efforts and our business may be adversely impacted.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had been obtained in earlier trials. For example, in May 2025, we and Sanofi announced that one of two Phase 3 trials evaluating itepekimab in adults who were former smokers with inadequately controlled COPD did not meet its primary endpoint, as further described under Part I, Item 2. "Management's Discussion and Analysis of Financial Condition and Results of Operations - Overview - Additional Information - Clinical Development Programs."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EYLEA and EYLEA HD, there are many potential safety concerns associated with significant blockade of VEGF that may limit our ability to further successfully commercialize EYLEA and EYLEA HD.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retinal tear, and retinal vasculitis), which can cause injury to the eye and other complications. The side effects previously reported for aflibercept include conjunctival hemorrhage, macular degeneration, eye pain, retinal hemorrhage, and vitreous floaters. While the safety of EYLEA HD was similar to EYLEA in clinical trials, it is possible that the use of EYLEA HD outside the clinical trial setting may yield different outcomes or patient experiences. In addition, commercialization of EYLEA and EYLEA HD or our other products and potential future commercialization of our product candidates may be impacted by actions of third parties on which we rely, such as manufacturers of syringes or other devices used in the administration of our products. These and other complications or issues or side effects could harm further development and/or commercialization of EYLEA and EYLEA HD.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Dupixent and Libtayo are being studied in additional indications, as shown in the table under Part I, Item 2. "Management's Discussion and Analysis of Financial Condition and Results of Operations - Overview - Programs in Clinical Development." There is no guarantee that the safety data from these trials will be consistent with the known Dupixent and Libtayo safety profiles (as applicable) or that regulatory approval of Dupixent or Libtayo (as applicable) in any of these indications will be successfully obtained. The side effects previously reported for Dupixent include severe allergic reactions, eye problems (including eye pain or changes in vision), joint aches and pain, parasitic (helminth) infections, facial rash or redness, and inflammation of blood vessels in the skin; and the side effects previously reported for Libtayo include certain immune-mediated adverse reactions that may occur in any organ system or tissue, including pneumonitis, colitis, hepatitis, endocrinopathies, nephritis, and dermatologic reactions, as well as infusion-related reactions, cellulitis, sepsis, pneumonia, urinary tract infection, fatigue, rash, and diarrhea. These and other complications or side effects could harm further development and/or commercialization of Dupixent and Libtayo (as applicable).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also are risks inherent in subcutaneous injections (which are used for administering most of our antibody-based products and product candidates), such as injection-site reactions (including redness, itching, swelling, pain, and tenderness) and other side effects. In addition, there are risks inherent in intravenous administration (which are used for some of our antibody-based products and product candidates), such as infusion-related reactions (including nausea, pyrexia, rash, and dyspnea). These and other complications or side effects could harm further development and/or commercialization of our antibody-based products and product candidates utilizing this method of administration.</w:t>
      </w:r>
    </w:p>
    <w:p>
      <w:pPr>
        <w:spacing w:after="0" w:line="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 may form the opinion after review of an application that the application is insufficient to allow approval of a drug-delivery device. For example, in October 2025, the FDA issued a CRL for the EYLEA HD pre-filled syringe, which has delayed further any potential FDA approval of the EYLEA HD pre-filled syringe. The timing of any potential resolution of the approvability issue cited in the CRL or any potential FDA approval of the EYLEA HD pre-filled syringe is uncertain. See Part I, Item 2. "Management's Discussion and Analysis of Financial Condition and Results of Operations - Overview - Additional Information - Clinical Development Programs - EYLEA HD" for more information.</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For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example, certain of our U.S. patents (including those pertaining to our key products, such as EYLEA and EYLEA HD)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(see Note 12 to our Condensed Consolidated Financial Statements included in this report for additional information).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Such opposition proceedings are increasingly common in Europe and are costly to defend. For example, certain of our European patents, including those pertaining to EYLEA and Dupixent, are subject to opposition proceedings before the European Patent Office (the "EPO") and/or patent offices of various European countries (see Note 12 to our Condensed Consolidated Financial Statements included in this report for additional information). We have pending patent applications in the United States Patent and Trademark Office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March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as described in Note 12 to our Condensed Consolidated Financial Statements included in this report.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federal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innovative drugs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 A number of jurisdictions outside the United States (such as the EU) have also established abbreviated pathways for regulatory approval of biological products that are biosimilar to earlier versions of biological products.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increased likelihood of biosimilar competition has exacerbated the risk of loss of innovators' market exclusivity. It is also not possible to predict changes in United States regulatory law that might reduce biological product regulatory exclusivity. Due to this risk, and uncertainties regarding patent protection, it is not possible to predict the length of market exclusivity for any particular product we currently or may in the future commercialize with certainty based solely on the expiration of the relevant patent(s) or the current forms of regulatory exclusivity. Biosimilar versions of EYLEA have been recently approved and/or launched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 above. As an EYLEA biosimilar has been launched in the United States following the expiration of the U.S. regulatory exclusivity period for EYLEA (i.e., the period during which no biosimilar product could be approved by the FDA) in May 2024, EYLEA no longer has U.S. market exclusivity. Similarly, as EYLEA biosimilars have also been recently launched in certain jurisdictions outside the United States, EYLEA no longer has market exclusivity in those jurisdictions. In addition, as EYLEA HD does not benefit from regulatory exclusivity in the United States, market exclusivity for EYLEA HD in the United States is 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protect the 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revenues from product sales of that product and thus our financial results and condition and could have a material negative impact on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has exacerbated, and this or other public health outbreaks, epidemics, or pandemics may in the future further exacerbate, certain of these risks. For example, the impact of having to prioritize certain manufacturing-related resources for our COVID-19 monoclonal antibodies in recent years included, among other things, drawing down inventory safety stock levels for certain of our other products (including Dupixent and EYLEA).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as required by regulatory authorities. In addition, we may need to develop or acquire additional manufacturing capabilities to the extent we or our collaborators pursue the development of drugs generated by means other than our existing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 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carry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would adversely affect our ability to supply our products.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products and most of our product candidates are biologics, they require processing steps that are more difficult than those required for many other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 between Russia and Ukraine).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if the previously proposed federal legislation known as the BIOSECURE Act or a similar law were to be enacted. See also "Other Regulatory and Litigation Risks - </w:t>
      </w:r>
      <w:r>
        <w:rPr>
          <w:rFonts w:ascii="Times New Roman" w:cs="Times New Roman" w:eastAsia="Times New Roman" w:hAnsi="Times New Roman"/>
          <w:sz w:val="18"/>
          <w:szCs w:val="18"/>
          <w:i w:val="1"/>
          <w:iCs w:val="1"/>
          <w:color w:val="auto"/>
        </w:rPr>
        <w:t>We face risks associated with tariffs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trade restrictions, which may have a material adverse impact on our results of operations and financial condition</w:t>
      </w:r>
      <w:r>
        <w:rPr>
          <w:rFonts w:ascii="Times New Roman" w:cs="Times New Roman" w:eastAsia="Times New Roman" w:hAnsi="Times New Roman"/>
          <w:sz w:val="18"/>
          <w:szCs w:val="18"/>
          <w:color w:val="auto"/>
        </w:rPr>
        <w:t>" below. In any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we may not 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candidates at our facilities in Rensselaer, New York and Limerick, Ireland, there are increased risks associated with cGMP compliance. Recently,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has in the past required us, and could in the future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 We have recently received several CRLs from the FDA for regulatory submissions concerning our products or product candidates due to the FDA's findings from inspections at third-party manufacturers responsible for filling drug product,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 If we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 Significant noncompliance with the requirements discussed in this paragraph could also result in the imposition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monetary penalties or other civil or criminal sanctions and damage our reputation.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testing, manufacturing, marketing, and sale of drugs for use in people expose us to product liability risk. Any informed consent or waivers obtained from people who enroll in our clinical trials may not protect us from liability or the cost of litigation. From time to time, we are subject to claims by patients that they have been injured by a side effect associated (or alleged to be associated) with one of our products or product candidates. Any such product liability claim, regardless of merit, may be costly and time consuming to investigate and defend and may have a negative impact on our reputation or business, including the degree to which we or our collaborators are able to successfully commercialize the applicable product or, if regulatory approval is obtained, product candidate.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or our collaborators are unable to continue to successfully commercialize our products, our business, prospects,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and financial condition will be materially harmed</w:t>
      </w:r>
      <w:r>
        <w:rPr>
          <w:rFonts w:ascii="Times New Roman" w:cs="Times New Roman" w:eastAsia="Times New Roman" w:hAnsi="Times New Roman"/>
          <w:sz w:val="18"/>
          <w:szCs w:val="18"/>
          <w:color w:val="auto"/>
        </w:rPr>
        <w:t>" above. We may face product liability claims and be found responsible even if injury arises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("DTC") advertising, certain communications regarding unapproved uses, industry-sponsored scientific and educational activities, and sales representatives' communications. The current U.S. administration, HHS, and FDA have recently announced an initiative intended to ensure transparency and accuracy in DTC prescription drug advertisements through a series of reforms that are expected to include FDA rulemaking, additional enforcement action, and expanded regulatory oversight of social media promotional activities. Failure to comply with applicable FDA requirements and restrictions in the area of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that could have a significant commercial</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impact, including civil and criminal fines and agreements that materially restrict the manner in which a company promotes or distributes a drug. Any such failures could also cause significant reputational harm. The FDA may take enforcement action for promoting unapproved uses of a product or other violations of its advertising laws and regulations. The applicable regulations in countries outside the U.S. grant similar powers to the competent authorities and impose similar obligations on companies.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the PPACA, the federal government requires that pharmaceutical manufacturers record any "transfers of value" made to U.S. licensed physicians and teaching hospitals as well as ownership and investment interests held by physicians and their immediate family members. Information provided by companies is aggregated and posted annually on an "Open Payments" website, which is managed by CMS, the agency responsible for implementing these disclosure requirements. Applicable manufacturers also are required to report information regarding payments and transfers of value provided to physician assistants, nurse practitioners, clinical nurse specialists, certified nurse anesthetists, anesthesiologist assistants, and certified nurse-midwives. We also have similar reporting obligations in other countries based on laws, regulations, and/or industry trade association requirements.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Veterans Affairs ("VA") Federal Supply Schedule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of Regeneron's Annual Report on Form 10-K for the fiscal year ended December 31, 2024 (filed February 5, 2025) for additional information on these programs.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In September 2024, CMS modified the regulations governing the Medicaid Drug Rebate Program, which could further increase our costs and the complexity of compliance, impact rebate liabilities, and be time-consuming to implement. Other regulations and coverage expansion by various governmental agencies relating to the Medicaid Drug Rebate program may have a similar impact.</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restrict the number of third-party contract pharmacies that can dispense drugs that manufacturers sell to 340B covered entities. The outcome of this litigation may change the scope of the 340B program in the coming years. Any charge by HRSA that we have violated the requirements of the program or the regulation could negatively impact our operating results. Moreover,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could affect the average sales price calculations for our products and the resulting Medicare payment rate, and could negatively impact our results of operations.</w:t>
      </w:r>
    </w:p>
    <w:p>
      <w:pPr>
        <w:spacing w:after="0" w:line="54"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investigation or enforcement action, could be expensive and time-consuming, and could have a material adverse effect on our business, financial condition, results of operations, and future prospects.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and co-commercialization capabilities in certain jurisdictions outside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1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in April 2023, the European Commission published a proposal to replace the current pharmaceutical legislative framework in the EU. While it is uncertain whether such proposal will be adopted in its current form, there may ultimately be a number of changes to the current regulatory framework in the EU, including a reduction of the data protection and market exclusivity periods provided thereby.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coverage policies and 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the current U.S. administration is pursuing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various measures to reduce the cost of drugs in 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(including prolonged continuation of the current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 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products is costly, time-consuming, and highly uncertain. If we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certain jurisdictions outside the United States in connection with our acquisition of the exclusive right to develop, commercialize, and manufacture Libtayo worldwide pursuant to the A&amp;R IO LCA; and we perform co-commercialization activities under the Antibody Collaboration related to Dupixent in certain jurisdictions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1" w:lineRule="exact"/>
        <w:rPr>
          <w:sz w:val="20"/>
          <w:szCs w:val="20"/>
          <w:color w:val="auto"/>
        </w:rPr>
      </w:pPr>
    </w:p>
    <w:p>
      <w:pPr>
        <w:jc w:val="both"/>
        <w:ind w:left="660" w:hanging="328"/>
        <w:spacing w:after="0" w:line="257"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or Hamas-Israel armed conflict;</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the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has recently imposed significant tariffs on imports from other countries, including a baseline tariff of 10% on imports into the United States and higher tariffs on multiple designated countries, such as "reciprocal" tariffs at varying rates. Such tariffs have prompted retaliatory measures from several countries, which may further escalate. Certain of these tariffs have been subsequently paused or modified, and the situation remains fluid. While pharmaceutical products are currently excluded from the baseline and "reciprocal" tariffs imposed by the United States, such tariffs still apply to the raw materials and other products necessary for the manufacture and formulation of our marketed products and product candidates. In addition, the U.S. Department of Commerce has initiated an investigation under Section 232 of the Trade Expansion Act of 1962, as amended, to determine the effects of importing pharmaceuticals and pharmaceutical ingredients on national security. This investigation may lead to the imposition of tariffs on pharmaceutical imports, consistent with the current U.S. administration's stated policy objective of reshoring pharmaceutical manufacturing to the United States. Further, the United States and the EU recently announced the framework of a trade agreement that is expected to impose a 15% tariff on most imports from the EU, including pharmaceutical products. However, the details of this trade agreement remain uncertain, including whether and to what extent such agreement may be impacted by the results of the Section 232 investigation.</w:t>
      </w:r>
    </w:p>
    <w:p>
      <w:pPr>
        <w:spacing w:after="0" w:line="1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recently approved OBBBA (as discussed further in Note 8 to our Condensed Consolidated Financial Statements included in this report), could materially adversely impact our effective tax rate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 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EU's General Data Protection Regulations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Furthermore, negative posts or comments about us or our products in social media could seriously damage our reputation, brand image, and goodwill.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artificial intelligence ("AI")-based solutions in various facets of our operations and continue to explore further use cases for AI. The use of AI solutions by our employees or third parties on which we rely may lead to the impermissible use or public disclosure of sensitive data. 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Any of these events could have a material adverse effect on our business, prospects, operating results, and financial condition and could adversely affect the price of our Common Stock.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With respect to the products and product candidates that we are co-developing with Sanofi under our Antibody Collaboration (currently consisting of Dupixent, Kevzara, and itepekimab), Sanofi initially funds a significant portion of development expenses incurred in connection with the development of these products and product candidates. In addition, we rely on Sanofi to lead much of the clinical development efforts, assist with or lead efforts to obtain and maintain regulatory approvals, and lead the commercialization efforts for these products and product candidates.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it is co-developing and/or co-commercializing with us, our ability to develop, manufacture, and commercialize these products and product candidates may be adversely affected. As described in Note 12 to our Condensed Consolidated Financial Statements included in this report, we have commenced the Antibody Collaboration Litigation against Sanofi and certain of its affiliated entities. It is not possible to determine what impact (if any) the Antibody Collaboration Litigation may have on the Antibody Collaboration and our business relationship with Sanofi, or whether we will be successful in the Antibody Collaboration Litigation.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establish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Antibody Collaboration may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new and additional risks to the successful development and commercialization of the products and product candidates subject to such collaborations, particularly outside the United States.</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establish sufficient commercial capabilities outside the United States for products we intend to commercialize or co-commercialize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 Bayer collaboration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would create substantial new and additional risks to the successful commercialization of EYLEA HD and EYLEA.</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 the manufacture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4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 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September 30, 2025, we had an aggregate of $2.706 billion of outstanding indebtedness under our senior unsecured notes and the lease financing facility. We may also incur additional debt in the future. Any such indebtedness could:</w:t>
      </w:r>
    </w:p>
    <w:p>
      <w:pPr>
        <w:spacing w:after="0" w:line="10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 For example, as previously reported, the amount of our share of profits we earned in connection with commercialization of antibodies outside the United States was adversely impacted in 2022 by the U.S. dollar strengthening against foreign currencies, including the Japanese yen and the euro.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2025, we had $2.506 billion in cash and cash equivalents and $16.223 billion in marketable securities (including $700.8 million in equity securities).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by the applicable issuer. If any of our investments suffer market price declines, such declines may have an adverse effect on our financial condition and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57"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price. For example, in January 2025, a putative class action civil complaint was filed against the Company and certain current and former executive officers of the Company asserting violations of federal securities laws, as further described in Note 12 to our Condensed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2025, our five largest shareholders plus Dr. Schleifer, our Chief Executive Officer, beneficially owned approximately 31.9% of our outstanding shares of Common Stock, assuming, in the case of our Chief Executive Officer, the conversion of his Class A Stock into Common Stock and the exercise of all options held by him which are exercisable within 60 days of September 30, 2025.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2025, our board of directors authorized our most recent share repurchase program to repurchase up to $3.0 billion of our Common Stock (of which $2.156 billion remained available as of September 30, 2025). In February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2025, holders of Class A Stock held 14.9%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2025:</w:t>
      </w:r>
    </w:p>
    <w:p>
      <w:pPr>
        <w:spacing w:after="0" w:line="106" w:lineRule="exact"/>
        <w:rPr>
          <w:sz w:val="20"/>
          <w:szCs w:val="20"/>
          <w:color w:val="auto"/>
        </w:rPr>
      </w:pPr>
    </w:p>
    <w:p>
      <w:pPr>
        <w:jc w:val="both"/>
        <w:ind w:left="660" w:hanging="328"/>
        <w:spacing w:after="0" w:line="254"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5.4% of our outstanding shares of Common Stock, assuming conversion of their Class A Stock into Common Stock and the exercise of all options and release of all restricted stock units held by such persons which are exercisable or releasable within 60 days of September 30, 2025, and 17.6% of the combined voting power of our outstanding shares of Common Stock and Class A Stock, assuming the exercise of all options and release of all restricted stock units held by such persons which are exercisable or releasable within 60 days of September 30, 2025; and</w:t>
      </w:r>
    </w:p>
    <w:p>
      <w:pPr>
        <w:spacing w:after="0" w:line="3"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31.9% of our outstanding shares of Common Stock, assuming, in the case of our Chief Executive Officer, the conversion of his Class A Stock into Common Stock and the exercise of all options held by him which are exercisable within 60 days of September 30, 2025. In addition, these five shareholders plus our Chief Executive Officer held approximately 40.3% of the combined voting power of our outstanding shares of Common Stock and Class A Stock, assuming the exercise of all options held by our Chief Executive Officer which are exercisable within 60 days of September 30, 2025.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right="20" w:hanging="328"/>
        <w:spacing w:after="0" w:line="265"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staggered board of directors (which, pursuant to an amendment to our certificate of incorporation approved by shareholders in June 2025, will be phased out beginning in 2026 and result in the annual election of all of our directors commencing with the 2028 annual meeting of shareholders);</w:t>
      </w: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September 30, 2025. Refer to Part I, Item 2. "Management's Discussion and Analysis of Financial Condition and Results of Operations – Liquidity and Capital Resources" for further details of our share repurchase programs.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20" w:type="dxa"/>
            <w:vAlign w:val="bottom"/>
          </w:tcPr>
          <w:p>
            <w:pPr>
              <w:spacing w:after="0"/>
              <w:rPr>
                <w:sz w:val="15"/>
                <w:szCs w:val="15"/>
                <w:color w:val="auto"/>
              </w:rPr>
            </w:pPr>
          </w:p>
        </w:tc>
        <w:tc>
          <w:tcPr>
            <w:tcW w:w="20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6"/>
        </w:trPr>
        <w:tc>
          <w:tcPr>
            <w:tcW w:w="1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1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7/1/2025–7/31/2025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551.95</w:t>
            </w:r>
          </w:p>
        </w:tc>
        <w:tc>
          <w:tcPr>
            <w:tcW w:w="1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2,532.1</w:t>
            </w:r>
          </w:p>
        </w:tc>
        <w:tc>
          <w:tcPr>
            <w:tcW w:w="0" w:type="dxa"/>
            <w:vAlign w:val="bottom"/>
          </w:tcPr>
          <w:p>
            <w:pPr>
              <w:spacing w:after="0"/>
              <w:rPr>
                <w:sz w:val="1"/>
                <w:szCs w:val="1"/>
                <w:color w:val="auto"/>
              </w:rPr>
            </w:pPr>
          </w:p>
        </w:tc>
      </w:tr>
      <w:tr>
        <w:trPr>
          <w:trHeight w:val="22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8/1/2025–8/31/2025</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280,477</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573.15</w:t>
            </w:r>
          </w:p>
        </w:tc>
        <w:tc>
          <w:tcPr>
            <w:tcW w:w="1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280,470</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2,371.4</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9/1/2025–9/30/2025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382,586</w:t>
            </w:r>
          </w:p>
        </w:tc>
        <w:tc>
          <w:tcPr>
            <w:tcW w:w="5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569.96</w:t>
            </w:r>
          </w:p>
        </w:tc>
        <w:tc>
          <w:tcPr>
            <w:tcW w:w="10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377,153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2,156.4</w:t>
            </w:r>
          </w:p>
        </w:tc>
        <w:tc>
          <w:tcPr>
            <w:tcW w:w="0" w:type="dxa"/>
            <w:vAlign w:val="bottom"/>
          </w:tcPr>
          <w:p>
            <w:pPr>
              <w:spacing w:after="0"/>
              <w:rPr>
                <w:sz w:val="1"/>
                <w:szCs w:val="1"/>
                <w:color w:val="auto"/>
              </w:rPr>
            </w:pPr>
          </w:p>
        </w:tc>
      </w:tr>
      <w:tr>
        <w:trPr>
          <w:trHeight w:val="28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(a)</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1,173,012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1,167,567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left="640" w:right="480"/>
        <w:spacing w:after="0" w:line="202" w:lineRule="auto"/>
        <w:tabs>
          <w:tab w:leader="none" w:pos="814"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executive officer adopted, modified, or terminated any trading arrangement intended to satisfy the affirmative defense conditions of Rule 10b5-1(c) of the Exchange Act.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88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4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5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0" w:type="dxa"/>
            <w:vAlign w:val="bottom"/>
          </w:tcPr>
          <w:p>
            <w:pPr>
              <w:spacing w:after="0"/>
              <w:rPr>
                <w:sz w:val="19"/>
                <w:szCs w:val="19"/>
                <w:color w:val="auto"/>
              </w:rPr>
            </w:pPr>
          </w:p>
        </w:tc>
        <w:tc>
          <w:tcPr>
            <w:tcW w:w="580" w:type="dxa"/>
            <w:vAlign w:val="bottom"/>
            <w:tcBorders>
              <w:bottom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280" w:type="dxa"/>
            <w:vAlign w:val="bottom"/>
            <w:tcBorders>
              <w:bottom w:val="single" w:sz="8" w:color="0000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under the Securities Exchange Act of 1934.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40" w:type="dxa"/>
            <w:vAlign w:val="bottom"/>
          </w:tcPr>
          <w:p>
            <w:pPr>
              <w:spacing w:after="0"/>
              <w:rPr>
                <w:sz w:val="16"/>
                <w:szCs w:val="16"/>
                <w:color w:val="auto"/>
              </w:rPr>
            </w:pPr>
          </w:p>
        </w:tc>
        <w:tc>
          <w:tcPr>
            <w:tcW w:w="5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920" w:hanging="1071"/>
        <w:spacing w:after="0"/>
        <w:tabs>
          <w:tab w:leader="none" w:pos="19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-127635</wp:posOffset>
            </wp:positionV>
            <wp:extent cx="608647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spacing w:after="0" w:line="7" w:lineRule="exact"/>
        <w:rPr>
          <w:sz w:val="20"/>
          <w:szCs w:val="20"/>
          <w:color w:val="auto"/>
        </w:rPr>
      </w:pPr>
    </w:p>
    <w:p>
      <w:pPr>
        <w:ind w:left="1920" w:right="1020" w:hanging="1071"/>
        <w:spacing w:after="0" w:line="227" w:lineRule="auto"/>
        <w:tabs>
          <w:tab w:leader="none" w:pos="19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Interactive Data Files pursuant to Rule 405 of Regulation S-T formatted in Inline Extensible Business Reporting Language ("Inline XBRL"): (i) the registrant's Condensed Consolidated Balance Sheets as of September 30, 2025 and December 31, 2024; (ii) the registrant's Condensed Consolidated Statements of Operations and Comprehensive</w:t>
      </w:r>
    </w:p>
    <w:p>
      <w:pPr>
        <w:ind w:left="1920" w:right="900"/>
        <w:spacing w:after="0" w:line="215" w:lineRule="auto"/>
        <w:rPr>
          <w:sz w:val="20"/>
          <w:szCs w:val="20"/>
          <w:color w:val="auto"/>
        </w:rPr>
      </w:pPr>
      <w:r>
        <w:rPr>
          <w:rFonts w:ascii="Times New Roman" w:cs="Times New Roman" w:eastAsia="Times New Roman" w:hAnsi="Times New Roman"/>
          <w:sz w:val="17"/>
          <w:szCs w:val="17"/>
          <w:color w:val="auto"/>
        </w:rPr>
        <w:t>Income for the three and nine months ended September 30, 2025 and 2024; (iii) the registrant's Condensed Consolidated Statements of Stockholders’ Equity for the three and nine months ended September 30, 2025 and 2024;</w:t>
      </w:r>
    </w:p>
    <w:p>
      <w:pPr>
        <w:spacing w:after="0" w:line="1" w:lineRule="exact"/>
        <w:rPr>
          <w:sz w:val="20"/>
          <w:szCs w:val="20"/>
          <w:color w:val="auto"/>
        </w:rPr>
      </w:pPr>
    </w:p>
    <w:p>
      <w:pPr>
        <w:ind w:left="1920" w:right="1200" w:hanging="4"/>
        <w:spacing w:after="0" w:line="233" w:lineRule="auto"/>
        <w:tabs>
          <w:tab w:leader="none" w:pos="22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Condensed Consolidated Statements of Cash Flows for the nine months ended September 30, 2025 and 2024; and (v) the notes to the registrant's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635</wp:posOffset>
            </wp:positionV>
            <wp:extent cx="608647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ind w:left="5540" w:right="2740" w:hanging="4691"/>
        <w:spacing w:after="0" w:line="887" w:lineRule="auto"/>
        <w:tabs>
          <w:tab w:leader="none" w:pos="19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293"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36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28, 2025</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28, 2025</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8100" w:type="dxa"/>
            <w:vAlign w:val="bottom"/>
            <w:gridSpan w:val="3"/>
          </w:tcPr>
          <w:p>
            <w:pPr>
              <w:ind w:left="11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2025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2025</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28, 2025</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lowerLetter"/>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lvl w:ilvl="1">
      <w:lvlJc w:val="left"/>
      <w:lvlText w:val="(%2)"/>
      <w:numFmt w:val="lowerLetter"/>
      <w:start w:val="1"/>
    </w:lvl>
  </w:abstractNum>
  <w:abstractNum w:abstractNumId="6">
    <w:nsid w:val="4353D0CD"/>
    <w:multiLevelType w:val="hybridMultilevel"/>
    <w:lvl w:ilvl="0">
      <w:lvlJc w:val="left"/>
      <w:lvlText w:val="%1."/>
      <w:numFmt w:val="decimal"/>
      <w:start w:val="12"/>
    </w:lvl>
    <w:lvl w:ilvl="1">
      <w:lvlJc w:val="left"/>
      <w:lvlText w:val="%2"/>
      <w:numFmt w:val="lowerLetter"/>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1"/>
    </w:lvl>
  </w:abstractNum>
  <w:abstractNum w:abstractNumId="11">
    <w:nsid w:val="2CA88611"/>
    <w:multiLevelType w:val="hybridMultilevel"/>
    <w:lvl w:ilvl="0">
      <w:lvlJc w:val="left"/>
      <w:lvlText w:val="(%1)"/>
      <w:numFmt w:val="lowerRoman"/>
      <w:start w:val="1"/>
    </w:lvl>
  </w:abstractNum>
  <w:abstractNum w:abstractNumId="12">
    <w:nsid w:val="836C40E"/>
    <w:multiLevelType w:val="hybridMultilevel"/>
    <w:lvl w:ilvl="0">
      <w:lvlJc w:val="left"/>
      <w:lvlText w:val="(%1)"/>
      <w:numFmt w:val="lowerLetter"/>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1)"/>
      <w:numFmt w:val="lowerLetter"/>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lowerLetter"/>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lvl w:ilvl="1">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2"/>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1)"/>
      <w:numFmt w:val="lowerLetter"/>
      <w:start w:val="1"/>
    </w:lvl>
  </w:abstractNum>
  <w:abstractNum w:abstractNumId="37">
    <w:nsid w:val="153EA438"/>
    <w:multiLevelType w:val="hybridMultilevel"/>
    <w:lvl w:ilvl="0">
      <w:lvlJc w:val="left"/>
      <w:lvlText w:val="%1"/>
      <w:numFmt w:val="decimal"/>
      <w:start w:val="32"/>
    </w:lvl>
  </w:abstractNum>
  <w:abstractNum w:abstractNumId="38">
    <w:nsid w:val="3855585C"/>
    <w:multiLevelType w:val="hybridMultilevel"/>
    <w:lvl w:ilvl="0">
      <w:lvlJc w:val="left"/>
      <w:lvlText w:val="%1"/>
      <w:numFmt w:val="decimal"/>
      <w:start w:val="101"/>
    </w:lvl>
  </w:abstractNum>
  <w:abstractNum w:abstractNumId="39">
    <w:nsid w:val="70A64E2A"/>
    <w:multiLevelType w:val="hybridMultilevel"/>
    <w:lvl w:ilvl="0">
      <w:lvlJc w:val="left"/>
      <w:lvlText w:val="(%1)"/>
      <w:numFmt w:val="lowerRoman"/>
      <w:start w:val="4"/>
    </w:lvl>
  </w:abstractNum>
  <w:abstractNum w:abstractNumId="40">
    <w:nsid w:val="6A2342EC"/>
    <w:multiLevelType w:val="hybridMultilevel"/>
    <w:lvl w:ilvl="0">
      <w:lvlJc w:val="left"/>
      <w:lvlText w:val="%1"/>
      <w:numFmt w:val="decimal"/>
      <w:start w:val="104"/>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2025-10-28T06:15:30Z</dcterms:created>
  <dcterms:modified xsi:type="dcterms:W3CDTF">2025-10-28T06:15:30Z</dcterms:modified>
</cp:coreProperties>
</file>