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2016</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80"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0-19034</w:t>
            </w:r>
          </w:p>
        </w:tc>
      </w:tr>
    </w:tbl>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July 14, 2016:</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1,911,456</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070"/>
              <w:spacing w:after="0"/>
              <w:rPr>
                <w:sz w:val="20"/>
                <w:szCs w:val="20"/>
                <w:color w:val="auto"/>
              </w:rPr>
            </w:pPr>
            <w:r>
              <w:rPr>
                <w:rFonts w:ascii="Arial" w:cs="Arial" w:eastAsia="Arial" w:hAnsi="Arial"/>
                <w:sz w:val="18"/>
                <w:szCs w:val="18"/>
                <w:color w:val="auto"/>
              </w:rPr>
              <w:t>103,383,050</w:t>
            </w:r>
          </w:p>
        </w:tc>
      </w:tr>
    </w:tbl>
    <w:p>
      <w:pPr>
        <w:sectPr>
          <w:pgSz w:w="11900" w:h="16838" w:orient="portrait"/>
          <w:cols w:equalWidth="0" w:num="1">
            <w:col w:w="11420"/>
          </w:cols>
          <w:pgMar w:left="240" w:top="476"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2016 and December 31, 2015</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Six Months Ended June 30, 2016 and 2015</w:t>
              </w:r>
            </w:hyperlink>
          </w:p>
        </w:tc>
        <w:tc>
          <w:tcPr>
            <w:tcW w:w="9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June 30, 2016</w:t>
              </w:r>
            </w:hyperlink>
          </w:p>
        </w:tc>
        <w:tc>
          <w:tcPr>
            <w:tcW w:w="940" w:type="dxa"/>
            <w:vAlign w:val="bottom"/>
            <w:tcBorders>
              <w:bottom w:val="single" w:sz="8" w:color="CCEEFF"/>
            </w:tcBorders>
            <w:gridSpan w:val="2"/>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2015</w:t>
              </w:r>
            </w:hyperlink>
          </w:p>
        </w:tc>
        <w:tc>
          <w:tcPr>
            <w:tcW w:w="660" w:type="dxa"/>
            <w:vAlign w:val="bottom"/>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1A.</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Item 6.</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84</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85</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646,508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809,102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236,121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1,431,966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1,152,489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153,152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Bayer</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181,938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162,152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238,578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163,501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3,209,225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2,915,095</w:t>
            </w:r>
          </w:p>
        </w:tc>
        <w:tc>
          <w:tcPr>
            <w:tcW w:w="0" w:type="dxa"/>
            <w:vAlign w:val="bottom"/>
          </w:tcPr>
          <w:p>
            <w:pPr>
              <w:spacing w:after="0"/>
              <w:rPr>
                <w:sz w:val="1"/>
                <w:szCs w:val="1"/>
                <w:color w:val="auto"/>
              </w:rPr>
            </w:pPr>
          </w:p>
        </w:tc>
      </w:tr>
      <w:tr>
        <w:trPr>
          <w:trHeight w:val="122"/>
        </w:trPr>
        <w:tc>
          <w:tcPr>
            <w:tcW w:w="8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589,852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632,162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1,772,923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1,594,120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626,191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461,945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6,204,906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644,112</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101,573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51,914</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13,563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811,162</w:t>
            </w:r>
          </w:p>
        </w:tc>
        <w:tc>
          <w:tcPr>
            <w:tcW w:w="0" w:type="dxa"/>
            <w:vAlign w:val="bottom"/>
          </w:tcPr>
          <w:p>
            <w:pPr>
              <w:spacing w:after="0"/>
              <w:rPr>
                <w:sz w:val="1"/>
                <w:szCs w:val="1"/>
                <w:color w:val="auto"/>
              </w:rPr>
            </w:pPr>
          </w:p>
        </w:tc>
      </w:tr>
      <w:tr>
        <w:trPr>
          <w:trHeight w:val="122"/>
        </w:trPr>
        <w:tc>
          <w:tcPr>
            <w:tcW w:w="8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from Sanofi</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582,664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 other</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146,449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82,015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362,919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119,523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115,535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2,128,400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1,954,295</w:t>
            </w:r>
          </w:p>
        </w:tc>
        <w:tc>
          <w:tcPr>
            <w:tcW w:w="0" w:type="dxa"/>
            <w:vAlign w:val="bottom"/>
          </w:tcPr>
          <w:p>
            <w:pPr>
              <w:spacing w:after="0"/>
              <w:rPr>
                <w:sz w:val="1"/>
                <w:szCs w:val="1"/>
                <w:color w:val="auto"/>
              </w:rPr>
            </w:pPr>
          </w:p>
        </w:tc>
      </w:tr>
      <w:tr>
        <w:trPr>
          <w:trHeight w:val="277"/>
        </w:trPr>
        <w:tc>
          <w:tcPr>
            <w:tcW w:w="8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1,911,456 in 2016 and 1,913,776 in 2015</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- 107,132,543 in 2016 and</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106,378,001 in 2015</w:t>
            </w:r>
          </w:p>
        </w:tc>
        <w:tc>
          <w:tcPr>
            <w:tcW w:w="2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3,156,942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3,099,526</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1,230,303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852,700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3,761,628 shares in 2016 and 3,642,820 in 2015</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(316,052)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(306,069)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4,076,506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3,654,837</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6,204,906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1002"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100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sz w:val="20"/>
                <w:szCs w:val="20"/>
                <w:color w:val="auto"/>
              </w:rPr>
            </w:pPr>
            <w:r>
              <w:rPr>
                <w:rFonts w:ascii="Arial" w:cs="Arial" w:eastAsia="Arial" w:hAnsi="Arial"/>
                <w:sz w:val="16"/>
                <w:szCs w:val="16"/>
                <w:color w:val="0000EE"/>
              </w:rPr>
              <w:t>Table of Contents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6960" w:type="dxa"/>
            <w:vAlign w:val="bottom"/>
            <w:gridSpan w:val="7"/>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11"/>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gridSpan w:val="7"/>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5"/>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834,219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1,618,401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1,202,392</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163,414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195,110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383,108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368,466</w:t>
            </w: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371,488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258,083</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23,100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40,481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39,288</w:t>
            </w:r>
          </w:p>
        </w:tc>
      </w:tr>
      <w:tr>
        <w:trPr>
          <w:trHeight w:val="27"/>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1,212,629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998,617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2,413,478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1,868,229</w:t>
            </w:r>
          </w:p>
        </w:tc>
      </w:tr>
      <w:tr>
        <w:trPr>
          <w:trHeight w:val="277"/>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559,930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390,330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1,030,042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733,443</w:t>
            </w: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174,588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581,715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333,579</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60,855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120,189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103,425</w:t>
            </w: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and contract manufacturing</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69,370</w:t>
            </w:r>
          </w:p>
        </w:tc>
      </w:tr>
      <w:tr>
        <w:trPr>
          <w:trHeight w:val="237"/>
        </w:trPr>
        <w:tc>
          <w:tcPr>
            <w:tcW w:w="11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921,001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653,758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1,792,542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1,239,817</w:t>
            </w:r>
          </w:p>
        </w:tc>
      </w:tr>
      <w:tr>
        <w:trPr>
          <w:trHeight w:val="27"/>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291,628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344,859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620,936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628,412</w:t>
            </w:r>
          </w:p>
        </w:tc>
      </w:tr>
      <w:tr>
        <w:trPr>
          <w:trHeight w:val="27"/>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and other expense, net</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(25,726)</w:t>
            </w:r>
          </w:p>
        </w:tc>
      </w:tr>
      <w:tr>
        <w:trPr>
          <w:trHeight w:val="27"/>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(23,893)</w:t>
            </w:r>
          </w:p>
        </w:tc>
      </w:tr>
      <w:tr>
        <w:trPr>
          <w:trHeight w:val="277"/>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292,256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327,996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622,407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604,519</w:t>
            </w:r>
          </w:p>
        </w:tc>
      </w:tr>
      <w:tr>
        <w:trPr>
          <w:trHeight w:val="284"/>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(244,804)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(333,855)</w:t>
            </w:r>
          </w:p>
        </w:tc>
      </w:tr>
      <w:tr>
        <w:trPr>
          <w:trHeight w:val="277"/>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196,218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194,643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377,603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270,664</w:t>
            </w: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104,633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102,886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104,462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102,558</w:t>
            </w: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116,617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114,962</w:t>
            </w:r>
          </w:p>
        </w:tc>
      </w:tr>
      <w:tr>
        <w:trPr>
          <w:trHeight w:val="284"/>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196,218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194,643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377,603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270,664</w:t>
            </w:r>
          </w:p>
        </w:tc>
      </w:tr>
      <w:tr>
        <w:trPr>
          <w:trHeight w:val="27"/>
        </w:trPr>
        <w:tc>
          <w:tcPr>
            <w:tcW w:w="11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w w:val="96"/>
              </w:rPr>
              <w:t>Unrealized gain (loss) on marketable securities, net of tax</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(28,751)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(33,098)</w:t>
            </w:r>
          </w:p>
        </w:tc>
      </w:tr>
      <w:tr>
        <w:trPr>
          <w:trHeight w:val="27"/>
        </w:trPr>
        <w:tc>
          <w:tcPr>
            <w:tcW w:w="116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197,058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165,892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374,235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237,566</w:t>
            </w: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sz w:val="20"/>
                <w:szCs w:val="20"/>
                <w:color w:val="auto"/>
              </w:rPr>
            </w:pPr>
            <w:r>
              <w:rPr>
                <w:rFonts w:ascii="Arial" w:cs="Arial" w:eastAsia="Arial" w:hAnsi="Arial"/>
                <w:sz w:val="16"/>
                <w:szCs w:val="16"/>
                <w:color w:val="0000EE"/>
              </w:rPr>
              <w:t>Table of Contents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7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377,603</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270,664</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48,006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31,325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273,941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198,016</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33,017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(59,069)</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(284,178)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(418,753)</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(72,888)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(45,591)</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33,842</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(decrease) in deferred revenue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65,850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(16,685)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133,925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129,338</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66,885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(114,560)</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444,488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156,104</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(228,942)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(340,844)</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102,177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193,769</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(242,930)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(354,055)</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(369,695)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(501,130)</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proceeds in connection with facility lease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26,780</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(144,001)</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(242,117)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(124,531)</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115,825</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(45,013)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(35,930)</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248,718</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(237,387)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86,861</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(162,594)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(258,165)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809,102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648,719</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646,508</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390,554</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18" w:right="2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2015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2015.</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83" w:lineRule="exact"/>
        <w:rPr>
          <w:sz w:val="20"/>
          <w:szCs w:val="20"/>
          <w:color w:val="auto"/>
        </w:rPr>
      </w:pPr>
    </w:p>
    <w:p>
      <w:pPr>
        <w:jc w:val="both"/>
        <w:ind w:firstLine="243"/>
        <w:spacing w:after="0" w:line="213"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$830.9 million and $654.6 million for the three months ended June 30, 2016 and 2015, respectively, and $1,611.8 million and $1,195.7 million for the six months ended June 30, 2016 and 2015, respectively.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$3.3 million and $3.2 million for the three months ended June 30, 2016 and 2015, respectively, and $6.6 million and $6.7 million for the six months ended June 30, 2016 and 2015, respectively.</w:t>
      </w:r>
    </w:p>
    <w:p>
      <w:pPr>
        <w:spacing w:after="0" w:line="25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recorded 56% and 69% for the three months ended June 30, 2016 and 2015, respectively, and 58% and 69% for the six months ended June 30, 2016 and 2015, respectively, of its total gross product revenue from sales to Besse Medical, a subsidiary of AmerisourceBergen Corporation.</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these sales-related deductions during the six months ended June 30, 2016 and 2015.</w:t>
      </w:r>
    </w:p>
    <w:p>
      <w:pPr>
        <w:spacing w:after="0" w:line="25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55,249</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127,956</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(142,359)</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28,135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40,846</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24,781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83,682</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(63,005)</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45,458</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81"/>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3. Collaboration Agreements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86"/>
        </w:trPr>
        <w:tc>
          <w:tcPr>
            <w:tcW w:w="6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 Sanofi</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86"/>
        </w:trPr>
        <w:tc>
          <w:tcPr>
            <w:tcW w:w="6200" w:type="dxa"/>
            <w:vAlign w:val="bottom"/>
            <w:gridSpan w:val="3"/>
          </w:tcPr>
          <w:p>
            <w:pPr>
              <w:ind w:left="340"/>
              <w:spacing w:after="0"/>
              <w:rPr>
                <w:sz w:val="20"/>
                <w:szCs w:val="20"/>
                <w:color w:val="auto"/>
              </w:rPr>
            </w:pPr>
            <w:r>
              <w:rPr>
                <w:rFonts w:ascii="Arial" w:cs="Arial" w:eastAsia="Arial" w:hAnsi="Arial"/>
                <w:sz w:val="18"/>
                <w:szCs w:val="18"/>
                <w:color w:val="auto"/>
                <w:w w:val="93"/>
              </w:rPr>
              <w:t>The collaboration revenue the Company earned from Sanofi is detailed below:</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30"/>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1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spacing w:after="0"/>
              <w:rPr>
                <w:sz w:val="20"/>
                <w:szCs w:val="20"/>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1800" w:type="dxa"/>
            <w:vAlign w:val="bottom"/>
          </w:tcPr>
          <w:p>
            <w:pPr>
              <w:spacing w:after="0"/>
              <w:rPr>
                <w:sz w:val="17"/>
                <w:szCs w:val="17"/>
                <w:color w:val="auto"/>
              </w:rPr>
            </w:pPr>
          </w:p>
        </w:tc>
        <w:tc>
          <w:tcPr>
            <w:tcW w:w="44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1800" w:type="dxa"/>
            <w:vAlign w:val="bottom"/>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144,232</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211,516</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1800" w:type="dxa"/>
            <w:vAlign w:val="bottom"/>
            <w:tcBorders>
              <w:right w:val="single" w:sz="8" w:color="CCEEFF"/>
            </w:tcBorders>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1800" w:type="dxa"/>
            <w:vAlign w:val="bottom"/>
            <w:tcBorders>
              <w:right w:val="single" w:sz="8" w:color="CCEEFF"/>
            </w:tcBorders>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85,885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27,347</w:t>
            </w: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(46,313)</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2,560</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111,064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195,110</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32,350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52,350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1800" w:type="dxa"/>
            <w:vAlign w:val="bottom"/>
            <w:tcBorders>
              <w:right w:val="single" w:sz="8" w:color="CCEEFF"/>
            </w:tcBorders>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163,414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195,110</w:t>
            </w: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r>
      <w:tr>
        <w:trPr>
          <w:trHeight w:val="610"/>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1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Pr>
          <w:p>
            <w:pPr>
              <w:spacing w:after="0"/>
              <w:rPr>
                <w:sz w:val="20"/>
                <w:szCs w:val="20"/>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1800" w:type="dxa"/>
            <w:vAlign w:val="bottom"/>
          </w:tcPr>
          <w:p>
            <w:pPr>
              <w:spacing w:after="0"/>
              <w:rPr>
                <w:sz w:val="17"/>
                <w:szCs w:val="17"/>
                <w:color w:val="auto"/>
              </w:rPr>
            </w:pPr>
          </w:p>
        </w:tc>
        <w:tc>
          <w:tcPr>
            <w:tcW w:w="44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1800" w:type="dxa"/>
            <w:vAlign w:val="bottom"/>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337,834</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380,336</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1800" w:type="dxa"/>
            <w:vAlign w:val="bottom"/>
            <w:tcBorders>
              <w:right w:val="single" w:sz="8" w:color="CCEEFF"/>
            </w:tcBorders>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1800" w:type="dxa"/>
            <w:vAlign w:val="bottom"/>
            <w:tcBorders>
              <w:right w:val="single" w:sz="8" w:color="CCEEFF"/>
            </w:tcBorders>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159,159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35,805</w:t>
            </w: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(221,529)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(68,718)</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281,483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352,544</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61,625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101,625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58"/>
        </w:trPr>
        <w:tc>
          <w:tcPr>
            <w:tcW w:w="1800" w:type="dxa"/>
            <w:vAlign w:val="bottom"/>
            <w:tcBorders>
              <w:right w:val="single" w:sz="8" w:color="CCEEFF"/>
            </w:tcBorders>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162"/>
        </w:trPr>
        <w:tc>
          <w:tcPr>
            <w:tcW w:w="1800" w:type="dxa"/>
            <w:vAlign w:val="bottom"/>
            <w:tcBorders>
              <w:right w:val="single" w:sz="8" w:color="CCEEFF"/>
            </w:tcBorders>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ZALTRAP</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15,922</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1800" w:type="dxa"/>
            <w:vAlign w:val="bottom"/>
            <w:tcBorders>
              <w:right w:val="single" w:sz="8" w:color="CCEEFF"/>
            </w:tcBorders>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368,466</w:t>
            </w: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319" w:right="1440" w:bottom="759" w:gutter="0" w:footer="0" w:header="0"/>
        </w:sectPr>
      </w:pP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319" w:right="1440" w:bottom="759"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is governed by the companies' Discovery and Preclinical Development Agreement ("Antibody Discovery Agreement") and a License and Collaboration Agreement (each as amended). Pursuant to the Antibody Discovery Agreement, Sanofi will fund up to $130.0 million of the Company's research activities in each of 2016 and 2017. 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During the three months ended June 30, 2016 and 2015, the Company recognized as additional research and development expense $30.6 million and $22.5 million, respectively, and during the six months ended June 30, 2016 and 2015, the Company recognized as additional research and development expense $52.3 million and $47.5 million, respectively, of antibody development expenses that the Company was obligated to reimburse to Sanofi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sarilumab, and, commencing in the first quarter of 2016, dupilumab.</w:t>
      </w:r>
    </w:p>
    <w:p>
      <w:pPr>
        <w:spacing w:after="0" w:line="12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dupilumab.</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During the six months ended June 30, 2015, the Company and Sanofi shared pre-launch commercialization expenses, including those incurred by Sanofi, related to Praluent and sarilumab in accordance with the companies’ License and Collaboration Agreement. In addition, effective in the first quarter of 2016, the Company and Sanofi also began sharing pre-launch commercialization expenses related to dupilumab. As such, the Company recorded its share of losses in connection with preparing to commercialize Praluent, sarilumab, and dupilumab within Sanofi collaboration revenue. In July 2015, the U.S. Food and Drug Administration ("FDA") approved Praluent in the United States and in September 2015, the European Commission granted marketing authorization of Praluent. Therefore, commencing in the third quarter of 2015, the Company also recorded within Sanofi collaboration revenue its share of the Antibody Collaboration's losses in connection with commercialization of Praluent.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Pursuant to the IO Discovery Agreement, Sanofi will reimburse the Company for up to $150.0 million in 2016 to identify and validate potential immuno-oncology targets and develop therapeutic antibodies against such targets through clinical proof-of-concept. Under the terms of the IO License and Collaboration Agreement, the parties are co-developing the Company's antibody product candidate targeting the receptor known as programmed cell death protein 1, or PD-1 ("REGN2810"). The parties share equally, on an ongoing basis, development expenses for REGN2810.</w:t>
      </w:r>
    </w:p>
    <w:p>
      <w:pPr>
        <w:spacing w:after="0" w:line="23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$640.0 million in aggregate up-front payments made by Sanofi during 2015 in connection with the execution of the IO Collaboration has been recorded by the Company as deferred revenue, and is being recognized ratably as revenue over the related performance period.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February 2015, the Company and Sanofi entered into an amended and restated ZALTRAP agreement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a result of entering into the Amended ZALTRAP Agreement, in the first quarter of 2015, the Company recognized $14.9 million of collaboration revenue, which was previously recorded as deferred revenue under the ZALTRAP Collaboration Agreement, related to (i) amounts that were previously reimbursed by Sanofi for manufacturing commercial supplies of ZALTRAP since the risk of inventory loss no longer existed, and (ii) the unamortized portion of up-front payments from Sanofi as the Company had no further performance obligations. In addition, during the three months ended June 30, 2016 and 2015, the Company recorded $9.3 million and $3.2 million, respectively, and during the six months ended June 30, 2016 and 2015, the Company recorded $14.6</w:t>
      </w:r>
    </w:p>
    <w:p>
      <w:pPr>
        <w:sectPr>
          <w:pgSz w:w="11900" w:h="16838" w:orient="portrait"/>
          <w:cols w:equalWidth="0" w:num="1">
            <w:col w:w="11420"/>
          </w:cols>
          <w:pgMar w:left="240" w:top="319"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19"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million and $23.0 million, respectively, in other revenue primarily related to a percentage of net sales of ZALTRAP and manufacturing ZALTRAP commercial supplies for Sanofi.</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12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commercialization of EYLEA outside the United States   $</w:t>
            </w:r>
          </w:p>
        </w:tc>
        <w:tc>
          <w:tcPr>
            <w:tcW w:w="1280" w:type="dxa"/>
            <w:vAlign w:val="bottom"/>
          </w:tcPr>
          <w:p>
            <w:pPr>
              <w:jc w:val="right"/>
              <w:spacing w:after="0"/>
              <w:rPr>
                <w:sz w:val="20"/>
                <w:szCs w:val="20"/>
                <w:color w:val="auto"/>
              </w:rPr>
            </w:pPr>
            <w:r>
              <w:rPr>
                <w:rFonts w:ascii="Arial" w:cs="Arial" w:eastAsia="Arial" w:hAnsi="Arial"/>
                <w:sz w:val="18"/>
                <w:szCs w:val="18"/>
                <w:color w:val="auto"/>
              </w:rPr>
              <w:t>167,492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13,355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125,713</w:t>
            </w:r>
          </w:p>
        </w:tc>
        <w:tc>
          <w:tcPr>
            <w:tcW w:w="0" w:type="dxa"/>
            <w:vAlign w:val="bottom"/>
          </w:tcPr>
          <w:p>
            <w:pPr>
              <w:spacing w:after="0"/>
              <w:rPr>
                <w:sz w:val="1"/>
                <w:szCs w:val="1"/>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PDGFR-beta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rinucumab/aflibercept (REGN2176-3)</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Ang2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nesvacumab/aflibercept (REGN910-3)</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gridSpan w:val="3"/>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191,896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134,237</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388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9"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8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12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commercialization of EYLEA outside the United States   $</w:t>
            </w:r>
          </w:p>
        </w:tc>
        <w:tc>
          <w:tcPr>
            <w:tcW w:w="1280" w:type="dxa"/>
            <w:vAlign w:val="bottom"/>
          </w:tcPr>
          <w:p>
            <w:pPr>
              <w:jc w:val="right"/>
              <w:spacing w:after="0"/>
              <w:rPr>
                <w:sz w:val="20"/>
                <w:szCs w:val="20"/>
                <w:color w:val="auto"/>
              </w:rPr>
            </w:pPr>
            <w:r>
              <w:rPr>
                <w:rFonts w:ascii="Arial" w:cs="Arial" w:eastAsia="Arial" w:hAnsi="Arial"/>
                <w:sz w:val="18"/>
                <w:szCs w:val="18"/>
                <w:color w:val="auto"/>
              </w:rPr>
              <w:t>313,327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196,057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Sales milestones</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5,121</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29,530</w:t>
            </w:r>
          </w:p>
        </w:tc>
      </w:tr>
      <w:tr>
        <w:trPr>
          <w:trHeight w:val="237"/>
        </w:trPr>
        <w:tc>
          <w:tcPr>
            <w:tcW w:w="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358,141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245,708</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Cost-sharing of rinucumab/aflibercept (REGN2176-3)</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7,180</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r>
      <w:tr>
        <w:trPr>
          <w:trHeight w:val="237"/>
        </w:trPr>
        <w:tc>
          <w:tcPr>
            <w:tcW w:w="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Total PDGFR-beta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12,375</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Ang2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Cost-sharing of nesvacumab/aflibercept (REGN910-3)</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Total Ang2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gridSpan w:val="4"/>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371,488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all agreed-upon EYLEA development costs incurred by the Company and Bayer are shared equally. In the first quarter of 2015, the Company earned a $15.0 million sales milestone from Bayer upon total aggregate net sales of specific commercial supplies of EYLEA outside the United States exceeding $200 million over a twelve-month period, which was the final milestone payment under the agreement.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2014, the Company entered into an agreement with Bayer governing the joint development and commercialization outside the United States of an antibody product candidate to Platelet Derived Growth Factor Receptor Beta (PDGFR-beta), including in combination with aflibercept, for the treatment of ocular diseases or disorders. In connection with the agreement, Bayer is obligated to pay 25% of global development costs and 50% of development costs exclusively for the territory outside the United States.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is also obligated to reimburse the Company for 50% of development milestone payments to Sanofi related to the Company's acquisition of rights to antibodies targeting the PDGF family of receptors in 2013. In that regard, Bayer made a $5.0 million development milestone payment to the Company in the second quarter of 2015 (which was recognized as a substantive milestone).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19"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outside the United States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March 2016, the Company entered into an agreement with Bayer governing the joint development and commercialization outside the United States of an antibody product candidate to angiopoietin-2 (Ang2), including in combination with aflibercept, for the treatment of ocular diseases or disorders. In connection with the agreement, Bayer made a $50.0 million non-refundable up-front payment to the Company and is obligated to pay 25% of global development costs and 50% of development costs exclusively for the territory outside the United States. The Company is also entitled to receive up to an aggregate of $80.0 million in development milestone payments from Bayer. Bayer will share profits and losses from sales outside the United States equally with the Company, and is responsible for certain royalties payable to Sanofi on sales of the product outside of the United States. Within the United States, the Company has exclusive commercialization rights and will retain all of the profits from sales.</w:t>
      </w:r>
    </w:p>
    <w:p>
      <w:pPr>
        <w:spacing w:after="0" w:line="23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At the inception of the agreement, the Company's significant deliverables consisted of (i) a license to certain rights and intellectual property, (ii) providing research and development services, and (iii) manufacturing clinical supplies. The Company concluded that the license did not have standalone value, as such right was not sold separately by the Company, nor could Bayer receive any benefit from the license without the fulfillment of other ongoing obligations by the Company, including the clinical supply arrangement. Therefore, the deliverables were considered a single unit of accounting. Consequently, the $50.0 million up-front payment was initially recorded as deferred revenue, and will be recognized ratably as revenue over the related performance period.</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an Ang2 antibody in the specified field outside of the United States and such discontinuation is acknowledged as permanent by both the Company and Bayer.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2015, the Company and Mitsubishi Tanabe Pharma Corporation ("MTPC") entered into a collaboration agreement providing MTPC with development and commercial rights to fasinumab, the Company's nerve growth factor antibody in late-stage clinical development, in certain Asian countries. In connection with the agreement, MTPC made a $10.0 million non-refundable up-front payment. In the first quarter of 2016, MTPC made additional payments of $45.0 million and $15.0 million to the Company, which were recorded as deferred revenue and will be recognized ratably as revenue over the same performance period as the up-front payment.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Intellia Therapeutics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April 2016, the Company entered into a license and collaboration agreement with Intellia Therapeutics, Inc. to advance CRISPR/Cas gene-editing technology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therapeutic development. The Company will collaborate with Intellia to conduct research for the discovery, development, and commercialization of new therapies ("Product Collaboration"), in addition to the research and technology development of the CRISPR/Cas platform ("Technology Collaboration"). In connection with the execution of the agreement, the Company made a $75.0 million up-front payment, which was recorded as research and development expense in the second quarter of 2016, and also agreed to purchase Intellia shares contingent upon Intellia consummating its next equity financing. The Company is responsible for costs of developing and commercializing CRISPR/Cas products under the Product Collaboration agreement and is also obligated to pay potential development and sales milestones, and royalties on any future sales of such products resulting from the development and commercialization of CRISPR/Cas products. In addition, under the Technology Collaboration agreement, the Company is responsible for funding certain research and technology development costs.</w:t>
      </w:r>
    </w:p>
    <w:p>
      <w:pPr>
        <w:spacing w:after="0" w:line="2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Product Collaboration agreement, the parties agreed to a target selection process, whereby the Company may obtain exclusive rights in up to 10 targets to be chosen by the Company during the collaboration term, subject to various adjustments and limitations set forth in the agreement. Additionally, the Company may replace a limited number of targets with substitute targets upon the payment of a replacement fee, in which case rights to the replaced target(s) will revert to Intellia.</w:t>
      </w:r>
    </w:p>
    <w:p>
      <w:pPr>
        <w:spacing w:after="0" w:line="2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Technology Collaboration term and the period for selecting targets for inclusion under the Product Collaboration both end in 2022, provided that the Company may make a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2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Certain targets that either the Company or Intellia select pursuant to the target selection process may be subject to a co-development and co-commercialization arrangement at the Company's option or Intellia's option, as applicable.</w:t>
      </w:r>
    </w:p>
    <w:p>
      <w:pPr>
        <w:sectPr>
          <w:pgSz w:w="11900" w:h="16838" w:orient="portrait"/>
          <w:cols w:equalWidth="0" w:num="1">
            <w:col w:w="11420"/>
          </w:cols>
          <w:pgMar w:left="240" w:top="319"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19"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May 2016, Intellia completed an initial public offering ("IPO") of its common stock and thereby triggered the Company's obligation to purchase up to $50.0 million of Intellia common stock in a concurrent private placement. As part of the concurrent private placement, the Company purchased from Intellia at the closing of the IPO 2,777,777 shares of Intellia common stock for an aggregate purchase price of $50.0 million (see Note 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Adicet Bio</w:t>
      </w:r>
    </w:p>
    <w:p>
      <w:pPr>
        <w:spacing w:after="0" w:line="144"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In July 2016, the Company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 tumor cells. In connection with the execution of the agreement, the Company will make a $25.0 million up-front payment to Adicet, and is obligated to provide Adicet with research funding over the course of a five-year research term.</w:t>
      </w:r>
    </w:p>
    <w:p>
      <w:pPr>
        <w:spacing w:after="0" w:line="11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Under the terms of the agreement, the Company and Adicet will collaborate to identify and validate targets and work together to develop a pipeline of engineered immune-cell therapeutics for selected targets. The Company has the option to obtain development and commercial rights for a certain number of the product candidates developed by the parties, subject to an option payment for each product candidate. If the Company exercises its option on a given product candidate, Adicet then will have an option to participate in the development and commercialization for such product. If Adicet doesn’t exercise its option, Adicet will be entitled to royalties on any future sales of such products by the Company. In addition to developing CARs and TCRs for use in novel immune-cell therapies as part of the collaboration, the Company will have the right to use these CARs and TCRs in its other antibody programs outside of the collaboration.</w:t>
      </w:r>
    </w:p>
    <w:p>
      <w:pPr>
        <w:spacing w:after="0" w:line="14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Company will also be entitled to royalties on any future sales of products developed and commercialized by Adicet under the agreement for all products for which the Company does not have development and commercial rights.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jc w:val="center"/>
        <w:ind w:left="5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22860</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34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 basic and diluted</w:t>
            </w:r>
          </w:p>
        </w:tc>
        <w:tc>
          <w:tcPr>
            <w:tcW w:w="2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196,218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194,643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Weighted average shares - basic</w:t>
            </w:r>
          </w:p>
        </w:tc>
        <w:tc>
          <w:tcPr>
            <w:tcW w:w="2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104,633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102,886</w:t>
            </w:r>
          </w:p>
        </w:tc>
      </w:tr>
      <w:tr>
        <w:trPr>
          <w:trHeight w:val="27"/>
        </w:trPr>
        <w:tc>
          <w:tcPr>
            <w:tcW w:w="3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9,438</w:t>
            </w:r>
          </w:p>
        </w:tc>
      </w:tr>
      <w:tr>
        <w:trPr>
          <w:trHeight w:val="27"/>
        </w:trPr>
        <w:tc>
          <w:tcPr>
            <w:tcW w:w="3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2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43"/>
        </w:trPr>
        <w:tc>
          <w:tcPr>
            <w:tcW w:w="344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2,461</w:t>
            </w:r>
          </w:p>
        </w:tc>
      </w:tr>
      <w:tr>
        <w:trPr>
          <w:trHeight w:val="27"/>
        </w:trPr>
        <w:tc>
          <w:tcPr>
            <w:tcW w:w="34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34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23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12,373</w:t>
            </w:r>
          </w:p>
        </w:tc>
      </w:tr>
      <w:tr>
        <w:trPr>
          <w:trHeight w:val="297"/>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36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116,231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115,259</w:t>
            </w:r>
          </w:p>
        </w:tc>
      </w:tr>
      <w:tr>
        <w:trPr>
          <w:trHeight w:val="203"/>
        </w:trPr>
        <w:tc>
          <w:tcPr>
            <w:tcW w:w="34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3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567"/>
        </w:trPr>
        <w:tc>
          <w:tcPr>
            <w:tcW w:w="3440" w:type="dxa"/>
            <w:vAlign w:val="bottom"/>
          </w:tcPr>
          <w:p>
            <w:pPr>
              <w:spacing w:after="0"/>
              <w:rPr>
                <w:sz w:val="24"/>
                <w:szCs w:val="24"/>
                <w:color w:val="auto"/>
              </w:rPr>
            </w:pPr>
          </w:p>
        </w:tc>
        <w:tc>
          <w:tcPr>
            <w:tcW w:w="2360" w:type="dxa"/>
            <w:vAlign w:val="bottom"/>
          </w:tcPr>
          <w:p>
            <w:pPr>
              <w:jc w:val="right"/>
              <w:ind w:right="113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22860</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377,603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270,664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Convertible senior notes - interest expense related to contractual coupon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rate and amortization of discount and note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377,976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270,664</w:t>
            </w:r>
          </w:p>
        </w:tc>
      </w:tr>
      <w:tr>
        <w:trPr>
          <w:trHeight w:val="311"/>
        </w:trPr>
        <w:tc>
          <w:tcPr>
            <w:tcW w:w="5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102,558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9,441</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12,404</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116,617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114,962</w:t>
            </w:r>
          </w:p>
        </w:tc>
      </w:tr>
      <w:tr>
        <w:trPr>
          <w:trHeight w:val="203"/>
        </w:trPr>
        <w:tc>
          <w:tcPr>
            <w:tcW w:w="5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60"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Three Months Ended June</w:t>
            </w:r>
          </w:p>
        </w:tc>
      </w:tr>
      <w:tr>
        <w:trPr>
          <w:trHeight w:val="234"/>
        </w:trPr>
        <w:tc>
          <w:tcPr>
            <w:tcW w:w="308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30,</w:t>
            </w:r>
          </w:p>
        </w:tc>
        <w:tc>
          <w:tcPr>
            <w:tcW w:w="8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7"/>
        </w:trPr>
        <w:tc>
          <w:tcPr>
            <w:tcW w:w="30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308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9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594"/>
        </w:trPr>
        <w:tc>
          <w:tcPr>
            <w:tcW w:w="216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319" w:right="1440"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Marketable securities as of June 30, 2016 and December 31, 2015 consist of both debt securities of investment grade issuers as well as equity securities. The Company also held restricted marketable securities as of June 30, 2016, consisting of the Company's investment in shares of Intellia common stock (see Note 3), which are subject to customary transfer restrictions until November 2016 under a lock-up agreement with the underwriters of Intellia's IPO.</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June 30, 2016</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801,408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804,303</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63,132</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12,693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12,733</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29,635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8,014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8,014</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17,613</w:t>
            </w: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931,619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935,430</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53,078</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981,619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988,508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2015</w:t>
            </w:r>
          </w:p>
        </w:tc>
        <w:tc>
          <w:tcPr>
            <w:tcW w:w="3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767,683</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51,402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51,209</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17,924</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31,467</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856,429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868,283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Company classifies its debt security investments based on their contractual maturity dates. The debt securities listed as of June 30, 2016 mature at various dates through June 2021. The fair values of debt security investments by contractual maturity consist of the following:</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236,121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572,239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600,695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917,817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836,816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9"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2016</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50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(9,283)</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2015</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668,199</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23,749</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691,948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(2,565)</w:t>
            </w:r>
          </w:p>
        </w:tc>
      </w:tr>
      <w:tr>
        <w:trPr>
          <w:trHeight w:val="27"/>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755,080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Realized gains and losses on sales of marketable securities were not material for the three and six months ended June 30, 2016 and 2015.</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Changes in the Company's accumulated other comprehensive income (loss) for the three and six months ended June 30, 2016 and 2015 related to unrealized gains and losses on available-for-sale marketable securities. For the three and six months ended June 30, 2016 and 2015, amounts reclassified from accumulated other comprehensive income (loss) into investment income in the Company's Statements of Operations were related to realized gains and losses on sales of marketable securities.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19"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June 30, 2016</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4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304"/>
        </w:trPr>
        <w:tc>
          <w:tcPr>
            <w:tcW w:w="20" w:type="dxa"/>
            <w:vAlign w:val="bottom"/>
            <w:shd w:val="clear" w:color="auto" w:fill="CCEEFF"/>
          </w:tcPr>
          <w:p>
            <w:pPr>
              <w:spacing w:after="0"/>
              <w:rPr>
                <w:sz w:val="24"/>
                <w:szCs w:val="24"/>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08"/>
        </w:trPr>
        <w:tc>
          <w:tcPr>
            <w:tcW w:w="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804,303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63,132</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29,635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29,635</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935,430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917,817</w:t>
            </w:r>
          </w:p>
        </w:tc>
      </w:tr>
      <w:tr>
        <w:trPr>
          <w:trHeight w:val="237"/>
        </w:trPr>
        <w:tc>
          <w:tcPr>
            <w:tcW w:w="20" w:type="dxa"/>
            <w:vAlign w:val="bottom"/>
          </w:tcPr>
          <w:p>
            <w:pPr>
              <w:spacing w:after="0"/>
              <w:rPr>
                <w:sz w:val="20"/>
                <w:szCs w:val="20"/>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53,078</w:t>
            </w:r>
          </w:p>
        </w:tc>
      </w:tr>
      <w:tr>
        <w:trPr>
          <w:trHeight w:val="237"/>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988,508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970,895</w:t>
            </w:r>
          </w:p>
        </w:tc>
      </w:tr>
      <w:tr>
        <w:trPr>
          <w:trHeight w:val="67"/>
        </w:trPr>
        <w:tc>
          <w:tcPr>
            <w:tcW w:w="2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2015</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24"/>
        </w:trPr>
        <w:tc>
          <w:tcPr>
            <w:tcW w:w="20" w:type="dxa"/>
            <w:vAlign w:val="bottom"/>
            <w:shd w:val="clear" w:color="auto" w:fill="CCEEFF"/>
          </w:tcPr>
          <w:p>
            <w:pPr>
              <w:spacing w:after="0"/>
              <w:rPr>
                <w:sz w:val="24"/>
                <w:szCs w:val="24"/>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08"/>
        </w:trPr>
        <w:tc>
          <w:tcPr>
            <w:tcW w:w="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767,683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51,209</w:t>
            </w: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836,816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six months ended June 30, 2016 and 2015.</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There were no purchases, sales, or maturities of Level 3 marketable securities and no unrealized gains or losses related to Level 3 marketable securities for the three and six months ended June 30, 2016 and 2015. During the six months ended June 30, 2015, transfers of marketable securities from Level 2 to Level 1 were $91.4 million in connection with the lapse of the transfer restrictions on the Company's investment in Adverum Biotechnologies, Inc. (previously Avalanche Biotechnologies, Inc.) common shares in January 2015.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six months ended June 30, 2016 and 2015. The Company's investment in Intellia common stock was classified as a Level 2 marketable security as of June 30, 2016 (see Note 5).</w:t>
      </w:r>
    </w:p>
    <w:p>
      <w:pPr>
        <w:sectPr>
          <w:pgSz w:w="11900" w:h="16838" w:orient="portrait"/>
          <w:cols w:equalWidth="0" w:num="1">
            <w:col w:w="11420"/>
          </w:cols>
          <w:pgMar w:left="240" w:top="319"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19"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June 30, 2016 and December 31, 2015, the Company had $0.2 million and $11.2 million, respectively, in aggregate principal amount of 1.875% convertible senior notes (the "Notes") outstanding that will mature on October 1, 2016 unless earlier converted or repurchased (see Note 9). The fair value of the outstanding Notes was estimated to be $1.1 million and $72.8 million as of June 30, 2016 and December 31, 2015, respectively, and was determined based on Level 2 inputs, such as market and observable sources.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59,151</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165,869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132,068</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11,197</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36,162</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238,578</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months ended June 30, 2016 and 2015, cost of goods sold included inventory write-downs and reserves totaling $2.0 million and $6.4 million, respectively. For the six months ended June 30, 2016 and 2015, cost of goods sold included inventory write-downs and reserves totaling $6.3 million and $8.1 million,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140,962</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133,223</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88,297</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177,377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195,986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107,034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85,644</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6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759,643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644,112</w:t>
            </w:r>
          </w:p>
        </w:tc>
      </w:tr>
      <w:tr>
        <w:trPr>
          <w:trHeight w:val="20"/>
        </w:trPr>
        <w:tc>
          <w:tcPr>
            <w:tcW w:w="246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the first half of 2016, the Company settled conversion obligations for $12.7 million principal amount of the Company's Notes that was previously surrendered for conversion. Consequently, in the first half of 2016, the Company paid $12.7 million in cash and issued 118,822 shares of Common Stock. In addition, the Company allocated $47.1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the first half of 2016 was not material. As a result of these Note conversions, in the first half of 2016, the Company also exercised a proportionate amount of its convertible note hedges, for which the Company received 118,808 shares of Common Stock, which was approximately equal to the number of shares the Company was required to issue to settle the non-cash portion</w:t>
      </w:r>
    </w:p>
    <w:p>
      <w:pPr>
        <w:sectPr>
          <w:pgSz w:w="11900" w:h="16838" w:orient="portrait"/>
          <w:cols w:equalWidth="0" w:num="1">
            <w:col w:w="11420"/>
          </w:cols>
          <w:pgMar w:left="240" w:top="319"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19"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of the related Note conversions. The Company recorded the cost of the shares received, or $10.0 million, as Treasury Stock during the first half of 2016.</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2016, an aggregate principal amount of $0.2 million of Notes remained outstanding.</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the first half of 2015, the Company settled conversion obligations for $144.0 million principal amount of the Company's Notes. Upon settlement of the Notes, the Company paid $144.0 million in cash and issued 1,399,069 shares of Common Stock. In addition, in the first half of 2015, the Company allocated $694.7 million of the settlement consideration provided to the Note holders to the reacquisition of the equity component of the Notes, and recognized such amount as a reduction of stockholder's equity, and recognized a $16.9 million loss on the debt extinguishment. In connection with the Note conversions in the first half of 2015, the Company also exercised a proportionate amount of its convertible note hedges, for which the Company received 1,399,056 shares of Common Stock, which was approximately equal to the number of shares the Company was required to issue to settle the non-cash portion of the related Note conversions. The Company recorded the cost of the shares received, or $117.5 million, as Treasury Stock during the first half of 2015.</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November 2015,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$535.00 per share, during the period starting on November 16, 2015 and ending no later than February 9, 2016. The Company was able to settle, at its option, any payments due under the amendment agreement in cash or by delivering shares of Common Stock. As a result of the warrant holder closing out a portion of its hedge position in the first half of 2016, the Company paid a total of $135.2 million to reduce the number of warrants held by such warrant holder by 360,406 (which was the remaining maximum number of warrants to be reduced subject to the amendment agreement).</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February 2016, the Company entered into an amendment agreement with a warrant holder whereby the parties agreed to reduce a portion of the number of warrants held by the warrant holder by up to a maximum of 975,142. The reduction in the number of warrants was determined based on the number of warrants with respect to which the warrant holder closed out its hedge position, provided that the warrant holder did not effect any purchases at a price per share exceeding $375.00 per share, during the period starting on February 22, 2016 and ending no later than May 5, 2016. The Company was able to settle, at its option, any payments due under the amendment agreement in cash or by delivering shares of Common Stock. As a result of the warrant holder closing out a portion of its hedge position during the first half of 2016, the Company paid a total of $106.9 million to reduce the number of warrants held by such warrant holder by 403,665.</w:t>
      </w:r>
    </w:p>
    <w:p>
      <w:pPr>
        <w:spacing w:after="0" w:line="2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June 30, 2016, an aggregate of 1,345,027 warrants (subject to adjustment from time to time as provided in the applicable warrant agreements) remained outstanding.</w:t>
      </w:r>
    </w:p>
    <w:p>
      <w:pPr>
        <w:spacing w:after="0" w:line="22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November 2014,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had closed out its hedge position, provided that the warrant holder did not effect any purchases at a price per share exceeding $397.75 per share, during the period starting on November 26, 2014 and ending no later than February 12, 2015.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warrants subject to the agreement from additional paid-in capital to a liability in November 2014, with such liability subsequently measured at fair value with changes in fair value recognized in earnings. In February 2015, the Company paid a total of $124.0 million to reduce the number of warrants held by such warrant holder by 416,480. Upon expiration of the November 2014 amended agreement, in the first quarter of 2015 the remaining warrants were re-measured at fair value, and $23.3 million was reclassified back to additional paid-in capital, consistent with the original classification of the warrants under the 2011 issuance. Total losses related to changes in fair value of the warrants during the first quarter of 2015 were not material.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March 2015, the Company entered into an agreement with a syndicate of lenders which provides for a $750.0 million senior unsecured five-year revolving credit facility. As of June 30, 2016, the Company had no borrowings outstanding under the credit facility and was in compliance with all credit facility covenants.</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19"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is subject to U.S. federal, state, and foreign income taxes. The Company recorded an income tax provision in its Statement of Operations of $96.0 million and $133.4 million for the three months ended June 30, 2016 and 2015, respectively, and $244.8 million and $333.9 million for the six months ended June 30, 2016 and 2015, respectively. The Company's effective tax rate was 32.9% and 40.7% for the three months ended June 30, 2016 and 2015, respectively, and 39.3% and 55.2% for the six months ended June 30, 2016 and 2015, respectively. The Company's effective tax rate for the three and six months ended June 30, 2016 was positively impacted, compared to the U.S. federal statutory rate, by the tax benefit associated with stock-based compensation (see Note 13), the domestic manufacturing deduction, and the federal tax credit for increased research activities, offset by the negative impact of losses incurred in foreign jurisdictions with rates lower than the U.S. federal statutory rate and the non-tax deductible Branded Prescription Drug Fee.</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Company's effective tax rate for the three and six months ended June 30, 2015 was negatively impacted, compared to the U.S. federal statutory rate, by losses incurred in foreign jurisdictions with rates lower than the U.S. federal statutory rate, the non-deductible Branded Prescription Drug Fee, and expiration, at the end of 2014, of the federal tax credit for increased research activities.</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also recorded an income tax expense in its Statement of Comprehensive Income of $0.4 million and an income tax benefit of $1.6 million for the three and six months ended June 30, 2016, respectively, in connection with unrealized gains (losses) on available-for-sale marketable securities. The Company recorded an income tax benefit in its Statement of Comprehensive Income of $16.3 million and $18.9 million for the three and six months ended June 30, 2015, respectively, in connection with unrealized losses on available-for-sale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June 30, 2016 and December 31, 2015 were $39.3 million and $50.7 million, respectively, of accrued capital expenditures. Included in accounts payable and accrued expenses as of June 30, 2015 and December 31, 2014 were $67.9 million and $56.2 million, respectively, of accrued capital expenditures.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December 31, 2014 was $7.5 million for the Company's conversion settlement obligation related to the Company's Notes which were surrendered for conversion but not settled as of December 31, 2014. There was no such liability as of June 30, 2016 and the amount of such liability was not material as of December 31, 2015 and June 30, 2015.</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Included in accounts payable and accrued expenses as of December 31, 2014 was $59.8 million related to the Company's payment obligation for a reduction in the number of warrants based on a warrant holder closing out a portion of its hedge position. Additionally, included within other current liabilities as of December 31, 2014 was $87.5 million in connection with the estimated fair value of the remaining warrant liability. There were no such liabilities recorded in connection with warrants as of June 30, 2016, December 31, 2015, and June 30, 2015.</w:t>
      </w:r>
    </w:p>
    <w:p>
      <w:pPr>
        <w:spacing w:after="0" w:line="24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recognized an additional facility lease obligation of $20.1 million during the six months ended June 30, 2015, in connection with capitalizing, on the Company's books, the landlord's costs of constructing new facilities that the Company has leased. No such amount was recognized during the six months ended June 30, 2016.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altered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w:t>
      </w:r>
    </w:p>
    <w:p>
      <w:pPr>
        <w:sectPr>
          <w:pgSz w:w="11900" w:h="16838" w:orient="portrait"/>
          <w:cols w:equalWidth="0" w:num="1">
            <w:col w:w="11420"/>
          </w:cols>
          <w:pgMar w:left="240" w:top="319"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19"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an estimate of gain or a range of possible loss, if any, related to, these proceedings.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prohibit Regeneron and the other defendants from manufacturing, using, offering to sell, or selling within the United States (as well as importing into the United States) Praluent, which Regeneron is jointly developing with Sanofi. On November 11, 2014 and November 17, 2014 Amgen filed complaints against Regeneron, Sanofi, Sanofi-Aventis U.S. LLC, and Aventis Pharmaceuticals, Inc. in the same court seeking the same relief. Amgen asserts U.S. Patent Nos. 8,563,698, 8,829,165 (the "'165 Patent"), and 8,859,741 (the "'741 Patent") in the first complaint, U.S. Patent Nos. 8,871,913 and 8,871,914 (the "'914 Patent")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On September 15, 2015, Amgen filed a motion for leave to file a supplemental and second amended complaint, which was granted on January 29, 2016. As amended, the complaint alleges, among other things, willful infringement of the asserted patents, which would allow the court to increase damages up to three times the amount assessed if the court finds willful infringement. On October 20, 2015, the District Court issued its claim construction order, in which it defined the meaning of certain disputed claim terms; none of the court's rulings were dispositive of the issues in the case. On November 3, 2015, pursuant to court order, the patents asserted by Amgen were narrowed to the '165, '741, and '914 Patents. On March 4, 2016, Amgen further narrowed the asserted patents to the '165 and '741 Patents.</w:t>
      </w:r>
    </w:p>
    <w:p>
      <w:pPr>
        <w:spacing w:after="0" w:line="22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 jury trial in this litigation was held from March 8 to March 16, 2016. During the course of the trial, the court ruled as a matter of law in favor of Amgen that the asserted patent claims were not obvious, and in favor of Regeneron and Sanofi that there was no willful infringement of the asserted patent claims by Regeneron or Sanofi. On March 16, 2016, the jury returned a verdict in favor of Amgen, finding that the asserted claims of the '165 and '741 Patents were not invalid based on either a lack of written description or a lack of enablement. On March 23 and March 24, 2016, the court held a permanent injunction hearing to determine whether Regeneron and Sanofi should be prohibited from commercializing Praluent. The parties to this litigation submitted post-trial briefs in the second quarter of 2016 and are awaiting the court's final opinion and judgment, including a decision on the permanent injunction. The Company and Sanofi plan to appeal any judgment or order that is adverse to the Company and Sanofi.</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an injunction, damages, an accounting of profits, and costs and interest. Regeneron has not yet been served with the documents relating to the lawsuit.</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seeking an injunction, an accounting of marketing activities, a recall of Praluent and its removal from the distribution channels, and damages. Regeneron has not yet been served with the documents relating to the lawsuit.</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this time, the Company is not able to estimate a range of possible loss, if any, related to these proceedings.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1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Patents Owned by Genentech and City of Hope</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On July 27, 2015, the Company and Sanofi-Aventis U.S. LLC filed a complaint in the United States District Court for the Central District of California (Western Division) seeking a declaratory judgment of invalidity, as well as non-infringement by the manufacture, use, sale, offer of sale, or importation of Praluent (alirocumab), of U.S. Patent No. 7,923,221 (the "'221 Patent") jointly owned by Genentech, Inc. ("Genentech") and City of Hope relating to the production of recombinant antibodies by host cells. On the same day, the Company and Sanofi-Aventis U.S. LLC initiated an inter partes review in the United States Patent and Trademark Office ("USPTO") seeking a declaration of invalidity of certain claims of U.S. Patent No. 6,331,415 (the "'415 Patent") jointly owned by Genentech and City of Hope relating to the production of recombinant antibodies by host cells. On February 5, 2016, the USPTO instituted an inter partes review of the validity of most of the patent claims of the '415 Patent for which review had been requested. On September 17, 2015, Genentech and City of Hope answered the complaint previously filed by the Company and Sanofi concerning the '221 Patent in the District Court and counterclaimed, alleging that the Company and Sanofi infringe the '221 Patent and seeking, among other types of relief, damages and a permanent injunction. On November 2, 2015, the court set a tentative trial date beginning on September 27, 2016 (subsequently vacated as noted below). On July 18, 2016, the court vacated the trial commencement date of September 27 in light of other pending motions.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At this time, the Company is not able to predict the outcome of, or an estimate of gain or range of possible loss, if any, related to these proceedings.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December 30, 2015, an alleged shareholder filed a shareholder derivative complaint in the New York Supreme Court, naming the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2014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March 2, 2016, the defendants filed a motion to dismiss the shareholder derivative complaint. The court has scheduled oral argument on defendants' motion to dismiss for August 16, 2016.</w:t>
      </w:r>
    </w:p>
    <w:p>
      <w:pPr>
        <w:spacing w:after="0" w:line="23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or about December 15, 2015, the Company received a shareholder litigation demand upon the Company's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 actions in the future. The Company's board of directors, working with outside counsel, investigated the allegations in the demand and the shareholder derivative complaint, and has determined to defer its decision on the demand until the court rules on the pending motion to dismiss the shareholder derivative complaint, as discussed above.</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estimate a range of possible loss, if any, relating to these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Recently Issued Accounting Standards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2016-09 ("ASU 2016-09"),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 Improvements to Employee Share-Based Payment Accounting</w:t>
      </w:r>
      <w:r>
        <w:rPr>
          <w:rFonts w:ascii="Arial" w:cs="Arial" w:eastAsia="Arial" w:hAnsi="Arial"/>
          <w:sz w:val="17"/>
          <w:szCs w:val="17"/>
          <w:color w:val="auto"/>
        </w:rPr>
        <w:t>, which the Company elected to early adopt during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ASU 2016-09 requires an entity to recognize all excess tax benefits and tax deficiencies in connection with stock-based compensation as income tax expense or benefit in the income statement (previously, excess tax benefits were recognized in additional paid-in capital). This aspect of ASU 2016-09 was adopted prospectively, and accordingly, the Company recorded excess tax benefits of $39.8 million and $55.4 million, respectively, within income tax expense for the three and six months ended June 30, 2016, respectively. Included within income tax expense for the six months ended June 30, 2016 is $15.6 million of excess tax benefits, which was previously recorded to additional paid-in capital during the first quarter of 2016. The amendments also require recognition of excess tax benefits regardless of whether the benefit reduces taxes payable in the current period. Furthermore, the amendments require that excess tax benefits be classified as an</w:t>
      </w:r>
    </w:p>
    <w:p>
      <w:pPr>
        <w:sectPr>
          <w:pgSz w:w="11900" w:h="16838" w:orient="portrait"/>
          <w:cols w:equalWidth="0" w:num="1">
            <w:col w:w="11420"/>
          </w:cols>
          <w:pgMar w:left="240" w:top="319"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19"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activity in the statement of cash flows (such amounts were previously included as a financing activity in the statement of cash flows); the Company also adopted this provision of ASU 2016-09 prospectively.</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requires a lessee to recognize in its balance sheet (for both finance and operating leases) a liability to make lease payments ("lease liability") and a right-of-use asset representing its right to use the underlying asset for the lease term. The amendments are effective for fiscal years, and interim periods within those fiscal years, beginning after December 15, 2018. Early adoption is permitted. The Company is evaluating the impact that this guidance will have on the Company's financial statements.</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The amendments require equity investments (except those accounted for under the equity method of accounting or those that result in consolidation of the investee) to be measured at fair value with changes in fair value recognized in net income. The amendments are effective for fiscal years, and interim periods within those fiscal years, beginning after December 15, 2017. The implementation of the amendments is expected to increase the volatility of an entity's net income; however, the Company is not currently able to estimate the impact of adopting these amendments, as the significance of the impact will depend on the Company's equity investment balance upon adoption.</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In May 2014, the FASB issued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19"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xml:space="preserve"> (aflibercept) Injection,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Injection, sarilumab, dupilumab, fasinumab, and REGN2222;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Praluent, sarilumab, dupilumab, fasinumab, and REGN2222; ongoing regulatory obligations and oversight impacting our marketed products (such as EYLEA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changes to the assumptions underlying those projections or guidance; the potential for any license or collaboration agreement, including our agreements with Sanofi and Bayer HealthCare LLC (or their respective affiliated companies, as applicable),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and a rare inflammatory condition and have product candidates in development in other areas of high unmet medical need, including rheumatoid arthritis (RA), asthma, atopic dermatitis, pain, cancer, and infectious diseases.</w:t>
      </w:r>
    </w:p>
    <w:p>
      <w:pPr>
        <w:spacing w:after="0" w:line="24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total revenues were $1,212.6 million in the second quarter and $2,413.5 million in the first half of 2016, compared to $998.6 million in the second quarter and $1,868.2 million in the first half of 2015. Our net income was $196.2 million, or $1.69 per diluted share, in the second quarter and $377.6 million, or $3.24 per diluted share, in the first half of 2016, compared to net income of $194.6 million, or $1.69 per diluted share, in the second quarter and $270.7 million, or $2.35 per diluted share, in the first half of 2015. Refer to the "Results of Operations" section below for further details of our financial results.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5" w:lineRule="exact"/>
        <w:rPr>
          <w:sz w:val="20"/>
          <w:szCs w:val="20"/>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EYLEA (aflibercept) Injection</w:t>
      </w:r>
      <w:r>
        <w:rPr>
          <w:rFonts w:ascii="Arial" w:cs="Arial" w:eastAsia="Arial" w:hAnsi="Arial"/>
          <w:sz w:val="17"/>
          <w:szCs w:val="17"/>
          <w:color w:val="auto"/>
        </w:rPr>
        <w:t>, known in the scientific literature as VEGF Trap-Eye, is available in the United States, European Union (EU),</w:t>
      </w:r>
      <w:r>
        <w:rPr>
          <w:rFonts w:ascii="Arial" w:cs="Arial" w:eastAsia="Arial" w:hAnsi="Arial"/>
          <w:sz w:val="17"/>
          <w:szCs w:val="17"/>
          <w:b w:val="1"/>
          <w:bCs w:val="1"/>
          <w:color w:val="auto"/>
        </w:rPr>
        <w:t xml:space="preserve"> </w:t>
      </w:r>
      <w:r>
        <w:rPr>
          <w:rFonts w:ascii="Arial" w:cs="Arial" w:eastAsia="Arial" w:hAnsi="Arial"/>
          <w:sz w:val="17"/>
          <w:szCs w:val="17"/>
          <w:color w:val="auto"/>
        </w:rPr>
        <w:t>Japan, and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Bayer has additional regulatory applications for EYLEA for various indications pending in other countries. We are collaborating with Bayer on the global development and commercialization of EYLEA outside the United States.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29" w:lineRule="exact"/>
        <w:rPr>
          <w:sz w:val="20"/>
          <w:szCs w:val="20"/>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Praluent (alirocumab) Injection</w:t>
      </w:r>
      <w:r>
        <w:rPr>
          <w:rFonts w:ascii="Arial" w:cs="Arial" w:eastAsia="Arial" w:hAnsi="Arial"/>
          <w:sz w:val="16"/>
          <w:szCs w:val="16"/>
          <w:color w:val="auto"/>
        </w:rPr>
        <w:t>, which is available in the United States where it is indicated as an adjunct to diet and maximally tolerated statin</w:t>
      </w:r>
      <w:r>
        <w:rPr>
          <w:rFonts w:ascii="Arial" w:cs="Arial" w:eastAsia="Arial" w:hAnsi="Arial"/>
          <w:sz w:val="16"/>
          <w:szCs w:val="16"/>
          <w:b w:val="1"/>
          <w:bCs w:val="1"/>
          <w:color w:val="auto"/>
        </w:rPr>
        <w:t xml:space="preserve"> </w:t>
      </w:r>
      <w:r>
        <w:rPr>
          <w:rFonts w:ascii="Arial" w:cs="Arial" w:eastAsia="Arial" w:hAnsi="Arial"/>
          <w:sz w:val="16"/>
          <w:szCs w:val="16"/>
          <w:color w:val="auto"/>
        </w:rPr>
        <w:t>therapy for the treatment of adults with heterozygous familial hypercholesterolemia or clinical atherosclerotic cardiovascular disease (ASCVD), who require additional lowering of LDL cholesterol. Praluent is also available in certain countries in Europe for the treatment of adult patients with primary hypercholesterolemia (heterozygous familial hypercholesterolemia (HeFH) and non-familial) or mixed dyslipidemia as an adjunct to diet:</w:t>
      </w:r>
    </w:p>
    <w:p>
      <w:pPr>
        <w:spacing w:after="0" w:line="2" w:lineRule="exact"/>
        <w:rPr>
          <w:rFonts w:ascii="Arial" w:cs="Arial" w:eastAsia="Arial" w:hAnsi="Arial"/>
          <w:sz w:val="16"/>
          <w:szCs w:val="16"/>
          <w:color w:val="auto"/>
        </w:rPr>
      </w:pPr>
    </w:p>
    <w:p>
      <w:pPr>
        <w:jc w:val="both"/>
        <w:ind w:left="660" w:hanging="4"/>
        <w:spacing w:after="0" w:line="252" w:lineRule="auto"/>
        <w:tabs>
          <w:tab w:leader="none" w:pos="937"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In July 2016, the Japanese Ministry of Health, Labour and Welfare (MHLW) granted marketing and manufacturing authorization for Praluent for the treatment of uncontrolled LDL cholesterol, in certain adult patients with hypercholesterolemia at high cardiovascular risk. The effect of Praluent on cardiovascular morbidity and mortality has not been determined. We are collaborating with Sanofi on the global development and commercialization of Praluent.</w:t>
      </w:r>
    </w:p>
    <w:p>
      <w:pPr>
        <w:spacing w:after="0" w:line="109" w:lineRule="exact"/>
        <w:rPr>
          <w:rFonts w:ascii="Arial" w:cs="Arial" w:eastAsia="Arial" w:hAnsi="Arial"/>
          <w:sz w:val="18"/>
          <w:szCs w:val="18"/>
          <w:color w:val="auto"/>
        </w:rPr>
      </w:pPr>
    </w:p>
    <w:p>
      <w:pPr>
        <w:jc w:val="both"/>
        <w:ind w:left="660" w:hanging="328"/>
        <w:spacing w:after="0" w:line="22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256"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8"/>
          <w:szCs w:val="18"/>
          <w:color w:val="auto"/>
        </w:rPr>
        <w:t xml:space="preserve">We have 15 product candidates in clinical development, all of which were discovered in our research laboratories. These consist of a Trap-based clinical program and 14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437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43" w:lineRule="exact"/>
        <w:rPr>
          <w:sz w:val="20"/>
          <w:szCs w:val="20"/>
          <w:color w:val="auto"/>
        </w:rPr>
      </w:pPr>
    </w:p>
    <w:p>
      <w:pPr>
        <w:ind w:left="40" w:right="260"/>
        <w:spacing w:after="0" w:line="259" w:lineRule="auto"/>
        <w:rPr>
          <w:sz w:val="20"/>
          <w:szCs w:val="20"/>
          <w:color w:val="auto"/>
        </w:rPr>
      </w:pPr>
      <w:r>
        <w:rPr>
          <w:rFonts w:ascii="Arial" w:cs="Arial" w:eastAsia="Arial" w:hAnsi="Arial"/>
          <w:sz w:val="18"/>
          <w:szCs w:val="18"/>
          <w:color w:val="auto"/>
        </w:rPr>
        <w:t>In Phase 3 clinical development for the treatment of Neovascular Glaucoma (NVG) (in Japan) in collaboration with Bayer. Phase 3 study for the treatment of non-proliferative diabetic retinopathy (NPDR) in patients without DME initiated in the first quarter of 2016. As described below, aflibercept is also being studied in combination with (i) rinucumab, an antibody to Platelet Derived Growth Factor Receptor Beta (PDGFR-beta), and (ii) nesvacumab, an antibody to angiopoietin-2 (Ang2).</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Praluent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PCSK9. In Phase 3 clinical development for LDL cholesterol reduction and for the prevention of cardiovascular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63" w:lineRule="exact"/>
        <w:rPr>
          <w:sz w:val="20"/>
          <w:szCs w:val="20"/>
          <w:color w:val="auto"/>
        </w:rPr>
      </w:pPr>
    </w:p>
    <w:p>
      <w:pPr>
        <w:ind w:left="40" w:right="280"/>
        <w:spacing w:after="0" w:line="317" w:lineRule="auto"/>
        <w:rPr>
          <w:sz w:val="20"/>
          <w:szCs w:val="20"/>
          <w:color w:val="auto"/>
        </w:rPr>
      </w:pPr>
      <w:r>
        <w:rPr>
          <w:rFonts w:ascii="Arial" w:cs="Arial" w:eastAsia="Arial" w:hAnsi="Arial"/>
          <w:sz w:val="16"/>
          <w:szCs w:val="16"/>
          <w:color w:val="auto"/>
        </w:rPr>
        <w:t>Antibody to the interleukin-4 receptor (IL-4R) alpha subunit. In clinical development in atopic dermatitis in adults (Phase 3), atopic dermatitis in pediatric patients (Phase 2), asthma (Phase 3), and eosinophilic esophagitis (EoE) (Phase 2). Plan to conduct Phase 3 studies in patients with nasal polyps.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43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REGN2810</w:t>
      </w:r>
    </w:p>
    <w:p>
      <w:pPr>
        <w:spacing w:after="0" w:line="63" w:lineRule="exact"/>
        <w:rPr>
          <w:sz w:val="20"/>
          <w:szCs w:val="20"/>
          <w:color w:val="auto"/>
        </w:rPr>
      </w:pPr>
    </w:p>
    <w:p>
      <w:pPr>
        <w:ind w:left="40" w:right="240"/>
        <w:spacing w:after="0" w:line="264" w:lineRule="auto"/>
        <w:rPr>
          <w:sz w:val="20"/>
          <w:szCs w:val="20"/>
          <w:color w:val="auto"/>
        </w:rPr>
      </w:pPr>
      <w:r>
        <w:rPr>
          <w:rFonts w:ascii="Arial" w:cs="Arial" w:eastAsia="Arial" w:hAnsi="Arial"/>
          <w:sz w:val="18"/>
          <w:szCs w:val="18"/>
          <w:color w:val="auto"/>
        </w:rPr>
        <w:t>Antibody to programmed cell death protein 1 (PD-1). In Phase 1 clinical development in solid tumors and advanced hematologic malignancies. Potentially pivotal Phase 2 study for the treatment of advanced cutaneous squamous cell carcinoma initiated in the second quarter of 2016. REGN 2810 is also being studied in combination with REGN1979 in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8"/>
          <w:szCs w:val="18"/>
          <w:b w:val="1"/>
          <w:bCs w:val="1"/>
          <w:color w:val="auto"/>
        </w:rPr>
        <w:t>Antibody-based Clinical Program in Collaboration with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Rinucumab/aflibercept (REGN2176-3)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ind w:left="40" w:right="240"/>
        <w:spacing w:after="0" w:line="254" w:lineRule="auto"/>
        <w:rPr>
          <w:sz w:val="20"/>
          <w:szCs w:val="20"/>
          <w:color w:val="auto"/>
        </w:rPr>
      </w:pPr>
      <w:r>
        <w:rPr>
          <w:rFonts w:ascii="Arial" w:cs="Arial" w:eastAsia="Arial" w:hAnsi="Arial"/>
          <w:sz w:val="18"/>
          <w:szCs w:val="18"/>
          <w:color w:val="auto"/>
        </w:rPr>
        <w:t>Combination product comprised of an antibody to PDGFR-beta co-formulated with aflibercept for intravitreal injection for use in ophthalmology. In Phase 2 clinical development for the treatment of wet AMD. Fast Track designation received from the U.S. Food and Drug Administration (FDA) for the treatment of patients with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43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Nesvacumab/aflibercept (REGN910-3)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40" w:right="300"/>
        <w:spacing w:after="0" w:line="259" w:lineRule="auto"/>
        <w:rPr>
          <w:sz w:val="20"/>
          <w:szCs w:val="20"/>
          <w:color w:val="auto"/>
        </w:rPr>
      </w:pPr>
      <w:r>
        <w:rPr>
          <w:rFonts w:ascii="Arial" w:cs="Arial" w:eastAsia="Arial" w:hAnsi="Arial"/>
          <w:sz w:val="18"/>
          <w:szCs w:val="18"/>
          <w:color w:val="auto"/>
        </w:rPr>
        <w:t>Combination product comprised of an antibody to Ang2 co-formulated with aflibercept for intravitreal injection for use in ophthalmology. Phase 2 studies for the treatment of wet AMD and DME initiated in the first quarter of 2016.</w:t>
      </w:r>
    </w:p>
    <w:p>
      <w:pPr>
        <w:spacing w:after="0" w:line="1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Antibody-based Clinical Program in Collaboration with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ind w:left="40" w:right="220"/>
        <w:spacing w:after="0" w:line="254" w:lineRule="auto"/>
        <w:rPr>
          <w:sz w:val="20"/>
          <w:szCs w:val="20"/>
          <w:color w:val="auto"/>
        </w:rPr>
      </w:pPr>
      <w:r>
        <w:rPr>
          <w:rFonts w:ascii="Arial" w:cs="Arial" w:eastAsia="Arial" w:hAnsi="Arial"/>
          <w:sz w:val="18"/>
          <w:szCs w:val="18"/>
          <w:color w:val="auto"/>
        </w:rPr>
        <w:t>Antibody to Nerve Growth Factor (NGF). In Phase 2/3 clinical development (16-week study) for pain due to osteoarthritis and chronic low back pain. Phase 3 long-term safety and efficacy study in patients with osteoarthritis of knee and hip initiated in the first quarter of 2016. Phase 2b/3 study for chronic low back pain initiated in the first quarter of 2016.</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9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REGN2222</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to the Respiratory Syncytial Virus-F (RSV-F) protein. In Phase 3 clinical development for prevention of RSV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Evinacumab (REGN1500)</w:t>
      </w:r>
      <w:r>
        <w:rPr>
          <w:rFonts w:ascii="Arial" w:cs="Arial" w:eastAsia="Arial" w:hAnsi="Arial"/>
          <w:sz w:val="25"/>
          <w:szCs w:val="25"/>
          <w:b w:val="1"/>
          <w:bCs w:val="1"/>
          <w:i w:val="1"/>
          <w:iCs w:val="1"/>
          <w:color w:val="auto"/>
          <w:vertAlign w:val="superscript"/>
        </w:rPr>
        <w:t>*</w:t>
      </w:r>
    </w:p>
    <w:p>
      <w:pPr>
        <w:ind w:left="40" w:right="600"/>
        <w:spacing w:after="0" w:line="259" w:lineRule="auto"/>
        <w:rPr>
          <w:sz w:val="20"/>
          <w:szCs w:val="20"/>
          <w:color w:val="auto"/>
        </w:rPr>
      </w:pPr>
      <w:r>
        <w:rPr>
          <w:rFonts w:ascii="Arial" w:cs="Arial" w:eastAsia="Arial" w:hAnsi="Arial"/>
          <w:sz w:val="18"/>
          <w:szCs w:val="18"/>
          <w:color w:val="auto"/>
        </w:rPr>
        <w:t>Antibody to Angptl-3. In Phase 1/2 clinical development for the treatment of homozygous familial hypercholesterolemia (HoFH) and severe forms of hyperlipidemia.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Trevogrumab (REGN1033)</w:t>
      </w:r>
      <w:r>
        <w:rPr>
          <w:rFonts w:ascii="Arial" w:cs="Arial" w:eastAsia="Arial" w:hAnsi="Arial"/>
          <w:sz w:val="25"/>
          <w:szCs w:val="25"/>
          <w:b w:val="1"/>
          <w:bCs w:val="1"/>
          <w:i w:val="1"/>
          <w:iCs w:val="1"/>
          <w:color w:val="auto"/>
          <w:vertAlign w:val="superscript"/>
        </w:rPr>
        <w:t>*</w:t>
      </w:r>
    </w:p>
    <w:p>
      <w:pPr>
        <w:ind w:left="40" w:right="640"/>
        <w:spacing w:after="0" w:line="259" w:lineRule="auto"/>
        <w:rPr>
          <w:sz w:val="20"/>
          <w:szCs w:val="20"/>
          <w:color w:val="auto"/>
        </w:rPr>
      </w:pPr>
      <w:r>
        <w:rPr>
          <w:rFonts w:ascii="Arial" w:cs="Arial" w:eastAsia="Arial" w:hAnsi="Arial"/>
          <w:sz w:val="18"/>
          <w:szCs w:val="18"/>
          <w:color w:val="auto"/>
        </w:rPr>
        <w:t>Antibody to myostatin (GDF8). Phase 2 monotherapy clinical development in skeletal muscle disorders completed. Combination therapy plans are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Feld1. In Phase 1 clinical development against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REGN1979</w:t>
      </w:r>
    </w:p>
    <w:p>
      <w:pPr>
        <w:spacing w:after="0" w:line="63"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Bispecific antibody against CD20 and CD3. In Phase 1 clinical development for Non-Hodgkin's Lymphoma, Chronic Lymphocytic Leukemia, and Acute Lymphoblastic Leukemia. REGN1979 is also being studied in combination with REGN2810 in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REGN3470-3471-3479</w:t>
      </w:r>
    </w:p>
    <w:p>
      <w:pPr>
        <w:spacing w:after="0" w:line="63" w:lineRule="exact"/>
        <w:rPr>
          <w:sz w:val="20"/>
          <w:szCs w:val="20"/>
          <w:color w:val="auto"/>
        </w:rPr>
      </w:pPr>
    </w:p>
    <w:p>
      <w:pPr>
        <w:ind w:left="40" w:right="360"/>
        <w:spacing w:after="0" w:line="277" w:lineRule="auto"/>
        <w:rPr>
          <w:sz w:val="20"/>
          <w:szCs w:val="20"/>
          <w:color w:val="auto"/>
        </w:rPr>
      </w:pPr>
      <w:r>
        <w:rPr>
          <w:rFonts w:ascii="Arial" w:cs="Arial" w:eastAsia="Arial" w:hAnsi="Arial"/>
          <w:sz w:val="18"/>
          <w:szCs w:val="18"/>
          <w:color w:val="auto"/>
        </w:rPr>
        <w:t>Antibody to Ebola virus. Phase 1 study in healthy volunteers initiated in the second quarter of 2016. Also in the second quarter of 2016, the FDA granted orphan-drug designation for the treatment of Ebola virus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REGN2477</w:t>
      </w:r>
    </w:p>
    <w:p>
      <w:pPr>
        <w:spacing w:after="0" w:line="63" w:lineRule="exact"/>
        <w:rPr>
          <w:sz w:val="20"/>
          <w:szCs w:val="20"/>
          <w:color w:val="auto"/>
        </w:rPr>
      </w:pPr>
    </w:p>
    <w:p>
      <w:pPr>
        <w:ind w:left="40" w:right="740"/>
        <w:spacing w:after="0" w:line="277" w:lineRule="auto"/>
        <w:rPr>
          <w:sz w:val="20"/>
          <w:szCs w:val="20"/>
          <w:color w:val="auto"/>
        </w:rPr>
      </w:pPr>
      <w:r>
        <w:rPr>
          <w:rFonts w:ascii="Arial" w:cs="Arial" w:eastAsia="Arial" w:hAnsi="Arial"/>
          <w:sz w:val="18"/>
          <w:szCs w:val="18"/>
          <w:color w:val="auto"/>
        </w:rPr>
        <w:t>Antibody to Activin A being developed for Fibrodysplasia Ossificans Progressiva (FOP). Phase 1 study in healthy volunteers initiated in the second quarter of 2016.</w:t>
      </w:r>
    </w:p>
    <w:p>
      <w:pPr>
        <w:spacing w:after="0" w:line="193" w:lineRule="exact"/>
        <w:rPr>
          <w:sz w:val="20"/>
          <w:szCs w:val="20"/>
          <w:color w:val="auto"/>
        </w:rPr>
      </w:pPr>
    </w:p>
    <w:p>
      <w:pPr>
        <w:ind w:left="220" w:right="500" w:hanging="9"/>
        <w:spacing w:after="0" w:line="253" w:lineRule="auto"/>
        <w:tabs>
          <w:tab w:leader="none" w:pos="301" w:val="left"/>
        </w:tabs>
        <w:numPr>
          <w:ilvl w:val="0"/>
          <w:numId w:val="5"/>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2" w:lineRule="exact"/>
        <w:rPr>
          <w:sz w:val="20"/>
          <w:szCs w:val="20"/>
          <w:color w:val="auto"/>
        </w:rPr>
      </w:pPr>
    </w:p>
    <w:p>
      <w:pPr>
        <w:ind w:left="220" w:right="80" w:hanging="9"/>
        <w:spacing w:after="0" w:line="238" w:lineRule="auto"/>
        <w:tabs>
          <w:tab w:leader="none" w:pos="338" w:val="left"/>
        </w:tabs>
        <w:numPr>
          <w:ilvl w:val="0"/>
          <w:numId w:val="6"/>
        </w:numPr>
        <w:rPr>
          <w:rFonts w:ascii="Arial" w:cs="Arial" w:eastAsia="Arial" w:hAnsi="Arial"/>
          <w:sz w:val="9"/>
          <w:szCs w:val="9"/>
          <w:color w:val="auto"/>
        </w:rPr>
      </w:pPr>
      <w:r>
        <w:rPr>
          <w:rFonts w:ascii="Arial" w:cs="Arial" w:eastAsia="Arial" w:hAnsi="Arial"/>
          <w:sz w:val="14"/>
          <w:szCs w:val="14"/>
          <w:color w:val="auto"/>
        </w:rPr>
        <w:t>Antibodies targeting the PDGF family of receptors and ligands in ophthalmology and all other indications, and antibodies targeting the Ang2 receptor and ligand in ophthalmology were previously included in our antibody collaboration with Sanofi. Under the terms of our agreements, Sanofi is entitled to receive potential development milestones and royalties on any future sales of the product candidates.</w:t>
      </w: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commenced sales of EYLEA in the United States for the treatment of wet AMD in 2011, macular edema following CRVO in 2012, and DME and macular edema following RVO in 2014. In addition, in the first quarter of 2015, the FDA approved EYLEA for the treatment of diabetic retinopathy in patients with DME. Outside the United States, Bayer commenced sales of EYLEA for the treatment of wet AMD in 2012, macular edema secondary to CRVO in 2013, visual impairment due to DME and mCNV (in Japan) in 2014. In 2015, the European Commission and the Japanese Ministry of Health, Labour and Welfare (MHLW) approved EYLEA for the treatment of macular edema following RVO, which includes macular edema following BRVO. In addition, the European Commission approved EYLEA for the treatment of visual impairment due to mCNV in 2015. Bayer has additional regulatory applications for EYLEA for various indications pending in other countries, including EYLEA for the treatment of wet AMD in China.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of EYLEA in the United States were $830.9 million in the second quarter and $1,611.8 million in the first half of 2016, compared to $654.6 million in the second quarter and $1,195.7 million in the first half of 2015. Bayer records revenue from sales of EYLEA outside the United States, which were $486.2 million in the second quarter and $905.1 million in the first half of 2016, compared to $337.8 million in the second quarter and $629.6 million in the first half of 2015.</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(alirocumab) Injection</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July 2015, the FDA approved Praluent as an adjunct to diet and maximally tolerated statin therapy for the treatment of adults with heterozygous familial hypercholesterolemia or clinical ASCVD, who require additional lowering of LDL cholesterol.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 In July 2016, the Japanese Ministry of Health, Labour and Welfare (MHLW) granted marketing and manufacturing authorization for Praluent for the treatment of uncontrolled LDL cholesterol, in certain adult patients with hypercholesterolemia at high cardiovascular risk.</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our collaboration agreement, Sanofi records product sales and cost of sales for commercialized products, and Regeneron has the right to co-promote such products. We have exercised our option to co-promote Praluent in the United States and thus far have not exercised our option to co-promote Praluent outside the United States. We and Sanofi share profits and losses from sales of Praluent. Net product sales of Praluent were $24.5 million in the second quarter and $37.4 million in the first half of 2016.</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product sales of ARCALYST were $3.3 million in the second quarter and $6.6 million in the first half of 2016, compared to $3.2 million in the second quarter and $6.7 million in the first half of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Neovascular Glaucoma</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NVG meets the criteria for an orphan indication in Japan where the estimated number of NVG patients is 30,000 to 40,000. In the second quarter of 2015, Bayer initiated a Phase 3 study in Japan to assess the efficacy and safety of intravitreal administration of aflibercept in comparison to sham treatment on the change in IOP in patients with NVG. The primary endpoint of this Phase 3 study (n=54), which was the change in IOP from baseline to week 1, was numerically in favor of EYLEA (p=0.06). Statistically significant improvements were observed in both neovascularization of the iris and neovascularization of the iridocorneal angle with EYLEA, compared to sham treatment. Most ocular treatment emergent adverse events were injection related, including conjunctival hemorrhage and injection site pain in the EYLEA group. Bayer expects to proceed with an Orphan Drug application with Japanese regulatory authorities.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Diabetic Retinopathy</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There is currently no standard treatment for non-proliferative diabetic retinopathy (NPDR) in the absence of DME and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a considerable loss of peripheral visual field.</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first quarter of 2016, a Phase 3 trial (PANORAMA) was initiated to assess the efficacy and safety of intravitreal aflibercept in patients with moderately severe to severe NPDR without DME.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which is intended to lower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ODYSSEY Program</w:t>
      </w:r>
      <w:r>
        <w:rPr>
          <w:rFonts w:ascii="Arial" w:cs="Arial" w:eastAsia="Arial" w:hAnsi="Arial"/>
          <w:sz w:val="18"/>
          <w:szCs w:val="18"/>
          <w:color w:val="auto"/>
        </w:rPr>
        <w:t>. The global Phase 3 ODYSSEY program consists of more than 25,000 patients, and includes clinical trials evaluating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Praluent on lowering LDL cholesterol. The potential of Praluent to demonstrate cardiovascular benefit is being prospectively assessed in the ongoing 18,000-patient ODYSSEY OUTCOMES trial, which is fully enrolled and is expected to be completed in 2017. LDL cholesterol reduction is the primary efficacy endpoint for initial regulatory filings. The ODYSSEY program also includes two trials of Praluent dosed every four weeks, ODYSSEY CHOICE I and ODYSSEY CHOICE II. Patients in the ODYSSEY CHOICE I trial received Praluent 300 milligrams (mg) (most in combination with statins) every four weeks and patients in the CHOICE II trial received Praluent 150 mg monotherapy and in combination with non-statin lipid lowering therapy every four weeks.</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2016, we and Sanofi announced positive results from the Phase 3 ODYSSEY ESCAPE trial evaluating Praluent in patients with HeFH, whose cholesterol levels required chronic, weekly or bi-weekly apheresis therapy. The trial met its primary endpoint, demonstrating that patients who added Praluent to their existing treatment regimen significantly reduced the frequency of their apheresis therapy by 75%, compared to placebo (p&lt;0.0001). Sixty-three percent of patients treated with Praluent</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longer required apheresis, compared to zero percent of placebo patients. Apheresis is a procedure where bad (LDL) cholesterol is removed from the blood, in a process similar to kidney dialysis. The most common adverse events (AEs) in the trial were fatigue (15% Praluent; 10% placebo), nasopharyngitis (10% Praluent; 10% placebo), diarrhea (10% Praluent; 0% placebo), myalgia (10% Praluent; 5% placebo), upper respiratory infection (7% Praluent; 19% placebo), headache (7% Praluent; 5% placebo), arthralgia (7% Praluent; 10% placebo), and back pain (5% Praluent; 10% placebo). Detailed data will be presented at future medical conferences.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first quarter of 2016, the Data Monitoring Committee (DMC) of the ODYSSEY OUTCOMES study completed the first interim analysis. In accordance with the protocol, the DMC performed a futility assessment. The DMC recommended the study continue with no changes. Regeneron remains blinded to the actual results of this analysis.</w:t>
      </w:r>
    </w:p>
    <w:p>
      <w:pPr>
        <w:spacing w:after="0" w:line="2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the second quarter of 2016, the FDA accepted for review a supplemental BLA for a monthly dosing regimen of Praluent, with a target action date of January 24, 2017. In addition, a regulatory application for a monthly dosing regimen of Praluent was recently submitted in the EU.</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Studies</w:t>
      </w:r>
      <w:r>
        <w:rPr>
          <w:rFonts w:ascii="Arial" w:cs="Arial" w:eastAsia="Arial" w:hAnsi="Arial"/>
          <w:sz w:val="18"/>
          <w:szCs w:val="18"/>
          <w:color w:val="auto"/>
        </w:rPr>
        <w:t>. We and Sanofi previously announced (and presented data) that in the 52 week SARIL-RA-MOBILITY Phase 3 clinical trial in adult</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active RA who were inadequate responders to methotrexate (MTX) therapy, sarilumab treatment in combination with MTX improved disease signs and symptoms as well as physical function, and inhibited progression of joint damage. In addition, during 2015, we and Sanofi announced (and presented data) that in the 24 week SARIL-RA-TARGET Phase 3 clinical trial in adult patients with active RA who were inadequate responders or intolerant of TNF-alpha inhibitors, sarilumab treatment in combination with non-biologic disease modifying anti-rheumatic drugs (DMARD) therapy improved disease signs and symptoms, as well as physical function.</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Two other Phase 3 studies, SARIL-RA-ASCERTAIN and SARIL-RA-EASY, also achieved their respective primary endpoints. SARIL-RA-ASCERTAIN was a patient safety calibrator study, designed to assess the safety of two subcutaneous doses of sarilumab and tocilizumab infusion in combination with DMARDs in patients with moderate-to-severe RA who were inadequate responders to or intolerant of TNF-alpha inhibitors. There were no clinically meaningful differences between the treatment groups in serious AEs and serious infections. SARIL-RA-EASY was designed to evaluate the technical performance and usability of the sarilumab autoinjector device. There were no product technical failures with the autoinjector, the primary endpoint of the study.</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In March 2016, we and Sanofi announced positive top-line data from the Phase 3 SARIL-RA-MONARCH study that demonstrated superiority of sarilumab vs. adalimumab (marketed by AbbVie Inc. as HUMIRA</w:t>
      </w:r>
      <w:r>
        <w:rPr>
          <w:rFonts w:ascii="Arial" w:cs="Arial" w:eastAsia="Arial" w:hAnsi="Arial"/>
          <w:sz w:val="24"/>
          <w:szCs w:val="24"/>
          <w:color w:val="auto"/>
          <w:vertAlign w:val="superscript"/>
        </w:rPr>
        <w:t>®</w:t>
      </w:r>
      <w:r>
        <w:rPr>
          <w:rFonts w:ascii="Arial" w:cs="Arial" w:eastAsia="Arial" w:hAnsi="Arial"/>
          <w:sz w:val="17"/>
          <w:szCs w:val="17"/>
          <w:color w:val="auto"/>
        </w:rPr>
        <w:t>) in improving signs and symptoms of RA at 24 weeks in patients with active rheumatoid arthritis. The primary endpoint was change from baseline in DAS28-ESR at 24 weeks, which demonstrated a statistically significant difference in favor of sarilumab (-3.25 for sarilumab compared to -2.22 for adalimumab, p&lt;0.0001). The study also met clinically important secondary endpoints including improvements in signs and symptoms of RA as measured by patients achieving a 20% improvement in the American College of Rheumatology (ACR) criteria (72% for sarilumab vs. 58% for adalimumab, p&lt;0.01). Additional positive secondary endpoints included ACR50 and ACR70 response, and improvement in physical function, as measured by the Health Assessment Questionnaire - Disability Index (HAQ-DI) as compared to adalimumab (p&lt;0.01 for all of these measures). DAS28-ESR is a measure of disease activity in RA, which includes the evaluation of 28 joints in the body for tenderness and swelling, a general health assessment, and ESR, a laboratory measure for inflammation. The incidence of AEs (64% for both groups), serious AEs (5% for sarilumab vs. 7% for adalimumab), infections (29% for sarilumab vs. 28% for adalimumab), and serious infections (1% for both groups) were generally similar between groups. Neutropenia, which was not associated with infections, was more common with sarilumab (14% for sarilumab vs.1% for adalimumab), as has been seen in previous studies with IL-6 inhibitors. Injection site erythema (8% sarilumab vs. 3% adalimumab) was also more common with sarilumab.</w:t>
      </w:r>
    </w:p>
    <w:p>
      <w:pPr>
        <w:spacing w:after="0" w:line="25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 BLA for U.S. regulatory approval of sarilumab was accepted for review by the FDA in December 2015. The target date for an FDA decision on the BLA is October 30, 2016. In addition, in July 2016, the European Medicines Agency (EMA) accepted for review the Marketing Authorization Application (MAA) for sarilumab.</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SARIL-NIU-SATURN was a small Phase 2, randomized double-masked, placebo-controlled study (n=58)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to assess the effect of sarilumab on non-infectious uveitis of the posterior ocular segment. We reported results of this study at the pre-specified primary endpoint (week 16) during 2015. The full 52-week data are expected in the second half of 2016.</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The LIBERTY AD Phase 3 clinical program consists of five trials of patients with moderate-to-severe atopic dermatitis at sites worldwide.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2015, three Phase 3 trials in atopic dermatitis, LIBERTY AD CHRONOS, LIBERTY AD SOLO 1, and LIBERTY AD SOLO 2, completed enrollment.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Patients from these studies were transitioned to either the ongoing LIBERTY CONTINUE or LIBERTY AD Open label Extension trials.</w:t>
      </w:r>
    </w:p>
    <w:p>
      <w:pPr>
        <w:spacing w:after="0" w:line="26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2014, the FDA granted Breakthrough Therapy designation to dupilumab for the treatment of adults with moderate-to-severe atopic dermatitis who are not adequately controlled with topical prescription therapy and/or for whom these treatments are not appropriate. This designation is based on positive results from Phase 1 and 2 clinical trials, the determination that atopic dermatitis is a serious disease, and preliminary clinical evidence that indicates that the drug may demonstrate substantial improvement over existing therapies. A BLA for dupilumab in the United States was recently submitted to the FDA.</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2015, the United Kingdom (UK) Medicines &amp; Healthcare products Regulatory Agency (MHRA) granted Promising Innovative Medicine (PIM) Designation to dupilumab in the short-term treatment of adult patients with severe atopic dermatitis who have responded inadequately to all available topical prescription treatments and/or systemic ciclosporin, or who are intolerant of or ineligible for such treatments. A PIM Designation is an early indication that a medicinal product is a promising candidate for the Early Access to Medicines Scheme (EAMS), in the treatment, diagnosis, or prevention of life-threatening or seriously debilitating conditions with unmet need. PIM Designation is the first step in a 2-step EAMS process that allows patients to be treated with dupilumab in advance of formal regulatory approval.</w:t>
      </w:r>
    </w:p>
    <w:p>
      <w:pPr>
        <w:spacing w:after="0" w:line="247"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April 2016, we and Sanofi announced positive top-line data from the Phase 3 LIBERTY AD SOLO 1 and SOLO 2 studies. These studies met their primary endpoints, and treatment with dupilumab as monotherapy significantly improved measures of overall disease severity, skin clearing, itching, quality of life, and mental health. A total of 1,379 adult patients with moderate-to-severe atopic dermatitis were enrolled in the identically-designed SOLO 1 and SOLO 2 trials. Patients were enrolled if they were not adequately controlled with topical medications, or if topical treatment was not medically advisable. All patients were assessed via the 5-point Investigator's Global Assessment (IGA) scale, ranging from 0 (clear) to 4 (severe); entry criteria required a baseline score of 3 or 4. Patients were also assessed using the Eczema Area and Severity Index (EASI) and other measures. Patients were randomized into one of three treatment groups: dupilumab 300 mg subcutaneously once per week, dupilumab 300 mg subcutaneously every two weeks, or placebo for 16 weeks following an initial dupilumab loading dose of 600 mg subcutaneously, or placebo. Results at 16 weeks included the following:</w:t>
      </w:r>
    </w:p>
    <w:p>
      <w:pPr>
        <w:spacing w:after="0" w:line="220" w:lineRule="exact"/>
        <w:rPr>
          <w:sz w:val="20"/>
          <w:szCs w:val="20"/>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SOLO 1 and SOLO 2, respectively, 37% and 36% of patients who received dupilumab 300 mg weekly, and 38% and 36% of patients who received dupilumab 300 mg every two weeks, achieved clearing or near-clearing of skin lesions (IGA 0 or 1), compared to 10% and 8.5% with placebo (p&lt;0.0001). This was the primary endpoint of the study in the United States.</w:t>
      </w:r>
    </w:p>
    <w:p>
      <w:pPr>
        <w:ind w:left="660" w:right="2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SOLO 1 and SOLO 2, respectively, the percent improvement in EASI from baseline was 72% and 69% in patients who received the 300 mg weekly dose, and 72% and 67% for patients who received dupilumab 300 mg every two weeks, compared to 38% and 31% for placebo (p&lt;0.0001).</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SOLO 1 and SOLO 2, respectively, 52.5% and 48% of patients who received dupilumab 300 mg weekly, and 51% and 44% of patients who received dupilumab 300 mg every two weeks, achieved EASI-75 compared to 15% and 12% with placebo (p&lt;0.0001). This was the key secondary endpoint in the United States and one of the primary endpoints in the EU.</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the 16-week treatment period, the overall rate of AEs (65%-73% dupilumab and 65%-72% placebo) was comparable between the dupilumab groups and the placebo groups. The proportion of patients who completed the treatment period was 88%-94% for dupilumab and 80.5%-82% for placebo. The rate of serious AEs was 1%-3% for dupilumab and 5%-6% for placebo. Serious and severe infections were also numerically higher in the placebo groups in both studies (0.5%-1% dupilumab and 2%-3% placebo). AEs that were noted to have a higher rate with dupilumab treatment across both studies included injection site reactions (10%-20% dupilumab; 7%-8% placebo) and conjunctivitis (7%-12% dupilumab; 2% placebo); approximately 26% of patients in both studies reported a history of allergic conjunctivitis at study entry. No patient discontinued therapy due to injection site reactions and only one patient discontinued therapy due to conjunctivitis. More detailed results from SOLO 1 and SOLO 2 will be submitted for presentation at a future medical congress.</w:t>
      </w:r>
    </w:p>
    <w:p>
      <w:pPr>
        <w:spacing w:after="0" w:line="2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first quarter of 2016, the Phase 3 LIBERTY AD CAFÉ study of dupilumab in severe atopic dermatitis was initiated. This placebo-controlled study will investigate two dose regimens of dupilumab (300 mg weekly and 300 mg every two weeks) with concomitant topical corticosteroids in adult patients with severe atopic dermatitis who are not adequately controlled with, or are intolerant to or ineligible for, oral cyclosporine A therapy. The primary endpoint of this study will be the proportion of patients with a 75% or greater improvement from baseline in their EASI score.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June 2016, we and Sanofi announced positive data from the Phase 3 LIBERTY AD CHRONOS study. This study met its primary and secondary endpoints, and dupilumab with topical corticosteroids (TCS) significantly improved measures of overall disease severity at 16 and 52 weeks, when compared to placebo with TCS. The primary endpoint results at week 16 were the following:</w:t>
      </w:r>
    </w:p>
    <w:p>
      <w:pPr>
        <w:spacing w:after="0" w:line="235"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 of patients who received either dupilumab 300 mg weekly with TCS or dupilumab 300 mg every two weeks with TCS achieved clearing or near-clearing of skin lesions (IGA 0 or 1), compared to 12% of patients receiving placebo with TCS (p&lt;0.0001).</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64% of patients who received dupilumab 300 mg weekly with TCS, and 69% of patients who received dupilumab 300 mg every two weeks with TCS achieved EASI-75, a 75% reduction on an index measuring eczema severity, compared to 23% of patients receiving placebo with TCS (p&lt;0.0001).</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secondary endpoint 52-week results were the following:</w:t>
      </w:r>
    </w:p>
    <w:p>
      <w:pPr>
        <w:spacing w:after="0" w:line="279" w:lineRule="exact"/>
        <w:rPr>
          <w:sz w:val="20"/>
          <w:szCs w:val="20"/>
          <w:color w:val="auto"/>
        </w:rPr>
      </w:pPr>
    </w:p>
    <w:p>
      <w:pPr>
        <w:ind w:left="660" w:hanging="328"/>
        <w:spacing w:after="0" w:line="274"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40% of patients who received dupilumab 300 mg weekly with TCS, and 36% of patients who received dupilumab 300 mg every two weeks with TCS achieved clearing or near-clearing of skin lesions (IGA 0 or 1), compared to 12.5% of patients receiving placebo with TCS (p&lt;0.0001).</w:t>
      </w: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64% of patients who received 300 mg weekly with TCS, and 65% of patients who received 300 mg every two weeks with TCS achieved EASI-75, compared to 22% with placebo with TCS (p&lt;0.0001).</w:t>
      </w:r>
    </w:p>
    <w:p>
      <w:pPr>
        <w:spacing w:after="0" w:line="10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Patients were less likely to discontinue therapy in the dupilumab with TCS groups compared to placebo with TCS group (15% in both dupilumab groups; 33% placebo).</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overall rate of AEs in the LIBERTY AD CHRONOS study was comparable between the dupilumab with TCS groups (83% for the weekly dose (qw) and 88% for the every two weeks (q2w) dosing group) and the placebo with TCS group (84%). The rate of serious AEs was comparable between the dupilumab with TCS groups (3% (qw) and 4% (q2w)) and placebo with TCS group (5%). Serious and/or severe infections were numerically higher in the placebo with TCS group (1% in both dupilumab groups and 2% placebo). Adverse events that were noted to have a higher rate with dupilumab included injection site reactions (20% (qw) and 16% (q2w) dupilumab; 9% placebo) and conjunctivitis (19% (qw) and 13% (q2w) dupilumab; 8% placebo); 22% of patients on placebo, and 23% (qw) and 28% (q2w) of patients on dupilumab reported a history of allergic conjunctivitis at study entry.</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2 Study in Pediatric Patients. </w:t>
      </w:r>
      <w:r>
        <w:rPr>
          <w:rFonts w:ascii="Arial" w:cs="Arial" w:eastAsia="Arial" w:hAnsi="Arial"/>
          <w:sz w:val="18"/>
          <w:szCs w:val="18"/>
          <w:color w:val="auto"/>
        </w:rPr>
        <w:t>In 2015, a Phase 2 pharmacokinetic and safety study in pediatric patients (6-17 years of age) with moderate-to-severe</w:t>
      </w:r>
      <w:r>
        <w:rPr>
          <w:rFonts w:ascii="Arial" w:cs="Arial" w:eastAsia="Arial" w:hAnsi="Arial"/>
          <w:sz w:val="18"/>
          <w:szCs w:val="18"/>
          <w:i w:val="1"/>
          <w:iCs w:val="1"/>
          <w:color w:val="auto"/>
        </w:rPr>
        <w:t xml:space="preserve"> </w:t>
      </w:r>
      <w:r>
        <w:rPr>
          <w:rFonts w:ascii="Arial" w:cs="Arial" w:eastAsia="Arial" w:hAnsi="Arial"/>
          <w:sz w:val="18"/>
          <w:szCs w:val="18"/>
          <w:color w:val="auto"/>
        </w:rPr>
        <w:t>atopic dermatitis was initiated, and data are expected in the second half of 2016.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A Phase 3 trial, LIBERTY ASTHMA QUEST, in patients with uncontrolled persistent asthma was initiated in the second quarter of 2015.</w:t>
      </w:r>
      <w:r>
        <w:rPr>
          <w:rFonts w:ascii="Arial" w:cs="Arial" w:eastAsia="Arial" w:hAnsi="Arial"/>
          <w:sz w:val="16"/>
          <w:szCs w:val="16"/>
          <w:i w:val="1"/>
          <w:iCs w:val="1"/>
          <w:color w:val="auto"/>
        </w:rPr>
        <w:t xml:space="preserve"> </w:t>
      </w:r>
      <w:r>
        <w:rPr>
          <w:rFonts w:ascii="Arial" w:cs="Arial" w:eastAsia="Arial" w:hAnsi="Arial"/>
          <w:sz w:val="16"/>
          <w:szCs w:val="16"/>
          <w:color w:val="auto"/>
        </w:rPr>
        <w:t>LIBERTY ASTHMA QUEST is expected to serve as the second required pivotal efficacy study, since, based on discussions with the FDA, the Phase 2b study will also be considered a pivotal efficacy study. The global, placebo-controlled Phase 3 study is expected to enroll more than 1,600 patients with uncontrolled persistent asthma and will evaluate two doses of dupilumab, 200 mg and 300 mg, subcutaneously administered every other week.</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We and Sanofi plan to conduct Phase 3 studies in patients with nasal polyps.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A Phase 2 trial of dupilumab in eosinophilic esophagitis was initiated in the first quarter of 2015. EoE is a chronic allergic inflammatory</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REGN2222 (RSV-F Antibody) for RSV</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REGN2222 is a fully human monoclonal antibody to the RSV-F protein. REGN2222 was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Based on clinical results from a Phase 1 study, a Phase 3 pivotal clinical study of REGN2222 (NURSERY Pre-Term) was initiated in 2015 and is currently enrolling patients.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2015, the FDA granted Fast Track designation to REGN2222 for the prevention of serious lower respiratory tract disease caused by RSV.</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 and chronic low back pain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Pain is a frequent reason for physician visits, a common reason for taking prescription medications, and a major cause of work disability and impaired quality of life. Targeting NGF is a potential advance in pain management. NGF expression is elevated in many acute and chronic painful conditions and NGF blockade has demonstrated efficacy in various animal models of pain. Fasinumab is a fully human monoclonal antibody to NGF, generated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the second quarter of 2015, a Phase 2/3 clinical study (16-weeks) in patients with moderate-to-severe osteoarthritis pain of the hip or knee who have a history of inadequate pain relief or intolerance to current analgesic therapies was initiated. In May 2016, we announced positive top-line data from the study. At 16 weeks, patients treated with all four doses of fasinumab demonstrated a statistically significant improvement in pain relief, the primary endpoint of the study, as well as improvements in the secondary measure evaluating physical function. The U.S. study enrolled 421 adult patients with moderate-to-severe osteoarthritis of the hip or knee who had a history of inadequate pain relief or intolerance to acetaminophen, and at least one oral nonsteroidal anti-inflammatory drug (NSAID) and an opioid. Patients in the study were experiencing significant pain at baseline with an average pain score of 6.3 on a 10-point scale. Patients were evaluated for pain, stiffness, and physical function using the Western Ontario and McMaster Universities Osteoarthritis Index (WOMAC) in addition to other measures. Patients were randomized to one of five treatment groups in a 1:1:1:1:1 fashion; fasinumab 1mg, 3mg, 6mg, 9mg, or placebo, all delivered subcutaneously every 4 weeks through week 12, with the primary efficacy measured at week 16. Following week 16, patients are being studied for an additional 20 weeks off treatment. On the primary endpoint, fasinumab-treated patients reported less pain at 16 weeks when compared to placebo on the 10-point WOMAC subscale for pain (-3.03 to -3.65 fasinumab vs. -2.25 placebo; p=0.03 through p=0.0001). The safety analysis includes all results at the time of the primary efficacy analysis; complete data will be reported when all patients complete the full 36 weeks. Overall incidence of AEs, including serious and severe events, was similar across the fasinumab groups and placebo. As expected with antibodies to NGF, there was an increase in certain neuro-musculoskeletal AEs in the fasinumab treatment groups (17% combined fasinumab; 6% placebo) including arthralgia, paraesthesia, hypoaesthesia, and peripheral edema. We plan to present detailed results of the study at an upcoming medical congress.</w:t>
      </w:r>
    </w:p>
    <w:p>
      <w:pPr>
        <w:spacing w:after="0" w:line="22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first quarter of 2016, the FDA confirmed that we may proceed with studies of longer than sixteen-week duration. A Phase 3 long-term safety and efficacy study in patients with pain due to osteoarthritis of the knee or hip was initiated in the first quarter of 2016. A Phase 2b/3 study in chronic low back pain was also initiated in the first quarter of 2016.</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fasinumab Phase 3 program is expected to consist of approximately 10,000 patients treated with fasinumab.</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the first quarter of 2016,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published a paper based on the work done at the Regeneron Genetics Center showing that inactivating mutations of the angiopoeitin-like 4 (Angptl-4) gene are associated with a significantly reduced risk of coronary artery disease in humans. Angptl-3 and Angptl-4 are related genes that both regulate lipoprotein lipase.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November 2007, we and Sanofi have been parties to a global, strategic collaboration to discover, develop, and commercialize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is responsible for funding up to $130.0 million of our antibody discovery activities in each of 2016 and 2017 to identify and validate potential drug discovery targets and develop fully human monoclonal antibodies against these targets. 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w:t>
      </w:r>
    </w:p>
    <w:p>
      <w:pPr>
        <w:spacing w:after="0" w:line="22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and cost of sales for commercialized products, and Regeneron has the right to co-promote such products. We have exercised our option to co-promote Praluent, sarilumab, and dupilumab in the United States. We have not exercised our option to co-promote Praluent outside the United States; however, we retain the right to do so at a future date subject to the terms of the collaboration agreement.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b w:val="1"/>
          <w:bCs w:val="1"/>
          <w:i w:val="1"/>
          <w:iCs w:val="1"/>
          <w:color w:val="auto"/>
        </w:rPr>
        <w:t xml:space="preserve">Immuno-Oncology. </w:t>
      </w:r>
      <w:r>
        <w:rPr>
          <w:rFonts w:ascii="Arial" w:cs="Arial" w:eastAsia="Arial" w:hAnsi="Arial"/>
          <w:sz w:val="17"/>
          <w:szCs w:val="17"/>
          <w:color w:val="auto"/>
        </w:rPr>
        <w:t>In July 2015, we and Sanofi entered into a global strategic collaboration to discover, develop, and commercialize antibody-based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We will reimburse Sanofi for half of the development costs they funded that are attributable to clinical development of antibody product candidates under the IO Discovery Agreement from our share of future profits, if any, from commercialized products to the extent they are sufficient for this purpose. With regard to product candidates for which proof-of-concept is established, Sanofi will have the option to license rights to the product candidate pursuant to the IO License and Collaboration Agreement.</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The parties will share equally in profits and losses in connection with the commercialization of collaboration products.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Under the terms of the IO License and Collaboration Agreement, the parties will also co-develop our antibody product candidate targeting PD-1 (REGN2810). We have principal control over the development of REGN2810, and the parties share equally, on an ongoing basis, development expenses for REGN2810 up to a total of $650.0 million.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i w:val="1"/>
          <w:iCs w:val="1"/>
          <w:color w:val="auto"/>
        </w:rPr>
        <w:t>EYLEA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2006, we and Bayer have been parties to a license and collaboration agreement for the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EYLEA. Under the agreement, we and Bayer collaborate on, and share the costs of, the development of EYLEA through an integrated global plan.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b w:val="1"/>
          <w:bCs w:val="1"/>
          <w:i w:val="1"/>
          <w:iCs w:val="1"/>
          <w:color w:val="auto"/>
        </w:rPr>
        <w:t>PDGFR-beta antibody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January 2014, we entered into an agreement with Bayer governing the joint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outside the United States of rinucumab, an antibody product candidate to PDGFR-beta, including in combination with aflibercept, for the treatment of ocular diseases or disorders. Rinucumab/aflibercept, a combination product candidate comprised of an antibody to PDGFR-beta co-formulated with aflibercept, is being developed under the agreement. Under the agreement, we will conduct the initial development of the PDGFR-beta antibody through completion of the first proof-of-concept study, upon which Bayer will have a right to opt-in to license and collaborate on further development and commercialization outside the United States. In connection with the agreement, Bayer is obligated to pay 25% of global development costs and 50% of development costs exclusively for the territory outside the United States under the initial development plan. In addition, Bayer is obligated to reimburse us for 50% of development milestone payments to Sanofi related to our acquisition of rights to antibodies targeting the PDGF family of receptors in May 2013. We are eligible to receive a $10.0 million additional development milestone payment from Bayer, although this payment could be reduced by half if Bayer does not opt-in to the collaboration.</w:t>
      </w:r>
    </w:p>
    <w:p>
      <w:pPr>
        <w:spacing w:after="0" w:line="23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0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b w:val="1"/>
          <w:bCs w:val="1"/>
          <w:i w:val="1"/>
          <w:iCs w:val="1"/>
          <w:color w:val="auto"/>
        </w:rPr>
        <w:t xml:space="preserve">Ang2 antibody outside the United States. </w:t>
      </w:r>
      <w:r>
        <w:rPr>
          <w:rFonts w:ascii="Arial" w:cs="Arial" w:eastAsia="Arial" w:hAnsi="Arial"/>
          <w:sz w:val="17"/>
          <w:szCs w:val="17"/>
          <w:color w:val="auto"/>
        </w:rPr>
        <w:t>In March 2016, we entered into an agreement with Bayer governing the joint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We are also entitled to receive an aggregate of $80.0 million in development milestone payments from Bayer. Bayer will share profits and losses from sales outside the United States equally with us, and is responsible for certain royalties payable to Sanofi on sales of the product outside of the United States. Within the United States, we have exclusive commercialization rights and will retain all of the profits from sales.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an Ang2 antibody in the specified field outside of the United States and such discontinuation is acknowledged as permanent by both us and Bayer.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Fasinumab Asia. </w:t>
      </w:r>
      <w:r>
        <w:rPr>
          <w:rFonts w:ascii="Arial" w:cs="Arial" w:eastAsia="Arial" w:hAnsi="Arial"/>
          <w:sz w:val="18"/>
          <w:szCs w:val="18"/>
          <w:color w:val="auto"/>
        </w:rPr>
        <w:t>In September 2015, we entered into a collaboration agreement with Mitsubishi Tanabe Pharma Corporation (MTPC) providing MTPC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the first quarter of 2016, MTPC made additional payments of $45.0 million and $15.0 million to us. We are also entitled to receive up to an aggregate of $155.0 million in development milestone and other contingent payments.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 million.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Intellia Therapeutics</w:t>
      </w:r>
    </w:p>
    <w:p>
      <w:pPr>
        <w:spacing w:after="0" w:line="28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In April 2016, we entered into a license and collaboration agreement with Intellia Therapeutics, Inc., to advance CRISPR/Cas gene-editing technology for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therapeutic development. We will collaborate with Intellia to conduct research for the discovery, development, and commercialization of new therapies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Collaboration), in addition to the research and technology development of the CRISPR/Cas platform (Technology Collaboration). In connection with the execution of the agreement, we made a $75.0 million up-front payment in April 2016. We are responsible for costs of developing and commercializing CRISPR/Cas products under the Product Collaboration agreement and are also obligated to pay potential development and sales milestones, and royalties on any future sales of such products resulting from the development and commercialization of CRISPR/Cas products. In addition, under the Technology Collaboration agreement, we are responsible for funding certain research and technology development costs.</w:t>
      </w:r>
    </w:p>
    <w:p>
      <w:pPr>
        <w:spacing w:after="0" w:line="2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the terms of the Product Collaboration agreement, the parties agreed to a target selection process, whereby we may obtain exclusive rights in up to 10 targets to be chosen by us during the collaboration term, subject to various adjustments and limitations set forth in the agreement. Of these 10 total targets, we may select up to five non-liver targets, while the remaining targets will be focused in the liver. Additionally, we may replace a limited number of targets with substitute targets upon the payment of a replacement fee, in which case rights to the replaced target(s) will revert to Intellia.</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Technology Collaboration term and the period for selecting targets for inclusion under the Product Collaboration both end in 2022, provided that we may make a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targets that either we or Intellia select pursuant to the target selection process may be subject to a co-development and co-commercialization arrangement at our option or Intellia’s option, as applicable. The terms of the co-development and co-commercialization agreement are expected to be finalized by the end of 2016. Transthyretin amyloidosis (ATTR), the first target selected by us, will be subject to the co-development and co-commercialization arrangement between the parties.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2016, Intellia completed an initial public offering ("IPO") of its common stock and thereby triggered our obligation to purchase up to $50.0 million of Intellia common stock in a concurrent private placement. As part of the concurrent private placement, we purchased from Intellia at the closing of the IPO shares of Intellia common stock for an aggregate purchase price of $50.0 million.</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Adicet Bio</w:t>
      </w:r>
    </w:p>
    <w:p>
      <w:pPr>
        <w:spacing w:after="0" w:line="148"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In July 2016, we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 tumor cells. In connection with the execution of the agreement, we will make a $25.0 million up-front payment to Adicet, and are obligated to provide Adicet with research funding over the course of a five-year research term.</w:t>
      </w:r>
    </w:p>
    <w:p>
      <w:pPr>
        <w:spacing w:after="0" w:line="13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Under the terms of the agreement, the parties will collaborate to identify and validate targets and work together to develop a pipeline of engineered immune-cell therapeutics for selected targets. We have the option to obtain development and commercial rights for a certain number of the product candidates developed by the parties, subject to an option payment for each product candidate. If we exercise our option on a given product candidate, Adicet then will have an option to participate in the development and commercialization for such product. If Adicet doesn’t exercise its option, Adicet will be entitled to royalties on any future sales of such products by us. In addition to developing CARs and TCRs for use in novel immune-cell therapies as part of the collaboration, we will have the right to use these CARs and TCRs in our other antibody programs outside of the collaboration.</w:t>
      </w:r>
    </w:p>
    <w:p>
      <w:pPr>
        <w:sectPr>
          <w:pgSz w:w="11900" w:h="16838" w:orient="portrait"/>
          <w:cols w:equalWidth="0" w:num="1">
            <w:col w:w="11420"/>
          </w:cols>
          <w:pgMar w:left="240" w:top="130"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will also be entitled to royalties on any future sales of products developed and commercialized by Adicet under the agreement for all products for which we do not have development and commercial rights.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Praluent and preparation for potential commercialization of our late-stage antibody product candidates, approximately half of which we expect to be reimbursed by Sanofi under the companies' collaboration agreement.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3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2016 to date were, and plans for the next twelve months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6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1140"/>
              <w:spacing w:after="0"/>
              <w:rPr>
                <w:sz w:val="20"/>
                <w:szCs w:val="20"/>
                <w:color w:val="auto"/>
              </w:rPr>
            </w:pPr>
            <w:r>
              <w:rPr>
                <w:rFonts w:ascii="Arial" w:cs="Arial" w:eastAsia="Arial" w:hAnsi="Arial"/>
                <w:sz w:val="18"/>
                <w:szCs w:val="18"/>
                <w:b w:val="1"/>
                <w:bCs w:val="1"/>
                <w:color w:val="auto"/>
              </w:rPr>
              <w:t>2016 Events to Date</w:t>
            </w:r>
          </w:p>
        </w:tc>
        <w:tc>
          <w:tcPr>
            <w:tcW w:w="220" w:type="dxa"/>
            <w:vAlign w:val="bottom"/>
          </w:tcPr>
          <w:p>
            <w:pPr>
              <w:spacing w:after="0"/>
              <w:rPr>
                <w:sz w:val="24"/>
                <w:szCs w:val="24"/>
                <w:color w:val="auto"/>
              </w:rPr>
            </w:pPr>
          </w:p>
        </w:tc>
        <w:tc>
          <w:tcPr>
            <w:tcW w:w="3820" w:type="dxa"/>
            <w:vAlign w:val="bottom"/>
          </w:tcPr>
          <w:p>
            <w:pPr>
              <w:ind w:left="620"/>
              <w:spacing w:after="0"/>
              <w:rPr>
                <w:sz w:val="20"/>
                <w:szCs w:val="20"/>
                <w:color w:val="auto"/>
              </w:rPr>
            </w:pPr>
            <w:r>
              <w:rPr>
                <w:rFonts w:ascii="Arial" w:cs="Arial" w:eastAsia="Arial" w:hAnsi="Arial"/>
                <w:sz w:val="18"/>
                <w:szCs w:val="18"/>
                <w:b w:val="1"/>
                <w:bCs w:val="1"/>
                <w:color w:val="auto"/>
              </w:rPr>
              <w:t>2016-2017 Plans (next 12 months)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EYLEA</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Bayer received regulatory approval for EYLEA for</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Bayer to submit for additional regulatory approvals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indications and continued to pursue</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outside the United States for various indications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regulatory applications for marketing approval in</w:t>
            </w: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0"/>
              </w:rPr>
              <w:t>Regulatory agency decisions on applications outside</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additional countries</w:t>
            </w:r>
          </w:p>
        </w:tc>
        <w:tc>
          <w:tcPr>
            <w:tcW w:w="220" w:type="dxa"/>
            <w:vAlign w:val="bottom"/>
            <w:vMerge w:val="continue"/>
            <w:shd w:val="clear" w:color="auto" w:fill="CCEEFF"/>
          </w:tcPr>
          <w:p>
            <w:pPr>
              <w:spacing w:after="0"/>
              <w:rPr>
                <w:sz w:val="12"/>
                <w:szCs w:val="12"/>
                <w:color w:val="auto"/>
              </w:rPr>
            </w:pPr>
          </w:p>
        </w:tc>
        <w:tc>
          <w:tcPr>
            <w:tcW w:w="3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the United States for various indications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6"/>
              </w:rPr>
              <w:t>Initiated Phase 3 study for the treatment of NPDR</w:t>
            </w:r>
          </w:p>
        </w:tc>
        <w:tc>
          <w:tcPr>
            <w:tcW w:w="220" w:type="dxa"/>
            <w:vAlign w:val="bottom"/>
            <w:shd w:val="clear" w:color="auto" w:fill="CCEEFF"/>
          </w:tcPr>
          <w:p>
            <w:pPr>
              <w:spacing w:after="0"/>
              <w:rPr>
                <w:sz w:val="12"/>
                <w:szCs w:val="12"/>
                <w:color w:val="auto"/>
              </w:rPr>
            </w:pPr>
          </w:p>
        </w:tc>
        <w:tc>
          <w:tcPr>
            <w:tcW w:w="3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38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patients without DME</w:t>
            </w: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positive top-line results from Phase 3</w:t>
            </w:r>
          </w:p>
        </w:tc>
        <w:tc>
          <w:tcPr>
            <w:tcW w:w="22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study in Japan for the treatment of NVG</w:t>
            </w: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316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24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1120"/>
              <w:spacing w:after="0"/>
              <w:rPr>
                <w:sz w:val="20"/>
                <w:szCs w:val="20"/>
                <w:color w:val="auto"/>
              </w:rPr>
            </w:pPr>
            <w:r>
              <w:rPr>
                <w:rFonts w:ascii="Arial" w:cs="Arial" w:eastAsia="Arial" w:hAnsi="Arial"/>
                <w:sz w:val="18"/>
                <w:szCs w:val="18"/>
                <w:b w:val="1"/>
                <w:bCs w:val="1"/>
                <w:color w:val="auto"/>
              </w:rPr>
              <w:t>2016 Events to Date</w:t>
            </w:r>
          </w:p>
        </w:tc>
        <w:tc>
          <w:tcPr>
            <w:tcW w:w="220" w:type="dxa"/>
            <w:vAlign w:val="bottom"/>
          </w:tcPr>
          <w:p>
            <w:pPr>
              <w:spacing w:after="0"/>
              <w:rPr>
                <w:sz w:val="24"/>
                <w:szCs w:val="24"/>
                <w:color w:val="auto"/>
              </w:rPr>
            </w:pPr>
          </w:p>
        </w:tc>
        <w:tc>
          <w:tcPr>
            <w:tcW w:w="3820" w:type="dxa"/>
            <w:vAlign w:val="bottom"/>
          </w:tcPr>
          <w:p>
            <w:pPr>
              <w:ind w:left="620"/>
              <w:spacing w:after="0"/>
              <w:rPr>
                <w:sz w:val="20"/>
                <w:szCs w:val="20"/>
                <w:color w:val="auto"/>
              </w:rPr>
            </w:pPr>
            <w:r>
              <w:rPr>
                <w:rFonts w:ascii="Arial" w:cs="Arial" w:eastAsia="Arial" w:hAnsi="Arial"/>
                <w:sz w:val="18"/>
                <w:szCs w:val="18"/>
                <w:b w:val="1"/>
                <w:bCs w:val="1"/>
                <w:color w:val="auto"/>
              </w:rPr>
              <w:t>2016-2017 Plans (next 12 months)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4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Praluent (PCSK9 Antibody)</w:t>
            </w: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6"/>
              </w:rPr>
              <w:t>Ÿ Reported positive results from Phase 3 ODYSSEY</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Ÿ Report additional data from Phase 3 ODYSSEY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rPr>
              <w:t>ESCAPE trial</w:t>
            </w:r>
          </w:p>
        </w:tc>
        <w:tc>
          <w:tcPr>
            <w:tcW w:w="22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program</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Ÿ The DMC of the ODYSSEY OUTCOMES study</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w w:val="97"/>
              </w:rPr>
              <w:t>Ÿ Submit for additional regulatory approvals outside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7"/>
              </w:rPr>
              <w:t>completed the first interim analysis for futility and</w:t>
            </w:r>
          </w:p>
        </w:tc>
        <w:tc>
          <w:tcPr>
            <w:tcW w:w="22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the United States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40" w:type="dxa"/>
            <w:vAlign w:val="bottom"/>
          </w:tcPr>
          <w:p>
            <w:pPr>
              <w:ind w:left="20"/>
              <w:spacing w:after="0"/>
              <w:rPr>
                <w:sz w:val="20"/>
                <w:szCs w:val="20"/>
                <w:color w:val="auto"/>
              </w:rPr>
            </w:pPr>
            <w:r>
              <w:rPr>
                <w:rFonts w:ascii="Arial" w:cs="Arial" w:eastAsia="Arial" w:hAnsi="Arial"/>
                <w:sz w:val="18"/>
                <w:szCs w:val="18"/>
                <w:color w:val="auto"/>
                <w:w w:val="94"/>
              </w:rPr>
              <w:t>recommended the study continue with no changes</w:t>
            </w:r>
          </w:p>
        </w:tc>
        <w:tc>
          <w:tcPr>
            <w:tcW w:w="4040" w:type="dxa"/>
            <w:vAlign w:val="bottom"/>
            <w:gridSpan w:val="2"/>
          </w:tcPr>
          <w:p>
            <w:pPr>
              <w:ind w:left="20"/>
              <w:spacing w:after="0"/>
              <w:rPr>
                <w:sz w:val="20"/>
                <w:szCs w:val="20"/>
                <w:color w:val="auto"/>
              </w:rPr>
            </w:pPr>
            <w:r>
              <w:rPr>
                <w:rFonts w:ascii="Arial" w:cs="Arial" w:eastAsia="Arial" w:hAnsi="Arial"/>
                <w:sz w:val="18"/>
                <w:szCs w:val="18"/>
                <w:color w:val="auto"/>
                <w:w w:val="99"/>
              </w:rPr>
              <w:t>Ÿ Regulatory agency and reimbursement authority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w w:val="92"/>
              </w:rPr>
              <w:t>decisions on applications outside the United States</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420"/>
          </w:cols>
          <w:pgMar w:left="240" w:top="130" w:right="239" w:bottom="1440" w:gutter="0" w:footer="0" w:header="0"/>
        </w:sectPr>
      </w:pPr>
    </w:p>
    <w:p>
      <w:pPr>
        <w:ind w:left="3500" w:hanging="235"/>
        <w:spacing w:after="0" w:line="277" w:lineRule="auto"/>
        <w:tabs>
          <w:tab w:leader="none" w:pos="3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Supplemental BLA for monthly dosing regimen accepted for review by the FDA</w:t>
      </w:r>
    </w:p>
    <w:p>
      <w:pPr>
        <w:spacing w:after="0" w:line="8" w:lineRule="exact"/>
        <w:rPr>
          <w:rFonts w:ascii="Arial" w:cs="Arial" w:eastAsia="Arial" w:hAnsi="Arial"/>
          <w:sz w:val="18"/>
          <w:szCs w:val="18"/>
          <w:color w:val="auto"/>
        </w:rPr>
      </w:pPr>
    </w:p>
    <w:p>
      <w:pPr>
        <w:ind w:left="3500" w:right="160" w:hanging="235"/>
        <w:spacing w:after="0" w:line="277" w:lineRule="auto"/>
        <w:tabs>
          <w:tab w:leader="none" w:pos="3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application submitted for monthly dosing regimen in the EU</w:t>
      </w:r>
    </w:p>
    <w:p>
      <w:pPr>
        <w:spacing w:after="0" w:line="20" w:lineRule="exact"/>
        <w:rPr>
          <w:sz w:val="20"/>
          <w:szCs w:val="20"/>
          <w:color w:val="auto"/>
        </w:rPr>
      </w:pPr>
      <w:r>
        <w:rPr>
          <w:sz w:val="20"/>
          <w:szCs w:val="20"/>
          <w:color w:val="auto"/>
        </w:rPr>
        <w:br w:type="column"/>
      </w:r>
    </w:p>
    <w:p>
      <w:pPr>
        <w:ind w:left="236" w:right="460" w:hanging="236"/>
        <w:spacing w:after="0" w:line="308" w:lineRule="auto"/>
        <w:tabs>
          <w:tab w:leader="none" w:pos="236"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Prespecified early-stopping interim analysis by DMC of ODYSSEY OUTCOMES trial</w:t>
      </w:r>
    </w:p>
    <w:p>
      <w:pPr>
        <w:spacing w:after="0" w:line="662" w:lineRule="exact"/>
        <w:rPr>
          <w:sz w:val="20"/>
          <w:szCs w:val="20"/>
          <w:color w:val="auto"/>
        </w:rPr>
      </w:pPr>
    </w:p>
    <w:p>
      <w:pPr>
        <w:sectPr>
          <w:pgSz w:w="11900" w:h="16838" w:orient="portrait"/>
          <w:cols w:equalWidth="0" w:num="2">
            <w:col w:w="6960" w:space="384"/>
            <w:col w:w="4076"/>
          </w:cols>
          <w:pgMar w:left="240" w:top="130" w:right="239" w:bottom="144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0"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u w:val="single" w:color="auto"/>
          <w:color w:val="auto"/>
        </w:rPr>
        <w:t>Antibody-based Clinical Programs (continued):</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ind w:left="1140"/>
              <w:spacing w:after="0"/>
              <w:rPr>
                <w:sz w:val="20"/>
                <w:szCs w:val="20"/>
                <w:color w:val="auto"/>
              </w:rPr>
            </w:pPr>
            <w:r>
              <w:rPr>
                <w:rFonts w:ascii="Arial" w:cs="Arial" w:eastAsia="Arial" w:hAnsi="Arial"/>
                <w:sz w:val="18"/>
                <w:szCs w:val="18"/>
                <w:b w:val="1"/>
                <w:bCs w:val="1"/>
                <w:color w:val="auto"/>
              </w:rPr>
              <w:t>2016 Events to Date</w:t>
            </w:r>
          </w:p>
        </w:tc>
        <w:tc>
          <w:tcPr>
            <w:tcW w:w="4060" w:type="dxa"/>
            <w:vAlign w:val="bottom"/>
          </w:tcPr>
          <w:p>
            <w:pPr>
              <w:ind w:left="860"/>
              <w:spacing w:after="0"/>
              <w:rPr>
                <w:sz w:val="20"/>
                <w:szCs w:val="20"/>
                <w:color w:val="auto"/>
              </w:rPr>
            </w:pPr>
            <w:r>
              <w:rPr>
                <w:rFonts w:ascii="Arial" w:cs="Arial" w:eastAsia="Arial" w:hAnsi="Arial"/>
                <w:sz w:val="18"/>
                <w:szCs w:val="18"/>
                <w:b w:val="1"/>
                <w:bCs w:val="1"/>
                <w:color w:val="auto"/>
              </w:rPr>
              <w:t>2016-2017 Plans (next 12 months)</w:t>
            </w:r>
          </w:p>
        </w:tc>
      </w:tr>
      <w:tr>
        <w:trPr>
          <w:trHeight w:val="27"/>
        </w:trPr>
        <w:tc>
          <w:tcPr>
            <w:tcW w:w="3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60" w:type="dxa"/>
            <w:vAlign w:val="bottom"/>
          </w:tcPr>
          <w:p>
            <w:pPr>
              <w:spacing w:after="0"/>
              <w:rPr>
                <w:sz w:val="19"/>
                <w:szCs w:val="19"/>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Ÿ Japanese MHLW approved Praluent for the</w:t>
            </w:r>
          </w:p>
        </w:tc>
        <w:tc>
          <w:tcPr>
            <w:tcW w:w="4060" w:type="dxa"/>
            <w:vAlign w:val="bottom"/>
          </w:tcPr>
          <w:p>
            <w:pPr>
              <w:spacing w:after="0"/>
              <w:rPr>
                <w:sz w:val="19"/>
                <w:szCs w:val="19"/>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treatment of uncontrolled LDL cholesterol in</w:t>
            </w:r>
          </w:p>
        </w:tc>
        <w:tc>
          <w:tcPr>
            <w:tcW w:w="4060" w:type="dxa"/>
            <w:vAlign w:val="bottom"/>
          </w:tcPr>
          <w:p>
            <w:pPr>
              <w:spacing w:after="0"/>
              <w:rPr>
                <w:sz w:val="18"/>
                <w:szCs w:val="18"/>
                <w:color w:val="auto"/>
              </w:rPr>
            </w:pP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certain adult patients</w:t>
            </w:r>
          </w:p>
        </w:tc>
        <w:tc>
          <w:tcPr>
            <w:tcW w:w="406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Sarilumab (IL-6R Antibody)</w:t>
            </w:r>
          </w:p>
        </w:tc>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Reported positive top-line results from Phase 3</w:t>
            </w:r>
          </w:p>
        </w:tc>
        <w:tc>
          <w:tcPr>
            <w:tcW w:w="40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Ÿ Continue patient enrollment in Phase 3 SARIL-RA</w:t>
            </w:r>
          </w:p>
        </w:tc>
      </w:tr>
      <w:tr>
        <w:trPr>
          <w:trHeight w:val="230"/>
        </w:trPr>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SARIL-RA-MONARCH trial</w:t>
            </w:r>
          </w:p>
        </w:tc>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program</w:t>
            </w:r>
          </w:p>
        </w:tc>
      </w:tr>
      <w:tr>
        <w:trPr>
          <w:trHeight w:val="256"/>
        </w:trPr>
        <w:tc>
          <w:tcPr>
            <w:tcW w:w="316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Regulatory applications submitted in the EU and</w:t>
            </w:r>
          </w:p>
        </w:tc>
        <w:tc>
          <w:tcPr>
            <w:tcW w:w="4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 FDA target action date of October 30, 2016</w:t>
            </w:r>
          </w:p>
        </w:tc>
      </w:tr>
      <w:tr>
        <w:trPr>
          <w:trHeight w:val="230"/>
        </w:trPr>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jurisdictions outside the United States</w:t>
            </w:r>
          </w:p>
        </w:tc>
        <w:tc>
          <w:tcPr>
            <w:tcW w:w="4060" w:type="dxa"/>
            <w:vAlign w:val="bottom"/>
            <w:shd w:val="clear" w:color="auto" w:fill="CCEEFF"/>
          </w:tcPr>
          <w:p>
            <w:pPr>
              <w:spacing w:after="0"/>
              <w:rPr>
                <w:sz w:val="20"/>
                <w:szCs w:val="20"/>
                <w:color w:val="auto"/>
              </w:rPr>
            </w:pPr>
          </w:p>
        </w:tc>
      </w:tr>
      <w:tr>
        <w:trPr>
          <w:trHeight w:val="256"/>
        </w:trPr>
        <w:tc>
          <w:tcPr>
            <w:tcW w:w="3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800" w:type="dxa"/>
            <w:vAlign w:val="bottom"/>
            <w:shd w:val="clear" w:color="auto" w:fill="CCEEFF"/>
          </w:tcPr>
          <w:p>
            <w:pPr>
              <w:spacing w:after="0"/>
              <w:rPr>
                <w:sz w:val="22"/>
                <w:szCs w:val="22"/>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Ÿ Submit for additional regulatory approvals outside</w:t>
            </w:r>
          </w:p>
        </w:tc>
      </w:tr>
      <w:tr>
        <w:trPr>
          <w:trHeight w:val="262"/>
        </w:trPr>
        <w:tc>
          <w:tcPr>
            <w:tcW w:w="3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the United States, including Japan</w:t>
            </w:r>
          </w:p>
        </w:tc>
      </w:tr>
      <w:tr>
        <w:trPr>
          <w:trHeight w:val="222"/>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Dupilumab (IL-4R Antibody)</w:t>
            </w:r>
          </w:p>
        </w:tc>
        <w:tc>
          <w:tcPr>
            <w:tcW w:w="4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Ÿ Reported positive top-line results from Phase 3</w:t>
            </w:r>
          </w:p>
        </w:tc>
        <w:tc>
          <w:tcPr>
            <w:tcW w:w="40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3"/>
              </w:rPr>
              <w:t>Ÿ Continue patient enrollment in various Phase 2 and</w:t>
            </w: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LIBERTY AD SOLO 1 and SOLO 2 trials</w:t>
            </w:r>
          </w:p>
        </w:tc>
        <w:tc>
          <w:tcPr>
            <w:tcW w:w="4060" w:type="dxa"/>
            <w:vAlign w:val="bottom"/>
          </w:tcPr>
          <w:p>
            <w:pPr>
              <w:ind w:left="260"/>
              <w:spacing w:after="0"/>
              <w:rPr>
                <w:sz w:val="20"/>
                <w:szCs w:val="20"/>
                <w:color w:val="auto"/>
              </w:rPr>
            </w:pPr>
            <w:r>
              <w:rPr>
                <w:rFonts w:ascii="Arial" w:cs="Arial" w:eastAsia="Arial" w:hAnsi="Arial"/>
                <w:sz w:val="18"/>
                <w:szCs w:val="18"/>
                <w:color w:val="auto"/>
              </w:rPr>
              <w:t>Phase 3 studies</w:t>
            </w:r>
          </w:p>
        </w:tc>
      </w:tr>
      <w:tr>
        <w:trPr>
          <w:trHeight w:val="256"/>
        </w:trPr>
        <w:tc>
          <w:tcPr>
            <w:tcW w:w="3160" w:type="dxa"/>
            <w:vAlign w:val="bottom"/>
          </w:tcPr>
          <w:p>
            <w:pPr>
              <w:spacing w:after="0"/>
              <w:rPr>
                <w:sz w:val="22"/>
                <w:szCs w:val="22"/>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Ÿ Initiated Phase 3 LIBERTY AD CAFÉ study in</w:t>
            </w:r>
          </w:p>
        </w:tc>
        <w:tc>
          <w:tcPr>
            <w:tcW w:w="4060" w:type="dxa"/>
            <w:vAlign w:val="bottom"/>
          </w:tcPr>
          <w:p>
            <w:pPr>
              <w:ind w:left="60"/>
              <w:spacing w:after="0"/>
              <w:rPr>
                <w:sz w:val="20"/>
                <w:szCs w:val="20"/>
                <w:color w:val="auto"/>
              </w:rPr>
            </w:pPr>
            <w:r>
              <w:rPr>
                <w:rFonts w:ascii="Arial" w:cs="Arial" w:eastAsia="Arial" w:hAnsi="Arial"/>
                <w:sz w:val="18"/>
                <w:szCs w:val="18"/>
                <w:color w:val="auto"/>
                <w:w w:val="97"/>
              </w:rPr>
              <w:t>Ÿ Complete patient enrollment in Phase 2 EoE and</w:t>
            </w: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atopic dermatitis</w:t>
            </w:r>
          </w:p>
        </w:tc>
        <w:tc>
          <w:tcPr>
            <w:tcW w:w="4060" w:type="dxa"/>
            <w:vAlign w:val="bottom"/>
          </w:tcPr>
          <w:p>
            <w:pPr>
              <w:ind w:left="260"/>
              <w:spacing w:after="0"/>
              <w:rPr>
                <w:sz w:val="20"/>
                <w:szCs w:val="20"/>
                <w:color w:val="auto"/>
              </w:rPr>
            </w:pPr>
            <w:r>
              <w:rPr>
                <w:rFonts w:ascii="Arial" w:cs="Arial" w:eastAsia="Arial" w:hAnsi="Arial"/>
                <w:sz w:val="18"/>
                <w:szCs w:val="18"/>
                <w:color w:val="auto"/>
              </w:rPr>
              <w:t>Phase 3 asthma studies</w:t>
            </w:r>
          </w:p>
        </w:tc>
      </w:tr>
      <w:tr>
        <w:trPr>
          <w:trHeight w:val="256"/>
        </w:trPr>
        <w:tc>
          <w:tcPr>
            <w:tcW w:w="3160" w:type="dxa"/>
            <w:vAlign w:val="bottom"/>
          </w:tcPr>
          <w:p>
            <w:pPr>
              <w:spacing w:after="0"/>
              <w:rPr>
                <w:sz w:val="22"/>
                <w:szCs w:val="22"/>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w w:val="97"/>
              </w:rPr>
              <w:t>Ÿ Reported positive results from Phase 3 LIBERTY</w:t>
            </w:r>
          </w:p>
        </w:tc>
        <w:tc>
          <w:tcPr>
            <w:tcW w:w="4060" w:type="dxa"/>
            <w:vAlign w:val="bottom"/>
          </w:tcPr>
          <w:p>
            <w:pPr>
              <w:ind w:left="60"/>
              <w:spacing w:after="0"/>
              <w:rPr>
                <w:sz w:val="20"/>
                <w:szCs w:val="20"/>
                <w:color w:val="auto"/>
              </w:rPr>
            </w:pPr>
            <w:r>
              <w:rPr>
                <w:rFonts w:ascii="Arial" w:cs="Arial" w:eastAsia="Arial" w:hAnsi="Arial"/>
                <w:sz w:val="18"/>
                <w:szCs w:val="18"/>
                <w:color w:val="auto"/>
              </w:rPr>
              <w:t>Ÿ Initiate Phase 3 studies in pediatric patients in</w:t>
            </w: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AD CHRONOS study in atopic dermatitis</w:t>
            </w:r>
          </w:p>
        </w:tc>
        <w:tc>
          <w:tcPr>
            <w:tcW w:w="4060" w:type="dxa"/>
            <w:vAlign w:val="bottom"/>
          </w:tcPr>
          <w:p>
            <w:pPr>
              <w:ind w:left="260"/>
              <w:spacing w:after="0"/>
              <w:rPr>
                <w:sz w:val="20"/>
                <w:szCs w:val="20"/>
                <w:color w:val="auto"/>
              </w:rPr>
            </w:pPr>
            <w:r>
              <w:rPr>
                <w:rFonts w:ascii="Arial" w:cs="Arial" w:eastAsia="Arial" w:hAnsi="Arial"/>
                <w:sz w:val="18"/>
                <w:szCs w:val="18"/>
                <w:color w:val="auto"/>
              </w:rPr>
              <w:t>atopic dermatitis and asthma</w:t>
            </w:r>
          </w:p>
        </w:tc>
      </w:tr>
      <w:tr>
        <w:trPr>
          <w:trHeight w:val="270"/>
        </w:trPr>
        <w:tc>
          <w:tcPr>
            <w:tcW w:w="3160" w:type="dxa"/>
            <w:vAlign w:val="bottom"/>
          </w:tcPr>
          <w:p>
            <w:pPr>
              <w:spacing w:after="0"/>
              <w:rPr>
                <w:sz w:val="23"/>
                <w:szCs w:val="23"/>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rPr>
              <w:t>Ÿ BLA submitted in the United States</w:t>
            </w:r>
          </w:p>
        </w:tc>
        <w:tc>
          <w:tcPr>
            <w:tcW w:w="4060" w:type="dxa"/>
            <w:vAlign w:val="bottom"/>
          </w:tcPr>
          <w:p>
            <w:pPr>
              <w:ind w:left="60"/>
              <w:spacing w:after="0"/>
              <w:rPr>
                <w:sz w:val="20"/>
                <w:szCs w:val="20"/>
                <w:color w:val="auto"/>
              </w:rPr>
            </w:pPr>
            <w:r>
              <w:rPr>
                <w:rFonts w:ascii="Arial" w:cs="Arial" w:eastAsia="Arial" w:hAnsi="Arial"/>
                <w:sz w:val="18"/>
                <w:szCs w:val="18"/>
                <w:color w:val="auto"/>
                <w:w w:val="95"/>
              </w:rPr>
              <w:t>Ÿ Initiate Phase 3 study in patients with nasal polyps</w:t>
            </w: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REGN2222 (RSV-F Antibody)</w:t>
            </w:r>
          </w:p>
        </w:tc>
        <w:tc>
          <w:tcPr>
            <w:tcW w:w="220" w:type="dxa"/>
            <w:vAlign w:val="bottom"/>
            <w:shd w:val="clear" w:color="auto" w:fill="CCEEFF"/>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40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Ÿ Continue patient enrollment in Phase 3 NURSERY</w:t>
            </w:r>
          </w:p>
        </w:tc>
      </w:tr>
      <w:tr>
        <w:trPr>
          <w:trHeight w:val="262"/>
        </w:trPr>
        <w:tc>
          <w:tcPr>
            <w:tcW w:w="3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Pre-Term study</w:t>
            </w:r>
          </w:p>
        </w:tc>
      </w:tr>
      <w:tr>
        <w:trPr>
          <w:trHeight w:val="222"/>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Fasinumab (NGF Antibody)</w:t>
            </w:r>
          </w:p>
        </w:tc>
        <w:tc>
          <w:tcPr>
            <w:tcW w:w="4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Ÿ Initiated Phase 3 long-term safety and efficacy</w:t>
            </w:r>
          </w:p>
        </w:tc>
        <w:tc>
          <w:tcPr>
            <w:tcW w:w="40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Ÿ Continue patient enrollment in Phase 3 long-term</w:t>
            </w: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3"/>
              </w:rPr>
              <w:t>study in patients with osteoarthritis of knee and hip</w:t>
            </w:r>
          </w:p>
        </w:tc>
        <w:tc>
          <w:tcPr>
            <w:tcW w:w="4060" w:type="dxa"/>
            <w:vAlign w:val="bottom"/>
          </w:tcPr>
          <w:p>
            <w:pPr>
              <w:ind w:left="260"/>
              <w:spacing w:after="0"/>
              <w:rPr>
                <w:sz w:val="20"/>
                <w:szCs w:val="20"/>
                <w:color w:val="auto"/>
              </w:rPr>
            </w:pPr>
            <w:r>
              <w:rPr>
                <w:rFonts w:ascii="Arial" w:cs="Arial" w:eastAsia="Arial" w:hAnsi="Arial"/>
                <w:sz w:val="18"/>
                <w:szCs w:val="18"/>
                <w:color w:val="auto"/>
                <w:w w:val="91"/>
              </w:rPr>
              <w:t>safety and efficacy study in osteoarthritis and Phase</w:t>
            </w: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2b/3 study in chronic low back pain</w:t>
            </w:r>
          </w:p>
        </w:tc>
      </w:tr>
      <w:tr>
        <w:trPr>
          <w:trHeight w:val="256"/>
        </w:trPr>
        <w:tc>
          <w:tcPr>
            <w:tcW w:w="3160" w:type="dxa"/>
            <w:vAlign w:val="bottom"/>
          </w:tcPr>
          <w:p>
            <w:pPr>
              <w:spacing w:after="0"/>
              <w:rPr>
                <w:sz w:val="22"/>
                <w:szCs w:val="22"/>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w w:val="94"/>
              </w:rPr>
              <w:t>Ÿ Initiated Phase 2b/3 study in chronic low back pain</w:t>
            </w:r>
          </w:p>
        </w:tc>
        <w:tc>
          <w:tcPr>
            <w:tcW w:w="4060" w:type="dxa"/>
            <w:vAlign w:val="bottom"/>
          </w:tcPr>
          <w:p>
            <w:pPr>
              <w:ind w:left="60"/>
              <w:spacing w:after="0"/>
              <w:rPr>
                <w:sz w:val="20"/>
                <w:szCs w:val="20"/>
                <w:color w:val="auto"/>
              </w:rPr>
            </w:pPr>
            <w:r>
              <w:rPr>
                <w:rFonts w:ascii="Arial" w:cs="Arial" w:eastAsia="Arial" w:hAnsi="Arial"/>
                <w:sz w:val="18"/>
                <w:szCs w:val="18"/>
                <w:color w:val="auto"/>
                <w:w w:val="95"/>
              </w:rPr>
              <w:t>Ÿ Report additional data from the Phase 2/3 study in</w:t>
            </w: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patients with osteoarthritis pain</w:t>
            </w:r>
          </w:p>
        </w:tc>
      </w:tr>
      <w:tr>
        <w:trPr>
          <w:trHeight w:val="256"/>
        </w:trPr>
        <w:tc>
          <w:tcPr>
            <w:tcW w:w="3160" w:type="dxa"/>
            <w:vAlign w:val="bottom"/>
          </w:tcPr>
          <w:p>
            <w:pPr>
              <w:spacing w:after="0"/>
              <w:rPr>
                <w:sz w:val="22"/>
                <w:szCs w:val="22"/>
                <w:color w:val="auto"/>
              </w:rPr>
            </w:pPr>
          </w:p>
        </w:tc>
        <w:tc>
          <w:tcPr>
            <w:tcW w:w="4020" w:type="dxa"/>
            <w:vAlign w:val="bottom"/>
            <w:gridSpan w:val="2"/>
          </w:tcPr>
          <w:p>
            <w:pPr>
              <w:ind w:left="40"/>
              <w:spacing w:after="0"/>
              <w:rPr>
                <w:sz w:val="20"/>
                <w:szCs w:val="20"/>
                <w:color w:val="auto"/>
              </w:rPr>
            </w:pPr>
            <w:r>
              <w:rPr>
                <w:rFonts w:ascii="Arial" w:cs="Arial" w:eastAsia="Arial" w:hAnsi="Arial"/>
                <w:sz w:val="18"/>
                <w:szCs w:val="18"/>
                <w:color w:val="auto"/>
                <w:w w:val="97"/>
              </w:rPr>
              <w:t>Ÿ Reported positive top-line results from Phase 2/3</w:t>
            </w:r>
          </w:p>
        </w:tc>
        <w:tc>
          <w:tcPr>
            <w:tcW w:w="4060" w:type="dxa"/>
            <w:vAlign w:val="bottom"/>
          </w:tcPr>
          <w:p>
            <w:pPr>
              <w:spacing w:after="0"/>
              <w:rPr>
                <w:sz w:val="22"/>
                <w:szCs w:val="22"/>
                <w:color w:val="auto"/>
              </w:rPr>
            </w:pP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study in patients with osteoarthritis pain</w:t>
            </w:r>
          </w:p>
        </w:tc>
        <w:tc>
          <w:tcPr>
            <w:tcW w:w="406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Ÿ FDA granted orphan-drug designation for treatment</w:t>
            </w:r>
          </w:p>
        </w:tc>
        <w:tc>
          <w:tcPr>
            <w:tcW w:w="40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Ÿ Continue patient enrollment in Phase 2 HoFH study</w:t>
            </w:r>
          </w:p>
        </w:tc>
      </w:tr>
      <w:tr>
        <w:trPr>
          <w:trHeight w:val="230"/>
        </w:trPr>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HoFH</w:t>
            </w:r>
          </w:p>
        </w:tc>
        <w:tc>
          <w:tcPr>
            <w:tcW w:w="4060" w:type="dxa"/>
            <w:vAlign w:val="bottom"/>
            <w:shd w:val="clear" w:color="auto" w:fill="CCEEFF"/>
          </w:tcPr>
          <w:p>
            <w:pPr>
              <w:spacing w:after="0"/>
              <w:rPr>
                <w:sz w:val="20"/>
                <w:szCs w:val="20"/>
                <w:color w:val="auto"/>
              </w:rPr>
            </w:pPr>
          </w:p>
        </w:tc>
      </w:tr>
      <w:tr>
        <w:trPr>
          <w:trHeight w:val="256"/>
        </w:trPr>
        <w:tc>
          <w:tcPr>
            <w:tcW w:w="316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Phase 1 study in patients with</w:t>
            </w:r>
          </w:p>
        </w:tc>
        <w:tc>
          <w:tcPr>
            <w:tcW w:w="4060" w:type="dxa"/>
            <w:vAlign w:val="bottom"/>
            <w:shd w:val="clear" w:color="auto" w:fill="CCEEFF"/>
          </w:tcPr>
          <w:p>
            <w:pPr>
              <w:spacing w:after="0"/>
              <w:rPr>
                <w:sz w:val="22"/>
                <w:szCs w:val="22"/>
                <w:color w:val="auto"/>
              </w:rPr>
            </w:pPr>
          </w:p>
        </w:tc>
      </w:tr>
      <w:tr>
        <w:trPr>
          <w:trHeight w:val="230"/>
        </w:trPr>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dyslipidemia</w:t>
            </w:r>
          </w:p>
        </w:tc>
        <w:tc>
          <w:tcPr>
            <w:tcW w:w="4060" w:type="dxa"/>
            <w:vAlign w:val="bottom"/>
            <w:shd w:val="clear" w:color="auto" w:fill="CCEEFF"/>
          </w:tcPr>
          <w:p>
            <w:pPr>
              <w:spacing w:after="0"/>
              <w:rPr>
                <w:sz w:val="20"/>
                <w:szCs w:val="20"/>
                <w:color w:val="auto"/>
              </w:rPr>
            </w:pPr>
          </w:p>
        </w:tc>
      </w:tr>
      <w:tr>
        <w:trPr>
          <w:trHeight w:val="256"/>
        </w:trPr>
        <w:tc>
          <w:tcPr>
            <w:tcW w:w="316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positive interim results from ongoing</w:t>
            </w:r>
          </w:p>
        </w:tc>
        <w:tc>
          <w:tcPr>
            <w:tcW w:w="4060" w:type="dxa"/>
            <w:vAlign w:val="bottom"/>
            <w:shd w:val="clear" w:color="auto" w:fill="CCEEFF"/>
          </w:tcPr>
          <w:p>
            <w:pPr>
              <w:spacing w:after="0"/>
              <w:rPr>
                <w:sz w:val="22"/>
                <w:szCs w:val="22"/>
                <w:color w:val="auto"/>
              </w:rPr>
            </w:pPr>
          </w:p>
        </w:tc>
      </w:tr>
      <w:tr>
        <w:trPr>
          <w:trHeight w:val="262"/>
        </w:trPr>
        <w:tc>
          <w:tcPr>
            <w:tcW w:w="3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proof-of-concept study in patients with HoFH</w:t>
            </w:r>
          </w:p>
        </w:tc>
        <w:tc>
          <w:tcPr>
            <w:tcW w:w="4060" w:type="dxa"/>
            <w:vAlign w:val="bottom"/>
            <w:tcBorders>
              <w:bottom w:val="single" w:sz="8" w:color="CCEEFF"/>
            </w:tcBorders>
            <w:shd w:val="clear" w:color="auto" w:fill="CCEEFF"/>
          </w:tcPr>
          <w:p>
            <w:pPr>
              <w:spacing w:after="0"/>
              <w:rPr>
                <w:sz w:val="22"/>
                <w:szCs w:val="22"/>
                <w:color w:val="auto"/>
              </w:rPr>
            </w:pPr>
          </w:p>
        </w:tc>
      </w:tr>
      <w:tr>
        <w:trPr>
          <w:trHeight w:val="222"/>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Rinucumab/aflibercept (PDGFR-beta</w:t>
            </w:r>
          </w:p>
        </w:tc>
        <w:tc>
          <w:tcPr>
            <w:tcW w:w="4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Ÿ Completed patient enrollment in Phase 2 study</w:t>
            </w:r>
          </w:p>
        </w:tc>
        <w:tc>
          <w:tcPr>
            <w:tcW w:w="40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 Report results from Phase 2 study</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b w:val="1"/>
                <w:bCs w:val="1"/>
                <w:i w:val="1"/>
                <w:iCs w:val="1"/>
                <w:color w:val="auto"/>
                <w:w w:val="90"/>
              </w:rPr>
              <w:t>Antibody co-formulated with aflibercept)</w:t>
            </w: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0"/>
              </w:rPr>
              <w:t>Nesvacumab/aflibercept (Ang2 Antibody</w:t>
            </w:r>
          </w:p>
        </w:tc>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Ÿ Initiated Phase 2 study in wet AMD and DME</w:t>
            </w:r>
          </w:p>
        </w:tc>
        <w:tc>
          <w:tcPr>
            <w:tcW w:w="4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 Continue patient enrollment in Phase 2 study</w:t>
            </w:r>
          </w:p>
        </w:tc>
      </w:tr>
      <w:tr>
        <w:trPr>
          <w:trHeight w:val="26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22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shd w:val="clear" w:color="auto" w:fill="CCEEFF"/>
          </w:tcPr>
          <w:p>
            <w:pPr>
              <w:spacing w:after="0"/>
              <w:rPr>
                <w:sz w:val="22"/>
                <w:szCs w:val="22"/>
                <w:color w:val="auto"/>
              </w:rPr>
            </w:pPr>
          </w:p>
        </w:tc>
        <w:tc>
          <w:tcPr>
            <w:tcW w:w="4060" w:type="dxa"/>
            <w:vAlign w:val="bottom"/>
            <w:tcBorders>
              <w:bottom w:val="single" w:sz="8" w:color="CCEEFF"/>
            </w:tcBorders>
            <w:shd w:val="clear" w:color="auto" w:fill="CCEEFF"/>
          </w:tcPr>
          <w:p>
            <w:pPr>
              <w:spacing w:after="0"/>
              <w:rPr>
                <w:sz w:val="22"/>
                <w:szCs w:val="22"/>
                <w:color w:val="auto"/>
              </w:rPr>
            </w:pPr>
          </w:p>
        </w:tc>
      </w:tr>
      <w:tr>
        <w:trPr>
          <w:trHeight w:val="222"/>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Trevogrumab (GDF8 Antibody)</w:t>
            </w:r>
          </w:p>
        </w:tc>
        <w:tc>
          <w:tcPr>
            <w:tcW w:w="2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7"/>
              </w:rPr>
              <w:t>Ÿ Initiate Phase 1 combination therapy studies with</w:t>
            </w:r>
          </w:p>
        </w:tc>
      </w:tr>
      <w:tr>
        <w:trPr>
          <w:trHeight w:val="230"/>
        </w:trPr>
        <w:tc>
          <w:tcPr>
            <w:tcW w:w="3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REGN2477</w:t>
            </w:r>
          </w:p>
        </w:tc>
      </w:tr>
      <w:tr>
        <w:trPr>
          <w:trHeight w:val="27"/>
        </w:trPr>
        <w:tc>
          <w:tcPr>
            <w:tcW w:w="3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30" w:right="299" w:bottom="1440" w:gutter="0" w:footer="0" w:header="0"/>
        </w:sectPr>
      </w:pPr>
    </w:p>
    <w:bookmarkStart w:id="36" w:name="page37"/>
    <w:bookmarkEnd w:id="3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24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404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700" w:type="dxa"/>
            <w:vAlign w:val="bottom"/>
          </w:tcPr>
          <w:p>
            <w:pPr>
              <w:ind w:left="1000"/>
              <w:spacing w:after="0"/>
              <w:rPr>
                <w:sz w:val="20"/>
                <w:szCs w:val="20"/>
                <w:color w:val="auto"/>
              </w:rPr>
            </w:pPr>
            <w:r>
              <w:rPr>
                <w:rFonts w:ascii="Arial" w:cs="Arial" w:eastAsia="Arial" w:hAnsi="Arial"/>
                <w:sz w:val="18"/>
                <w:szCs w:val="18"/>
                <w:b w:val="1"/>
                <w:bCs w:val="1"/>
                <w:color w:val="auto"/>
              </w:rPr>
              <w:t>2016 Events to Date</w:t>
            </w:r>
          </w:p>
        </w:tc>
        <w:tc>
          <w:tcPr>
            <w:tcW w:w="4040" w:type="dxa"/>
            <w:vAlign w:val="bottom"/>
          </w:tcPr>
          <w:p>
            <w:pPr>
              <w:ind w:left="840"/>
              <w:spacing w:after="0"/>
              <w:rPr>
                <w:sz w:val="20"/>
                <w:szCs w:val="20"/>
                <w:color w:val="auto"/>
              </w:rPr>
            </w:pPr>
            <w:r>
              <w:rPr>
                <w:rFonts w:ascii="Arial" w:cs="Arial" w:eastAsia="Arial" w:hAnsi="Arial"/>
                <w:sz w:val="18"/>
                <w:szCs w:val="18"/>
                <w:b w:val="1"/>
                <w:bCs w:val="1"/>
                <w:color w:val="auto"/>
              </w:rPr>
              <w:t>2016-2017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22"/>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REGN2810 (PD-1 Antibody)</w:t>
            </w:r>
          </w:p>
        </w:tc>
        <w:tc>
          <w:tcPr>
            <w:tcW w:w="4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Ÿ Continued patient enrollment in Phase 1 study</w:t>
            </w:r>
          </w:p>
        </w:tc>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Ÿ Continue patient enrollment in Phase 1 and Phase 2</w:t>
            </w:r>
          </w:p>
        </w:tc>
      </w:tr>
      <w:tr>
        <w:trPr>
          <w:trHeight w:val="230"/>
        </w:trPr>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studies</w:t>
            </w:r>
          </w:p>
        </w:tc>
      </w:tr>
      <w:tr>
        <w:trPr>
          <w:trHeight w:val="256"/>
        </w:trPr>
        <w:tc>
          <w:tcPr>
            <w:tcW w:w="2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Initiated Phase 2 potentially pivotal study for the</w:t>
            </w:r>
          </w:p>
        </w:tc>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 Initiate later-stage pivotal studies</w:t>
            </w:r>
          </w:p>
        </w:tc>
      </w:tr>
      <w:tr>
        <w:trPr>
          <w:trHeight w:val="216"/>
        </w:trPr>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treatment of advanced cutaneous squamous cell</w:t>
            </w:r>
          </w:p>
        </w:tc>
        <w:tc>
          <w:tcPr>
            <w:tcW w:w="4040" w:type="dxa"/>
            <w:vAlign w:val="bottom"/>
            <w:shd w:val="clear" w:color="auto" w:fill="CCEEFF"/>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carcinoma</w:t>
            </w:r>
          </w:p>
        </w:tc>
        <w:tc>
          <w:tcPr>
            <w:tcW w:w="404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1 study in combination with</w:t>
            </w:r>
          </w:p>
        </w:tc>
        <w:tc>
          <w:tcPr>
            <w:tcW w:w="4040" w:type="dxa"/>
            <w:vAlign w:val="bottom"/>
            <w:shd w:val="clear" w:color="auto" w:fill="CCEEFF"/>
          </w:tcPr>
          <w:p>
            <w:pPr>
              <w:spacing w:after="0"/>
              <w:rPr>
                <w:sz w:val="22"/>
                <w:szCs w:val="22"/>
                <w:color w:val="auto"/>
              </w:rPr>
            </w:pPr>
          </w:p>
        </w:tc>
      </w:tr>
      <w:tr>
        <w:trPr>
          <w:trHeight w:val="230"/>
        </w:trPr>
        <w:tc>
          <w:tcPr>
            <w:tcW w:w="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REGN1979 for treatment of B-cell malignancies</w:t>
            </w:r>
          </w:p>
        </w:tc>
        <w:tc>
          <w:tcPr>
            <w:tcW w:w="404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Presented positive Phase 1 results from a dose-</w:t>
            </w:r>
          </w:p>
        </w:tc>
        <w:tc>
          <w:tcPr>
            <w:tcW w:w="4040" w:type="dxa"/>
            <w:vAlign w:val="bottom"/>
            <w:shd w:val="clear" w:color="auto" w:fill="CCEEFF"/>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ranging study in heavily-pretreated patients with</w:t>
            </w:r>
          </w:p>
        </w:tc>
        <w:tc>
          <w:tcPr>
            <w:tcW w:w="4040" w:type="dxa"/>
            <w:vAlign w:val="bottom"/>
            <w:shd w:val="clear" w:color="auto" w:fill="CCEEFF"/>
          </w:tcPr>
          <w:p>
            <w:pPr>
              <w:spacing w:after="0"/>
              <w:rPr>
                <w:sz w:val="18"/>
                <w:szCs w:val="18"/>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solid tumor cancers</w:t>
            </w:r>
          </w:p>
        </w:tc>
        <w:tc>
          <w:tcPr>
            <w:tcW w:w="4040" w:type="dxa"/>
            <w:vAlign w:val="bottom"/>
            <w:tcBorders>
              <w:bottom w:val="single" w:sz="8" w:color="CCEEFF"/>
            </w:tcBorders>
            <w:shd w:val="clear" w:color="auto" w:fill="CCEEFF"/>
          </w:tcPr>
          <w:p>
            <w:pPr>
              <w:spacing w:after="0"/>
              <w:rPr>
                <w:sz w:val="22"/>
                <w:szCs w:val="22"/>
                <w:color w:val="auto"/>
              </w:rPr>
            </w:pPr>
          </w:p>
        </w:tc>
      </w:tr>
      <w:tr>
        <w:trPr>
          <w:trHeight w:val="237"/>
        </w:trPr>
        <w:tc>
          <w:tcPr>
            <w:tcW w:w="3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40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Ÿ Completed initial proof-of-concept study</w:t>
            </w:r>
          </w:p>
        </w:tc>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Ÿ Continue early stage development</w:t>
            </w:r>
          </w:p>
        </w:tc>
      </w:tr>
      <w:tr>
        <w:trPr>
          <w:trHeight w:val="27"/>
        </w:trPr>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8"/>
              </w:rPr>
              <w:t>REGN1979 (CD20 and CD3 Antibody)</w:t>
            </w:r>
          </w:p>
        </w:tc>
        <w:tc>
          <w:tcPr>
            <w:tcW w:w="4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Ÿ Continued patient enrollment in Phase 1 study</w:t>
            </w:r>
          </w:p>
        </w:tc>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 Complete patient enrollment in Phase 1 study</w:t>
            </w:r>
          </w:p>
        </w:tc>
      </w:tr>
      <w:tr>
        <w:trPr>
          <w:trHeight w:val="256"/>
        </w:trPr>
        <w:tc>
          <w:tcPr>
            <w:tcW w:w="20" w:type="dxa"/>
            <w:vAlign w:val="bottom"/>
            <w:shd w:val="clear" w:color="auto" w:fill="CCEEFF"/>
          </w:tcPr>
          <w:p>
            <w:pPr>
              <w:spacing w:after="0"/>
              <w:rPr>
                <w:sz w:val="22"/>
                <w:szCs w:val="22"/>
                <w:color w:val="auto"/>
              </w:rPr>
            </w:pPr>
          </w:p>
        </w:tc>
        <w:tc>
          <w:tcPr>
            <w:tcW w:w="3140" w:type="dxa"/>
            <w:vAlign w:val="bottom"/>
            <w:shd w:val="clear" w:color="auto" w:fill="CCEEFF"/>
          </w:tcPr>
          <w:p>
            <w:pPr>
              <w:spacing w:after="0"/>
              <w:rPr>
                <w:sz w:val="22"/>
                <w:szCs w:val="22"/>
                <w:color w:val="auto"/>
              </w:rPr>
            </w:pPr>
          </w:p>
        </w:tc>
        <w:tc>
          <w:tcPr>
            <w:tcW w:w="40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Ÿ Initiated Phase 1 study in combination with</w:t>
            </w:r>
          </w:p>
        </w:tc>
        <w:tc>
          <w:tcPr>
            <w:tcW w:w="4040" w:type="dxa"/>
            <w:vAlign w:val="bottom"/>
            <w:shd w:val="clear" w:color="auto" w:fill="CCEEFF"/>
          </w:tcPr>
          <w:p>
            <w:pPr>
              <w:spacing w:after="0"/>
              <w:rPr>
                <w:sz w:val="22"/>
                <w:szCs w:val="2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REGN2810 for treatment of B-cell malignancies</w:t>
            </w:r>
          </w:p>
        </w:tc>
        <w:tc>
          <w:tcPr>
            <w:tcW w:w="4040" w:type="dxa"/>
            <w:vAlign w:val="bottom"/>
            <w:tcBorders>
              <w:bottom w:val="single" w:sz="8" w:color="CCEEFF"/>
            </w:tcBorders>
            <w:shd w:val="clear" w:color="auto" w:fill="CCEEFF"/>
          </w:tcPr>
          <w:p>
            <w:pPr>
              <w:spacing w:after="0"/>
              <w:rPr>
                <w:sz w:val="22"/>
                <w:szCs w:val="22"/>
                <w:color w:val="auto"/>
              </w:rPr>
            </w:pPr>
          </w:p>
        </w:tc>
      </w:tr>
      <w:tr>
        <w:trPr>
          <w:trHeight w:val="222"/>
        </w:trPr>
        <w:tc>
          <w:tcPr>
            <w:tcW w:w="3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REGN3470-3471-3479 (Antibody to</w:t>
            </w:r>
          </w:p>
        </w:tc>
        <w:tc>
          <w:tcPr>
            <w:tcW w:w="408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Ÿ Initiated Phase 1 study in healthy volunteers</w:t>
            </w:r>
          </w:p>
        </w:tc>
        <w:tc>
          <w:tcPr>
            <w:tcW w:w="4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Ÿ Continue enrollment in Phase 1 study</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Ebola virus)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080" w:type="dxa"/>
            <w:vAlign w:val="bottom"/>
            <w:gridSpan w:val="3"/>
          </w:tcPr>
          <w:p>
            <w:pPr>
              <w:ind w:left="60"/>
              <w:spacing w:after="0"/>
              <w:rPr>
                <w:sz w:val="20"/>
                <w:szCs w:val="20"/>
                <w:color w:val="auto"/>
              </w:rPr>
            </w:pPr>
            <w:r>
              <w:rPr>
                <w:rFonts w:ascii="Arial" w:cs="Arial" w:eastAsia="Arial" w:hAnsi="Arial"/>
                <w:sz w:val="18"/>
                <w:szCs w:val="18"/>
                <w:color w:val="auto"/>
              </w:rPr>
              <w:t>Ÿ FDA granted orphan-drug designation for the</w:t>
            </w:r>
          </w:p>
        </w:tc>
        <w:tc>
          <w:tcPr>
            <w:tcW w:w="40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treatment of Ebola virus infection</w:t>
            </w:r>
          </w:p>
        </w:tc>
        <w:tc>
          <w:tcPr>
            <w:tcW w:w="404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REGN2477 (Activin A Antibody)</w:t>
            </w:r>
          </w:p>
        </w:tc>
        <w:tc>
          <w:tcPr>
            <w:tcW w:w="40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Ÿ Initiated Phase 1 study in healthy volunteers</w:t>
            </w:r>
          </w:p>
        </w:tc>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 Continue patient enrollment in Phase 1 study</w:t>
            </w:r>
          </w:p>
        </w:tc>
      </w:tr>
      <w:tr>
        <w:trPr>
          <w:trHeight w:val="20"/>
        </w:trPr>
        <w:tc>
          <w:tcPr>
            <w:tcW w:w="2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70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June 30,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three months ended June 30, 2016 and 2015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2"/>
          </w:tcPr>
          <w:p>
            <w:pPr>
              <w:ind w:left="180"/>
              <w:spacing w:after="0"/>
              <w:rPr>
                <w:sz w:val="20"/>
                <w:szCs w:val="20"/>
                <w:color w:val="auto"/>
              </w:rPr>
            </w:pPr>
            <w:r>
              <w:rPr>
                <w:rFonts w:ascii="Arial" w:cs="Arial" w:eastAsia="Arial" w:hAnsi="Arial"/>
                <w:sz w:val="18"/>
                <w:szCs w:val="18"/>
                <w:color w:val="auto"/>
                <w:w w:val="90"/>
              </w:rPr>
              <w:t>Revenues for the three months ended June 30, 2016 and 2015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2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Bayer</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product sales consist of U.S. sales of EYLEA and ARCALYST. We received marketing approval from the FDA for EYLEA for the treatment of wet AMD in 2011, macular edema following CRVO in 2012, DME in 2014, macular edema following BRVO in 2014, and diabetic retinopathy in patients with DME in March 2015. For the three months ended June 30, 2016, EYLEA net product sales increased to $830.9 million from $654.6 million for the three months ended June 30, 2015 due to higher sales volume. For the three months ended June 30, 2016 and 2015, we also recognized ARCALYST net product sales of $3.3 million and $3.2 million, respectively.</w:t>
      </w:r>
    </w:p>
    <w:p>
      <w:pPr>
        <w:spacing w:after="0" w:line="24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For the three months ended June 30, 2016 and 2015, we recorded 56% and 69%, respectively, of our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9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40.8</w:t>
            </w:r>
          </w:p>
        </w:tc>
      </w:tr>
      <w:tr>
        <w:trPr>
          <w:trHeight w:val="217"/>
        </w:trPr>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w:t>
      </w:r>
    </w:p>
    <w:p>
      <w:pPr>
        <w:spacing w:after="0" w:line="369"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color w:val="auto"/>
              </w:rPr>
              <w:t>Sanofi Collaboration Revenue</w:t>
            </w:r>
          </w:p>
        </w:tc>
        <w:tc>
          <w:tcPr>
            <w:tcW w:w="140" w:type="dxa"/>
            <w:vAlign w:val="bottom"/>
          </w:tcPr>
          <w:p>
            <w:pPr>
              <w:spacing w:after="0"/>
              <w:rPr>
                <w:sz w:val="17"/>
                <w:szCs w:val="17"/>
                <w:color w:val="auto"/>
              </w:rPr>
            </w:pPr>
          </w:p>
        </w:tc>
        <w:tc>
          <w:tcPr>
            <w:tcW w:w="24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Three Months Ended June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211.5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Regeneron commercialization-related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antibodies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195.1</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second quarter of 2016, Sanofi's reimbursement of our antibody research and development expenses consisted of $48.3 million under our Antibody Discovery Agreement and $95.9 million under our License and Collaboration Agreement, compared to $56.4 million and $155.1 million, respectively, in the second quarter of 2015. The lower reimbursement of research and development costs in the second quarter of 2016, compared to the same period in 2015, was primarily due to decreased collaboration development activities for dupilumab, Praluent, sarilumab, and REGN2222. In 2016, Sanofi no longer co-develops and reimburses us for development activities for REGN2222.</w:t>
      </w:r>
    </w:p>
    <w:p>
      <w:pPr>
        <w:spacing w:after="0" w:line="24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dupilumab.</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During the three months ended June 30, 2015, we and Sanofi shared pre-launch commercial expenses related to Praluent and sarilumab in accordance with the companies' License and Collaboration Agreement. In addition, effective in the first quarter of 2016, we and Sanofi also began sharing pre-launch commercialization expenses related to dupilumab for atopic dermatitis. As such, we recorded our share of losses in connection with preparing to commercialize Praluent, sarilumab, and dupilumab within Sanofi collaboration revenue. In July 2015, the FDA approved Praluent in the United States and in September 2015, the European</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Commission granted marketing authorization of Praluent. Therefore, commencing in the third quarter of 2015, we also recorded within Sanofi collaboration revenue our share of the Antibody Collaboration's losses in connection with commercialization of Praluent. Sanofi provides us with an estimate of our share of the losses from preparing to commercialize, or commercialization (as applicable), of antibodies for the most recent fiscal quarter; these estimates are reconciled to actual results in the subsequent fiscal quarter, and our portion of the profit or loss is adjusted accordingly, as necessary. We and Sanofi incurred higher commercialization expenses for Praluent in the second quarter of 2016, compared to the same period in 2015, primarily in connection with launching the product in the United States and certain European countries. Praluent net product sales, which are recorded by Sanofi, were $24.5 million in the second quarter of 2016.</w:t>
      </w:r>
    </w:p>
    <w:p>
      <w:pPr>
        <w:spacing w:after="0" w:line="2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antibody revenue includes recognition of deferred revenue from an $85.0 million up-front payment and other payments. As of June 30, 2016, $61.4 million of the up-front and other payments was deferred and will be recognized as revenue in future periods.</w:t>
      </w:r>
    </w:p>
    <w:p>
      <w:pPr>
        <w:spacing w:after="0" w:line="22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July 2015, we and Sanofi entered into a global strategic collaboration to discover, develop, and commercialize antibody-based cancer treatments in the field of immuno-oncology. In the second quarter of 2016, Sanofi's reimbursement of our immuno-oncology research and development expenses consisted of $22.6 million under our IO Discovery Agreement, and $9.8 million under our IO License and Collaboration Agreement related to REGN2810.</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the third quarter of 2015 in connection with the execution of the IO Collaboration agreements. As of June 30, 2016, $560.0 million of the up-front payments was deferred and will be recognized ratably as revenue in future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Collaboration Revenue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collaboration revenue we earned from Bayer, as detailed below, primarily consisted of recognition of our share of profits in connection with commercialization of EYLEA outside the United States.</w:t>
      </w:r>
    </w:p>
    <w:p>
      <w:pPr>
        <w:spacing w:after="0" w:line="234"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Bayer Collaboration Revenue</w:t>
            </w:r>
          </w:p>
        </w:tc>
        <w:tc>
          <w:tcPr>
            <w:tcW w:w="120" w:type="dxa"/>
            <w:vAlign w:val="bottom"/>
          </w:tcPr>
          <w:p>
            <w:pPr>
              <w:spacing w:after="0"/>
              <w:rPr>
                <w:sz w:val="17"/>
                <w:szCs w:val="17"/>
                <w:color w:val="auto"/>
              </w:rPr>
            </w:pPr>
          </w:p>
        </w:tc>
        <w:tc>
          <w:tcPr>
            <w:tcW w:w="248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1"/>
              </w:rPr>
              <w:t>Three Months Ended June 30,</w:t>
            </w:r>
          </w:p>
        </w:tc>
      </w:tr>
      <w:tr>
        <w:trPr>
          <w:trHeight w:val="48"/>
        </w:trPr>
        <w:tc>
          <w:tcPr>
            <w:tcW w:w="2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106.6</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PDGFR-beta antibody:</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 antibody</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Ang2 antibody:</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Cost-sharing of nesvacumab/aflibercept (REGN910-3)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development expenses</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 Bayer collaboration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commenced sales of EYLEA outside the United States for the treatment of wet AMD in 2012, macular edema secondary to CRVO in 2013, visual impairment due to DME and mCNV (in Japan) in 2014, and macular edema following BRVO in the second quarter of 2015. Regeneron's net profit in connection with commercialization of EYLEA outside the United States is summarized below.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jc w:val="right"/>
              <w:ind w:right="30"/>
              <w:spacing w:after="0" w:line="196" w:lineRule="exact"/>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in accordance with Regeneron's payment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obligation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second quarter of 2016 and 2015, our share of the profit we earned from commercialization of EYLEA outside the United States was partly offset by our contractual obligation to reimburse Bayer for a portion of the agreed-upon development expenses previously incurred by Bayer.</w:t>
      </w:r>
    </w:p>
    <w:p>
      <w:pPr>
        <w:spacing w:after="0" w:line="22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Other EYLEA revenue primarily consists of reimbursement of other Regeneron EYLEA expenses, including Bayer's share of royalties payable to Genentech pursuant to a license and settlement agreement (see "</w:t>
      </w:r>
      <w:r>
        <w:rPr>
          <w:rFonts w:ascii="Arial" w:cs="Arial" w:eastAsia="Arial" w:hAnsi="Arial"/>
          <w:sz w:val="16"/>
          <w:szCs w:val="16"/>
          <w:i w:val="1"/>
          <w:iCs w:val="1"/>
          <w:color w:val="auto"/>
        </w:rPr>
        <w:t>Cost of Collaboration and Contract Manufacturing</w:t>
      </w:r>
      <w:r>
        <w:rPr>
          <w:rFonts w:ascii="Arial" w:cs="Arial" w:eastAsia="Arial" w:hAnsi="Arial"/>
          <w:sz w:val="16"/>
          <w:szCs w:val="16"/>
          <w:color w:val="auto"/>
        </w:rPr>
        <w:t>" below for further details) in connection with sales of EYLEA outside the United States and reimbursements for producing EYLEA commercial supplies for Bayer. In addition, other EYLEA revenue includes recognition of deferred revenue related to EYLEA up-front and 2007 non-substantive milestone payments from Bayer. As of June 30, 2016, $9.7 million of the EYLEA up-front and 2007 milestone payments was deferred and will be recognized ratably as revenue in future periods.</w:t>
      </w:r>
    </w:p>
    <w:p>
      <w:pPr>
        <w:spacing w:after="0" w:line="21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is obligated to reimburse us for 50% of development milestone payments to Sanofi related to our acquisition of rights to antibodies targeting the PDGF family of receptors in May 2013. In that regard, Bayer made a $5.0 million development milestone payment to us in the second quarter of 2015, which was recognized as revenue in that quarter and included in "Cost-sharing of REGN2176-3 development expenses" in the table above.</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PDGFR-beta antibody revenue consists of recognition of deferred revenue related to the PDGFR-beta up-front and non-substantive milestone payments received in 2014. As of June 30, 2016, $4.3 million of the PDGFR-beta up-front and 2014 milestone payments was deferred and will be recognized ratably as revenue in future periods.</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As described above under "Collaboration Agreements - Collaborations with Bayer - </w:t>
      </w:r>
      <w:r>
        <w:rPr>
          <w:rFonts w:ascii="Arial" w:cs="Arial" w:eastAsia="Arial" w:hAnsi="Arial"/>
          <w:sz w:val="18"/>
          <w:szCs w:val="18"/>
          <w:i w:val="1"/>
          <w:iCs w:val="1"/>
          <w:color w:val="auto"/>
        </w:rPr>
        <w:t>Ang2 antibody outside the United States</w:t>
      </w:r>
      <w:r>
        <w:rPr>
          <w:rFonts w:ascii="Arial" w:cs="Arial" w:eastAsia="Arial" w:hAnsi="Arial"/>
          <w:sz w:val="18"/>
          <w:szCs w:val="18"/>
          <w:color w:val="auto"/>
        </w:rPr>
        <w:t>," in March 2016, we entered into an agreement with Bayer governing the joint development and 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As of June 30, 2016, $49.8 million of the up-front and other payments was deferred and will be recognized ratably as revenue in future periods.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the second quarter of both 2016 and 2015, we recognized $5.9 million of revenue related to this agreement. As of June 30, 2016, $45.6 million of the August 2010 technology licensing payment received from Astellas was deferred and will continue to be recognized as revenue in future periods.</w:t>
      </w:r>
    </w:p>
    <w:p>
      <w:pPr>
        <w:spacing w:after="0" w:line="9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February 2015, we and Sanofi entered into an amended and restated ZALTRAP agreement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also pays us a percentage of aggregate net sales of ZALTRAP. In connection with the Amended ZALTRAP Agreement, we recorded $9.3 million of revenue in the second quarter of 2016 primarily related to (i) a percentage of net sales of ZALTRAP for the quarter that Sanofi is obligated to pay us and (ii) manufacturing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ZALTRAP commercial supplies for Sanofi. In the second quarter of 2015, in connection with the Amended ZALTRAP Agreement, we recorded $3.2 million of revenue primarily related to a percentage of net sales of ZALTRAP.</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$921.0 million in the second quarter of 2016 from $653.8 million in the second quarter of 2015. Our average headcount in the second quarter of 2016 increased to 4,758 from 3,574 in the same period in 2015, principally in connection with expanding our research and development, manufacturing, and commercialization activities.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second quarter of 2016 and 2015 included a total of $131.7 million and 94.3 million, respectively, of non-cash compensation expense related to employee stock option and restricted stock awards (Non-cash Compensation Expense). The increase in total Non-cash Compensation Expense in the second quarter of 2016 was primarily attributable to the higher fair market value of our Common Stock on the date of our annual employee option grants made in December 2015 compared to recent prior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increased to $559.9 million in the second quarter of 2016 from $390.3 million in the same period of 2015. The following table summarizes the major categories of our research and development expenses:</w:t>
      </w:r>
    </w:p>
    <w:p>
      <w:pPr>
        <w:spacing w:after="0" w:line="234"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140" w:type="dxa"/>
            <w:vAlign w:val="bottom"/>
          </w:tcPr>
          <w:p>
            <w:pPr>
              <w:spacing w:after="0"/>
              <w:rPr>
                <w:sz w:val="17"/>
                <w:szCs w:val="17"/>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16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5"/>
              </w:rPr>
              <w:t>Cost-sharing of Bayer and Sanofi development</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58" w:lineRule="auto"/>
        <w:tabs>
          <w:tab w:leader="none" w:pos="1156"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Includes Non-cash Compensation Expense of $66.6 million for the three months ended June 30, 2016 and $51.2 million for the three months ended June 30, 2015.</w:t>
      </w:r>
    </w:p>
    <w:p>
      <w:pPr>
        <w:spacing w:after="0" w:line="1" w:lineRule="exact"/>
        <w:rPr>
          <w:rFonts w:ascii="Arial" w:cs="Arial" w:eastAsia="Arial" w:hAnsi="Arial"/>
          <w:sz w:val="21"/>
          <w:szCs w:val="21"/>
          <w:color w:val="auto"/>
          <w:vertAlign w:val="superscript"/>
        </w:rPr>
      </w:pPr>
    </w:p>
    <w:p>
      <w:pPr>
        <w:jc w:val="both"/>
        <w:ind w:left="1140" w:hanging="160"/>
        <w:spacing w:after="0" w:line="232" w:lineRule="auto"/>
        <w:tabs>
          <w:tab w:leader="none" w:pos="1208"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$12.7 million for the three months ended June 30, 2016 and $8.8 million for the three months ended June 30, 2015.</w:t>
      </w:r>
    </w:p>
    <w:p>
      <w:pPr>
        <w:spacing w:after="0" w:line="2" w:lineRule="exact"/>
        <w:rPr>
          <w:rFonts w:ascii="Arial" w:cs="Arial" w:eastAsia="Arial" w:hAnsi="Arial"/>
          <w:sz w:val="25"/>
          <w:szCs w:val="25"/>
          <w:color w:val="auto"/>
          <w:vertAlign w:val="superscript"/>
        </w:rPr>
      </w:pPr>
    </w:p>
    <w:p>
      <w:pPr>
        <w:jc w:val="both"/>
        <w:ind w:left="1140" w:hanging="160"/>
        <w:spacing w:after="0" w:line="249" w:lineRule="auto"/>
        <w:tabs>
          <w:tab w:leader="none" w:pos="1172"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Under our collaborations with Bayer and Sanofi, in periods when Bayer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Bayer's and Sanofi’s estimates are reconciled to their actual expenses for such quarter in the subsequent fiscal quarter, and our portion of our collaborators' development expenses that we are obligated to reimburse is adjusted accordingly.</w:t>
      </w:r>
    </w:p>
    <w:p>
      <w:pPr>
        <w:spacing w:after="0" w:line="25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Payroll and benefits increased principally due to the increase in employee headcount and Non-cash Compensation Expense, as described above. Clinical trial expenses increased primarily due to (i) the initiation of additional clinical studies of fasinumab and (ii) additional enrollment in REGN2810 clinical studies as well as the initiation of a clinical study in REGN2810 for the treatment of advanced cutaneous squamous cell carcinoma, partly offset by lower costs in connection with our dupilumab clinical program as some later-stage studies wind down. Clinical manufacturing costs increased primarily due to costs related to purchases of higher volumes of clinical manufacturing supplies and manufacturing additional drug supplies of fasinumab and REGN2810. Research and other development costs increased primarily due to the $75.0 million up-front payment made in connection with the April 2016 license and collaboration agreement with Intellia. Cost-sharing of Bayer HealthCare and Sanofi development expenses increased primarily due to our obligation to fund 20% of Sanofi's Phase 3 dupilumab development costs, which commenced during the first quarter of 2016.</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and Sanofi, the portion of Bayer's and Sanofi's respective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280" w:type="dxa"/>
            <w:vAlign w:val="bottom"/>
          </w:tcPr>
          <w:p>
            <w:pPr>
              <w:spacing w:after="0"/>
              <w:rPr>
                <w:sz w:val="16"/>
                <w:szCs w:val="16"/>
                <w:color w:val="auto"/>
              </w:rPr>
            </w:pPr>
          </w:p>
        </w:tc>
        <w:tc>
          <w:tcPr>
            <w:tcW w:w="1460" w:type="dxa"/>
            <w:vAlign w:val="bottom"/>
            <w:gridSpan w:val="3"/>
          </w:tcPr>
          <w:p>
            <w:pPr>
              <w:jc w:val="right"/>
              <w:ind w:right="10"/>
              <w:spacing w:after="0" w:line="194" w:lineRule="exact"/>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Fasinumab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REGN2222</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REGN2810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3340" w:type="dxa"/>
            <w:vAlign w:val="bottom"/>
            <w:tcBorders>
              <w:bottom w:val="single" w:sz="8" w:color="CCEEFF"/>
            </w:tcBorders>
            <w:gridSpan w:val="2"/>
          </w:tcPr>
          <w:p>
            <w:pPr>
              <w:ind w:left="160"/>
              <w:spacing w:after="0" w:line="257"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5"/>
                <w:szCs w:val="25"/>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0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85" w:lineRule="auto"/>
        <w:tabs>
          <w:tab w:leader="none" w:pos="1156"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For the three months ended June 30, 2016, includes the $75.0 million up-front payment made in connection with the April 2016 license and collaboration agreement with Intellia.</w:t>
      </w:r>
    </w:p>
    <w:p>
      <w:pPr>
        <w:spacing w:after="0" w:line="7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unable to reasonably estimate if our product candidates in clinical development will generate material product revenues and net cash inflows.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Selling, general, and administrative expenses increased to $292.0 million in the second quarter of 2016 from $174.6 million in the second quarter of 2015 primarily due to (i) higher commercialization-related expenses associated with EYLEA and Praluent, (ii) higher contributions to not-for-profit organizations, including donations to independent not-for-profit patient assistance organizations, (iii) higher headcount and headcount-related costs, and (iv) higher Non-cash Compensation Expense principally for the reason described under "</w:t>
      </w:r>
      <w:r>
        <w:rPr>
          <w:rFonts w:ascii="Arial" w:cs="Arial" w:eastAsia="Arial" w:hAnsi="Arial"/>
          <w:sz w:val="17"/>
          <w:szCs w:val="17"/>
          <w:i w:val="1"/>
          <w:iCs w:val="1"/>
          <w:color w:val="auto"/>
        </w:rPr>
        <w:t>Expenses</w:t>
      </w:r>
      <w:r>
        <w:rPr>
          <w:rFonts w:ascii="Arial" w:cs="Arial" w:eastAsia="Arial" w:hAnsi="Arial"/>
          <w:sz w:val="17"/>
          <w:szCs w:val="17"/>
          <w:color w:val="auto"/>
        </w:rPr>
        <w:t>" above. Selling, general, and administrative expenses included $47.7 million and $32.2 million of Non-cash Compensation Expense in the second quarter of 2016 and 2015,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goods sold was $41.2 million in the second quarter of 2016 and $60.9 million in the second quarter of 2015. Cost of goods sold primarily consists of royalties, as well as costs in connection with producing U.S. EYLEA commercial supplies and various start-up costs in connection with our Limerick, Ireland commercial manufacturing facility. Cost of goods sold decreased principally due to a decrease in royalties since our obligation to pay Genentech based on sales of EYLEA ended in May 2016. In addition, in the second quarter of 2016 and 2015, cost of goods sold included inventory write-downs and reserves totaling $2.0 million and $6.4 million,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Cost of collaboration and contract manufacturing, which includes costs we incur in connection with producing commercial drug supplies for Sanofi and Bayer, decreased to $27.8 million in the second quarter of 2016 from $28.0 million in the second quarter of 2015. This decrease was primarily due to (i) the fact that, effective May 2016, we are no longer obligated to pay royalties to Genentech based on sales of EYLEA (as described above), partly offset by (ii) recognition of costs associated with commercial supplies of ZALTRAP manufactured for Sanofi in the second quarter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and other expense in the second quarter of 2016 decreased compared to the second quarter of 2015 primarily due to (i) a decrease in interest expense related to conversions of a substantial portion of our 1.875% convertible senior notes (the Notes) in 2015, and (ii) recognition of a $0.5 million and $16.0 million loss in the second quarter of 2016 and 2015, respectively, in connection with Notes which were surrendered for conversion during those quarters.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the second quarter of 2016 and 2015, we recorded income tax expense of $96.0 million and $133.4 million, respectively. The effective tax rate was 32.9% and 40.7% for the second quarter of 2016 and 2015, respectively. The second quarter 2016 effective tax rate was positively impacted, compared to the U.S. federal statutory rate, by the tax benefit associated with stock-based compensation, the domestic manufacturing deduction, and the federal tax credit for increased research activities, partly offset by the negative impact of losses incurred in foreign jurisdictions with rates lower than the U.S. federal statutory rate and the non-tax deductible Branded Prescription Drug Fee. As described in Note 13 of our Condensed Consolidated Financial Statements, we prospectively adopted Accounting Standards Update 2016-09 (ASU 2016-09), </w:t>
      </w:r>
      <w:r>
        <w:rPr>
          <w:rFonts w:ascii="Arial" w:cs="Arial" w:eastAsia="Arial" w:hAnsi="Arial"/>
          <w:sz w:val="17"/>
          <w:szCs w:val="17"/>
          <w:i w:val="1"/>
          <w:iCs w:val="1"/>
          <w:color w:val="auto"/>
        </w:rPr>
        <w:t>Compensation - Stock Compensation,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during the second quarter of 2016. ASU 2016-09 requires an entity to recognize all excess tax benefits and tax deficiencies in connection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stock-based compensation as income tax expense or benefit in the income statement (previously, excess tax benefits were recognized in additional paid-in capital).</w:t>
      </w:r>
    </w:p>
    <w:p>
      <w:pPr>
        <w:spacing w:after="0" w:line="27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8"/>
          <w:szCs w:val="18"/>
          <w:color w:val="auto"/>
        </w:rPr>
        <w:t>The effective tax rate for the second quarter of 2015 was negatively impacted, compared to the U.S. federal statutory rate, by losses incurred in foreign jurisdictions with rates lower than the U.S. federal statutory rate, the non-tax deductible Branded Prescription Drug Fee, and expiration, at the end of 2014, of the federal tax credit for increased research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Six Months Ended June 30,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six months ended June 30, 2016 and 2015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1,868.2</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2"/>
          </w:tcPr>
          <w:p>
            <w:pPr>
              <w:ind w:left="180"/>
              <w:spacing w:after="0"/>
              <w:rPr>
                <w:sz w:val="20"/>
                <w:szCs w:val="20"/>
                <w:color w:val="auto"/>
              </w:rPr>
            </w:pPr>
            <w:r>
              <w:rPr>
                <w:rFonts w:ascii="Arial" w:cs="Arial" w:eastAsia="Arial" w:hAnsi="Arial"/>
                <w:sz w:val="18"/>
                <w:szCs w:val="18"/>
                <w:color w:val="auto"/>
                <w:w w:val="93"/>
              </w:rPr>
              <w:t>Revenues for the six months ended June 30, 2016 and 2015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2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1,202.4</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Bayer</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1,868.2</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product sales consist of U.S. sales of EYLEA and ARCALYST. For the six months ended June 30, 2016, EYLEA net product sales increased to $1,611.8 million from $1,195.7 million for the six months ended June 30, 2015 due to higher sales volume. For the six months ended June 30, 2016 and 2015, we also recognized ARCALYST net product sales of $6.6 million and $6.7 million, respectively.</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six months ended June 30, 2016 and 2015, we recorded 58% and 69%, respectively, of our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127.9</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9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40.8</w:t>
            </w:r>
          </w:p>
        </w:tc>
      </w:tr>
      <w:tr>
        <w:trPr>
          <w:trHeight w:val="217"/>
        </w:trPr>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w:t>
      </w:r>
    </w:p>
    <w:p>
      <w:pPr>
        <w:spacing w:after="0" w:line="383"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1440" w:type="dxa"/>
            <w:vAlign w:val="bottom"/>
            <w:gridSpan w:val="3"/>
          </w:tcPr>
          <w:p>
            <w:pPr>
              <w:jc w:val="right"/>
              <w:ind w:right="10"/>
              <w:spacing w:after="0" w:line="194" w:lineRule="exact"/>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380.3</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Regeneron commercialization-related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368.4</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first half of 2016, Sanofi's reimbursement of our antibody research and development expenses consisted of $105.6 million under our Antibody Discovery Agreement and $232.2 million under our License and Collaboration Agreement, compared to $102.4 million and $277.9 million, respectively, in the first half of 2015. The lower reimbursement of research and development costs in the first half of 2016, compared to the same period in 2015, was primarily due to decreased development activities for Praluent and the fact that in 2016, Sanofi no longer co-develops and reimburses us for development activities for REGN1033 and REGN2222. These decreases were partly offset by increased development activities for dupilumab.</w:t>
      </w:r>
    </w:p>
    <w:p>
      <w:pPr>
        <w:spacing w:after="0" w:line="22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dupilumab.</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30"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six months ended June 30, 2015, we and Sanofi shared pre-launch commercial expenses related to Praluent and sarilumab in accordance with the companies' License and Collaboration Agreement. In addition, effective in the first quarter of 2016, we and Sanofi also began sharing pre-launch commercialization expenses related to dupilumab. As such, we recorded our share of losses in connection with preparing to commercialize Praluent, sarilumab, and dupilumab within Sanofi collaboration revenue. Commencing in the third quarter of 2015, after regulatory approval was received, we also recorded within Sanofi collaboration revenue our share of the Antibody Collaboration's losses in connection with commercialization of Praluent. We and Sanofi incurred higher commercialization expenses for Praluent in the first half of 2016, compared to the same period in 2015, primarily in connection with launching the product in the United States and certain European countries. Praluent net product sales, which are recorded by Sanofi, were $37.4 million in the first half of 2016.</w:t>
      </w:r>
    </w:p>
    <w:p>
      <w:pPr>
        <w:spacing w:after="0" w:line="2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July 2015, we and Sanofi entered into a global strategic collaboration to discover, develop, and commercialize antibody-based cancer treatments in the field of immuno-oncology. In the first half of 2016, Sanofi's reimbursement of our immuno-oncology research and development expenses consisted of $42.7 million under our IO Discovery Agreement, and $18.9 million under our IO License and Collaboration Agreement related to REGN2810. Other Sanofi immuno-oncology revenue includes recognition of deferred revenue from $640.0 million of up-front payments received in the third quarter of 2015 in connection with the execution of the IO Collaboration agreements.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a result of entering into the Amended ZALTRAP Agreement, in the first quarter of 2015, we recognized $14.9 million of collaboration revenue, which was previously recorded as deferred revenue under the original ZALTRAP collaboration agreement, related to (i) amounts that were previously reimbursed by Sanofi for manufacturing commercial supplies of ZALTRAP since our risk of inventory loss no longer existed, and (ii) the unamortized portion of up-front payments from Sanofi as we had no further performance obligations.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Collaboration Revenue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collaboration revenue we earned from Bayer, as detailed below, primarily consisted of recognition of our share of profits in connection with commercialization of EYLEA outside the United States.</w:t>
      </w:r>
    </w:p>
    <w:p>
      <w:pPr>
        <w:spacing w:after="0" w:line="247"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194"/>
        </w:trPr>
        <w:tc>
          <w:tcPr>
            <w:tcW w:w="20" w:type="dxa"/>
            <w:vAlign w:val="bottom"/>
          </w:tcPr>
          <w:p>
            <w:pPr>
              <w:spacing w:after="0"/>
              <w:rPr>
                <w:sz w:val="16"/>
                <w:szCs w:val="16"/>
                <w:color w:val="auto"/>
              </w:rPr>
            </w:pPr>
          </w:p>
        </w:tc>
        <w:tc>
          <w:tcPr>
            <w:tcW w:w="45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Collaboration Revenue</w:t>
            </w:r>
          </w:p>
        </w:tc>
        <w:tc>
          <w:tcPr>
            <w:tcW w:w="280" w:type="dxa"/>
            <w:vAlign w:val="bottom"/>
          </w:tcPr>
          <w:p>
            <w:pPr>
              <w:spacing w:after="0"/>
              <w:rPr>
                <w:sz w:val="16"/>
                <w:szCs w:val="16"/>
                <w:color w:val="auto"/>
              </w:rPr>
            </w:pPr>
          </w:p>
        </w:tc>
        <w:tc>
          <w:tcPr>
            <w:tcW w:w="14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196.1</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37"/>
        </w:trPr>
        <w:tc>
          <w:tcPr>
            <w:tcW w:w="20" w:type="dxa"/>
            <w:vAlign w:val="bottom"/>
          </w:tcPr>
          <w:p>
            <w:pPr>
              <w:spacing w:after="0"/>
              <w:rPr>
                <w:sz w:val="20"/>
                <w:szCs w:val="20"/>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245.7</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7"/>
        </w:trPr>
        <w:tc>
          <w:tcPr>
            <w:tcW w:w="20" w:type="dxa"/>
            <w:vAlign w:val="bottom"/>
          </w:tcPr>
          <w:p>
            <w:pPr>
              <w:spacing w:after="0"/>
              <w:rPr>
                <w:sz w:val="20"/>
                <w:szCs w:val="20"/>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Ang2 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Cost-sharing of nesvacumab/aflibercept (REGN910-3)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Total Ang2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Bayer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80" w:type="dxa"/>
            <w:vAlign w:val="bottom"/>
          </w:tcPr>
          <w:p>
            <w:pPr>
              <w:spacing w:after="0"/>
              <w:rPr>
                <w:sz w:val="17"/>
                <w:szCs w:val="17"/>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in accordance with Regeneron's payment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records revenue from sales of EYLEA outside the United States. In the first half of 2016 and 2015, our share of the profit we earned from commercialization of EYLEA outside the United States was partly offset by our contractual obligation to reimburse Bayer for a portion of the agreed-upon development expenses previously incurred by Bayer.</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first quarter of 2015, we earned our final $15.0 million sales milestone from Bayer, upon total aggregate net sales of specific commercial supplies of EYLEA outside the United States exceeding $200 million over a twelve-month period.</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is obligated to reimburse us for 50% of development milestone payments to Sanofi related to our acquisition of rights to antibodies targeting the PDGF family of receptors in May 2013. In that regard, Bayer made a $5.0 million development milestone payment to us in the second quarter of 2015, which was recognized as revenue in the quarter and included in "Cost-sharing of REGN2176-3 development expenses" in the table above.</w:t>
      </w:r>
    </w:p>
    <w:p>
      <w:pPr>
        <w:spacing w:after="0" w:line="22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As described above under "Collaboration Agreements - Collaborations with Bayer - </w:t>
      </w:r>
      <w:r>
        <w:rPr>
          <w:rFonts w:ascii="Arial" w:cs="Arial" w:eastAsia="Arial" w:hAnsi="Arial"/>
          <w:sz w:val="18"/>
          <w:szCs w:val="18"/>
          <w:i w:val="1"/>
          <w:iCs w:val="1"/>
          <w:color w:val="auto"/>
        </w:rPr>
        <w:t>Ang2 antibody outside the United States</w:t>
      </w:r>
      <w:r>
        <w:rPr>
          <w:rFonts w:ascii="Arial" w:cs="Arial" w:eastAsia="Arial" w:hAnsi="Arial"/>
          <w:sz w:val="18"/>
          <w:szCs w:val="18"/>
          <w:color w:val="auto"/>
        </w:rPr>
        <w:t>," in March 2016, we entered into an agreement with Bayer governing the joint development and commercialization outside the United States of nesvacumab, an antibody product candidate to Ang2, including in combination with aflibercept, for the treatment of ocular diseases or disorders. In connection with the agreement, Bayer made a $50.0 million non-refundable up-front payment to us and is obligated to pay 25% of global development costs and 50% of development costs exclusively for the territory outside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connection with the amendment and extension of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first half of both 2016 and 2015, we recognized $11.8 million of revenue related to this agreement.</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connection with the February 2015 Amended ZALTRAP Agreement, we recorded $14.6 million of revenue in the first half of 2016 primarily related to</w:t>
      </w:r>
    </w:p>
    <w:p>
      <w:pPr>
        <w:spacing w:after="0" w:line="46" w:lineRule="exact"/>
        <w:rPr>
          <w:sz w:val="20"/>
          <w:szCs w:val="20"/>
          <w:color w:val="auto"/>
        </w:rPr>
      </w:pPr>
    </w:p>
    <w:p>
      <w:pPr>
        <w:jc w:val="both"/>
        <w:ind w:firstLine="8"/>
        <w:spacing w:after="0" w:line="254" w:lineRule="auto"/>
        <w:tabs>
          <w:tab w:leader="none" w:pos="2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percentage of net sales of ZALTRAP for the quarter that Sanofi is obligated to pay us and (ii) manufacturing ZALTRAP commercial supplies for Sanofi. In the first half of 2015, we recorded $23.0 million of revenue in connection with the Amended ZALTRAP Agreement primarily related to (i) manufacturing ZALTRAP commercial supplies for Sanofi and (ii) a percentage of net sales of ZALTRAP from July 1, 2014 (the effective date of the Amended ZALTRAP Agreement) through June 30, 2015.</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$1,792.5 million in the first half of 2016 from $1,239.8 million in the first half of 2015. Our average headcount in the first half of 2016 increased to 4,615 from 3,320 in the same period in 2015, principally in connection with expanding our research and development, manufacturing, and commercialization activities.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first half of 2016 and 2015 included a total of $273.9 million and $198.0 million, respectively, of non-cash compensation expense related to employee stock option and restricted stock awards (Non-cash Compensation Expense). The increase in total Non-cash Compensation Expense in the first half of 2016 was primarily attributable to the higher fair market value of our Common Stock on the date of our annual employee option grants made in December 2015 compared to recent prior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Research and development expenses increased to $1,030.0 million in the first half of 2016 from $733.4 million in the same period of 2015. The following table summarizes the major categories of our research and development expenses: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9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36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300" w:type="dxa"/>
            <w:vAlign w:val="bottom"/>
          </w:tcPr>
          <w:p>
            <w:pPr>
              <w:spacing w:after="0"/>
              <w:rPr>
                <w:sz w:val="16"/>
                <w:szCs w:val="16"/>
                <w:color w:val="auto"/>
              </w:rPr>
            </w:pPr>
          </w:p>
        </w:tc>
        <w:tc>
          <w:tcPr>
            <w:tcW w:w="1440" w:type="dxa"/>
            <w:vAlign w:val="bottom"/>
            <w:gridSpan w:val="3"/>
          </w:tcPr>
          <w:p>
            <w:pPr>
              <w:jc w:val="right"/>
              <w:ind w:right="10"/>
              <w:spacing w:after="0" w:line="194" w:lineRule="exact"/>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5"/>
              </w:rPr>
              <w:t>Cost-sharing of Bayer and Sanofi development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140" w:right="20" w:hanging="160"/>
        <w:spacing w:after="0" w:line="258" w:lineRule="auto"/>
        <w:tabs>
          <w:tab w:leader="none" w:pos="1156"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Includes Non-cash Compensation Expense of $133.0 million for the six months ended June 30, 2016 and $101.4 million for the six months ended June 30, 2015.</w:t>
      </w:r>
    </w:p>
    <w:p>
      <w:pPr>
        <w:spacing w:after="0" w:line="1" w:lineRule="exact"/>
        <w:rPr>
          <w:rFonts w:ascii="Arial" w:cs="Arial" w:eastAsia="Arial" w:hAnsi="Arial"/>
          <w:sz w:val="21"/>
          <w:szCs w:val="21"/>
          <w:color w:val="auto"/>
          <w:vertAlign w:val="superscript"/>
        </w:rPr>
      </w:pPr>
    </w:p>
    <w:p>
      <w:pPr>
        <w:jc w:val="both"/>
        <w:ind w:left="1140" w:hanging="160"/>
        <w:spacing w:after="0" w:line="232" w:lineRule="auto"/>
        <w:tabs>
          <w:tab w:leader="none" w:pos="1208"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$24.4 million for the six months ended June 30, 2016 and $18.1 million for the six months ended June 30, 2015.</w:t>
      </w:r>
    </w:p>
    <w:p>
      <w:pPr>
        <w:spacing w:after="0" w:line="2" w:lineRule="exact"/>
        <w:rPr>
          <w:rFonts w:ascii="Arial" w:cs="Arial" w:eastAsia="Arial" w:hAnsi="Arial"/>
          <w:sz w:val="25"/>
          <w:szCs w:val="25"/>
          <w:color w:val="auto"/>
          <w:vertAlign w:val="superscript"/>
        </w:rPr>
      </w:pPr>
    </w:p>
    <w:p>
      <w:pPr>
        <w:ind w:left="1140" w:hanging="160"/>
        <w:spacing w:after="0" w:line="237" w:lineRule="auto"/>
        <w:tabs>
          <w:tab w:leader="none" w:pos="1172"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Under our collaborations with Bayer and Sanofi, in periods when Bayer or Sanofi incurs certain development expenses, we also recognize, as additional research and development expense, the portion of our collaborators' development expenses that we are obligated to reimburse.</w:t>
      </w:r>
    </w:p>
    <w:p>
      <w:pPr>
        <w:spacing w:after="0" w:line="25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Payroll and benefits increased principally due to the increase in employee headcount and Non-cash Compensation Expense, as described above. Clinical trial expenses increased primarily due to (i) the initiation of additional clinical studies of fasinumab and (ii) additional enrollment in REGN2810 clinical studies as well as the initiation of a clinical study in REGN2810 for the treatment of advanced cutaneous squamous cell carcinoma. Clinical manufacturing costs increased primarily due to costs related to manufacturing additional drug supplies of dupilumab, fasinumab, REGN2222, and REGN2810, partly offset by costs related to manufacturing less clinical supplies of Praluent. Research and other development costs increased primarily due to the $75.0 million up-front payment made in connection with the April 2016 license and collaboration agreement with Intellia. Occupancy and other operating costs increased principally in connection with higher information technology- and facility-related costs at our Tarrytown and Rensselaer, New York sites due to higher headcount and expanded research and development activities.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and Sanofi, the portion of Bayer's and Sanofi's respective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300" w:type="dxa"/>
            <w:vAlign w:val="bottom"/>
          </w:tcPr>
          <w:p>
            <w:pPr>
              <w:spacing w:after="0"/>
              <w:rPr>
                <w:sz w:val="16"/>
                <w:szCs w:val="16"/>
                <w:color w:val="auto"/>
              </w:rPr>
            </w:pPr>
          </w:p>
        </w:tc>
        <w:tc>
          <w:tcPr>
            <w:tcW w:w="14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Fasinumab</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REGN2222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REGN2810</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336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gridSpan w:val="2"/>
          </w:tcPr>
          <w:p>
            <w:pPr>
              <w:ind w:left="160"/>
              <w:spacing w:after="0" w:line="257"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32" w:lineRule="auto"/>
        <w:tabs>
          <w:tab w:leader="none" w:pos="1170" w:val="left"/>
        </w:tabs>
        <w:numPr>
          <w:ilvl w:val="0"/>
          <w:numId w:val="16"/>
        </w:numPr>
        <w:rPr>
          <w:rFonts w:ascii="Arial" w:cs="Arial" w:eastAsia="Arial" w:hAnsi="Arial"/>
          <w:sz w:val="23"/>
          <w:szCs w:val="23"/>
          <w:color w:val="auto"/>
          <w:vertAlign w:val="superscript"/>
        </w:rPr>
      </w:pPr>
      <w:r>
        <w:rPr>
          <w:rFonts w:ascii="Arial" w:cs="Arial" w:eastAsia="Arial" w:hAnsi="Arial"/>
          <w:sz w:val="17"/>
          <w:szCs w:val="17"/>
          <w:color w:val="auto"/>
        </w:rPr>
        <w:t>For the six months ended June 30, 2016, includes the $75.0 million up-front payment made in connection with the April 2016 license and collaboration agreement with Intellia.</w:t>
      </w:r>
    </w:p>
    <w:p>
      <w:pPr>
        <w:spacing w:after="0" w:line="1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 reasons described above under "Research and Development Expenses" for the three months ended June 30, 2016 and 2015,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Selling, general, and administrative expenses increased to $581.7 million in the first half of 2016 from $333.6 million in the first half of 2015 primarily due to (i) higher commercialization-related expenses associated with EYLEA and Praluent, (ii) higher contributions to not-for-profit organizations, including donations to independent not-for-profit patient assistance organizations, (iii) higher headcount and headcount-related costs, and (iv) higher Non-cash Compensation Expense principally for the reason described under "</w:t>
      </w:r>
      <w:r>
        <w:rPr>
          <w:rFonts w:ascii="Arial" w:cs="Arial" w:eastAsia="Arial" w:hAnsi="Arial"/>
          <w:sz w:val="17"/>
          <w:szCs w:val="17"/>
          <w:i w:val="1"/>
          <w:iCs w:val="1"/>
          <w:color w:val="auto"/>
        </w:rPr>
        <w:t>Expenses</w:t>
      </w:r>
      <w:r>
        <w:rPr>
          <w:rFonts w:ascii="Arial" w:cs="Arial" w:eastAsia="Arial" w:hAnsi="Arial"/>
          <w:sz w:val="17"/>
          <w:szCs w:val="17"/>
          <w:color w:val="auto"/>
        </w:rPr>
        <w:t>" above. Selling, general, and administrative expenses included $107.8 million and $74.3 million of Non-cash Compensation Expense in the first half of 2016 and 2015,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Cost of goods sold was $120.2 million in the first half of 2016 and $103.4 million in the first half of 2015. Cost of goods sold primarily consists of royalties, as well as costs in connection with producing U.S. EYLEA commercial supplies and various start-up costs in connection with our Limerick, Ireland commercial manufacturing facility. Cost of goods sold increased principally due to an increase in Limerick start-up costs and the increase in U.S. EYLEA net sales. These increases were partly offset by the fact that, effective May 2016, we are no longer obligated to pay royalties to Genentech based on sales of EYLEA. In addition, in the first half of 2016 and 2015, cost of goods sold included inventory write-downs and reserves totaling $6.3 million and $8.1 million,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collaboration and contract manufacturing, which includes costs we incur in connection with producing commercial drug supplies for Sanofi and Bayer, decreased to $60.6 million in the first half of 2016 from $69.4 million in the first half of 2015. This decrease was primarily due to recognizing as expense $20.2 million of inventoried costs for ZALTRAP commercial supplies in the first half of 2015 that were previously shipped to Sanofi because our risk of inventory loss no longer existed under the Amended ZALTRAP Agreement, partly offset by the recognition of costs associated with commercial supplies of ZALTRAP shipped to Sanofi in the first half of 2016.</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Interest and other expense in the first half of 2016 decreased compared to the first half of 2015 primarily due to (i) recognition of a $0.5 million and $16.9 million loss in the first half of 2016 and 2015, respectively, in connection with Notes which were surrendered for conversion during the respective periods, and (ii) a decrease in interest expense related to conversions of a substantial portion of the Notes in 2015.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half of 2016 and 2015, we recorded income tax expense of $244.8 million and $333.9 million, respectively. The effective tax rate was 39.3% and 55.2% for the first half of 2016 and 2015, respectively. The effective tax rate for the first half of 2016 was negatively impacted, compared to the U.S. federal statutory rate, by losses incurred in foreign jurisdictions with rates lower than the U.S. federal statutory rate and the non-tax deductible Branded Prescription Drug Fee, partly offset by the positive impact of the tax benefit associated with stock-based compensation, the domestic manufacturing deduction, the federal tax credit for increased research activities.</w:t>
      </w:r>
    </w:p>
    <w:p>
      <w:pPr>
        <w:spacing w:after="0" w:line="283"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8"/>
          <w:szCs w:val="18"/>
          <w:color w:val="auto"/>
        </w:rPr>
        <w:t>The effective tax rate for the first half of 2015 was negatively impacted, compared to the U.S. federal statutory rate, by losses incurred in foreign jurisdictions with rates lower than the U.S. federal statutory rate, the non-tax deductible Branded Prescription Drug Fee, and expiration, at the end of 2014, of the federal tax credit for increased research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Six Months Ended June 30, 2016 and 2015</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June 30, 2016, we had $1,635.0 million in cash, cash equivalents, and marketable securities compared with $1,677.4 million as of December 31, 2015. Additionally, as of June 30, 2016, we had borrowing availability of $750.0 million under a revolving credit facility that was entered into during the first quarter of 2015 (see further description under "</w:t>
      </w:r>
      <w:r>
        <w:rPr>
          <w:rFonts w:ascii="Arial" w:cs="Arial" w:eastAsia="Arial" w:hAnsi="Arial"/>
          <w:sz w:val="18"/>
          <w:szCs w:val="18"/>
          <w:i w:val="1"/>
          <w:iCs w:val="1"/>
          <w:color w:val="auto"/>
        </w:rPr>
        <w:t>Credit Facility</w:t>
      </w:r>
      <w:r>
        <w:rPr>
          <w:rFonts w:ascii="Arial" w:cs="Arial" w:eastAsia="Arial" w:hAnsi="Arial"/>
          <w:sz w:val="18"/>
          <w:szCs w:val="18"/>
          <w:color w:val="auto"/>
        </w:rPr>
        <w:t>"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cash provided by operating activities was $444.5 million in the first half of 2016. Our net income of $377.6 million in the first half of 2016 included Non-cash Compensation Expense of $273.9 million, depreciation and amortization of $48.0 million, and the $75.0 million up-front payment made in connection with the April 2016 license and collaboration agreement with Intellia. In addition, deferred tax assets as of June 30, 2016 increased by $162.7 million, compared to December 31, 2015, primarily due to an increase in share-based compensation and deferred revenue.</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As of June 30, 2016, Sanofi, Bayer, and trade accounts receivable increased by $284.2 million, compared to December 31, 2015, primarily due to higher U.S. EYLEA sales. Inventories as of June 30, 2016 increased by $72.9 million, compared to December 31, 2015, primarily due to increased production of commercial supplies of EYLEA and Praluent. Prepaid expenses and other assets decreased by $57.1 million as of June 30, 2016, compared to December 31, 2015, primarily due to a decrease in prepaid income taxes. Deferred revenue increased by $65.9 million as of June 30, 2016, compared to December 31, 2015, primarily due to $60.0 million of payments received in 2016 from Mitsubishi in connection with the companies' fasinumab Asia collaboration and the $50.0 million up-front payment from Bayer (as described above), partly offset by the amortization of up-front payments from Sanofi. Accounts payable, accrued expenses, and other liabilities increased by $133.9 million as of June 30, 2016, compared to December 31, 2015, primarily due to higher tax-related liabilities.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provided by operating activities was $156.1 million in the first half of 2015. Our net income of $270.7 million in the first half of 2015 included Non-cash Compensation Expense of $198.0 million and depreciation and amortization of $31.3 million. In addition, deferred tax assets as of June 30, 2015 increased by $59.1 million, compared to December 31, 2014, primarily due to an increase in Non-cash Compensation Expense, partly offset by a reduction in deferred revenue.</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of June 30, 2015, Sanofi, Bayer, and trade accounts receivable increased by $418.8 million, compared to December 31, 2014, primarily due to higher U.S. EYLEA sales and higher amounts due from Sanofi in connection with the companies' Antibody Collaboration. Inventories as of June 30, 2015 increased by $45.6 million, compared to December 31, 2014, primarily due to increased production of EYLEA commercial supplies. Accounts payable, accrued expenses, and other liabilities increased by $129.3 million as of June 30, 2015, compared to December 31, 2014, primarily due to (i) higher accruals for sales-related charges (including the impact of the Branded Prescription Drug Fee) and deductions, and royalties related to EYLEA, and (ii) higher expenditures in connection with our expanding research and development activities.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Net cash used in investing activities was $369.7 million and $501.1 million in the first half of 2016 and 2015, respectively. In the first half of 2016 and 2015, purchases of marketable securities exceeded sales or maturities by $126.8 million and $147.1 million, respectively. Capital expenditures were $242.9 million and $354.1 million in the first half of 2016 and 2015, respectively. Capital expenditures in the first half of 2016 primarily included costs in connection with renovations of our Limerick, Ireland manufacturing facility, tenant improvement and associated costs at our leased Tarrytown, New York facilities, renovations to certain areas of our Rensselaer, New York manufacturing facilities, the purchase of an office building near our Rensselaer manufacturing facilities, and purchases of equipment. Capital expenditures in the first half of 2015 primarily included costs in connection with renovations of our Limerick, Ireland manufacturing facility and tenant improvement and associated costs related to two new buildings which were under construction at our leased Tarrytown, New York facilities. In addition, in April 2015, we acquired an approximate 100-acre parcel of undeveloped land adjacent to our current Tarrytown, New York Location for an aggregate purchase price of $73.0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Net cash used in financing activities was $237.4 million in the first half of 2016 and net cash provided by financing activities was $86.9 million in the first half of 2015. In the first half of 2015, proceeds in connection with facility and capital leases obligations primarily relates to reimbursements of $27.4 million we received from our landlord for tenant improvement costs in connection with our leased facilities in Tarrytown, New York. In the first half of 2016 and 2015, $12.7 million and $144.0 million principal amount of our Notes, respectively, that was previously surrendered for conversion was settled.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the first half of 2016 and 2015, we paid an aggregate amount of $242.1 million and $124.5 million, respectively, to warrant holders to reduce the maximum number of shares of Common Stock issuable upon exercise of the warrants. Proceeds from issuances of Common Stock, in connection with exercises of employee stock options, were $63.6 million in the first half of 2016, compared to $115.8 million in the first half of 2015. In addition, payments for employee tax obligations in connection with stock option exercises and vesting of restricted stock (as applicable) were $45.0 million in the first half of 2016 compared to $35.9 million in the first half of 2015. In the first half of 2015, cash flows from financing activities included $248.7 million, due to utilization of excess tax benefits in connection with stock option exercises, which offset cash tax obligations. In the second quarter of 2016, we elected to adopt Accounting Standards Update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Improvements to Employee Share-Based Payment Accounting</w:t>
      </w:r>
      <w:r>
        <w:rPr>
          <w:rFonts w:ascii="Arial" w:cs="Arial" w:eastAsia="Arial" w:hAnsi="Arial"/>
          <w:sz w:val="16"/>
          <w:szCs w:val="16"/>
          <w:color w:val="auto"/>
        </w:rPr>
        <w:t>. As a result, we prospectively recorded excess tax benefits as 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activity in the statement of cash flows (previously, such amounts were recognized as a financing activity in the statement of cash flows).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June 30, 2016.</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June 30,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cash expenditures for property, plant, and equipment totaled $242.9 million in the first half of 2016 and $354.1 million in the first half of 2015 (as described under "</w:t>
      </w:r>
      <w:r>
        <w:rPr>
          <w:rFonts w:ascii="Arial" w:cs="Arial" w:eastAsia="Arial" w:hAnsi="Arial"/>
          <w:sz w:val="17"/>
          <w:szCs w:val="17"/>
          <w:i w:val="1"/>
          <w:iCs w:val="1"/>
          <w:color w:val="auto"/>
        </w:rPr>
        <w:t>Cash Used in Investing Activities</w:t>
      </w:r>
      <w:r>
        <w:rPr>
          <w:rFonts w:ascii="Arial" w:cs="Arial" w:eastAsia="Arial" w:hAnsi="Arial"/>
          <w:sz w:val="17"/>
          <w:szCs w:val="17"/>
          <w:color w:val="auto"/>
        </w:rPr>
        <w:t>" above). We expect to incur capital expenditures of approximately $237 million to $287 million in the second half of 2016 primarily in connection with renovating our new Limerick, Ireland facility, expanding and renovating portions of our Tarrytown, New York facilities, and expanding and renovating portions of our manufacturing facilities at our Rensselaer, New York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with Sanofi and Bayer, will enable us to meet our projected operating needs for the foreseeable future.</w:t>
      </w:r>
    </w:p>
    <w:p>
      <w:pPr>
        <w:spacing w:after="0" w:line="20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expect continued increases in our expenditures, particularly in connection with our research and development activities (including preclinical and clinical testing). 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 In addition to our anticipated commercialization costs for EYLEA and Praluent, we anticipate incurring substantial commercialization costs in connection with our late-stage antibody product candidates, including sarilumab and dupilumab.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commercialization costs may be shared with our collaborators).</w:t>
      </w:r>
    </w:p>
    <w:p>
      <w:pPr>
        <w:spacing w:after="0" w:line="22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Under our collaborations with Sanofi and Bayer, we and our collaborator share profits and losses in connection with commercialization of drug products. In the future, if we are able to successfully develop, market, and sell certain of our product candidates, we may be required to pay royalties or share the profits from such sales pursuant to our license or collaboration agreements. Currently, we are required to pay royalties on sales of certain commercial products. In addition, under the provisions of the federal Patient Protection and Affordable Care Act, or PPACA, and the Health Care and Education Reconciliation Act of 2010, the Branded Prescription Drug Fee is imposed on pharmaceutical manufacturers that sell branded prescription drugs to specified government programs. This fee is allocated to companies, including us, based on their market share of total branded prescription drug sales into these government programs.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For example, we are obligated to pay Sanofi up to $20.0 million in potential additional development milestones in connection with our PDGFR-beta antibody clinical program.</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may seek to reduce the number of warrants outstanding through additional amendment agreements with warrant holders or otherwise.</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June 30, 2016, an aggregate principal amount of $0.2 million of our Notes remained outstanding, which mature on October 1, 2016, unless earlier converted or repurchased.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13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Around Market Risk" of our Annual Report on Form 10-K for the fiscal year ended December 31, 2015 (filed February 11, 2016). There have been no material changes to our market risks or to our management of such risks as of June 30, 2016.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June 30, 2016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From time to time, we are a party to legal proceedings in the course of our business, including those described in our Annual Report on Form 10-K for the year ended December 31, 2015 (filed February 11, 2016), our Quarterly Report on Form 10-Q for the quarterly period ended March 31, 2016 (filed May 5, 2016),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b w:val="1"/>
          <w:bCs w:val="1"/>
          <w:i w:val="1"/>
          <w:iCs w:val="1"/>
          <w:color w:val="auto"/>
        </w:rPr>
        <w:t>287 Patent and '163 Patent</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previously reported, on September 25, 2013, we commenced patent infringement litigation against Kymab Ltd in the English High Court of Justice, Chancery Division, Patents Court, in London, asserting our European Patent No. 1,360,287 (the '287 Patent) and European Patent No. 2,264,163 (the '163 Patent), both of which concern genetically altered mice capable of producing chimeric antibodies that are part human and part mouse.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On April 27, 2016, the court granted permission for our appeal and Kymab's cross-appeal, and on May 18, 2016, Regeneron and Kymab filed their respective notices to appeal the court's decision on the '287 and '163 Patents. The appeal and the cross-appeal are expected to be heard together.</w:t>
      </w:r>
    </w:p>
    <w:p>
      <w:pPr>
        <w:spacing w:after="0" w:line="8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On July 8 and July 13, 2016, notices of opposition against the '163 Patent were filed in the European Patent Office by Merus N.V. and Kymab and Novo Nordisk A/S, respectively. The notices assert, as applicable, lack of novelty, lack of inventive step, and insufficiency.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Praluent (alirocumab) Injection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previously reported, we are currently a party to a patent infringement action initiated by Amgen Inc. against us and Sanofi relating to Praluent, which we are jointly developing and commercializing with Sanofi. In this action, Amgen asserted a number of U.S. patents, which were subsequently narrowed to U.S. Patent Nos. 8,829,165 (the '165 Patent) and 8,859,741 (the '741 Patent).</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previously reported, a jury trial and a permanent injunction hearing in this litigation were held in March 2016. During the course of the trial, the court ruled as a matter of law in favor of Amgen that the asserted patent claims were not obvious, and in favor of Regeneron and Sanofi that there was no willful infringement of the asserted patent claims by Regeneron or Sanofi. On March 16, 2016, the jury returned a verdict in favor of Amgen, finding that the asserted claims of the '165 and '741 Patents were not invalid based on either a lack of written description or a lack of enablement. The parties to this litigation submitted post-trial briefs in the second quarter of 2016 and are awaiting the court's final opinion and judgment, including a decision on the permanent injunction. We and Sanofi plan to appeal any judgment or order that is adverse to us and Sanofi.</w:t>
      </w:r>
    </w:p>
    <w:p>
      <w:pPr>
        <w:spacing w:after="0" w:line="9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July 25, 2016, Amgen filed a lawsuit against us,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Patent), which pertains to PCSK9 monoclonal antibodies, by Praluent. The lawsuit also seeks an injunction, damages, an accounting of profits, and costs and interest. We have not yet been served with the documents relating to the lawsuit.</w:t>
      </w:r>
    </w:p>
    <w:p>
      <w:pPr>
        <w:spacing w:after="0" w:line="8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Also on July 25, 2016, Amgen filed a lawsuit for infringement of the '124 Patent against us, Sanofi-Aventis Groupe S.A., Sanofi Winthrop Industrie S.A., and Sanofi-Aventis Deutschland GmbH in the Regional Court of Düsseldorf, Germany, seeking an injunction, an accounting of marketing activities, a recall of Praluent and its removal from the distribution channels, and damages. We have not yet been served with the documents relating to the lawsuit.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Patents Owned by Genentech and City of Hope</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As previously reported, on July 27, 2015, we and Sanofi-Aventis U.S. LLC filed a complaint in the United States District Court for the Central District of California (Western Division) seeking a declaratory judgment of invalidity, as well as non-infringement by the manufacture, use, sale, offer of sale, or importation of Praluent, of U.S. Patent No. 7,923,221 jointly owned by Genentech, Inc. and City of Hope relating to the production of recombinant antibodies by host cells. On November 2, 2015, the court set a tentative trial date beginning on September 27, 2016 (subsequently vacated as noted below). On July 18, 2016, the court vacated the trial commencement date of September 27 in light of other pending motions.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Shareholder Derivative Claim</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previously reported, on December 30, 2015, an alleged shareholder filed a shareholder derivative complaint in the New York Supreme Court, naming the current and certain former non-employee members of our board of directors, the Chairman of the board of directors, our Chief Executive Officer, and our Chief Scientific Officer as defendants and Regeneron as a nominal defendant. The complaint asserts that the individual defendants breached their fiduciary duties and were unjustly enriched when they approved and/or received allegedly excessive compensation in 2013 and 2014. On March 2, 2016, the defendants filed a motion to dismiss the shareholder derivative complaint. The court has scheduled oral argument on defendants' motion to dismiss for August 16, 2016. Pursuant to our By-Laws and the New York Business Corporation Law, expenses in connection with the foregoing are being advanced by us for the individual defendants.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six months ended June 30, 2016 and 2015, EYLEA net sales in the United States represented 67% and 64%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ind w:left="660" w:hanging="328"/>
        <w:spacing w:after="0" w:line="19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differentiate EYLEA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and other competitive products, and the willingness of retinal specialists and patients to switch from Lucentis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to EYLEA or to start treatment with EYLEA;</w:t>
      </w:r>
    </w:p>
    <w:p>
      <w:pPr>
        <w:spacing w:after="0" w:line="2"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in the risk factors below.</w:t>
      </w:r>
    </w:p>
    <w:p>
      <w:pPr>
        <w:spacing w:after="0" w:line="2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Obtaining and maintaining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 for drug products is costly, time-consuming, and highly uncertain</w:t>
      </w:r>
      <w:r>
        <w:rPr>
          <w:rFonts w:ascii="Arial" w:cs="Arial" w:eastAsia="Arial" w:hAnsi="Arial"/>
          <w:sz w:val="18"/>
          <w:szCs w:val="18"/>
          <w:color w:val="auto"/>
        </w:rPr>
        <w:t>"), EYLEA marketing approval may be withdrawn, which would materially harm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8"/>
          <w:szCs w:val="18"/>
          <w:i w:val="1"/>
          <w:iCs w:val="1"/>
          <w:color w:val="auto"/>
        </w:rPr>
        <w:t>If we fail to meet the stringent requirements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84" w:lineRule="auto"/>
        <w:rPr>
          <w:sz w:val="20"/>
          <w:szCs w:val="20"/>
          <w:color w:val="auto"/>
        </w:rPr>
      </w:pPr>
      <w:r>
        <w:rPr>
          <w:rFonts w:ascii="Arial" w:cs="Arial" w:eastAsia="Arial" w:hAnsi="Arial"/>
          <w:sz w:val="16"/>
          <w:szCs w:val="16"/>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In addition, in March 2016, the Centers for Medicare &amp; Medicaid Services (CMS) of the Department of Health and Human Services released a proposed rule regarding a new payment model for the reimbursement by Medicare of drugs administered in the physician office or hospital outpatient department settings. If approved, the proposed rule could potentially redistribute and reduce reimbursement currently available to physicians and hospitals that furnish such drugs, including EYLEA, and may also impact physician prescription practices. Economic pressure on state budgets may also have a similar impact. A reduction in the availability or extent of reimbursement from U.S. government programs could have a material adverse effect on the sales of EYLEA.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 commercialization of our marketed products, as well as our</w:t>
      </w:r>
      <w:r>
        <w:rPr>
          <w:rFonts w:ascii="Arial" w:cs="Arial" w:eastAsia="Arial" w:hAnsi="Arial"/>
          <w:sz w:val="16"/>
          <w:szCs w:val="16"/>
          <w:color w:val="auto"/>
        </w:rPr>
        <w:t xml:space="preserve"> </w:t>
      </w:r>
      <w:r>
        <w:rPr>
          <w:rFonts w:ascii="Arial" w:cs="Arial" w:eastAsia="Arial" w:hAnsi="Arial"/>
          <w:sz w:val="16"/>
          <w:szCs w:val="16"/>
          <w:i w:val="1"/>
          <w:iCs w:val="1"/>
          <w:color w:val="auto"/>
        </w:rPr>
        <w:t>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market for eye disease products is very competitive. For example, Novartis AG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in patients with DME, and mCNV. Competitors are also exploring the development of a biosimilar version of Lucentis; in particular, Pfenex Inc. (in collaboration with Pfizer Inc.) is developing PF582 (currently in a Phase 1b/2a trial in patients with wet AMD), and Formycon AG (in collaboration with bioeq GmbH) is developing FYB201 (currently in a Phase 3 trial in patients with wet AMD).</w:t>
      </w:r>
    </w:p>
    <w:p>
      <w:pPr>
        <w:spacing w:after="0" w:line="24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7"/>
          <w:szCs w:val="17"/>
          <w:color w:val="auto"/>
        </w:rPr>
        <w:t>Other competitive or potentially competitive products include Allergan plc's Ozurdex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(dexamethasone intravitreal implant) (approved by the FDA in June 2009 for the treatment of macular edema following RVO and in September 2014 for the treatment of DME) and Alimera Sciences' Iluvien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initiated a non-inferiority Phase 3 trial comparing RTH258 and EYLEA in December 2014. Allergan is developing abicipar pegol (an anti-VEGF-A DARPin</w:t>
      </w:r>
      <w:r>
        <w:rPr>
          <w:rFonts w:ascii="Arial" w:cs="Arial" w:eastAsia="Arial" w:hAnsi="Arial"/>
          <w:sz w:val="24"/>
          <w:szCs w:val="24"/>
          <w:color w:val="auto"/>
          <w:vertAlign w:val="superscript"/>
        </w:rPr>
        <w:t>®</w:t>
      </w:r>
      <w:r>
        <w:rPr>
          <w:rFonts w:ascii="Arial" w:cs="Arial" w:eastAsia="Arial" w:hAnsi="Arial"/>
          <w:sz w:val="17"/>
          <w:szCs w:val="17"/>
          <w:color w:val="auto"/>
        </w:rPr>
        <w:t>)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PDGF). Ophthotech Corporation (in collaboration with Novartis) is developing Fovista</w:t>
      </w:r>
      <w:r>
        <w:rPr>
          <w:rFonts w:ascii="Arial" w:cs="Arial" w:eastAsia="Arial" w:hAnsi="Arial"/>
          <w:sz w:val="24"/>
          <w:szCs w:val="24"/>
          <w:color w:val="auto"/>
          <w:vertAlign w:val="superscript"/>
        </w:rPr>
        <w:t>®</w:t>
      </w:r>
      <w:r>
        <w:rPr>
          <w:rFonts w:ascii="Arial" w:cs="Arial" w:eastAsia="Arial" w:hAnsi="Arial"/>
          <w:sz w:val="17"/>
          <w:szCs w:val="17"/>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 including Lucentis + Fovista, Avastin + Fovista, and EYLEA + Fovista. Genentech/Roche is developing a bi-specific antibody targeting both VEGF and Ang2 for wet AMD and DME (currently in Phase 2 trials for both indications). Competitors are also developing eye-drop formulations, oral therapies, and gene/cell therapies for various indications that, if approved, would compete with EYLEA in one or more of its currently approved indications.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In addition, ophthalmologists are using off-label, third-party repackaged versions of Genentech/Roche's approved VEGF antagonist, Avastin, for the treatment of wet AMD, DME, and RVO. The relatively low cost of therapy with repackaged Avastin in patients with wet AMD presents a significant competitive challenge in this indication. Competitors (including Amgen) are also 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 was non-inferior to monthly Lucentis in mean visual acuity gain; as-needed dosing was </w:t>
      </w:r>
      <w:r>
        <w:rPr>
          <w:rFonts w:ascii="Arial" w:cs="Arial" w:eastAsia="Arial" w:hAnsi="Arial"/>
          <w:sz w:val="16"/>
          <w:szCs w:val="16"/>
          <w:i w:val="1"/>
          <w:iCs w:val="1"/>
          <w:color w:val="auto"/>
        </w:rPr>
        <w:t>not</w:t>
      </w:r>
      <w:r>
        <w:rPr>
          <w:rFonts w:ascii="Arial" w:cs="Arial" w:eastAsia="Arial" w:hAnsi="Arial"/>
          <w:sz w:val="16"/>
          <w:szCs w:val="16"/>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with wet AMD, may exacerbate the competitive challenge which EYLEA faces in this or other eye indications for which it is approved.</w:t>
      </w:r>
    </w:p>
    <w:p>
      <w:pPr>
        <w:spacing w:after="0" w:line="22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also "Risks Related to Commercialization of Products - </w:t>
      </w:r>
      <w:r>
        <w:rPr>
          <w:rFonts w:ascii="Arial" w:cs="Arial" w:eastAsia="Arial" w:hAnsi="Arial"/>
          <w:sz w:val="18"/>
          <w:szCs w:val="18"/>
          <w:i w:val="1"/>
          <w:iCs w:val="1"/>
          <w:color w:val="auto"/>
        </w:rPr>
        <w:t>We may be unsuccessful in continuing the commercialization of our marketed products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for commercializing EYLEA.</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our commercialization experience is still relatively limited and we have no sales, marketing, commercial, or distribution capabilities for EYLEA outside the United States.</w:t>
      </w:r>
    </w:p>
    <w:p>
      <w:pPr>
        <w:spacing w:after="0" w:line="2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Under the terms of our license and collaboration agreement with Bayer (which is terminable by Bayer at any time upon six or twelve months' advance notice),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 additional risks to the successful development and commercialization of EYLEA, particularly outside the United States. For additional information regarding our collaboration with Bayer, see "Risks Related to Our Reliance on Third Parties - </w:t>
      </w:r>
      <w:r>
        <w:rPr>
          <w:rFonts w:ascii="Arial" w:cs="Arial" w:eastAsia="Arial" w:hAnsi="Arial"/>
          <w:sz w:val="16"/>
          <w:szCs w:val="16"/>
          <w:i w:val="1"/>
          <w:iCs w:val="1"/>
          <w:color w:val="auto"/>
        </w:rPr>
        <w:t>If our collaboration with Bayer for EYLEA is terminated, or</w:t>
      </w:r>
      <w:r>
        <w:rPr>
          <w:rFonts w:ascii="Arial" w:cs="Arial" w:eastAsia="Arial" w:hAnsi="Arial"/>
          <w:sz w:val="16"/>
          <w:szCs w:val="16"/>
          <w:color w:val="auto"/>
        </w:rPr>
        <w:t xml:space="preserve"> </w:t>
      </w:r>
      <w:r>
        <w:rPr>
          <w:rFonts w:ascii="Arial" w:cs="Arial" w:eastAsia="Arial" w:hAnsi="Arial"/>
          <w:sz w:val="16"/>
          <w:szCs w:val="16"/>
          <w:i w:val="1"/>
          <w:iCs w:val="1"/>
          <w:color w:val="auto"/>
        </w:rPr>
        <w:t>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6"/>
          <w:szCs w:val="16"/>
          <w:color w:val="auto"/>
        </w:rPr>
        <w:t>" below.</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of EYLEA recorded by us and Bayer could be reduced by imports from countries where EYLEA may be available at lower prices.</w:t>
      </w:r>
    </w:p>
    <w:p>
      <w:pPr>
        <w:spacing w:after="0" w:line="29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have been proposals to legalize the import of pharmaceuticals from outside the United States. If such legislation were enacted, our future revenues derived from EYLEA sales could be reduced.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Praluent</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we or Sanofi are unable to successfully commercialize Praluent, our business, prospects, operating results, and financial condition may be materially harmed.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expect that the commercial success of Praluent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Praluent,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ind w:left="660" w:hanging="328"/>
        <w:spacing w:after="0" w:line="18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Sanofi's ability to differentiate Praluent from Amgen's Repatha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(evolocumab) and other competitive products;</w:t>
      </w:r>
    </w:p>
    <w:p>
      <w:pPr>
        <w:ind w:left="660" w:hanging="328"/>
        <w:spacing w:after="0" w:line="24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patients and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payer restrictions on eligible patient populations and the reimbursement process, both in the United States and abroad;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Sanofi's ability to maintain sales of Praluent in the face of competitive products, including Repatha , as well as product candidates currently in clinical development;</w:t>
      </w:r>
    </w:p>
    <w:p>
      <w:pPr>
        <w:jc w:val="both"/>
        <w:ind w:left="660" w:right="2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results of post-approval studies of Praluent (including the ongoing ODYSSEY OUTCOMES trial prospectively assessing the potential of Praluent to demonstrate cardiovascular benefit), whether conducted by us or by others and whether mandated by regulatory agencies or voluntary, and other data about Praluent (or data about products similar to Praluent that implicate an entire class of products or are perceived to do so);</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Praluent;</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Praluent with third parties who perform fill/finish or other steps in the manufacture of Praluent to ensure that they meet our standards and those of regulatory authorities, including the FDA, which extensively regulate and monitor pharmaceutical manufacturing facilities; and</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initiated by Amgen against us and Sanofi (described further in Part I, Item 3. "Legal Proceedings" of our Annual Report on Form 10-K for the year ended December 31, 2015 and Part II, Item 1. "Legal Proceedings" of this report), and other risks associated with intellectual property of other parties and pending or future litigation relating thereto, as discussed under "Risks Related to Intellectual Property and Market Exclusivity" below.</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More detailed information about the risks related to the commercialization of Praluent is provided in the risk factors below.</w:t>
      </w:r>
    </w:p>
    <w:p>
      <w:pPr>
        <w:spacing w:after="0" w:line="2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Praluent. If we or Sanofi fail to maintain regulatory compliance for Praluent, Praluent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We and Sanofi are subject to significant ongoing regulatory obligations and oversight with respect to Praluent for its currently approved indications in the United States and the EU. If we or Sanofi fail to maintain regulatory compliance for Praluent for its currently approved indications (including because Praluent does not meet the relevant endpoints of any required post-approval studies, such as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 Praluent marketing approval may be withdrawn, which would materially harm our business, prospects, operating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22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Praluent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Praluent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Sales of Praluent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20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in the United States of Praluent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Praluent in other countries are dependent, in large part, on similar reimbursement mechanisms and programs in those countries.</w:t>
      </w:r>
    </w:p>
    <w:p>
      <w:pPr>
        <w:spacing w:after="0" w:line="24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Praluent. If Praluent is not included within an adequate number of formularies, adequate reimbursement levels are not provided, the eligible insured patient population for Praluent is limited, or a key payer refuses to provide reimbursement for Praluent in a particular jurisdiction altogether, this could have a material adverse effect on our and Sanofi's ability to commercialize Praluent.</w:t>
      </w:r>
    </w:p>
    <w:p>
      <w:pPr>
        <w:spacing w:after="0" w:line="22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6"/>
          <w:szCs w:val="16"/>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Praluent. Since Praluent is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Praluent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Praluent is subject to strong competition.</w:t>
      </w:r>
    </w:p>
    <w:p>
      <w:pPr>
        <w:spacing w:after="0" w:line="279"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There is significant actual and potential future competition for Praluent. Amgen's PCSK9 program is currently the most advanced of the competitors, having already received regulatory approvals in jurisdictions including the U.S., the EU, and Japan for its PCSK9 inhibitor Repatha. Amgen may obtain marketing approval for Repatha in one or more additional countries before Praluent is approved in those countries. Several other companies, including Pfizer, AstraZeneca PLC, and Eli Lilly and Company, also have development programs for antibodies against PCSK9. Alnylam Pharmaceuticals, Inc, in collaboration with The Medicines Company, has a clinical program underway with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Certain late-stage inhibitors of cholesterylester transfer protein (CETP), such as Merck &amp;Co., Inc's anacetrapib, lower LDL-C and may be launched with supporting data from outcomes trials prior to the completion of our own outcomes trial for Praluent. Other oral agents for lowering LDL-C that may potentially compete with Praluent include ETC-1002, which is being developed by Esperion Therapeutics, Inc.</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Praluent.</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accordance with the terms of our Antibody Collaboration with Sanofi, we have elected to co-promote Praluent with Sanofi in the United States. As such, we continue to rely in part on Sanofi's sales and marketing organization in the United States. If we and Sanofi fail to coordinate our United States sales and marketing efforts effectively, sales of Praluent may be materially affected. Sanofi also maintains other important responsibilities relating to Praluent in the United States. For example, Sanofi records product sales and cost of sales for Praluent in the United States, serves as the lead regulatory party (</w:t>
      </w:r>
      <w:r>
        <w:rPr>
          <w:rFonts w:ascii="Arial" w:cs="Arial" w:eastAsia="Arial" w:hAnsi="Arial"/>
          <w:sz w:val="16"/>
          <w:szCs w:val="16"/>
          <w:i w:val="1"/>
          <w:iCs w:val="1"/>
          <w:color w:val="auto"/>
        </w:rPr>
        <w:t>e.g.</w:t>
      </w:r>
      <w:r>
        <w:rPr>
          <w:rFonts w:ascii="Arial" w:cs="Arial" w:eastAsia="Arial" w:hAnsi="Arial"/>
          <w:sz w:val="16"/>
          <w:szCs w:val="16"/>
          <w:color w:val="auto"/>
        </w:rPr>
        <w:t xml:space="preserve">, is responsible for regulatory filings and negotiations relating to Praluent in the United States), and leads negotiations with payors. We also rely on Sanofi for sales, marketing, and distribution of Praluent in countries outside the United States. If we or Sanofi are unsuccessful in commercializing Praluent,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Praluent. Therefore, termination of our Antibody Collaboration would create substantial new and additional risks to the successful commercialization of Praluent, particularly outside the United States. For additional information regarding our Antibody Collaboration with Sanofi, see "Risks Related to Our Reliance on Third Parties - </w:t>
      </w:r>
      <w:r>
        <w:rPr>
          <w:rFonts w:ascii="Arial" w:cs="Arial" w:eastAsia="Arial" w:hAnsi="Arial"/>
          <w:sz w:val="16"/>
          <w:szCs w:val="16"/>
          <w:i w:val="1"/>
          <w:iCs w:val="1"/>
          <w:color w:val="auto"/>
        </w:rPr>
        <w:t>If any of our</w:t>
      </w:r>
      <w:r>
        <w:rPr>
          <w:rFonts w:ascii="Arial" w:cs="Arial" w:eastAsia="Arial" w:hAnsi="Arial"/>
          <w:sz w:val="16"/>
          <w:szCs w:val="16"/>
          <w:color w:val="auto"/>
        </w:rPr>
        <w:t xml:space="preserve"> </w:t>
      </w:r>
      <w:r>
        <w:rPr>
          <w:rFonts w:ascii="Arial" w:cs="Arial" w:eastAsia="Arial" w:hAnsi="Arial"/>
          <w:sz w:val="16"/>
          <w:szCs w:val="16"/>
          <w:i w:val="1"/>
          <w:iCs w:val="1"/>
          <w:color w:val="auto"/>
        </w:rPr>
        <w:t>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Arial" w:cs="Arial" w:eastAsia="Arial" w:hAnsi="Arial"/>
          <w:sz w:val="16"/>
          <w:szCs w:val="16"/>
          <w:color w:val="auto"/>
        </w:rPr>
        <w:t>" below.</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of Praluent recorded by Sanofi could be reduced by imports from countries where Praluent may be available at lower prices.</w:t>
      </w:r>
    </w:p>
    <w:p>
      <w:pPr>
        <w:spacing w:after="0" w:line="2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Sales of Praluent recorded by Sanofi in the United States and other countries (which impact our share of any profits or losses from the commercialization of Praluent under our Antibody Collaboration with Sanofi and, therefore, our results of operations) may be reduced if Praluent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Praluent outside the United States is the responsibility of Sanofi. Prices for Praluent in territories outside the United States are based on local market economics and competition and are likely to differ from country to country. In the United States, prices for pharmaceuticals are generally higher than in the bordering nations of Canada and Mexico and sales of Praluent in the United States that are recorded by Sanofi may be reduced if Praluent marketed in those bordering nations is imported into the United States. Parallel-trading practices also are of particular relevance to the EU, where they have been encouraged by the current regulatory framework. These types of imports may exert pressure on the pricing of Praluent in a particular market or the sales recorded by Sanofi, thereby adversely affecting our results of operations. In addition, there have been proposals to legalize the import of pharmaceuticals from outside the United States. If such legislation were enacted, our future revenues derived from Praluent sales could be reduced.</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additional indications,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3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immunogenicity, demyelination, and changes in neurocognitive function. There also are risks inherent in subcutaneous injections, including subcutaneous injections with Praluent, such as injection-site reactions (including redness, itching, swelling, pain, and tenderness) and other side effects. These and other complications or side effects could harm further development and/or commercialization of Praluent.</w:t>
      </w:r>
    </w:p>
    <w:p>
      <w:pPr>
        <w:spacing w:after="0" w:line="21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Some of our products and, if approved, product candidates may be used with drug delivery devices, which have their own regulatory and other risks.</w:t>
      </w:r>
    </w:p>
    <w:p>
      <w:pPr>
        <w:spacing w:after="0" w:line="327"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Some of our products (such as Praluent) are used and, if approved, some of our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and our European Patent No. 2,264,163 is, the subject of opposition proceedings in the European Patent Office, as described in Part I, Item 3. "Legal Proceedings" of our Annual Report on Form 10-K for the year ended December 31, 2015 and in Part II, Item 1. "Legal Proceedings" of this report, respectively.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or inter partes reexamination under the America Invents Act of 2011 or ex parte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our patents. For example, we are currently parties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our Annual Report on Form 10-K for the year ended December 31, 2015 and Part II, Item 1. "Legal Proceedings" of this report. In addition, we are currently parties to patent infringement proceedings initiated by Amgen against us and Sanofi relating to Praluent, as described in Part I, Item 3. "Legal Proceedings" of our Annual Report on Form 10-K for the year ended December 31, 2015 and Part II, Item 1. "Legal Proceedings" of this report. We 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intended for the treatment of rheumatoid arthritis and non-infectious uveitis; dupilumab, an antibody to IL-4R, intended for the treatment of atopic dermatitis, asthma, nasal polyposis, and eosinophilic esophagitis; REGN2222, an antibody targeting RSV-F; and fasinumab, an antibody to NGF. Although we do not believe that any of our late-stage antibody product candidates infringes any valid claim in these patents or patent applications, these other parties could initiate lawsuits for patent infringement and assert that their patents are valid and cover our late-stage antibody product candidates, similar to the patent infringement proceedings initiated by Amgen referred to above. As described in Part I, Item 3. "Legal Proceedings" of our Annual Report on Form 10-K for the year ended December 31, 2015 and Part II, Item 1. "Legal Proceedings" of this report, we and Sanofi-Aventis U.S. LLC initiated invalidity actions against patents jointly owned by Genentech and City of Hope relating to the production of recombinant antibodies by host cells. We currently produce our antibody product and antibody product candidates using recombinant antibodies from host cells and may choose to produce additional antibody product candidates in this manner. Neither ARCALYST nor EYLEA is a recombinant antibody. Genentech has licensed these patents to several different companies under confidential license agreements. If we desire a license for any of our antibody products or product candidates as part of a settlement for these invalidity actions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3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Praluent and, if approved, our product candidates or other indications for our marketed products,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EYLEA, Praluent, ZALTRAP, and ARCALYST, and (b) our antibody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Praluent, and ARCALYST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24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continue to manufacture EYLEA, Praluent,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46"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sales of EYLEA or Praluent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4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a description of additional risks relating specifically to the commercialization of EYLEA and Praluent, see above under "Risks Related to Commercialization of EYLEA" and "Risks Related to Commercialization of Praluent," respectively.</w:t>
      </w:r>
    </w:p>
    <w:p>
      <w:pPr>
        <w:spacing w:after="0" w:line="224"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There is also significant actual and potential future competition for Praluent, the PCSK9 antibody we are developing and commercializing in collaboration with Sanofi, as described in greater detail above under "Risks Related to Commercialization of Praluent - </w:t>
      </w:r>
      <w:r>
        <w:rPr>
          <w:rFonts w:ascii="Arial" w:cs="Arial" w:eastAsia="Arial" w:hAnsi="Arial"/>
          <w:sz w:val="18"/>
          <w:szCs w:val="18"/>
          <w:i w:val="1"/>
          <w:iCs w:val="1"/>
          <w:color w:val="auto"/>
        </w:rPr>
        <w:t>The commercial success of Praluent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strong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 and late-stage product candidates. For example, Pfizer (in collaboration with Eli Lilly) is developing an antibody product candidate against NGF. Genentech/Roche is marketing an antibody against IL-6R (Actemra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(tocilizumab)) for the treatment of rheumatoid arthritis that would compete with sarilumab, our IL-6R antibody, if it is approved. In addition, several other companies, including Johnson &amp; Johnson (in collaboration with GlaxoSmithKline plc), Alder Biopharmaceuticals, Inc., Ablynx (in collaboration with AbbVie), R-Pharm, and Pfizer have antibodies against IL-6 or IL-6R in clinical development. A number of companies are developing antibodies that, if approved, may compete with dupilumab, our IL-4R antibody, if it is approved, including Roche (an antibody against IL-13), AstraZeneca (antibodies against IL-4R, IL-5R, and IL-13), Novartis (a combination antibody against IL-4 and IL-13), and Amgen (in collaboration with AstraZeneca) (an antibody against thymic stromal lymphopoietin, or TSLP). GlaxoSmithKline's Nucala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(mepolizumab) and Teva's Cinqair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(reslizumab), both of which are antibodies against IL-5, may also compete with dupilumab, if dupilumab is approved. For RSV, competitors have marketed antibodies as well as antibodies in clinical development, including AstraZeneca (in collaboration with AIMM Therapeutics).</w:t>
      </w:r>
    </w:p>
    <w:p>
      <w:pPr>
        <w:sectPr>
          <w:pgSz w:w="11900" w:h="16838" w:orient="portrait"/>
          <w:cols w:equalWidth="0" w:num="1">
            <w:col w:w="11420"/>
          </w:cols>
          <w:pgMar w:left="240" w:top="130"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30"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4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PPACA and a related reconciliation bill were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six months ended June 30, 2016 and 2015, we recorded 58% and 69%,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For additional risks relating to commercialization of EYLEA and Praluent outside the United States, see also "Risks Related to Commercialization of EYLEA - </w:t>
      </w:r>
      <w:r>
        <w:rPr>
          <w:rFonts w:ascii="Arial" w:cs="Arial" w:eastAsia="Arial" w:hAnsi="Arial"/>
          <w:sz w:val="18"/>
          <w:szCs w:val="18"/>
          <w:i w:val="1"/>
          <w:iCs w:val="1"/>
          <w:color w:val="auto"/>
        </w:rPr>
        <w:t>We rely on our collaboration with Bayer for commercializing EYLEA</w:t>
      </w:r>
      <w:r>
        <w:rPr>
          <w:rFonts w:ascii="Arial" w:cs="Arial" w:eastAsia="Arial" w:hAnsi="Arial"/>
          <w:sz w:val="18"/>
          <w:szCs w:val="18"/>
          <w:color w:val="auto"/>
        </w:rPr>
        <w:t xml:space="preserve">" and "Risks Related to Commercialization of Praluent - </w:t>
      </w:r>
      <w:r>
        <w:rPr>
          <w:rFonts w:ascii="Arial" w:cs="Arial" w:eastAsia="Arial" w:hAnsi="Arial"/>
          <w:sz w:val="18"/>
          <w:szCs w:val="18"/>
          <w:i w:val="1"/>
          <w:iCs w:val="1"/>
          <w:color w:val="auto"/>
        </w:rPr>
        <w:t>We rely on our</w:t>
      </w:r>
      <w:r>
        <w:rPr>
          <w:rFonts w:ascii="Arial" w:cs="Arial" w:eastAsia="Arial" w:hAnsi="Arial"/>
          <w:sz w:val="18"/>
          <w:szCs w:val="18"/>
          <w:color w:val="auto"/>
        </w:rPr>
        <w:t xml:space="preserve"> </w:t>
      </w:r>
      <w:r>
        <w:rPr>
          <w:rFonts w:ascii="Arial" w:cs="Arial" w:eastAsia="Arial" w:hAnsi="Arial"/>
          <w:sz w:val="18"/>
          <w:szCs w:val="18"/>
          <w:i w:val="1"/>
          <w:iCs w:val="1"/>
          <w:color w:val="auto"/>
        </w:rPr>
        <w:t>Antibody Collaboration with Sanofi for commercializing Praluent</w:t>
      </w:r>
      <w:r>
        <w:rPr>
          <w:rFonts w:ascii="Arial" w:cs="Arial" w:eastAsia="Arial" w:hAnsi="Arial"/>
          <w:sz w:val="18"/>
          <w:szCs w:val="18"/>
          <w:color w:val="auto"/>
        </w:rPr>
        <w:t>,"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2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enacted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30"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drugs from other jurisdictions, and legislation on comparative effectiveness research are examples of previously enacted and possible future changes in laws that could adversely affect our business.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example, on June 23, 2016, the United Kingdom held a referendum in which voters approved an exit from the EU, commonly referred to as "Brexit." As a result of the referendum, it is expected that the British government will begin negotiating the terms of the United 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of a breach of personal information, which is a broader class of information than the health information protected by HIPAA. Our clinical trial programs and research collaborations outside the U.S.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as well as our immuno-oncology research and development programs. Sanofi has committed to reimburse us for up to (i) $405 million of the costs of our efforts to identify and validate drug discovery targets and pre-clinically develop fully human monoclonal antibodies against such targets under our Antibody Discovery Agreement and (ii) $825 million of the costs of our efforts to identify and validate potential immuno-oncology targets and develop fully-human therapeutic antibodies against such targets under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sarilumab, and dupilumab)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REGN2222, and trevogrumab, and decided not to opt in to the evinacumab and other programs.</w:t>
      </w:r>
    </w:p>
    <w:p>
      <w:pPr>
        <w:spacing w:after="0" w:line="22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Praluent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prospects, operating results, and financial condition may be adversely affected</w:t>
      </w:r>
      <w:r>
        <w:rPr>
          <w:rFonts w:ascii="Arial" w:cs="Arial" w:eastAsia="Arial" w:hAnsi="Arial"/>
          <w:sz w:val="16"/>
          <w:szCs w:val="16"/>
          <w:color w:val="auto"/>
        </w:rPr>
        <w:t>" above). Termination of our Antibody Collaboration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development and commercialization of Praluent, particularly outside the United States.</w:t>
      </w:r>
    </w:p>
    <w:p>
      <w:pPr>
        <w:spacing w:after="0" w:line="221"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We rely heavily on Bayer to assist with the development, and the commercialization outside the United States, of EYLEA. Under our agreement with them, Bayer is required to fund approximately half of the development expenses incurred by both companies in connection with the global EYLEA development program. As the EYLEA program continues, we will continue to rely on Bayer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Pharmaceuticals Co. Ltd. pursuant to a Co-Promotion and Distribution Agreement with Bayer's Japanese affiliate. We cannot assure you that regulatory approvals will be received for EYLEA in additional indications outside the United States or that EYLEA will be successfully commercialized outside the United States. If Bayer and, in Japan, Santen do not perform their obligations in a timely manner, or at all, our ability to develop, manufacture, and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 business, prospects,</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and financial condition may be adversely affected</w:t>
      </w:r>
      <w:r>
        <w:rPr>
          <w:rFonts w:ascii="Arial" w:cs="Arial" w:eastAsia="Arial" w:hAnsi="Arial"/>
          <w:sz w:val="16"/>
          <w:szCs w:val="16"/>
          <w:color w:val="auto"/>
        </w:rPr>
        <w:t>" above). Termination of the Bayer collaboration agreement would create substantial new</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Praluent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4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and Praluent and the anticipated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2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June 30, 2016, we had $646.5 million in cash and cash equivalents and $988.5 million in marketable securities (including $70.7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 and Praluent;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w:t>
      </w:r>
      <w:r>
        <w:rPr>
          <w:rFonts w:ascii="Arial" w:cs="Arial" w:eastAsia="Arial" w:hAnsi="Arial"/>
          <w:sz w:val="17"/>
          <w:szCs w:val="17"/>
          <w:color w:val="auto"/>
        </w:rPr>
        <w:t xml:space="preserve"> </w:t>
      </w:r>
      <w:r>
        <w:rPr>
          <w:rFonts w:ascii="Arial" w:cs="Arial" w:eastAsia="Arial" w:hAnsi="Arial"/>
          <w:sz w:val="17"/>
          <w:szCs w:val="17"/>
          <w:i w:val="1"/>
          <w:iCs w:val="1"/>
          <w:color w:val="auto"/>
        </w:rPr>
        <w:t>our 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and our largest shareholder, Sanofi, has been maintaining its percentage ownership of our Common Stock and has publicly disclosed that it may opportunistically increase its percentage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June 30, 2016, our five largest shareholders plus Dr. Schleifer, our Chief Executive Officer, beneficially owned approximately 50.3% of our outstanding shares of Common Stock, assuming, in the case of our Chief Executive Officer, the conversion of his Class A Stock into Common Stock and the exercise of all options held by him which are exercisable within 60 days of June 30, 2016. As of June 30, 2016, Sanofi beneficially owned 23,418,396 shares of our Common Stock, representing approximately 22.7%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June 30, 2016, holders of Class A Stock held 15.6%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2016:</w:t>
      </w:r>
    </w:p>
    <w:p>
      <w:pPr>
        <w:spacing w:after="0" w:line="232" w:lineRule="exact"/>
        <w:rPr>
          <w:sz w:val="20"/>
          <w:szCs w:val="20"/>
          <w:color w:val="auto"/>
        </w:rPr>
      </w:pPr>
    </w:p>
    <w:p>
      <w:pPr>
        <w:jc w:val="both"/>
        <w:ind w:left="660" w:hanging="32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10.3% of our outstanding shares of Common Stock, assuming conversion of their Class A Stock into Common Stock and the exercise of all options held by such persons which are exercisable within 60 days of June 30, 2016, and 21.7% of the combined voting power of our outstanding shares of Common Stock and Class A Stock, assuming the exercise of all options held by such persons which are exercisable within 60 days of June 30, 2016;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50.3% of our outstanding shares of Common Stock, assuming, in the case of our Chief Executive Officer, the conversion of his Class A Stock into Common Stock and the exercise of all options held by him which are exercisable within 60 days of June 30, 2016. In addition, these five shareholders plus our Chief Executive Officer held approximately 55.7% of the combined voting power of our outstanding shares of Common Stock and Class A Stock, assuming the exercise of all options held by our Chief Executive Officer which are exercisable within 60 days of June 30, 2016.</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1" w:name="page82"/>
    <w:bookmarkEnd w:id="81"/>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 and resigned on November 10, 2015. In December 2015, Sanofi disclosed in an amendment to its Schedule 13D filed with the SEC its intention to designate a successor designee.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The warrant transactions we entered into in connection with our convertible senior notes issuance may affect the trading price of our Common Stock.</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issuance of our 1.875% convertible senior notes due October 1, 2016, or the Notes, we entered into warrant transactions with four financial institutions, or the warrant counterparties. The warrant transactions could have a dilutive effect from the issuance of Common Stock pursuant to the warrants. As of June 30, 2016, 1,345,027 warrants (subject to adjustment from time to time as provided in the applicable warrant agreements) remained outstanding.</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hedging these transactions, the warrant counterparties and/or their affiliates may have entered into various derivative transactions with respect to our Common Stock, and may enter into, or may unwind, various derivative transactions and/or purchase or sell our Common Stock or other securities of ours in secondary market transactions. These activities could have the effect of increasing or preventing a decline in, or could have a negative effect on, the value of our Common Stock.</w:t>
      </w:r>
    </w:p>
    <w:p>
      <w:pPr>
        <w:spacing w:after="0" w:line="241"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the warrant transactions we entered into in connection with the issuance of our Notes,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ind w:firstLine="8"/>
        <w:spacing w:after="0" w:line="261" w:lineRule="auto"/>
        <w:tabs>
          <w:tab w:leader="none" w:pos="3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any issuance of shares of Common Stock by us that would result in another party having more than 10% of the voting power of our then outstanding Class A Stock and Common Stock (taken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unless such party enters into a standstill agreement containing certain terms substantially similar to the standstill obligations of Sanofi; or (v) other specified events, such as a liquidation or dissolution of our company.</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Similarly, under our 2014 PDGFR-beta license and collaboration agreement and our 2016 ANG2 license and collaboration agreement with Bayer, Bayer is prohibited from seeking to influence the control of our company or acquiring more than 20% of our then outstanding Class A Stock and Common Stock (taken together). With respect to each of these agreements,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1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upon the occurrence of certain extraordinary events, including certain mergers involving us, the warrant transactions we entered into in connection with the issuance of our Notes may be terminated, and the amounts we may be required to pay upon such termination could be significant. This may result in the acquisition of us being on terms less favorable to our shareholders than would otherwise be the case.</w:t>
      </w:r>
    </w:p>
    <w:p>
      <w:pPr>
        <w:spacing w:after="0" w:line="10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6"/>
          <w:szCs w:val="16"/>
          <w:i w:val="1"/>
          <w:iCs w:val="1"/>
          <w:color w:val="auto"/>
        </w:rPr>
        <w:t>Our existing</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shareholders may be able to exert significant influence over matters requiring shareholder approval and over our management</w:t>
      </w:r>
      <w:r>
        <w:rPr>
          <w:rFonts w:ascii="Arial" w:cs="Arial" w:eastAsia="Arial" w:hAnsi="Arial"/>
          <w:sz w:val="16"/>
          <w:szCs w:val="16"/>
          <w:color w:val="auto"/>
        </w:rPr>
        <w:t>," a Sanofi designee served on</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from April 2014 to November 2015, and Sanofi has disclosed its intention to designate a successor designee. These contractual provisions may also have the effect of deterring, delaying, or preventing an acquisition or other change in control.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second quarter of 2016, we settled the conversion of $10.9 million principal amount of our 1.875% convertible senior notes through the payment of $10.9 million in cash (equal to the principal amount of the converted Notes) and issuance of 102,048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this conversion, we exercised a proportionate amount of our convertible note hedges, as a result of which we received from our hedge counterparties 102,040 shares of our Common Stock.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the Regeneron Pharmaceuticals, Inc. Second Amended and Restated 2000 Long-Term Incentive Plan or the Regeneron Pharmaceuticals, Inc. 2014 Long-Term Incentive Plan in the second quarter of 2016.</w:t>
      </w:r>
    </w:p>
    <w:p>
      <w:pPr>
        <w:spacing w:after="0" w:line="36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Shares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Units)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Purchased as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Publicly</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Shares (or</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Paid per Share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(or Unit)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58"/>
        </w:trPr>
        <w:tc>
          <w:tcPr>
            <w:tcW w:w="2000" w:type="dxa"/>
            <w:vAlign w:val="bottom"/>
          </w:tcPr>
          <w:p>
            <w:pPr>
              <w:jc w:val="right"/>
              <w:ind w:right="210"/>
              <w:spacing w:after="0"/>
              <w:rPr>
                <w:sz w:val="20"/>
                <w:szCs w:val="20"/>
                <w:color w:val="auto"/>
              </w:rPr>
            </w:pPr>
            <w:r>
              <w:rPr>
                <w:rFonts w:ascii="Arial" w:cs="Arial" w:eastAsia="Arial" w:hAnsi="Arial"/>
                <w:sz w:val="18"/>
                <w:szCs w:val="18"/>
                <w:color w:val="auto"/>
              </w:rPr>
              <w:t>6/1/2016-6/30/2016</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371.14</w:t>
            </w:r>
          </w:p>
        </w:tc>
        <w:tc>
          <w:tcPr>
            <w:tcW w:w="120" w:type="dxa"/>
            <w:vAlign w:val="bottom"/>
          </w:tcPr>
          <w:p>
            <w:pPr>
              <w:spacing w:after="0"/>
              <w:rPr>
                <w:sz w:val="24"/>
                <w:szCs w:val="24"/>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0"/>
              </w:rPr>
              <w:t>Table of Contents</w:t>
            </w:r>
          </w:p>
        </w:tc>
        <w:tc>
          <w:tcPr>
            <w:tcW w:w="70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7860" w:type="dxa"/>
            <w:vAlign w:val="bottom"/>
          </w:tcPr>
          <w:p>
            <w:pPr>
              <w:spacing w:after="0"/>
              <w:rPr>
                <w:sz w:val="16"/>
                <w:szCs w:val="16"/>
                <w:color w:val="auto"/>
              </w:rPr>
            </w:pPr>
          </w:p>
        </w:tc>
      </w:tr>
      <w:tr>
        <w:trPr>
          <w:trHeight w:val="655"/>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351"/>
        </w:trPr>
        <w:tc>
          <w:tcPr>
            <w:tcW w:w="186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473"/>
        </w:trPr>
        <w:tc>
          <w:tcPr>
            <w:tcW w:w="8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87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8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7860" w:type="dxa"/>
            <w:vAlign w:val="bottom"/>
          </w:tcPr>
          <w:p>
            <w:pPr>
              <w:spacing w:after="0"/>
              <w:rPr>
                <w:sz w:val="4"/>
                <w:szCs w:val="4"/>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3"/>
              </w:rPr>
              <w:t>Certification of Principal Executive Officer pursuant to Rule 13a-14(a) under the Securities Exchange Act of 1934.</w:t>
            </w:r>
          </w:p>
        </w:tc>
      </w:tr>
      <w:tr>
        <w:trPr>
          <w:trHeight w:val="243"/>
        </w:trPr>
        <w:tc>
          <w:tcPr>
            <w:tcW w:w="1420" w:type="dxa"/>
            <w:vAlign w:val="bottom"/>
            <w:gridSpan w:val="3"/>
          </w:tcPr>
          <w:p>
            <w:pPr>
              <w:ind w:left="86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4"/>
              </w:rPr>
              <w:t>Certification of Principal Financial Officer pursuant to Rule 13a-14(a) under the Securities Exchange Act of 1934.</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7"/>
              </w:rPr>
              <w:t>Certification of Principal Executive Officer and Principal Financial Officer pursuant to 18 U.S.C. Section 1350.</w:t>
            </w:r>
          </w:p>
        </w:tc>
      </w:tr>
      <w:tr>
        <w:trPr>
          <w:trHeight w:val="243"/>
        </w:trPr>
        <w:tc>
          <w:tcPr>
            <w:tcW w:w="1160" w:type="dxa"/>
            <w:vAlign w:val="bottom"/>
            <w:gridSpan w:val="2"/>
          </w:tcPr>
          <w:p>
            <w:pPr>
              <w:ind w:left="860"/>
              <w:spacing w:after="0"/>
              <w:rPr>
                <w:sz w:val="20"/>
                <w:szCs w:val="20"/>
                <w:color w:val="auto"/>
              </w:rPr>
            </w:pPr>
            <w:r>
              <w:rPr>
                <w:rFonts w:ascii="Arial" w:cs="Arial" w:eastAsia="Arial" w:hAnsi="Arial"/>
                <w:sz w:val="18"/>
                <w:szCs w:val="18"/>
                <w:color w:val="auto"/>
                <w:w w:val="93"/>
              </w:rPr>
              <w:t>101</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Interactive Data File</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Instance Document</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101.SCH</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101.DEF</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101.PRE</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600"/>
          </w:cols>
          <w:pgMar w:left="240" w:top="118" w:right="1059" w:bottom="1440" w:gutter="0" w:footer="0" w:header="0"/>
        </w:sectPr>
      </w:pPr>
    </w:p>
    <w:bookmarkStart w:id="85" w:name="page86"/>
    <w:bookmarkEnd w:id="85"/>
    <w:p>
      <w:pPr>
        <w:spacing w:after="0"/>
        <w:rPr>
          <w:sz w:val="20"/>
          <w:szCs w:val="20"/>
          <w:color w:val="auto"/>
        </w:rPr>
      </w:pPr>
      <w:r>
        <w:rPr>
          <w:rFonts w:ascii="Arial" w:cs="Arial" w:eastAsia="Arial" w:hAnsi="Arial"/>
          <w:sz w:val="16"/>
          <w:szCs w:val="16"/>
          <w:u w:val="single" w:color="auto"/>
          <w:color w:val="0000EE"/>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3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August 4, 2016</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9" w:name="page90"/>
    <w:bookmarkEnd w:id="89"/>
    <w:p>
      <w:pPr>
        <w:ind w:left="3240" w:right="4319" w:hanging="4035"/>
        <w:spacing w:after="0" w:line="387" w:lineRule="auto"/>
        <w:tabs>
          <w:tab w:leader="none" w:pos="3220" w:val="left"/>
        </w:tabs>
        <w:rPr>
          <w:sz w:val="20"/>
          <w:szCs w:val="20"/>
          <w:color w:val="auto"/>
        </w:rPr>
      </w:pPr>
      <w:r>
        <w:rPr>
          <w:rFonts w:ascii="Arial" w:cs="Arial" w:eastAsia="Arial" w:hAnsi="Arial"/>
          <w:sz w:val="18"/>
          <w:szCs w:val="18"/>
          <w:color w:val="auto"/>
        </w:rPr>
        <w:t>Date: August 4, 2016</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Senior Vice President, Finance and Chief</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20"/>
        <w:spacing w:after="0" w:line="306"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June 30, 2016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3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4, 2016</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August 4, 2016</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lvl w:ilvl="1">
      <w:lvlJc w:val="left"/>
      <w:lvlText w:val="(%2)"/>
      <w:numFmt w:val="lowerLetter"/>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Ÿ"/>
      <w:numFmt w:val="bullet"/>
      <w:start w:val="1"/>
    </w:lvl>
  </w:abstractNum>
  <w:abstractNum w:abstractNumId="10">
    <w:nsid w:val="62BBD95A"/>
    <w:multiLevelType w:val="hybridMultilevel"/>
    <w:lvl w:ilvl="0">
      <w:lvlJc w:val="left"/>
      <w:lvlText w:val="Ÿ"/>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lowerRoman"/>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lowerRoman"/>
      <w:start w:val="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2019-12-29T10:27:48Z</dcterms:created>
  <dcterms:modified xsi:type="dcterms:W3CDTF">2019-12-29T10:27:48Z</dcterms:modified>
</cp:coreProperties>
</file>