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160020</wp:posOffset>
            </wp:positionV>
            <wp:extent cx="9607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117475</wp:posOffset>
            </wp:positionV>
            <wp:extent cx="9607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500"/>
        <w:spacing w:after="0"/>
        <w:rPr>
          <w:sz w:val="20"/>
          <w:szCs w:val="20"/>
          <w:color w:val="auto"/>
        </w:rPr>
      </w:pPr>
      <w:r>
        <w:rPr>
          <w:rFonts w:ascii="Arial" w:cs="Arial" w:eastAsia="Arial" w:hAnsi="Arial"/>
          <w:sz w:val="18"/>
          <w:szCs w:val="18"/>
          <w:color w:val="auto"/>
        </w:rPr>
        <w:t>(Mark One)</w:t>
      </w:r>
    </w:p>
    <w:p>
      <w:pPr>
        <w:spacing w:after="0" w:line="63" w:lineRule="exact"/>
        <w:rPr>
          <w:sz w:val="24"/>
          <w:szCs w:val="24"/>
          <w:color w:val="auto"/>
        </w:rPr>
      </w:pPr>
    </w:p>
    <w:p>
      <w:pPr>
        <w:ind w:left="500" w:right="2240" w:hanging="465"/>
        <w:spacing w:after="0" w:line="34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September 30, 2014</w:t>
      </w:r>
    </w:p>
    <w:p>
      <w:pPr>
        <w:spacing w:after="0" w:line="224"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OR</w:t>
      </w:r>
    </w:p>
    <w:p>
      <w:pPr>
        <w:spacing w:after="0" w:line="333" w:lineRule="exact"/>
        <w:rPr>
          <w:sz w:val="24"/>
          <w:szCs w:val="24"/>
          <w:color w:val="auto"/>
        </w:rPr>
      </w:pPr>
    </w:p>
    <w:p>
      <w:pPr>
        <w:ind w:left="500" w:right="2220" w:hanging="465"/>
        <w:spacing w:after="0" w:line="340" w:lineRule="auto"/>
        <w:tabs>
          <w:tab w:leader="none" w:pos="146"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 to __________</w:t>
      </w:r>
    </w:p>
    <w:p>
      <w:pPr>
        <w:spacing w:after="0" w:line="197" w:lineRule="exact"/>
        <w:rPr>
          <w:sz w:val="24"/>
          <w:szCs w:val="24"/>
          <w:color w:val="auto"/>
        </w:rPr>
      </w:pPr>
    </w:p>
    <w:tbl>
      <w:tblPr>
        <w:tblLayout w:type="fixed"/>
        <w:tblInd w:w="236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Commission File Number</w:t>
            </w:r>
          </w:p>
        </w:tc>
        <w:tc>
          <w:tcPr>
            <w:tcW w:w="1060" w:type="dxa"/>
            <w:vAlign w:val="bottom"/>
          </w:tcPr>
          <w:p>
            <w:pPr>
              <w:jc w:val="right"/>
              <w:spacing w:after="0"/>
              <w:rPr>
                <w:sz w:val="20"/>
                <w:szCs w:val="20"/>
                <w:color w:val="auto"/>
              </w:rPr>
            </w:pPr>
            <w:r>
              <w:rPr>
                <w:rFonts w:ascii="Arial" w:cs="Arial" w:eastAsia="Arial" w:hAnsi="Arial"/>
                <w:sz w:val="18"/>
                <w:szCs w:val="18"/>
                <w:color w:val="auto"/>
              </w:rPr>
              <w:t>0-19034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102870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3800" w:type="dxa"/>
            <w:vAlign w:val="bottom"/>
            <w:gridSpan w:val="3"/>
          </w:tcPr>
          <w:p>
            <w:pPr>
              <w:jc w:val="center"/>
              <w:ind w:right="3080"/>
              <w:spacing w:after="0"/>
              <w:rPr>
                <w:sz w:val="20"/>
                <w:szCs w:val="20"/>
                <w:color w:val="auto"/>
              </w:rPr>
            </w:pPr>
            <w:r>
              <w:rPr>
                <w:rFonts w:ascii="Arial" w:cs="Arial" w:eastAsia="Arial" w:hAnsi="Arial"/>
                <w:sz w:val="18"/>
                <w:szCs w:val="18"/>
                <w:color w:val="auto"/>
                <w:w w:val="92"/>
              </w:rPr>
              <w:t>New York</w:t>
            </w: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13-3444607</w:t>
            </w:r>
          </w:p>
        </w:tc>
      </w:tr>
      <w:tr>
        <w:trPr>
          <w:trHeight w:val="20"/>
        </w:trPr>
        <w:tc>
          <w:tcPr>
            <w:tcW w:w="1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5360" w:type="dxa"/>
            <w:vAlign w:val="bottom"/>
            <w:gridSpan w:val="4"/>
          </w:tcPr>
          <w:p>
            <w:pPr>
              <w:jc w:val="center"/>
              <w:ind w:right="1520"/>
              <w:spacing w:after="0"/>
              <w:rPr>
                <w:sz w:val="20"/>
                <w:szCs w:val="20"/>
                <w:color w:val="auto"/>
              </w:rPr>
            </w:pPr>
            <w:r>
              <w:rPr>
                <w:rFonts w:ascii="Arial" w:cs="Arial" w:eastAsia="Arial" w:hAnsi="Arial"/>
                <w:sz w:val="18"/>
                <w:szCs w:val="18"/>
                <w:color w:val="auto"/>
                <w:w w:val="92"/>
              </w:rPr>
              <w:t>(State or other jurisdiction of</w:t>
            </w: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360" w:type="dxa"/>
            <w:vAlign w:val="bottom"/>
            <w:gridSpan w:val="4"/>
          </w:tcPr>
          <w:p>
            <w:pPr>
              <w:jc w:val="center"/>
              <w:ind w:right="1520"/>
              <w:spacing w:after="0"/>
              <w:rPr>
                <w:sz w:val="20"/>
                <w:szCs w:val="20"/>
                <w:color w:val="auto"/>
              </w:rPr>
            </w:pPr>
            <w:r>
              <w:rPr>
                <w:rFonts w:ascii="Arial" w:cs="Arial" w:eastAsia="Arial" w:hAnsi="Arial"/>
                <w:sz w:val="18"/>
                <w:szCs w:val="18"/>
                <w:color w:val="auto"/>
                <w:w w:val="92"/>
              </w:rPr>
              <w:t>incorporation or organization)</w:t>
            </w:r>
          </w:p>
        </w:tc>
        <w:tc>
          <w:tcPr>
            <w:tcW w:w="2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00"/>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4"/>
              </w:rPr>
              <w:t>777 Old Saw Mill River Road, Tarrytown, New York</w:t>
            </w:r>
          </w:p>
        </w:tc>
        <w:tc>
          <w:tcPr>
            <w:tcW w:w="1520" w:type="dxa"/>
            <w:vAlign w:val="bottom"/>
          </w:tcPr>
          <w:p>
            <w:pPr>
              <w:spacing w:after="0"/>
              <w:rPr>
                <w:sz w:val="24"/>
                <w:szCs w:val="24"/>
                <w:color w:val="auto"/>
              </w:rPr>
            </w:pP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10591-6707</w:t>
            </w:r>
          </w:p>
        </w:tc>
      </w:tr>
      <w:tr>
        <w:trPr>
          <w:trHeight w:val="291"/>
        </w:trPr>
        <w:tc>
          <w:tcPr>
            <w:tcW w:w="38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880" w:type="dxa"/>
            <w:vAlign w:val="bottom"/>
          </w:tcPr>
          <w:p>
            <w:pPr>
              <w:spacing w:after="0"/>
              <w:rPr>
                <w:sz w:val="24"/>
                <w:szCs w:val="24"/>
                <w:color w:val="auto"/>
              </w:rPr>
            </w:pPr>
          </w:p>
        </w:tc>
      </w:tr>
    </w:tbl>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(914) 847-7000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7" w:lineRule="exact"/>
        <w:rPr>
          <w:sz w:val="24"/>
          <w:szCs w:val="24"/>
          <w:color w:val="auto"/>
        </w:rPr>
      </w:pPr>
    </w:p>
    <w:p>
      <w:pPr>
        <w:ind w:left="3860"/>
        <w:spacing w:after="0"/>
        <w:tabs>
          <w:tab w:leader="none" w:pos="4440" w:val="left"/>
          <w:tab w:leader="none" w:pos="8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7" w:lineRule="exact"/>
        <w:rPr>
          <w:sz w:val="24"/>
          <w:szCs w:val="24"/>
          <w:color w:val="auto"/>
        </w:rPr>
      </w:pPr>
    </w:p>
    <w:p>
      <w:pPr>
        <w:ind w:left="3860"/>
        <w:spacing w:after="0"/>
        <w:tabs>
          <w:tab w:leader="none" w:pos="4440" w:val="left"/>
          <w:tab w:leader="none" w:pos="8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60" w:type="dxa"/>
            <w:vAlign w:val="bottom"/>
          </w:tcPr>
          <w:p>
            <w:pPr>
              <w:ind w:left="200"/>
              <w:spacing w:after="0"/>
              <w:rPr>
                <w:sz w:val="20"/>
                <w:szCs w:val="20"/>
                <w:color w:val="auto"/>
              </w:rPr>
            </w:pPr>
            <w:r>
              <w:rPr>
                <w:rFonts w:ascii="Arial" w:cs="Arial" w:eastAsia="Arial" w:hAnsi="Arial"/>
                <w:sz w:val="18"/>
                <w:szCs w:val="18"/>
                <w:color w:val="auto"/>
              </w:rPr>
              <w:t>X</w:t>
            </w:r>
          </w:p>
        </w:tc>
        <w:tc>
          <w:tcPr>
            <w:tcW w:w="3860" w:type="dxa"/>
            <w:vAlign w:val="bottom"/>
          </w:tcPr>
          <w:p>
            <w:pPr>
              <w:spacing w:after="0"/>
              <w:rPr>
                <w:sz w:val="20"/>
                <w:szCs w:val="20"/>
                <w:color w:val="auto"/>
              </w:rPr>
            </w:pPr>
          </w:p>
        </w:tc>
        <w:tc>
          <w:tcPr>
            <w:tcW w:w="248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27"/>
        </w:trPr>
        <w:tc>
          <w:tcPr>
            <w:tcW w:w="258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660" w:type="dxa"/>
            <w:vAlign w:val="bottom"/>
            <w:tcBorders>
              <w:bottom w:val="single" w:sz="8" w:color="auto"/>
            </w:tcBorders>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Arial" w:cs="Arial" w:eastAsia="Arial" w:hAnsi="Arial"/>
                <w:sz w:val="18"/>
                <w:szCs w:val="18"/>
                <w:color w:val="auto"/>
              </w:rPr>
              <w:t>(Do not check if a smaller reporting company)</w:t>
            </w:r>
          </w:p>
        </w:tc>
        <w:tc>
          <w:tcPr>
            <w:tcW w:w="2480" w:type="dxa"/>
            <w:vAlign w:val="bottom"/>
            <w:vMerge w:val="restart"/>
          </w:tcPr>
          <w:p>
            <w:pPr>
              <w:ind w:left="520"/>
              <w:spacing w:after="0"/>
              <w:rPr>
                <w:sz w:val="20"/>
                <w:szCs w:val="20"/>
                <w:color w:val="auto"/>
              </w:rPr>
            </w:pPr>
            <w:r>
              <w:rPr>
                <w:rFonts w:ascii="Arial" w:cs="Arial" w:eastAsia="Arial" w:hAnsi="Arial"/>
                <w:sz w:val="18"/>
                <w:szCs w:val="18"/>
                <w:color w:val="auto"/>
                <w:w w:val="90"/>
              </w:rPr>
              <w:t>Smaller reporting company</w:t>
            </w:r>
          </w:p>
        </w:tc>
        <w:tc>
          <w:tcPr>
            <w:tcW w:w="0" w:type="dxa"/>
            <w:vAlign w:val="bottom"/>
          </w:tcPr>
          <w:p>
            <w:pPr>
              <w:spacing w:after="0"/>
              <w:rPr>
                <w:sz w:val="1"/>
                <w:szCs w:val="1"/>
                <w:color w:val="auto"/>
              </w:rPr>
            </w:pPr>
          </w:p>
        </w:tc>
      </w:tr>
      <w:tr>
        <w:trPr>
          <w:trHeight w:val="237"/>
        </w:trPr>
        <w:tc>
          <w:tcPr>
            <w:tcW w:w="258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3860" w:type="dxa"/>
            <w:vAlign w:val="bottom"/>
            <w:vMerge w:val="continue"/>
          </w:tcPr>
          <w:p>
            <w:pPr>
              <w:spacing w:after="0"/>
              <w:rPr>
                <w:sz w:val="20"/>
                <w:szCs w:val="20"/>
                <w:color w:val="auto"/>
              </w:rPr>
            </w:pPr>
          </w:p>
        </w:tc>
        <w:tc>
          <w:tcPr>
            <w:tcW w:w="2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6496685</wp:posOffset>
            </wp:positionH>
            <wp:positionV relativeFrom="paragraph">
              <wp:posOffset>-8255</wp:posOffset>
            </wp:positionV>
            <wp:extent cx="411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-187960</wp:posOffset>
            </wp:positionV>
            <wp:extent cx="411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3860"/>
        <w:spacing w:after="0"/>
        <w:tabs>
          <w:tab w:leader="none" w:pos="8520" w:val="left"/>
          <w:tab w:leader="none" w:pos="90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outstanding of each of the registrant’s classes of common stock as of October 16, 2014:</w:t>
      </w:r>
    </w:p>
    <w:p>
      <w:pPr>
        <w:spacing w:after="0" w:line="171" w:lineRule="exact"/>
        <w:rPr>
          <w:sz w:val="24"/>
          <w:szCs w:val="24"/>
          <w:color w:val="auto"/>
        </w:rPr>
      </w:pPr>
    </w:p>
    <w:tbl>
      <w:tblPr>
        <w:tblLayout w:type="fixed"/>
        <w:tblInd w:w="2260" w:type="dxa"/>
        <w:tblCellMar>
          <w:top w:w="0" w:type="dxa"/>
          <w:left w:w="0" w:type="dxa"/>
          <w:bottom w:w="0" w:type="dxa"/>
          <w:right w:w="0" w:type="dxa"/>
        </w:tblCellMar>
      </w:tblPr>
      <w:tr>
        <w:trPr>
          <w:trHeight w:val="230"/>
        </w:trPr>
        <w:tc>
          <w:tcPr>
            <w:tcW w:w="36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Class of Common Stock</w:t>
            </w:r>
          </w:p>
        </w:tc>
        <w:tc>
          <w:tcPr>
            <w:tcW w:w="3240" w:type="dxa"/>
            <w:vAlign w:val="bottom"/>
          </w:tcPr>
          <w:p>
            <w:pPr>
              <w:ind w:left="960"/>
              <w:spacing w:after="0"/>
              <w:rPr>
                <w:sz w:val="20"/>
                <w:szCs w:val="20"/>
                <w:color w:val="auto"/>
              </w:rPr>
            </w:pPr>
            <w:r>
              <w:rPr>
                <w:rFonts w:ascii="Arial" w:cs="Arial" w:eastAsia="Arial" w:hAnsi="Arial"/>
                <w:sz w:val="18"/>
                <w:szCs w:val="18"/>
                <w:color w:val="auto"/>
              </w:rPr>
              <w:t>Number of Shares</w:t>
            </w:r>
          </w:p>
        </w:tc>
      </w:tr>
      <w:tr>
        <w:trPr>
          <w:trHeight w:val="27"/>
        </w:trPr>
        <w:tc>
          <w:tcPr>
            <w:tcW w:w="3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Class A Stock, $.001 par value</w:t>
            </w:r>
          </w:p>
        </w:tc>
        <w:tc>
          <w:tcPr>
            <w:tcW w:w="3240" w:type="dxa"/>
            <w:vAlign w:val="bottom"/>
          </w:tcPr>
          <w:p>
            <w:pPr>
              <w:jc w:val="right"/>
              <w:ind w:right="1170"/>
              <w:spacing w:after="0"/>
              <w:rPr>
                <w:sz w:val="20"/>
                <w:szCs w:val="20"/>
                <w:color w:val="auto"/>
              </w:rPr>
            </w:pPr>
            <w:r>
              <w:rPr>
                <w:rFonts w:ascii="Arial" w:cs="Arial" w:eastAsia="Arial" w:hAnsi="Arial"/>
                <w:sz w:val="18"/>
                <w:szCs w:val="18"/>
                <w:color w:val="auto"/>
              </w:rPr>
              <w:t>1,973,368</w:t>
            </w:r>
          </w:p>
        </w:tc>
      </w:tr>
      <w:tr>
        <w:trPr>
          <w:trHeight w:val="270"/>
        </w:trPr>
        <w:tc>
          <w:tcPr>
            <w:tcW w:w="36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Common Stock, $.001 par value</w:t>
            </w:r>
          </w:p>
        </w:tc>
        <w:tc>
          <w:tcPr>
            <w:tcW w:w="3240" w:type="dxa"/>
            <w:vAlign w:val="bottom"/>
          </w:tcPr>
          <w:p>
            <w:pPr>
              <w:jc w:val="right"/>
              <w:ind w:right="1130"/>
              <w:spacing w:after="0"/>
              <w:rPr>
                <w:sz w:val="20"/>
                <w:szCs w:val="20"/>
                <w:color w:val="auto"/>
              </w:rPr>
            </w:pPr>
            <w:r>
              <w:rPr>
                <w:rFonts w:ascii="Arial" w:cs="Arial" w:eastAsia="Arial" w:hAnsi="Arial"/>
                <w:sz w:val="18"/>
                <w:szCs w:val="18"/>
                <w:color w:val="auto"/>
              </w:rPr>
              <w:t>99,691,909</w:t>
            </w:r>
          </w:p>
        </w:tc>
      </w:tr>
    </w:tbl>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gridSpan w:val="6"/>
          </w:tcPr>
          <w:p>
            <w:pPr>
              <w:spacing w:after="0"/>
              <w:rPr>
                <w:sz w:val="20"/>
                <w:szCs w:val="20"/>
                <w:color w:val="auto"/>
              </w:rPr>
            </w:pPr>
            <w:r>
              <w:rPr>
                <w:rFonts w:ascii="Arial" w:cs="Arial" w:eastAsia="Arial" w:hAnsi="Arial"/>
                <w:sz w:val="18"/>
                <w:szCs w:val="18"/>
                <w:b w:val="1"/>
                <w:bCs w:val="1"/>
                <w:color w:val="auto"/>
              </w:rPr>
              <w:t>Page Numbers</w:t>
            </w:r>
          </w:p>
        </w:tc>
      </w:tr>
      <w:tr>
        <w:trPr>
          <w:trHeight w:val="48"/>
        </w:trPr>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1280" w:type="dxa"/>
            <w:vAlign w:val="bottom"/>
            <w:gridSpan w:val="7"/>
            <w:shd w:val="clear" w:color="auto" w:fill="CCEEFF"/>
          </w:tcPr>
          <w:p>
            <w:pPr>
              <w:ind w:left="20"/>
              <w:spacing w:after="0" w:line="202"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7620" w:type="dxa"/>
            <w:vAlign w:val="bottom"/>
            <w:gridSpan w:val="19"/>
            <w:shd w:val="clear" w:color="auto" w:fill="CCEEFF"/>
          </w:tcPr>
          <w:p>
            <w:pPr>
              <w:spacing w:after="0" w:line="202"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7"/>
            <w:shd w:val="clear" w:color="auto" w:fill="CCEEFF"/>
          </w:tcPr>
          <w:p>
            <w:pPr>
              <w:ind w:lef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620" w:type="dxa"/>
            <w:vAlign w:val="bottom"/>
            <w:gridSpan w:val="19"/>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9"/>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September 30, 2014 and December 31, 2013</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720" w:type="dxa"/>
            <w:vAlign w:val="bottom"/>
            <w:gridSpan w:val="17"/>
            <w:shd w:val="clear" w:color="auto" w:fill="CCEEFF"/>
          </w:tcPr>
          <w:p>
            <w:pPr>
              <w:spacing w:after="0" w:line="202"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Income for the Three</w:t>
              </w:r>
            </w:hyperlink>
          </w:p>
        </w:tc>
        <w:tc>
          <w:tcPr>
            <w:tcW w:w="900" w:type="dxa"/>
            <w:vAlign w:val="bottom"/>
            <w:gridSpan w:val="2"/>
            <w:shd w:val="clear" w:color="auto" w:fill="CCEEFF"/>
          </w:tcPr>
          <w:p>
            <w:pPr>
              <w:spacing w:after="0"/>
              <w:rPr>
                <w:sz w:val="17"/>
                <w:szCs w:val="17"/>
                <w:color w:val="auto"/>
              </w:rPr>
            </w:pPr>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672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and Nine Months Ended September 30, 2014 and 2013</w:t>
              </w:r>
            </w:hyperlink>
          </w:p>
        </w:tc>
        <w:tc>
          <w:tcPr>
            <w:tcW w:w="900" w:type="dxa"/>
            <w:vAlign w:val="bottom"/>
            <w:tcBorders>
              <w:top w:val="single" w:sz="8" w:color="CCEEFF"/>
            </w:tcBorders>
            <w:gridSpan w:val="2"/>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20" w:type="dxa"/>
            <w:vAlign w:val="bottom"/>
            <w:gridSpan w:val="19"/>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Stockholders' Equity for the Nine Months Ended</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638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2014 and 2013</w:t>
              </w:r>
            </w:hyperlink>
          </w:p>
        </w:tc>
        <w:tc>
          <w:tcPr>
            <w:tcW w:w="1240" w:type="dxa"/>
            <w:vAlign w:val="bottom"/>
            <w:tcBorders>
              <w:top w:val="single" w:sz="8" w:color="CCEEFF"/>
            </w:tcBorders>
            <w:gridSpan w:val="4"/>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820" w:type="dxa"/>
            <w:vAlign w:val="bottom"/>
            <w:tcBorders>
              <w:bottom w:val="single" w:sz="8" w:color="0000EE"/>
            </w:tcBorders>
            <w:gridSpan w:val="18"/>
            <w:shd w:val="clear" w:color="auto" w:fill="CCEEFF"/>
          </w:tcPr>
          <w:p>
            <w:pPr>
              <w:spacing w:after="0" w:line="202"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Nine Months Ended September 30,</w:t>
              </w:r>
            </w:hyperlink>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9"/>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2014 and 2013</w:t>
              </w:r>
            </w:hyperlink>
          </w:p>
        </w:tc>
        <w:tc>
          <w:tcPr>
            <w:tcW w:w="660" w:type="dxa"/>
            <w:vAlign w:val="bottom"/>
            <w:gridSpan w:val="4"/>
            <w:shd w:val="clear" w:color="auto" w:fill="CCEEFF"/>
          </w:tcPr>
          <w:p>
            <w:pPr>
              <w:jc w:val="center"/>
              <w:ind w:left="37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9"/>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8</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7"/>
            <w:shd w:val="clear" w:color="auto" w:fill="CCEEFF"/>
          </w:tcPr>
          <w:p>
            <w:pPr>
              <w:ind w:left="2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7620" w:type="dxa"/>
            <w:vAlign w:val="bottom"/>
            <w:gridSpan w:val="19"/>
            <w:shd w:val="clear" w:color="auto" w:fill="CCEEFF"/>
          </w:tcPr>
          <w:p>
            <w:pPr>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23</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7"/>
            <w:shd w:val="clear" w:color="auto" w:fill="CCEEFF"/>
          </w:tcPr>
          <w:p>
            <w:pPr>
              <w:ind w:left="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Item 3.</w:t>
              </w:r>
            </w:hyperlink>
          </w:p>
        </w:tc>
        <w:tc>
          <w:tcPr>
            <w:tcW w:w="7620" w:type="dxa"/>
            <w:vAlign w:val="bottom"/>
            <w:gridSpan w:val="19"/>
            <w:shd w:val="clear" w:color="auto" w:fill="CCEEFF"/>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57</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7"/>
            <w:shd w:val="clear" w:color="auto" w:fill="CCEEFF"/>
          </w:tcPr>
          <w:p>
            <w:pPr>
              <w:ind w:left="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Item 4.</w:t>
              </w:r>
            </w:hyperlink>
          </w:p>
        </w:tc>
        <w:tc>
          <w:tcPr>
            <w:tcW w:w="7620" w:type="dxa"/>
            <w:vAlign w:val="bottom"/>
            <w:gridSpan w:val="19"/>
            <w:shd w:val="clear" w:color="auto" w:fill="CCEEFF"/>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57</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7"/>
            <w:shd w:val="clear" w:color="auto" w:fill="CCEEFF"/>
          </w:tcPr>
          <w:p>
            <w:pPr>
              <w:ind w:left="20"/>
              <w:spacing w:after="0" w:line="202"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II</w:t>
              </w:r>
            </w:hyperlink>
          </w:p>
        </w:tc>
        <w:tc>
          <w:tcPr>
            <w:tcW w:w="7620" w:type="dxa"/>
            <w:vAlign w:val="bottom"/>
            <w:gridSpan w:val="19"/>
            <w:shd w:val="clear" w:color="auto" w:fill="CCEEFF"/>
          </w:tcPr>
          <w:p>
            <w:pPr>
              <w:spacing w:after="0" w:line="202"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OTHER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7"/>
            <w:shd w:val="clear" w:color="auto" w:fill="CCEEFF"/>
          </w:tcPr>
          <w:p>
            <w:pPr>
              <w:ind w:left="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Item 1.</w:t>
              </w:r>
            </w:hyperlink>
          </w:p>
        </w:tc>
        <w:tc>
          <w:tcPr>
            <w:tcW w:w="7620" w:type="dxa"/>
            <w:vAlign w:val="bottom"/>
            <w:gridSpan w:val="19"/>
            <w:shd w:val="clear" w:color="auto" w:fill="CCEEFF"/>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Legal Proceedings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57</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7"/>
            <w:shd w:val="clear" w:color="auto" w:fill="CCEEFF"/>
          </w:tcPr>
          <w:p>
            <w:pPr>
              <w:ind w:left="2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Item 1A.</w:t>
              </w:r>
            </w:hyperlink>
          </w:p>
        </w:tc>
        <w:tc>
          <w:tcPr>
            <w:tcW w:w="7620" w:type="dxa"/>
            <w:vAlign w:val="bottom"/>
            <w:gridSpan w:val="19"/>
            <w:shd w:val="clear" w:color="auto" w:fill="CCEEFF"/>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Risk Factors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58</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7"/>
            <w:shd w:val="clear" w:color="auto" w:fill="CCEEFF"/>
          </w:tcPr>
          <w:p>
            <w:pPr>
              <w:ind w:left="2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Item 2</w:t>
              </w:r>
            </w:hyperlink>
          </w:p>
        </w:tc>
        <w:tc>
          <w:tcPr>
            <w:tcW w:w="7620" w:type="dxa"/>
            <w:vAlign w:val="bottom"/>
            <w:gridSpan w:val="19"/>
            <w:shd w:val="clear" w:color="auto" w:fill="CCEEFF"/>
          </w:tcPr>
          <w:p>
            <w:pPr>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Unregistered Sales of Equity Securities and Use of Proceeds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82</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7"/>
            <w:shd w:val="clear" w:color="auto" w:fill="CCEEFF"/>
          </w:tcPr>
          <w:p>
            <w:pPr>
              <w:ind w:left="2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Item 6.</w:t>
              </w:r>
            </w:hyperlink>
          </w:p>
        </w:tc>
        <w:tc>
          <w:tcPr>
            <w:tcW w:w="7620" w:type="dxa"/>
            <w:vAlign w:val="bottom"/>
            <w:gridSpan w:val="19"/>
            <w:shd w:val="clear" w:color="auto" w:fill="CCEEFF"/>
          </w:tcPr>
          <w:p>
            <w:pPr>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Exhibits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82</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8900" w:type="dxa"/>
            <w:vAlign w:val="bottom"/>
            <w:gridSpan w:val="26"/>
            <w:shd w:val="clear" w:color="auto" w:fill="CCEEFF"/>
          </w:tcPr>
          <w:p>
            <w:pPr>
              <w:ind w:left="20"/>
              <w:spacing w:after="0" w:line="202" w:lineRule="exact"/>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SIGNATURE PAGE</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83</w:t>
              </w:r>
            </w:hyperlink>
          </w:p>
        </w:tc>
        <w:tc>
          <w:tcPr>
            <w:tcW w:w="2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40"/>
        <w:spacing w:after="0" w:line="226"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"ZALTRAP</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and "</w:t>
      </w:r>
      <w:r>
        <w:rPr>
          <w:rFonts w:ascii="Arial" w:cs="Arial" w:eastAsia="Arial" w:hAnsi="Arial"/>
          <w:sz w:val="18"/>
          <w:szCs w:val="18"/>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380"/>
          </w:cols>
          <w:pgMar w:left="240" w:top="13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130" w:right="279" w:bottom="1440" w:gutter="0" w:footer="0" w:header="0"/>
          <w:type w:val="continuous"/>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53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646,554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535,608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158,376</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 trade, net</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673,915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787,071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from Sanofi</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110,720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104,707</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from Bayer HealthCare</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142,619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63,189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120,317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70,354</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49,005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44,677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32,952</w:t>
            </w:r>
          </w:p>
        </w:tc>
        <w:tc>
          <w:tcPr>
            <w:tcW w:w="0" w:type="dxa"/>
            <w:vAlign w:val="bottom"/>
          </w:tcPr>
          <w:p>
            <w:pPr>
              <w:spacing w:after="0"/>
              <w:rPr>
                <w:sz w:val="1"/>
                <w:szCs w:val="1"/>
                <w:color w:val="auto"/>
              </w:rPr>
            </w:pPr>
          </w:p>
        </w:tc>
      </w:tr>
      <w:tr>
        <w:trPr>
          <w:trHeight w:val="237"/>
        </w:trPr>
        <w:tc>
          <w:tcPr>
            <w:tcW w:w="81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2,200,512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1,796,934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453,443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389,891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818,967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526,983</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263,081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231,878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37"/>
        </w:trPr>
        <w:tc>
          <w:tcPr>
            <w:tcW w:w="810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3,739,419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2,951,013</w:t>
            </w:r>
          </w:p>
        </w:tc>
        <w:tc>
          <w:tcPr>
            <w:tcW w:w="0" w:type="dxa"/>
            <w:vAlign w:val="bottom"/>
          </w:tcPr>
          <w:p>
            <w:pPr>
              <w:spacing w:after="0"/>
              <w:rPr>
                <w:sz w:val="1"/>
                <w:szCs w:val="1"/>
                <w:color w:val="auto"/>
              </w:rPr>
            </w:pPr>
          </w:p>
        </w:tc>
      </w:tr>
      <w:tr>
        <w:trPr>
          <w:trHeight w:val="67"/>
        </w:trPr>
        <w:tc>
          <w:tcPr>
            <w:tcW w:w="8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8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380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337,976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250,896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revenue from Sanofi,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12,815</w:t>
            </w:r>
          </w:p>
        </w:tc>
        <w:tc>
          <w:tcPr>
            <w:tcW w:w="0" w:type="dxa"/>
            <w:vAlign w:val="bottom"/>
          </w:tcPr>
          <w:p>
            <w:pPr>
              <w:spacing w:after="0"/>
              <w:rPr>
                <w:sz w:val="1"/>
                <w:szCs w:val="1"/>
                <w:color w:val="auto"/>
              </w:rPr>
            </w:pPr>
          </w:p>
        </w:tc>
      </w:tr>
      <w:tr>
        <w:trPr>
          <w:trHeight w:val="243"/>
        </w:trPr>
        <w:tc>
          <w:tcPr>
            <w:tcW w:w="8100" w:type="dxa"/>
            <w:vAlign w:val="bottom"/>
          </w:tcPr>
          <w:p>
            <w:pPr>
              <w:ind w:left="260"/>
              <w:spacing w:after="0"/>
              <w:rPr>
                <w:sz w:val="20"/>
                <w:szCs w:val="20"/>
                <w:color w:val="auto"/>
              </w:rPr>
            </w:pPr>
            <w:r>
              <w:rPr>
                <w:rFonts w:ascii="Arial" w:cs="Arial" w:eastAsia="Arial" w:hAnsi="Arial"/>
                <w:sz w:val="18"/>
                <w:szCs w:val="18"/>
                <w:color w:val="auto"/>
              </w:rPr>
              <w:t>Deferred revenue - other, current portion</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57,604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34,185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Facility lease obligations, current portion</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37"/>
        </w:trPr>
        <w:tc>
          <w:tcPr>
            <w:tcW w:w="81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410,200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298,835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Deferred revenue from Sanofi</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75,283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 other</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107,677</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Facility lease obligations</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276,112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184,258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320,315</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23,747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11,330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1,187,631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998,937</w:t>
            </w:r>
          </w:p>
        </w:tc>
        <w:tc>
          <w:tcPr>
            <w:tcW w:w="0" w:type="dxa"/>
            <w:vAlign w:val="bottom"/>
          </w:tcPr>
          <w:p>
            <w:pPr>
              <w:spacing w:after="0"/>
              <w:rPr>
                <w:sz w:val="1"/>
                <w:szCs w:val="1"/>
                <w:color w:val="auto"/>
              </w:rPr>
            </w:pPr>
          </w:p>
        </w:tc>
      </w:tr>
      <w:tr>
        <w:trPr>
          <w:trHeight w:val="115"/>
        </w:trPr>
        <w:tc>
          <w:tcPr>
            <w:tcW w:w="8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1,973,368 in 2014 and 2,020,481 in 2013</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w w:val="99"/>
              </w:rPr>
              <w:t>Common Stock, $.001 par value; 160,000,000 shares authorized; shares issued and outstanding -</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440"/>
              <w:spacing w:after="0"/>
              <w:rPr>
                <w:sz w:val="20"/>
                <w:szCs w:val="20"/>
                <w:color w:val="auto"/>
              </w:rPr>
            </w:pPr>
            <w:r>
              <w:rPr>
                <w:rFonts w:ascii="Arial" w:cs="Arial" w:eastAsia="Arial" w:hAnsi="Arial"/>
                <w:sz w:val="18"/>
                <w:szCs w:val="18"/>
                <w:color w:val="auto"/>
              </w:rPr>
              <w:t>100,195,822 in 2014 and 97,666,814 in 2013</w:t>
            </w:r>
          </w:p>
        </w:tc>
        <w:tc>
          <w:tcPr>
            <w:tcW w:w="18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2,423,434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2,045,857</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145,206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(92,692)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Treasury stock, at cost; 521,892 shares in 2014 and none in 2013</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(43,849)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2,551,788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1,952,076</w:t>
            </w:r>
          </w:p>
        </w:tc>
        <w:tc>
          <w:tcPr>
            <w:tcW w:w="0" w:type="dxa"/>
            <w:vAlign w:val="bottom"/>
          </w:tcPr>
          <w:p>
            <w:pPr>
              <w:spacing w:after="0"/>
              <w:rPr>
                <w:sz w:val="1"/>
                <w:szCs w:val="1"/>
                <w:color w:val="auto"/>
              </w:rPr>
            </w:pPr>
          </w:p>
        </w:tc>
      </w:tr>
      <w:tr>
        <w:trPr>
          <w:trHeight w:val="237"/>
        </w:trPr>
        <w:tc>
          <w:tcPr>
            <w:tcW w:w="810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3,739,419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2,951,013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30" w:right="25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30" w:right="2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366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48"/>
        </w:trPr>
        <w:tc>
          <w:tcPr>
            <w:tcW w:w="4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446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rPr>
              <w:t>REGENERON PHARMACEUTICALS, INC.</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INCOME</w:t>
            </w:r>
          </w:p>
        </w:tc>
        <w:tc>
          <w:tcPr>
            <w:tcW w:w="104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3"/>
              </w:rPr>
              <w:t>(Unaudited)</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460" w:type="dxa"/>
            <w:vAlign w:val="bottom"/>
            <w:gridSpan w:val="7"/>
          </w:tcPr>
          <w:p>
            <w:pPr>
              <w:jc w:val="center"/>
              <w:ind w:right="34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0"/>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4"/>
                <w:szCs w:val="24"/>
                <w:color w:val="auto"/>
              </w:rPr>
            </w:pPr>
          </w:p>
        </w:tc>
        <w:tc>
          <w:tcPr>
            <w:tcW w:w="292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2013</w:t>
            </w:r>
          </w:p>
        </w:tc>
      </w:tr>
      <w:tr>
        <w:trPr>
          <w:trHeight w:val="27"/>
        </w:trPr>
        <w:tc>
          <w:tcPr>
            <w:tcW w:w="40" w:type="dxa"/>
            <w:vAlign w:val="bottom"/>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13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448,844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367,118</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1,229,244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1,019,751</w:t>
            </w:r>
          </w:p>
        </w:tc>
      </w:tr>
      <w:tr>
        <w:trPr>
          <w:trHeight w:val="243"/>
        </w:trPr>
        <w:tc>
          <w:tcPr>
            <w:tcW w:w="40" w:type="dxa"/>
            <w:vAlign w:val="bottom"/>
          </w:tcPr>
          <w:p>
            <w:pPr>
              <w:spacing w:after="0"/>
              <w:rPr>
                <w:sz w:val="21"/>
                <w:szCs w:val="21"/>
                <w:color w:val="auto"/>
              </w:rPr>
            </w:pPr>
          </w:p>
        </w:tc>
        <w:tc>
          <w:tcPr>
            <w:tcW w:w="3620" w:type="dxa"/>
            <w:vAlign w:val="bottom"/>
            <w:gridSpan w:val="2"/>
          </w:tcPr>
          <w:p>
            <w:pPr>
              <w:ind w:left="280"/>
              <w:spacing w:after="0"/>
              <w:rPr>
                <w:sz w:val="20"/>
                <w:szCs w:val="20"/>
                <w:color w:val="auto"/>
              </w:rPr>
            </w:pPr>
            <w:r>
              <w:rPr>
                <w:rFonts w:ascii="Arial" w:cs="Arial" w:eastAsia="Arial" w:hAnsi="Arial"/>
                <w:sz w:val="18"/>
                <w:szCs w:val="18"/>
                <w:color w:val="auto"/>
              </w:rPr>
              <w:t>Sanofi collaboration revenue</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132,925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134,359</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406,028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319,161</w:t>
            </w:r>
          </w:p>
        </w:tc>
      </w:tr>
      <w:tr>
        <w:trPr>
          <w:trHeight w:val="27"/>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Bayer HealthCare collaboration revenue</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135,853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88,583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358,460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134,594</w:t>
            </w:r>
          </w:p>
        </w:tc>
      </w:tr>
      <w:tr>
        <w:trPr>
          <w:trHeight w:val="243"/>
        </w:trPr>
        <w:tc>
          <w:tcPr>
            <w:tcW w:w="40" w:type="dxa"/>
            <w:vAlign w:val="bottom"/>
          </w:tcPr>
          <w:p>
            <w:pPr>
              <w:spacing w:after="0"/>
              <w:rPr>
                <w:sz w:val="21"/>
                <w:szCs w:val="21"/>
                <w:color w:val="auto"/>
              </w:rPr>
            </w:pPr>
          </w:p>
        </w:tc>
        <w:tc>
          <w:tcPr>
            <w:tcW w:w="3620" w:type="dxa"/>
            <w:vAlign w:val="bottom"/>
            <w:gridSpan w:val="2"/>
          </w:tcPr>
          <w:p>
            <w:pPr>
              <w:ind w:left="280"/>
              <w:spacing w:after="0"/>
              <w:rPr>
                <w:sz w:val="20"/>
                <w:szCs w:val="20"/>
                <w:color w:val="auto"/>
              </w:rPr>
            </w:pPr>
            <w:r>
              <w:rPr>
                <w:rFonts w:ascii="Arial" w:cs="Arial" w:eastAsia="Arial" w:hAnsi="Arial"/>
                <w:sz w:val="18"/>
                <w:szCs w:val="18"/>
                <w:color w:val="auto"/>
              </w:rPr>
              <w:t>Technology licensing and other revenue</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8,166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6,967</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23,496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20,827</w:t>
            </w:r>
          </w:p>
        </w:tc>
      </w:tr>
      <w:tr>
        <w:trPr>
          <w:trHeight w:val="27"/>
        </w:trPr>
        <w:tc>
          <w:tcPr>
            <w:tcW w:w="40" w:type="dxa"/>
            <w:vAlign w:val="bottom"/>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725,788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597,027</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2,017,228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1,494,333</w:t>
            </w:r>
          </w:p>
        </w:tc>
      </w:tr>
      <w:tr>
        <w:trPr>
          <w:trHeight w:val="277"/>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62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337,728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224,045</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919,608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591,807</w:t>
            </w:r>
          </w:p>
        </w:tc>
      </w:tr>
      <w:tr>
        <w:trPr>
          <w:trHeight w:val="27"/>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149,748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97,607</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361,012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247,330</w:t>
            </w:r>
          </w:p>
        </w:tc>
      </w:tr>
      <w:tr>
        <w:trPr>
          <w:trHeight w:val="243"/>
        </w:trPr>
        <w:tc>
          <w:tcPr>
            <w:tcW w:w="40" w:type="dxa"/>
            <w:vAlign w:val="bottom"/>
          </w:tcPr>
          <w:p>
            <w:pPr>
              <w:spacing w:after="0"/>
              <w:rPr>
                <w:sz w:val="21"/>
                <w:szCs w:val="21"/>
                <w:color w:val="auto"/>
              </w:rPr>
            </w:pPr>
          </w:p>
        </w:tc>
        <w:tc>
          <w:tcPr>
            <w:tcW w:w="362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33,655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28,253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91,073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83,557</w:t>
            </w:r>
          </w:p>
        </w:tc>
      </w:tr>
      <w:tr>
        <w:trPr>
          <w:trHeight w:val="27"/>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3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Cost of collaboration manufacturing</w:t>
            </w:r>
          </w:p>
        </w:tc>
        <w:tc>
          <w:tcPr>
            <w:tcW w:w="9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21,938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10,320</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54,471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23,684</w:t>
            </w: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543,069</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360,225</w:t>
            </w: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1,426,164</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946,378</w:t>
            </w:r>
          </w:p>
        </w:tc>
      </w:tr>
      <w:tr>
        <w:trPr>
          <w:trHeight w:val="27"/>
        </w:trPr>
        <w:tc>
          <w:tcPr>
            <w:tcW w:w="40" w:type="dxa"/>
            <w:vAlign w:val="bottom"/>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40" w:type="dxa"/>
            <w:vAlign w:val="bottom"/>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Income from operations</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182,719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236,802</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591,064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547,955</w:t>
            </w:r>
          </w:p>
        </w:tc>
      </w:tr>
      <w:tr>
        <w:trPr>
          <w:trHeight w:val="27"/>
        </w:trPr>
        <w:tc>
          <w:tcPr>
            <w:tcW w:w="40" w:type="dxa"/>
            <w:vAlign w:val="bottom"/>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40" w:type="dxa"/>
            <w:vAlign w:val="bottom"/>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and other income</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2,028</w:t>
            </w:r>
          </w:p>
        </w:tc>
      </w:tr>
      <w:tr>
        <w:trPr>
          <w:trHeight w:val="243"/>
        </w:trPr>
        <w:tc>
          <w:tcPr>
            <w:tcW w:w="40" w:type="dxa"/>
            <w:vAlign w:val="bottom"/>
          </w:tcPr>
          <w:p>
            <w:pPr>
              <w:spacing w:after="0"/>
              <w:rPr>
                <w:sz w:val="21"/>
                <w:szCs w:val="21"/>
                <w:color w:val="auto"/>
              </w:rPr>
            </w:pPr>
          </w:p>
        </w:tc>
        <w:tc>
          <w:tcPr>
            <w:tcW w:w="362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(9,232)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(11,736)</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(31,022)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(34,776)</w:t>
            </w:r>
          </w:p>
        </w:tc>
      </w:tr>
      <w:tr>
        <w:trPr>
          <w:trHeight w:val="27"/>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3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extinguishment of debt</w:t>
            </w:r>
          </w:p>
        </w:tc>
        <w:tc>
          <w:tcPr>
            <w:tcW w:w="9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(11,118)</w:t>
            </w: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(36,604)</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(32,748)</w:t>
            </w:r>
          </w:p>
        </w:tc>
      </w:tr>
      <w:tr>
        <w:trPr>
          <w:trHeight w:val="27"/>
        </w:trPr>
        <w:tc>
          <w:tcPr>
            <w:tcW w:w="40" w:type="dxa"/>
            <w:vAlign w:val="bottom"/>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40" w:type="dxa"/>
            <w:vAlign w:val="bottom"/>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176,078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225,684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554,460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515,207</w:t>
            </w:r>
          </w:p>
        </w:tc>
      </w:tr>
      <w:tr>
        <w:trPr>
          <w:trHeight w:val="27"/>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40" w:type="dxa"/>
            <w:vAlign w:val="bottom"/>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(96,358)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(84,378)</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(316,562)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(187,651)</w:t>
            </w:r>
          </w:p>
        </w:tc>
      </w:tr>
      <w:tr>
        <w:trPr>
          <w:trHeight w:val="27"/>
        </w:trPr>
        <w:tc>
          <w:tcPr>
            <w:tcW w:w="40" w:type="dxa"/>
            <w:vAlign w:val="bottom"/>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40" w:type="dxa"/>
            <w:vAlign w:val="bottom"/>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79,720</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141,306</w:t>
            </w:r>
          </w:p>
        </w:tc>
        <w:tc>
          <w:tcPr>
            <w:tcW w:w="2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237,898</w:t>
            </w:r>
          </w:p>
        </w:tc>
        <w:tc>
          <w:tcPr>
            <w:tcW w:w="12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327,556</w:t>
            </w:r>
          </w:p>
        </w:tc>
      </w:tr>
      <w:tr>
        <w:trPr>
          <w:trHeight w:val="271"/>
        </w:trPr>
        <w:tc>
          <w:tcPr>
            <w:tcW w:w="40" w:type="dxa"/>
            <w:vAlign w:val="bottom"/>
          </w:tcPr>
          <w:p>
            <w:pPr>
              <w:spacing w:after="0"/>
              <w:rPr>
                <w:sz w:val="23"/>
                <w:szCs w:val="23"/>
                <w:color w:val="auto"/>
              </w:rPr>
            </w:pPr>
          </w:p>
        </w:tc>
        <w:tc>
          <w:tcPr>
            <w:tcW w:w="1120" w:type="dxa"/>
            <w:vAlign w:val="bottom"/>
            <w:tcBorders>
              <w:top w:val="single" w:sz="8" w:color="CCEEFF"/>
            </w:tcBorders>
            <w:shd w:val="clear" w:color="auto" w:fill="CCEEFF"/>
          </w:tcPr>
          <w:p>
            <w:pPr>
              <w:spacing w:after="0"/>
              <w:rPr>
                <w:sz w:val="23"/>
                <w:szCs w:val="23"/>
                <w:color w:val="auto"/>
              </w:rPr>
            </w:pPr>
          </w:p>
        </w:tc>
        <w:tc>
          <w:tcPr>
            <w:tcW w:w="2500" w:type="dxa"/>
            <w:vAlign w:val="bottom"/>
            <w:tcBorders>
              <w:top w:val="single" w:sz="8" w:color="CCEEFF"/>
            </w:tcBorders>
            <w:shd w:val="clear" w:color="auto" w:fill="CCEEFF"/>
          </w:tcPr>
          <w:p>
            <w:pPr>
              <w:spacing w:after="0"/>
              <w:rPr>
                <w:sz w:val="23"/>
                <w:szCs w:val="23"/>
                <w:color w:val="auto"/>
              </w:rPr>
            </w:pPr>
          </w:p>
        </w:tc>
        <w:tc>
          <w:tcPr>
            <w:tcW w:w="94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Net income per share - basic</w:t>
            </w: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3.36</w:t>
            </w:r>
          </w:p>
        </w:tc>
      </w:tr>
      <w:tr>
        <w:trPr>
          <w:trHeight w:val="27"/>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13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w:t>
            </w:r>
          </w:p>
        </w:tc>
      </w:tr>
      <w:tr>
        <w:trPr>
          <w:trHeight w:val="284"/>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Weighted average shares outstanding - basic</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100,796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98,226</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100,325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97,602</w:t>
            </w:r>
          </w:p>
        </w:tc>
      </w:tr>
      <w:tr>
        <w:trPr>
          <w:trHeight w:val="243"/>
        </w:trPr>
        <w:tc>
          <w:tcPr>
            <w:tcW w:w="4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w w:val="96"/>
              </w:rPr>
              <w:t>Weighted average shares outstanding - diluted</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117,423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116,713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113,203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115,554</w:t>
            </w:r>
          </w:p>
        </w:tc>
      </w:tr>
      <w:tr>
        <w:trPr>
          <w:trHeight w:val="27"/>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40" w:type="dxa"/>
            <w:vAlign w:val="bottom"/>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b w:val="1"/>
                <w:bCs w:val="1"/>
                <w:color w:val="auto"/>
              </w:rPr>
              <w:t>Statements of Comprehensive Income</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79,720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141,306</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237,898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327,556</w:t>
            </w:r>
          </w:p>
        </w:tc>
      </w:tr>
      <w:tr>
        <w:trPr>
          <w:trHeight w:val="243"/>
        </w:trPr>
        <w:tc>
          <w:tcPr>
            <w:tcW w:w="4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0" w:type="dxa"/>
            <w:vAlign w:val="bottom"/>
          </w:tcPr>
          <w:p>
            <w:pPr>
              <w:spacing w:after="0"/>
              <w:rPr>
                <w:sz w:val="19"/>
                <w:szCs w:val="19"/>
                <w:color w:val="auto"/>
              </w:rPr>
            </w:pPr>
          </w:p>
        </w:tc>
        <w:tc>
          <w:tcPr>
            <w:tcW w:w="49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Unrealized gain (loss) on marketable securities, net of</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40" w:type="dxa"/>
            <w:vAlign w:val="bottom"/>
          </w:tcPr>
          <w:p>
            <w:pPr>
              <w:spacing w:after="0"/>
              <w:rPr>
                <w:sz w:val="22"/>
                <w:szCs w:val="22"/>
                <w:color w:val="auto"/>
              </w:rPr>
            </w:pPr>
          </w:p>
        </w:tc>
        <w:tc>
          <w:tcPr>
            <w:tcW w:w="36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tax</w:t>
            </w:r>
          </w:p>
        </w:tc>
        <w:tc>
          <w:tcPr>
            <w:tcW w:w="9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22,632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28,083</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57"/>
        </w:trPr>
        <w:tc>
          <w:tcPr>
            <w:tcW w:w="40" w:type="dxa"/>
            <w:vAlign w:val="bottom"/>
          </w:tcPr>
          <w:p>
            <w:pPr>
              <w:spacing w:after="0"/>
              <w:rPr>
                <w:sz w:val="22"/>
                <w:szCs w:val="22"/>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9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102,352</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141,884</w:t>
            </w:r>
          </w:p>
        </w:tc>
        <w:tc>
          <w:tcPr>
            <w:tcW w:w="2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265,981</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325,871</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172085</wp:posOffset>
            </wp:positionV>
            <wp:extent cx="7203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189230</wp:posOffset>
            </wp:positionV>
            <wp:extent cx="7203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18" w:right="2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190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12"/>
          </w:tcPr>
          <w:p>
            <w:pPr>
              <w:jc w:val="center"/>
              <w:spacing w:after="0"/>
              <w:rPr>
                <w:sz w:val="20"/>
                <w:szCs w:val="20"/>
                <w:color w:val="auto"/>
              </w:rPr>
            </w:pPr>
            <w:r>
              <w:rPr>
                <w:rFonts w:ascii="Arial" w:cs="Arial" w:eastAsia="Arial" w:hAnsi="Arial"/>
                <w:sz w:val="18"/>
                <w:szCs w:val="18"/>
                <w:b w:val="1"/>
                <w:bCs w:val="1"/>
                <w:color w:val="auto"/>
              </w:rPr>
              <w:t>REGENERON PHARMACEUTICALS, INC.</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20" w:type="dxa"/>
            <w:vAlign w:val="bottom"/>
            <w:gridSpan w:val="22"/>
          </w:tcPr>
          <w:p>
            <w:pPr>
              <w:jc w:val="center"/>
              <w:ind w:right="800"/>
              <w:spacing w:after="0"/>
              <w:rPr>
                <w:sz w:val="20"/>
                <w:szCs w:val="20"/>
                <w:color w:val="auto"/>
              </w:rPr>
            </w:pPr>
            <w:r>
              <w:rPr>
                <w:rFonts w:ascii="Arial" w:cs="Arial" w:eastAsia="Arial" w:hAnsi="Arial"/>
                <w:sz w:val="18"/>
                <w:szCs w:val="18"/>
                <w:b w:val="1"/>
                <w:bCs w:val="1"/>
                <w:color w:val="auto"/>
                <w:w w:val="98"/>
              </w:rPr>
              <w:t>CONDENSED CONSOLIDATED STATEMENTS OF STOCKHOLDERS' EQUITY (Unaudited)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0" w:type="dxa"/>
            <w:vAlign w:val="bottom"/>
            <w:gridSpan w:val="12"/>
          </w:tcPr>
          <w:p>
            <w:pPr>
              <w:jc w:val="center"/>
              <w:spacing w:after="0"/>
              <w:rPr>
                <w:sz w:val="20"/>
                <w:szCs w:val="20"/>
                <w:color w:val="auto"/>
              </w:rPr>
            </w:pPr>
            <w:r>
              <w:rPr>
                <w:rFonts w:ascii="Arial" w:cs="Arial" w:eastAsia="Arial" w:hAnsi="Arial"/>
                <w:sz w:val="18"/>
                <w:szCs w:val="18"/>
                <w:b w:val="1"/>
                <w:bCs w:val="1"/>
                <w:color w:val="auto"/>
                <w:w w:val="89"/>
              </w:rPr>
              <w:t>For the nine months ended September 30, 2014 and 2013</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center"/>
              <w:ind w:left="50"/>
              <w:spacing w:after="0"/>
              <w:rPr>
                <w:sz w:val="20"/>
                <w:szCs w:val="20"/>
                <w:color w:val="auto"/>
              </w:rPr>
            </w:pPr>
            <w:r>
              <w:rPr>
                <w:rFonts w:ascii="Arial" w:cs="Arial" w:eastAsia="Arial" w:hAnsi="Arial"/>
                <w:sz w:val="18"/>
                <w:szCs w:val="18"/>
                <w:b w:val="1"/>
                <w:bCs w:val="1"/>
                <w:i w:val="1"/>
                <w:iCs w:val="1"/>
                <w:color w:val="auto"/>
                <w:w w:val="88"/>
              </w:rPr>
              <w:t>(In 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gridSpan w:val="5"/>
            <w:vMerge w:val="restart"/>
          </w:tcPr>
          <w:p>
            <w:pPr>
              <w:ind w:left="160"/>
              <w:spacing w:after="0"/>
              <w:rPr>
                <w:sz w:val="20"/>
                <w:szCs w:val="20"/>
                <w:color w:val="auto"/>
              </w:rPr>
            </w:pPr>
            <w:r>
              <w:rPr>
                <w:rFonts w:ascii="Arial" w:cs="Arial" w:eastAsia="Arial" w:hAnsi="Arial"/>
                <w:sz w:val="18"/>
                <w:szCs w:val="18"/>
                <w:b w:val="1"/>
                <w:bCs w:val="1"/>
                <w:color w:val="auto"/>
              </w:rPr>
              <w:t>Class A Stock</w:t>
            </w:r>
          </w:p>
        </w:tc>
        <w:tc>
          <w:tcPr>
            <w:tcW w:w="1620" w:type="dxa"/>
            <w:vAlign w:val="bottom"/>
            <w:gridSpan w:val="5"/>
            <w:vMerge w:val="restart"/>
          </w:tcPr>
          <w:p>
            <w:pPr>
              <w:ind w:left="180"/>
              <w:spacing w:after="0"/>
              <w:rPr>
                <w:sz w:val="20"/>
                <w:szCs w:val="20"/>
                <w:color w:val="auto"/>
              </w:rPr>
            </w:pPr>
            <w:r>
              <w:rPr>
                <w:rFonts w:ascii="Arial" w:cs="Arial" w:eastAsia="Arial" w:hAnsi="Arial"/>
                <w:sz w:val="18"/>
                <w:szCs w:val="18"/>
                <w:b w:val="1"/>
                <w:bCs w:val="1"/>
                <w:color w:val="auto"/>
              </w:rPr>
              <w:t>Common Stock</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Retained</w:t>
            </w:r>
          </w:p>
        </w:tc>
        <w:tc>
          <w:tcPr>
            <w:tcW w:w="158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Treasury Stock</w:t>
            </w: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80" w:type="dxa"/>
            <w:vAlign w:val="bottom"/>
            <w:gridSpan w:val="5"/>
            <w:vMerge w:val="continue"/>
          </w:tcPr>
          <w:p>
            <w:pPr>
              <w:spacing w:after="0"/>
              <w:rPr>
                <w:sz w:val="19"/>
                <w:szCs w:val="19"/>
                <w:color w:val="auto"/>
              </w:rPr>
            </w:pPr>
          </w:p>
        </w:tc>
        <w:tc>
          <w:tcPr>
            <w:tcW w:w="1620" w:type="dxa"/>
            <w:vAlign w:val="bottom"/>
            <w:gridSpan w:val="5"/>
            <w:vMerge w:val="continue"/>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Earnings</w:t>
            </w:r>
          </w:p>
        </w:tc>
        <w:tc>
          <w:tcPr>
            <w:tcW w:w="158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Paid-in</w:t>
            </w:r>
          </w:p>
        </w:tc>
        <w:tc>
          <w:tcPr>
            <w:tcW w:w="122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7"/>
              </w:rPr>
              <w:t>Comprehensive</w:t>
            </w:r>
          </w:p>
        </w:tc>
        <w:tc>
          <w:tcPr>
            <w:tcW w:w="110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Capital</w:t>
            </w:r>
          </w:p>
        </w:tc>
        <w:tc>
          <w:tcPr>
            <w:tcW w:w="2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Deficit)</w:t>
            </w:r>
          </w:p>
        </w:tc>
        <w:tc>
          <w:tcPr>
            <w:tcW w:w="6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Income (Loss)</w:t>
            </w:r>
          </w:p>
        </w:tc>
        <w:tc>
          <w:tcPr>
            <w:tcW w:w="20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0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 December</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31, 2013</w:t>
            </w:r>
          </w:p>
        </w:tc>
        <w:tc>
          <w:tcPr>
            <w:tcW w:w="7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2,020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$2,045,857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(92,692)</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1,952,076</w:t>
            </w:r>
          </w:p>
        </w:tc>
        <w:tc>
          <w:tcPr>
            <w:tcW w:w="0" w:type="dxa"/>
            <w:vAlign w:val="bottom"/>
          </w:tcPr>
          <w:p>
            <w:pPr>
              <w:spacing w:after="0"/>
              <w:rPr>
                <w:sz w:val="1"/>
                <w:szCs w:val="1"/>
                <w:color w:val="auto"/>
              </w:rPr>
            </w:pPr>
          </w:p>
        </w:tc>
      </w:tr>
      <w:tr>
        <w:trPr>
          <w:trHeight w:val="229"/>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Issuance of Common</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200"/>
              <w:spacing w:after="0"/>
              <w:rPr>
                <w:sz w:val="20"/>
                <w:szCs w:val="20"/>
                <w:color w:val="auto"/>
              </w:rPr>
            </w:pPr>
            <w:r>
              <w:rPr>
                <w:rFonts w:ascii="Arial" w:cs="Arial" w:eastAsia="Arial" w:hAnsi="Arial"/>
                <w:sz w:val="18"/>
                <w:szCs w:val="18"/>
                <w:color w:val="auto"/>
              </w:rPr>
              <w:t>Stock in connection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200"/>
              <w:spacing w:after="0"/>
              <w:rPr>
                <w:sz w:val="20"/>
                <w:szCs w:val="20"/>
                <w:color w:val="auto"/>
              </w:rPr>
            </w:pPr>
            <w:r>
              <w:rPr>
                <w:rFonts w:ascii="Arial" w:cs="Arial" w:eastAsia="Arial" w:hAnsi="Arial"/>
                <w:sz w:val="18"/>
                <w:szCs w:val="18"/>
                <w:color w:val="auto"/>
              </w:rPr>
              <w:t>with exercise of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ind w:left="200"/>
              <w:spacing w:after="0"/>
              <w:rPr>
                <w:sz w:val="20"/>
                <w:szCs w:val="20"/>
                <w:color w:val="auto"/>
              </w:rPr>
            </w:pPr>
            <w:r>
              <w:rPr>
                <w:rFonts w:ascii="Arial" w:cs="Arial" w:eastAsia="Arial" w:hAnsi="Arial"/>
                <w:sz w:val="18"/>
                <w:szCs w:val="18"/>
                <w:color w:val="auto"/>
              </w:rPr>
              <w:t>stock options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79,695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79,698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tendered upon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exercise of stock</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options in connection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 employee tax</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(175,866)</w:t>
            </w:r>
          </w:p>
        </w:tc>
        <w:tc>
          <w:tcPr>
            <w:tcW w:w="0" w:type="dxa"/>
            <w:vAlign w:val="bottom"/>
          </w:tcPr>
          <w:p>
            <w:pPr>
              <w:spacing w:after="0"/>
              <w:rPr>
                <w:sz w:val="1"/>
                <w:szCs w:val="1"/>
                <w:color w:val="auto"/>
              </w:rPr>
            </w:pPr>
          </w:p>
        </w:tc>
      </w:tr>
      <w:tr>
        <w:trPr>
          <w:trHeight w:val="229"/>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Issuance of Common</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200"/>
              <w:spacing w:after="0"/>
              <w:rPr>
                <w:sz w:val="20"/>
                <w:szCs w:val="20"/>
                <w:color w:val="auto"/>
              </w:rPr>
            </w:pPr>
            <w:r>
              <w:rPr>
                <w:rFonts w:ascii="Arial" w:cs="Arial" w:eastAsia="Arial" w:hAnsi="Arial"/>
                <w:sz w:val="18"/>
                <w:szCs w:val="18"/>
                <w:color w:val="auto"/>
              </w:rPr>
              <w:t>Stock in connection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200"/>
              <w:spacing w:after="0"/>
              <w:rPr>
                <w:sz w:val="20"/>
                <w:szCs w:val="20"/>
                <w:color w:val="auto"/>
              </w:rPr>
            </w:pPr>
            <w:r>
              <w:rPr>
                <w:rFonts w:ascii="Arial" w:cs="Arial" w:eastAsia="Arial" w:hAnsi="Arial"/>
                <w:sz w:val="18"/>
                <w:szCs w:val="18"/>
                <w:color w:val="auto"/>
              </w:rPr>
              <w:t>with conversion of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200"/>
              <w:spacing w:after="0"/>
              <w:rPr>
                <w:sz w:val="20"/>
                <w:szCs w:val="20"/>
                <w:color w:val="auto"/>
              </w:rPr>
            </w:pPr>
            <w:r>
              <w:rPr>
                <w:rFonts w:ascii="Arial" w:cs="Arial" w:eastAsia="Arial" w:hAnsi="Arial"/>
                <w:sz w:val="18"/>
                <w:szCs w:val="18"/>
                <w:color w:val="auto"/>
              </w:rPr>
              <w:t>convertible senior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ind w:left="200"/>
              <w:spacing w:after="0"/>
              <w:rPr>
                <w:sz w:val="20"/>
                <w:szCs w:val="20"/>
                <w:color w:val="auto"/>
              </w:rPr>
            </w:pPr>
            <w:r>
              <w:rPr>
                <w:rFonts w:ascii="Arial" w:cs="Arial" w:eastAsia="Arial" w:hAnsi="Arial"/>
                <w:sz w:val="18"/>
                <w:szCs w:val="18"/>
                <w:color w:val="auto"/>
              </w:rPr>
              <w:t>notes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156,373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156,373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Common</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in connection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 Company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401(k) Savings Plan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contribution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Issuance of restricted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200"/>
              <w:spacing w:after="0"/>
              <w:rPr>
                <w:sz w:val="20"/>
                <w:szCs w:val="20"/>
                <w:color w:val="auto"/>
              </w:rPr>
            </w:pPr>
            <w:r>
              <w:rPr>
                <w:rFonts w:ascii="Arial" w:cs="Arial" w:eastAsia="Arial" w:hAnsi="Arial"/>
                <w:sz w:val="18"/>
                <w:szCs w:val="18"/>
                <w:color w:val="auto"/>
              </w:rPr>
              <w:t>Common Stock</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200"/>
              <w:spacing w:after="0"/>
              <w:rPr>
                <w:sz w:val="20"/>
                <w:szCs w:val="20"/>
                <w:color w:val="auto"/>
              </w:rPr>
            </w:pPr>
            <w:r>
              <w:rPr>
                <w:rFonts w:ascii="Arial" w:cs="Arial" w:eastAsia="Arial" w:hAnsi="Arial"/>
                <w:sz w:val="18"/>
                <w:szCs w:val="18"/>
                <w:color w:val="auto"/>
              </w:rPr>
              <w:t>under Long-Term</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ind w:left="200"/>
              <w:spacing w:after="0"/>
              <w:rPr>
                <w:sz w:val="20"/>
                <w:szCs w:val="20"/>
                <w:color w:val="auto"/>
              </w:rPr>
            </w:pPr>
            <w:r>
              <w:rPr>
                <w:rFonts w:ascii="Arial" w:cs="Arial" w:eastAsia="Arial" w:hAnsi="Arial"/>
                <w:sz w:val="18"/>
                <w:szCs w:val="18"/>
                <w:color w:val="auto"/>
              </w:rPr>
              <w:t>Incentive Plan</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Conversion of Class A</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to Common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Stock-based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compensation charges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229,692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229,692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Excess tax benefit from</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stock-based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343,532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343,532</w:t>
            </w:r>
          </w:p>
        </w:tc>
        <w:tc>
          <w:tcPr>
            <w:tcW w:w="0" w:type="dxa"/>
            <w:vAlign w:val="bottom"/>
          </w:tcPr>
          <w:p>
            <w:pPr>
              <w:spacing w:after="0"/>
              <w:rPr>
                <w:sz w:val="1"/>
                <w:szCs w:val="1"/>
                <w:color w:val="auto"/>
              </w:rPr>
            </w:pPr>
          </w:p>
        </w:tc>
      </w:tr>
      <w:tr>
        <w:trPr>
          <w:trHeight w:val="229"/>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Acquisition of</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200"/>
              <w:spacing w:after="0"/>
              <w:rPr>
                <w:sz w:val="20"/>
                <w:szCs w:val="20"/>
                <w:color w:val="auto"/>
              </w:rPr>
            </w:pPr>
            <w:r>
              <w:rPr>
                <w:rFonts w:ascii="Arial" w:cs="Arial" w:eastAsia="Arial" w:hAnsi="Arial"/>
                <w:sz w:val="18"/>
                <w:szCs w:val="18"/>
                <w:color w:val="auto"/>
              </w:rPr>
              <w:t>Common Stock in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200"/>
              <w:spacing w:after="0"/>
              <w:rPr>
                <w:sz w:val="20"/>
                <w:szCs w:val="20"/>
                <w:color w:val="auto"/>
              </w:rPr>
            </w:pPr>
            <w:r>
              <w:rPr>
                <w:rFonts w:ascii="Arial" w:cs="Arial" w:eastAsia="Arial" w:hAnsi="Arial"/>
                <w:sz w:val="18"/>
                <w:szCs w:val="18"/>
                <w:color w:val="auto"/>
              </w:rPr>
              <w:t>connection with</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200"/>
              <w:spacing w:after="0"/>
              <w:rPr>
                <w:sz w:val="20"/>
                <w:szCs w:val="20"/>
                <w:color w:val="auto"/>
              </w:rPr>
            </w:pPr>
            <w:r>
              <w:rPr>
                <w:rFonts w:ascii="Arial" w:cs="Arial" w:eastAsia="Arial" w:hAnsi="Arial"/>
                <w:sz w:val="18"/>
                <w:szCs w:val="18"/>
                <w:color w:val="auto"/>
              </w:rPr>
              <w:t>exercise of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200"/>
              <w:spacing w:after="0"/>
              <w:rPr>
                <w:sz w:val="20"/>
                <w:szCs w:val="20"/>
                <w:color w:val="auto"/>
              </w:rPr>
            </w:pPr>
            <w:r>
              <w:rPr>
                <w:rFonts w:ascii="Arial" w:cs="Arial" w:eastAsia="Arial" w:hAnsi="Arial"/>
                <w:sz w:val="18"/>
                <w:szCs w:val="18"/>
                <w:color w:val="auto"/>
              </w:rPr>
              <w:t>convertible note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ind w:left="200"/>
              <w:spacing w:after="0"/>
              <w:rPr>
                <w:sz w:val="20"/>
                <w:szCs w:val="20"/>
                <w:color w:val="auto"/>
              </w:rPr>
            </w:pPr>
            <w:r>
              <w:rPr>
                <w:rFonts w:ascii="Arial" w:cs="Arial" w:eastAsia="Arial" w:hAnsi="Arial"/>
                <w:sz w:val="18"/>
                <w:szCs w:val="18"/>
                <w:color w:val="auto"/>
              </w:rPr>
              <w:t>hedges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43,849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3"/>
              </w:rPr>
              <w:t>$(43,849)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Reduction of warrants</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 connection with</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conversion of senior</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(143,041)</w:t>
            </w:r>
          </w:p>
        </w:tc>
        <w:tc>
          <w:tcPr>
            <w:tcW w:w="0" w:type="dxa"/>
            <w:vAlign w:val="bottom"/>
          </w:tcPr>
          <w:p>
            <w:pPr>
              <w:spacing w:after="0"/>
              <w:rPr>
                <w:sz w:val="1"/>
                <w:szCs w:val="1"/>
                <w:color w:val="auto"/>
              </w:rPr>
            </w:pPr>
          </w:p>
        </w:tc>
      </w:tr>
      <w:tr>
        <w:trPr>
          <w:trHeight w:val="229"/>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Reduction of equity</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200"/>
              <w:spacing w:after="0"/>
              <w:rPr>
                <w:sz w:val="20"/>
                <w:szCs w:val="20"/>
                <w:color w:val="auto"/>
              </w:rPr>
            </w:pPr>
            <w:r>
              <w:rPr>
                <w:rFonts w:ascii="Arial" w:cs="Arial" w:eastAsia="Arial" w:hAnsi="Arial"/>
                <w:sz w:val="18"/>
                <w:szCs w:val="18"/>
                <w:color w:val="auto"/>
              </w:rPr>
              <w:t>component of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200"/>
              <w:spacing w:after="0"/>
              <w:rPr>
                <w:sz w:val="20"/>
                <w:szCs w:val="20"/>
                <w:color w:val="auto"/>
              </w:rPr>
            </w:pPr>
            <w:r>
              <w:rPr>
                <w:rFonts w:ascii="Arial" w:cs="Arial" w:eastAsia="Arial" w:hAnsi="Arial"/>
                <w:sz w:val="18"/>
                <w:szCs w:val="18"/>
                <w:color w:val="auto"/>
              </w:rPr>
              <w:t>convertible senior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ind w:left="200"/>
              <w:spacing w:after="0"/>
              <w:rPr>
                <w:sz w:val="20"/>
                <w:szCs w:val="20"/>
                <w:color w:val="auto"/>
              </w:rPr>
            </w:pPr>
            <w:r>
              <w:rPr>
                <w:rFonts w:ascii="Arial" w:cs="Arial" w:eastAsia="Arial" w:hAnsi="Arial"/>
                <w:sz w:val="18"/>
                <w:szCs w:val="18"/>
                <w:color w:val="auto"/>
              </w:rPr>
              <w:t>notes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(156,657)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(156,657)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237,898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237,898</w:t>
            </w:r>
          </w:p>
        </w:tc>
        <w:tc>
          <w:tcPr>
            <w:tcW w:w="0" w:type="dxa"/>
            <w:vAlign w:val="bottom"/>
          </w:tcPr>
          <w:p>
            <w:pPr>
              <w:spacing w:after="0"/>
              <w:rPr>
                <w:sz w:val="1"/>
                <w:szCs w:val="1"/>
                <w:color w:val="auto"/>
              </w:rPr>
            </w:pPr>
          </w:p>
        </w:tc>
      </w:tr>
      <w:tr>
        <w:trPr>
          <w:trHeight w:val="229"/>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Other comprehensive</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ind w:left="200"/>
              <w:spacing w:after="0"/>
              <w:rPr>
                <w:sz w:val="20"/>
                <w:szCs w:val="20"/>
                <w:color w:val="auto"/>
              </w:rPr>
            </w:pPr>
            <w:r>
              <w:rPr>
                <w:rFonts w:ascii="Arial" w:cs="Arial" w:eastAsia="Arial" w:hAnsi="Arial"/>
                <w:sz w:val="18"/>
                <w:szCs w:val="18"/>
                <w:color w:val="auto"/>
              </w:rPr>
              <w:t>income, net of tax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28,083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28,083</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0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 September</w:t>
            </w: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7"/>
              </w:rPr>
              <w:t>1,973</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2"/>
              </w:rPr>
              <w:t>100,196</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3"/>
              </w:rPr>
              <w:t>$2,423,434</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145,206</w:t>
            </w: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$(43,849)</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26,895</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4"/>
              </w:rPr>
              <w:t>2,551,788</w:t>
            </w:r>
          </w:p>
        </w:tc>
        <w:tc>
          <w:tcPr>
            <w:tcW w:w="0" w:type="dxa"/>
            <w:vAlign w:val="bottom"/>
          </w:tcPr>
          <w:p>
            <w:pPr>
              <w:spacing w:after="0"/>
              <w:rPr>
                <w:sz w:val="1"/>
                <w:szCs w:val="1"/>
                <w:color w:val="auto"/>
              </w:rPr>
            </w:pPr>
          </w:p>
        </w:tc>
      </w:tr>
      <w:tr>
        <w:trPr>
          <w:trHeight w:val="241"/>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30, 2014</w:t>
            </w:r>
          </w:p>
        </w:tc>
        <w:tc>
          <w:tcPr>
            <w:tcW w:w="7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4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18" w:right="239" w:bottom="435"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204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8"/>
        </w:trPr>
        <w:tc>
          <w:tcPr>
            <w:tcW w:w="1160" w:type="dxa"/>
            <w:vAlign w:val="bottom"/>
            <w:tcBorders>
              <w:top w:val="single" w:sz="8" w:color="0000EE"/>
            </w:tcBorders>
          </w:tcPr>
          <w:p>
            <w:pPr>
              <w:spacing w:after="0"/>
              <w:rPr>
                <w:sz w:val="24"/>
                <w:szCs w:val="24"/>
                <w:color w:val="auto"/>
              </w:rPr>
            </w:pPr>
          </w:p>
        </w:tc>
        <w:tc>
          <w:tcPr>
            <w:tcW w:w="9160" w:type="dxa"/>
            <w:vAlign w:val="bottom"/>
            <w:gridSpan w:val="23"/>
          </w:tcPr>
          <w:p>
            <w:pPr>
              <w:ind w:left="340"/>
              <w:spacing w:after="0"/>
              <w:rPr>
                <w:sz w:val="20"/>
                <w:szCs w:val="20"/>
                <w:color w:val="auto"/>
              </w:rPr>
            </w:pPr>
            <w:r>
              <w:rPr>
                <w:rFonts w:ascii="Arial" w:cs="Arial" w:eastAsia="Arial" w:hAnsi="Arial"/>
                <w:sz w:val="18"/>
                <w:szCs w:val="18"/>
                <w:b w:val="1"/>
                <w:bCs w:val="1"/>
                <w:color w:val="auto"/>
              </w:rPr>
              <w:t xml:space="preserve">CONDENSED CONSOLIDATED STATEMENTS OF STOCKHOLDERS' EQUITY (Unaudited) - </w:t>
            </w:r>
            <w:r>
              <w:rPr>
                <w:rFonts w:ascii="Arial" w:cs="Arial" w:eastAsia="Arial" w:hAnsi="Arial"/>
                <w:sz w:val="18"/>
                <w:szCs w:val="18"/>
                <w:b w:val="1"/>
                <w:bCs w:val="1"/>
                <w:i w:val="1"/>
                <w:iCs w:val="1"/>
                <w:color w:val="auto"/>
              </w:rPr>
              <w:t>Continued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gridSpan w:val="5"/>
            <w:vMerge w:val="restart"/>
          </w:tcPr>
          <w:p>
            <w:pPr>
              <w:ind w:left="180"/>
              <w:spacing w:after="0"/>
              <w:rPr>
                <w:sz w:val="20"/>
                <w:szCs w:val="20"/>
                <w:color w:val="auto"/>
              </w:rPr>
            </w:pPr>
            <w:r>
              <w:rPr>
                <w:rFonts w:ascii="Arial" w:cs="Arial" w:eastAsia="Arial" w:hAnsi="Arial"/>
                <w:sz w:val="18"/>
                <w:szCs w:val="18"/>
                <w:b w:val="1"/>
                <w:bCs w:val="1"/>
                <w:color w:val="auto"/>
              </w:rPr>
              <w:t>Class A Stock</w:t>
            </w:r>
          </w:p>
        </w:tc>
        <w:tc>
          <w:tcPr>
            <w:tcW w:w="1580" w:type="dxa"/>
            <w:vAlign w:val="bottom"/>
            <w:gridSpan w:val="5"/>
            <w:vMerge w:val="restart"/>
          </w:tcPr>
          <w:p>
            <w:pPr>
              <w:ind w:left="160"/>
              <w:spacing w:after="0"/>
              <w:rPr>
                <w:sz w:val="20"/>
                <w:szCs w:val="20"/>
                <w:color w:val="auto"/>
              </w:rPr>
            </w:pPr>
            <w:r>
              <w:rPr>
                <w:rFonts w:ascii="Arial" w:cs="Arial" w:eastAsia="Arial" w:hAnsi="Arial"/>
                <w:sz w:val="18"/>
                <w:szCs w:val="18"/>
                <w:b w:val="1"/>
                <w:bCs w:val="1"/>
                <w:color w:val="auto"/>
              </w:rPr>
              <w:t>Common Stock</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Retained</w:t>
            </w:r>
          </w:p>
        </w:tc>
        <w:tc>
          <w:tcPr>
            <w:tcW w:w="146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Treasury Stock</w:t>
            </w: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gridSpan w:val="5"/>
            <w:vMerge w:val="continue"/>
          </w:tcPr>
          <w:p>
            <w:pPr>
              <w:spacing w:after="0"/>
              <w:rPr>
                <w:sz w:val="19"/>
                <w:szCs w:val="19"/>
                <w:color w:val="auto"/>
              </w:rPr>
            </w:pPr>
          </w:p>
        </w:tc>
        <w:tc>
          <w:tcPr>
            <w:tcW w:w="1580" w:type="dxa"/>
            <w:vAlign w:val="bottom"/>
            <w:gridSpan w:val="5"/>
            <w:vMerge w:val="continue"/>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Earnings</w:t>
            </w:r>
          </w:p>
        </w:tc>
        <w:tc>
          <w:tcPr>
            <w:tcW w:w="146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Paid-in</w:t>
            </w:r>
          </w:p>
        </w:tc>
        <w:tc>
          <w:tcPr>
            <w:tcW w:w="1240" w:type="dxa"/>
            <w:vAlign w:val="bottom"/>
            <w:gridSpan w:val="3"/>
          </w:tcPr>
          <w:p>
            <w:pPr>
              <w:jc w:val="center"/>
              <w:ind w:right="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10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Capital</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Deficit)</w:t>
            </w:r>
          </w:p>
        </w:tc>
        <w:tc>
          <w:tcPr>
            <w:tcW w:w="6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7"/>
        </w:trPr>
        <w:tc>
          <w:tcPr>
            <w:tcW w:w="20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Balance, December 31,</w:t>
            </w: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4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tcPr>
          <w:p>
            <w:pPr>
              <w:ind w:left="200"/>
              <w:spacing w:after="0"/>
              <w:rPr>
                <w:sz w:val="20"/>
                <w:szCs w:val="20"/>
                <w:color w:val="auto"/>
              </w:rPr>
            </w:pPr>
            <w:r>
              <w:rPr>
                <w:rFonts w:ascii="Arial" w:cs="Arial" w:eastAsia="Arial" w:hAnsi="Arial"/>
                <w:sz w:val="18"/>
                <w:szCs w:val="18"/>
                <w:b w:val="1"/>
                <w:bCs w:val="1"/>
                <w:color w:val="auto"/>
              </w:rPr>
              <w:t>2012</w:t>
            </w:r>
          </w:p>
        </w:tc>
        <w:tc>
          <w:tcPr>
            <w:tcW w:w="88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2,069</w:t>
            </w:r>
          </w:p>
        </w:tc>
        <w:tc>
          <w:tcPr>
            <w:tcW w:w="10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95,223</w:t>
            </w:r>
          </w:p>
        </w:tc>
        <w:tc>
          <w:tcPr>
            <w:tcW w:w="10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3"/>
              </w:rPr>
              <w:t>$1,763,508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(517,054)</w:t>
            </w:r>
          </w:p>
        </w:tc>
        <w:tc>
          <w:tcPr>
            <w:tcW w:w="12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1,245,385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Common</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in connection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 exercise of stock</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42,625</w:t>
            </w:r>
          </w:p>
        </w:tc>
        <w:tc>
          <w:tcPr>
            <w:tcW w:w="0" w:type="dxa"/>
            <w:vAlign w:val="bottom"/>
          </w:tcPr>
          <w:p>
            <w:pPr>
              <w:spacing w:after="0"/>
              <w:rPr>
                <w:sz w:val="1"/>
                <w:szCs w:val="1"/>
                <w:color w:val="auto"/>
              </w:rPr>
            </w:pPr>
          </w:p>
        </w:tc>
      </w:tr>
      <w:tr>
        <w:trPr>
          <w:trHeight w:val="229"/>
        </w:trPr>
        <w:tc>
          <w:tcPr>
            <w:tcW w:w="2040" w:type="dxa"/>
            <w:vAlign w:val="bottom"/>
            <w:gridSpan w:val="2"/>
          </w:tcPr>
          <w:p>
            <w:pPr>
              <w:ind w:left="40"/>
              <w:spacing w:after="0"/>
              <w:rPr>
                <w:sz w:val="20"/>
                <w:szCs w:val="20"/>
                <w:color w:val="auto"/>
              </w:rPr>
            </w:pPr>
            <w:r>
              <w:rPr>
                <w:rFonts w:ascii="Arial" w:cs="Arial" w:eastAsia="Arial" w:hAnsi="Arial"/>
                <w:sz w:val="18"/>
                <w:szCs w:val="18"/>
                <w:color w:val="auto"/>
                <w:w w:val="99"/>
              </w:rPr>
              <w:t>Common Stock tendered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200"/>
              <w:spacing w:after="0"/>
              <w:rPr>
                <w:sz w:val="20"/>
                <w:szCs w:val="20"/>
                <w:color w:val="auto"/>
              </w:rPr>
            </w:pPr>
            <w:r>
              <w:rPr>
                <w:rFonts w:ascii="Arial" w:cs="Arial" w:eastAsia="Arial" w:hAnsi="Arial"/>
                <w:sz w:val="18"/>
                <w:szCs w:val="18"/>
                <w:color w:val="auto"/>
              </w:rPr>
              <w:t>upon exercise of stock</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200"/>
              <w:spacing w:after="0"/>
              <w:rPr>
                <w:sz w:val="20"/>
                <w:szCs w:val="20"/>
                <w:color w:val="auto"/>
              </w:rPr>
            </w:pPr>
            <w:r>
              <w:rPr>
                <w:rFonts w:ascii="Arial" w:cs="Arial" w:eastAsia="Arial" w:hAnsi="Arial"/>
                <w:sz w:val="18"/>
                <w:szCs w:val="18"/>
                <w:color w:val="auto"/>
              </w:rPr>
              <w:t>options in connection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200"/>
              <w:spacing w:after="0"/>
              <w:rPr>
                <w:sz w:val="20"/>
                <w:szCs w:val="20"/>
                <w:color w:val="auto"/>
              </w:rPr>
            </w:pPr>
            <w:r>
              <w:rPr>
                <w:rFonts w:ascii="Arial" w:cs="Arial" w:eastAsia="Arial" w:hAnsi="Arial"/>
                <w:sz w:val="18"/>
                <w:szCs w:val="18"/>
                <w:color w:val="auto"/>
              </w:rPr>
              <w:t>with employee tax</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ind w:left="200"/>
              <w:spacing w:after="0"/>
              <w:rPr>
                <w:sz w:val="20"/>
                <w:szCs w:val="20"/>
                <w:color w:val="auto"/>
              </w:rPr>
            </w:pPr>
            <w:r>
              <w:rPr>
                <w:rFonts w:ascii="Arial" w:cs="Arial" w:eastAsia="Arial" w:hAnsi="Arial"/>
                <w:sz w:val="18"/>
                <w:szCs w:val="18"/>
                <w:color w:val="auto"/>
              </w:rPr>
              <w:t>obligations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(166,357)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(166,358)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Common</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in connection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 Company 401(k)</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Savings Plan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contribution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40" w:type="dxa"/>
            <w:vAlign w:val="bottom"/>
            <w:gridSpan w:val="2"/>
          </w:tcPr>
          <w:p>
            <w:pPr>
              <w:ind w:left="40"/>
              <w:spacing w:after="0"/>
              <w:rPr>
                <w:sz w:val="20"/>
                <w:szCs w:val="20"/>
                <w:color w:val="auto"/>
              </w:rPr>
            </w:pPr>
            <w:r>
              <w:rPr>
                <w:rFonts w:ascii="Arial" w:cs="Arial" w:eastAsia="Arial" w:hAnsi="Arial"/>
                <w:sz w:val="18"/>
                <w:szCs w:val="18"/>
                <w:color w:val="auto"/>
              </w:rPr>
              <w:t>Issuance of restricted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200"/>
              <w:spacing w:after="0"/>
              <w:rPr>
                <w:sz w:val="20"/>
                <w:szCs w:val="20"/>
                <w:color w:val="auto"/>
              </w:rPr>
            </w:pPr>
            <w:r>
              <w:rPr>
                <w:rFonts w:ascii="Arial" w:cs="Arial" w:eastAsia="Arial" w:hAnsi="Arial"/>
                <w:sz w:val="18"/>
                <w:szCs w:val="18"/>
                <w:color w:val="auto"/>
              </w:rPr>
              <w:t>Common Stock under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200"/>
              <w:spacing w:after="0"/>
              <w:rPr>
                <w:sz w:val="20"/>
                <w:szCs w:val="20"/>
                <w:color w:val="auto"/>
              </w:rPr>
            </w:pPr>
            <w:r>
              <w:rPr>
                <w:rFonts w:ascii="Arial" w:cs="Arial" w:eastAsia="Arial" w:hAnsi="Arial"/>
                <w:sz w:val="18"/>
                <w:szCs w:val="18"/>
                <w:color w:val="auto"/>
              </w:rPr>
              <w:t>Long-Term Incentive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ind w:left="200"/>
              <w:spacing w:after="0"/>
              <w:rPr>
                <w:sz w:val="20"/>
                <w:szCs w:val="20"/>
                <w:color w:val="auto"/>
              </w:rPr>
            </w:pPr>
            <w:r>
              <w:rPr>
                <w:rFonts w:ascii="Arial" w:cs="Arial" w:eastAsia="Arial" w:hAnsi="Arial"/>
                <w:sz w:val="18"/>
                <w:szCs w:val="18"/>
                <w:color w:val="auto"/>
              </w:rPr>
              <w:t>Plan</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Conversion of Class A</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to Common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40" w:type="dxa"/>
            <w:vAlign w:val="bottom"/>
            <w:gridSpan w:val="2"/>
          </w:tcPr>
          <w:p>
            <w:pPr>
              <w:ind w:left="40"/>
              <w:spacing w:after="0"/>
              <w:rPr>
                <w:sz w:val="20"/>
                <w:szCs w:val="20"/>
                <w:color w:val="auto"/>
              </w:rPr>
            </w:pPr>
            <w:r>
              <w:rPr>
                <w:rFonts w:ascii="Arial" w:cs="Arial" w:eastAsia="Arial" w:hAnsi="Arial"/>
                <w:sz w:val="18"/>
                <w:szCs w:val="18"/>
                <w:color w:val="auto"/>
              </w:rPr>
              <w:t>Stock-based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ind w:left="40"/>
              <w:spacing w:after="0"/>
              <w:rPr>
                <w:sz w:val="20"/>
                <w:szCs w:val="20"/>
                <w:color w:val="auto"/>
              </w:rPr>
            </w:pPr>
            <w:r>
              <w:rPr>
                <w:rFonts w:ascii="Arial" w:cs="Arial" w:eastAsia="Arial" w:hAnsi="Arial"/>
                <w:sz w:val="18"/>
                <w:szCs w:val="18"/>
                <w:color w:val="auto"/>
              </w:rPr>
              <w:t>compensation charges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144,808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144,808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Excess tax benefit from</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stock-based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97,840</w:t>
            </w:r>
          </w:p>
        </w:tc>
        <w:tc>
          <w:tcPr>
            <w:tcW w:w="0" w:type="dxa"/>
            <w:vAlign w:val="bottom"/>
          </w:tcPr>
          <w:p>
            <w:pPr>
              <w:spacing w:after="0"/>
              <w:rPr>
                <w:sz w:val="1"/>
                <w:szCs w:val="1"/>
                <w:color w:val="auto"/>
              </w:rPr>
            </w:pPr>
          </w:p>
        </w:tc>
      </w:tr>
      <w:tr>
        <w:trPr>
          <w:trHeight w:val="243"/>
        </w:trPr>
        <w:tc>
          <w:tcPr>
            <w:tcW w:w="20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327,556</w:t>
            </w:r>
          </w:p>
        </w:tc>
        <w:tc>
          <w:tcPr>
            <w:tcW w:w="12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327,556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Other comprehensive loss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05"/>
        </w:trPr>
        <w:tc>
          <w:tcPr>
            <w:tcW w:w="204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w w:val="97"/>
              </w:rPr>
              <w:t>Balance, September 30,</w:t>
            </w:r>
          </w:p>
        </w:tc>
        <w:tc>
          <w:tcPr>
            <w:tcW w:w="5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7"/>
              </w:rPr>
              <w:t>2,029</w:t>
            </w:r>
          </w:p>
        </w:tc>
        <w:tc>
          <w:tcPr>
            <w:tcW w:w="100" w:type="dxa"/>
            <w:vAlign w:val="bottom"/>
          </w:tcPr>
          <w:p>
            <w:pPr>
              <w:spacing w:after="0"/>
              <w:rPr>
                <w:sz w:val="17"/>
                <w:szCs w:val="17"/>
                <w:color w:val="auto"/>
              </w:rPr>
            </w:pPr>
          </w:p>
        </w:tc>
        <w:tc>
          <w:tcPr>
            <w:tcW w:w="2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6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8"/>
              </w:rPr>
              <w:t>97,351</w:t>
            </w:r>
          </w:p>
        </w:tc>
        <w:tc>
          <w:tcPr>
            <w:tcW w:w="100" w:type="dxa"/>
            <w:vAlign w:val="bottom"/>
          </w:tcPr>
          <w:p>
            <w:pPr>
              <w:spacing w:after="0"/>
              <w:rPr>
                <w:sz w:val="17"/>
                <w:szCs w:val="17"/>
                <w:color w:val="auto"/>
              </w:rPr>
            </w:pPr>
          </w:p>
        </w:tc>
        <w:tc>
          <w:tcPr>
            <w:tcW w:w="2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7"/>
                <w:szCs w:val="17"/>
                <w:color w:val="auto"/>
              </w:rPr>
            </w:pPr>
          </w:p>
        </w:tc>
        <w:tc>
          <w:tcPr>
            <w:tcW w:w="9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3"/>
              </w:rPr>
              <w:t>$1,882,421</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(189,498)</w:t>
            </w:r>
          </w:p>
        </w:tc>
        <w:tc>
          <w:tcPr>
            <w:tcW w:w="120" w:type="dxa"/>
            <w:vAlign w:val="bottom"/>
          </w:tcPr>
          <w:p>
            <w:pPr>
              <w:spacing w:after="0"/>
              <w:rPr>
                <w:sz w:val="17"/>
                <w:szCs w:val="17"/>
                <w:color w:val="auto"/>
              </w:rPr>
            </w:pPr>
          </w:p>
        </w:tc>
        <w:tc>
          <w:tcPr>
            <w:tcW w:w="560" w:type="dxa"/>
            <w:vAlign w:val="bottom"/>
            <w:tcBorders>
              <w:top w:val="single" w:sz="8" w:color="auto"/>
            </w:tcBorders>
            <w:vMerge w:val="restart"/>
          </w:tcPr>
          <w:p>
            <w:pPr>
              <w:ind w:left="28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660" w:type="dxa"/>
            <w:vAlign w:val="bottom"/>
            <w:tcBorders>
              <w:top w:val="single" w:sz="8" w:color="auto"/>
            </w:tcBorders>
            <w:vMerge w:val="restart"/>
          </w:tcPr>
          <w:p>
            <w:pPr>
              <w:ind w:left="38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4"/>
              </w:rPr>
              <w:t>1,690,171</w:t>
            </w:r>
          </w:p>
        </w:tc>
        <w:tc>
          <w:tcPr>
            <w:tcW w:w="0" w:type="dxa"/>
            <w:vAlign w:val="bottom"/>
          </w:tcPr>
          <w:p>
            <w:pPr>
              <w:spacing w:after="0"/>
              <w:rPr>
                <w:sz w:val="1"/>
                <w:szCs w:val="1"/>
                <w:color w:val="auto"/>
              </w:rPr>
            </w:pPr>
          </w:p>
        </w:tc>
      </w:tr>
      <w:tr>
        <w:trPr>
          <w:trHeight w:val="246"/>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2013</w:t>
            </w:r>
          </w:p>
        </w:tc>
        <w:tc>
          <w:tcPr>
            <w:tcW w:w="880" w:type="dxa"/>
            <w:vAlign w:val="bottom"/>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34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448"/>
        </w:trPr>
        <w:tc>
          <w:tcPr>
            <w:tcW w:w="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7180" w:type="dxa"/>
            <w:vAlign w:val="bottom"/>
          </w:tcPr>
          <w:p>
            <w:pPr>
              <w:jc w:val="center"/>
              <w:ind w:left="1830"/>
              <w:spacing w:after="0"/>
              <w:rPr>
                <w:sz w:val="20"/>
                <w:szCs w:val="20"/>
                <w:color w:val="auto"/>
              </w:rPr>
            </w:pPr>
            <w:r>
              <w:rPr>
                <w:rFonts w:ascii="Arial" w:cs="Arial" w:eastAsia="Arial" w:hAnsi="Arial"/>
                <w:sz w:val="18"/>
                <w:szCs w:val="18"/>
                <w:b w:val="1"/>
                <w:bCs w:val="1"/>
                <w:color w:val="auto"/>
              </w:rPr>
              <w:t>REGENERON PHARMACEUTICALS, INC.</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74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97"/>
              </w:rPr>
              <w:t>CONDENSED CONSOLIDATED STATEMENTS OF CASH FLOWS (Unaudited)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180" w:type="dxa"/>
            <w:vAlign w:val="bottom"/>
          </w:tcPr>
          <w:p>
            <w:pPr>
              <w:jc w:val="center"/>
              <w:ind w:left="1830"/>
              <w:spacing w:after="0"/>
              <w:rPr>
                <w:sz w:val="20"/>
                <w:szCs w:val="20"/>
                <w:color w:val="auto"/>
              </w:rPr>
            </w:pPr>
            <w:r>
              <w:rPr>
                <w:rFonts w:ascii="Arial" w:cs="Arial" w:eastAsia="Arial" w:hAnsi="Arial"/>
                <w:sz w:val="18"/>
                <w:szCs w:val="18"/>
                <w:b w:val="1"/>
                <w:bCs w:val="1"/>
                <w:i w:val="1"/>
                <w:iCs w:val="1"/>
                <w:color w:val="auto"/>
                <w:w w:val="88"/>
              </w:rPr>
              <w:t>(In thousands)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2013</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237,898</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327,556</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38,551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29,912</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225,784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143,217</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380"/>
              <w:spacing w:after="0"/>
              <w:rPr>
                <w:sz w:val="20"/>
                <w:szCs w:val="20"/>
                <w:color w:val="auto"/>
              </w:rPr>
            </w:pPr>
            <w:r>
              <w:rPr>
                <w:rFonts w:ascii="Arial" w:cs="Arial" w:eastAsia="Arial" w:hAnsi="Arial"/>
                <w:sz w:val="18"/>
                <w:szCs w:val="18"/>
                <w:color w:val="auto"/>
              </w:rPr>
              <w:t>Non-cash interest expense</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15,629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17,316</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380"/>
              <w:spacing w:after="0"/>
              <w:rPr>
                <w:sz w:val="20"/>
                <w:szCs w:val="20"/>
                <w:color w:val="auto"/>
              </w:rPr>
            </w:pPr>
            <w:r>
              <w:rPr>
                <w:rFonts w:ascii="Arial" w:cs="Arial" w:eastAsia="Arial" w:hAnsi="Arial"/>
                <w:sz w:val="18"/>
                <w:szCs w:val="18"/>
                <w:color w:val="auto"/>
              </w:rPr>
              <w:t>Other non-cash charges and expenses, net</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12,844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15,710</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taxes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(50,466)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82,890</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380"/>
              <w:spacing w:after="0"/>
              <w:rPr>
                <w:sz w:val="20"/>
                <w:szCs w:val="20"/>
                <w:color w:val="auto"/>
              </w:rPr>
            </w:pPr>
            <w:r>
              <w:rPr>
                <w:rFonts w:ascii="Arial" w:cs="Arial" w:eastAsia="Arial" w:hAnsi="Arial"/>
                <w:sz w:val="18"/>
                <w:szCs w:val="18"/>
                <w:color w:val="auto"/>
              </w:rPr>
              <w:t>Changes in assets and liabilities:</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Decrease (increase) in Sanofi, Bayer HealthCare, and trade accounts receivable</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27,713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(350,809)</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480"/>
              <w:spacing w:after="0"/>
              <w:rPr>
                <w:sz w:val="20"/>
                <w:szCs w:val="20"/>
                <w:color w:val="auto"/>
              </w:rPr>
            </w:pPr>
            <w:r>
              <w:rPr>
                <w:rFonts w:ascii="Arial" w:cs="Arial" w:eastAsia="Arial" w:hAnsi="Arial"/>
                <w:sz w:val="18"/>
                <w:szCs w:val="18"/>
                <w:color w:val="auto"/>
              </w:rPr>
              <w:t>Increase in inventories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(50,917)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(36,742)</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(Increase) decrease in prepaid expenses and other assets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3,738</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480"/>
              <w:spacing w:after="0"/>
              <w:rPr>
                <w:sz w:val="20"/>
                <w:szCs w:val="20"/>
                <w:color w:val="auto"/>
              </w:rPr>
            </w:pPr>
            <w:r>
              <w:rPr>
                <w:rFonts w:ascii="Arial" w:cs="Arial" w:eastAsia="Arial" w:hAnsi="Arial"/>
                <w:sz w:val="18"/>
                <w:szCs w:val="18"/>
                <w:color w:val="auto"/>
              </w:rPr>
              <w:t>Increase (decrease) in deferred revenue</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29,395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(20,815)</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76,506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94,894</w:t>
            </w:r>
          </w:p>
        </w:tc>
      </w:tr>
      <w:tr>
        <w:trPr>
          <w:trHeight w:val="237"/>
        </w:trPr>
        <w:tc>
          <w:tcPr>
            <w:tcW w:w="20" w:type="dxa"/>
            <w:vAlign w:val="bottom"/>
          </w:tcPr>
          <w:p>
            <w:pPr>
              <w:spacing w:after="0"/>
              <w:rPr>
                <w:sz w:val="20"/>
                <w:szCs w:val="20"/>
                <w:color w:val="auto"/>
              </w:rPr>
            </w:pPr>
          </w:p>
        </w:tc>
        <w:tc>
          <w:tcPr>
            <w:tcW w:w="8320" w:type="dxa"/>
            <w:vAlign w:val="bottom"/>
            <w:gridSpan w:val="2"/>
          </w:tcPr>
          <w:p>
            <w:pPr>
              <w:ind w:left="600"/>
              <w:spacing w:after="0"/>
              <w:rPr>
                <w:sz w:val="20"/>
                <w:szCs w:val="20"/>
                <w:color w:val="auto"/>
              </w:rPr>
            </w:pPr>
            <w:r>
              <w:rPr>
                <w:rFonts w:ascii="Arial" w:cs="Arial" w:eastAsia="Arial" w:hAnsi="Arial"/>
                <w:sz w:val="18"/>
                <w:szCs w:val="18"/>
                <w:color w:val="auto"/>
              </w:rPr>
              <w:t>Total adjustments</w:t>
            </w: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306,976</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(20,689)</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544,874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306,867</w:t>
            </w:r>
          </w:p>
        </w:tc>
      </w:tr>
      <w:tr>
        <w:trPr>
          <w:trHeight w:val="27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280"/>
              <w:spacing w:after="0"/>
              <w:rPr>
                <w:sz w:val="20"/>
                <w:szCs w:val="20"/>
                <w:color w:val="auto"/>
              </w:rPr>
            </w:pPr>
            <w:r>
              <w:rPr>
                <w:rFonts w:ascii="Arial" w:cs="Arial" w:eastAsia="Arial" w:hAnsi="Arial"/>
                <w:sz w:val="18"/>
                <w:szCs w:val="18"/>
                <w:color w:val="auto"/>
              </w:rPr>
              <w:t>Purchases of marketable securities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(478,436)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(477,312)</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216,478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319,152</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280"/>
              <w:spacing w:after="0"/>
              <w:rPr>
                <w:sz w:val="20"/>
                <w:szCs w:val="20"/>
                <w:color w:val="auto"/>
              </w:rPr>
            </w:pPr>
            <w:r>
              <w:rPr>
                <w:rFonts w:ascii="Arial" w:cs="Arial" w:eastAsia="Arial" w:hAnsi="Arial"/>
                <w:sz w:val="18"/>
                <w:szCs w:val="18"/>
                <w:color w:val="auto"/>
              </w:rPr>
              <w:t>Capital expenditures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(215,464)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(87,347)</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(477,422)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(245,507)</w:t>
            </w:r>
          </w:p>
        </w:tc>
      </w:tr>
      <w:tr>
        <w:trPr>
          <w:trHeight w:val="27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280"/>
              <w:spacing w:after="0"/>
              <w:rPr>
                <w:sz w:val="20"/>
                <w:szCs w:val="20"/>
                <w:color w:val="auto"/>
              </w:rPr>
            </w:pPr>
            <w:r>
              <w:rPr>
                <w:rFonts w:ascii="Arial" w:cs="Arial" w:eastAsia="Arial" w:hAnsi="Arial"/>
                <w:sz w:val="18"/>
                <w:szCs w:val="18"/>
                <w:color w:val="auto"/>
              </w:rPr>
              <w:t>Payments in connection with facility and capital lease obligations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Repayments of convertible senior notes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(61,125)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280"/>
              <w:spacing w:after="0"/>
              <w:rPr>
                <w:sz w:val="20"/>
                <w:szCs w:val="20"/>
                <w:color w:val="auto"/>
              </w:rPr>
            </w:pPr>
            <w:r>
              <w:rPr>
                <w:rFonts w:ascii="Arial" w:cs="Arial" w:eastAsia="Arial" w:hAnsi="Arial"/>
                <w:sz w:val="18"/>
                <w:szCs w:val="18"/>
                <w:color w:val="auto"/>
              </w:rPr>
              <w:t>Payments in connection with reduction of outstanding warrants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(143,041)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80,804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41,718</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280"/>
              <w:spacing w:after="0"/>
              <w:rPr>
                <w:sz w:val="20"/>
                <w:szCs w:val="20"/>
                <w:color w:val="auto"/>
              </w:rPr>
            </w:pPr>
            <w:r>
              <w:rPr>
                <w:rFonts w:ascii="Arial" w:cs="Arial" w:eastAsia="Arial" w:hAnsi="Arial"/>
                <w:sz w:val="18"/>
                <w:szCs w:val="18"/>
                <w:color w:val="auto"/>
              </w:rPr>
              <w:t>Payments in connection with Common Stock tendered for employee tax obligations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(175,866)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(166,358)</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Excess tax benefit from stock-based compensation</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343,532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97,840</w:t>
            </w:r>
          </w:p>
        </w:tc>
      </w:tr>
      <w:tr>
        <w:trPr>
          <w:trHeight w:val="237"/>
        </w:trPr>
        <w:tc>
          <w:tcPr>
            <w:tcW w:w="20" w:type="dxa"/>
            <w:vAlign w:val="bottom"/>
          </w:tcPr>
          <w:p>
            <w:pPr>
              <w:spacing w:after="0"/>
              <w:rPr>
                <w:sz w:val="20"/>
                <w:szCs w:val="20"/>
                <w:color w:val="auto"/>
              </w:rPr>
            </w:pPr>
          </w:p>
        </w:tc>
        <w:tc>
          <w:tcPr>
            <w:tcW w:w="8320" w:type="dxa"/>
            <w:vAlign w:val="bottom"/>
            <w:gridSpan w:val="2"/>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43,494</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(28,425)</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7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110,946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32,935</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20" w:type="dxa"/>
            <w:vAlign w:val="bottom"/>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7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535,608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230,276</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7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646,554</w:t>
            </w:r>
          </w:p>
        </w:tc>
        <w:tc>
          <w:tcPr>
            <w:tcW w:w="12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263,211</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51435</wp:posOffset>
            </wp:positionV>
            <wp:extent cx="7229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18" w:right="259" w:bottom="1440" w:gutter="0" w:footer="0" w:header="0"/>
          <w:type w:val="continuous"/>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interim Condensed Consolidated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periods are not necessarily indicative of the results for the full year. The December 31, 2013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2013.</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Product Sales</w:t>
      </w:r>
    </w:p>
    <w:p>
      <w:pPr>
        <w:spacing w:after="0" w:line="283" w:lineRule="exact"/>
        <w:rPr>
          <w:sz w:val="20"/>
          <w:szCs w:val="20"/>
          <w:color w:val="auto"/>
        </w:rPr>
      </w:pPr>
    </w:p>
    <w:p>
      <w:pPr>
        <w:jc w:val="both"/>
        <w:ind w:firstLine="243"/>
        <w:spacing w:after="0" w:line="213" w:lineRule="auto"/>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product sales in the United States totaled $445.0 million and $363.1 million for the three months ended September 30, 2014 and 2013, respectively, and $1,218.8 million and $1,006.8 million for the nine months ended September 30, 2014 and 2013, respectively. In addition, ARCALYST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product sales totaled $3.8 million and $4.0 million for the three months ended September 30, 2014 and 2013, respectively, and $10.4 million and $12.9 million for the nine months ended September 30, 2014 and 2013, respectively.</w:t>
      </w:r>
    </w:p>
    <w:p>
      <w:pPr>
        <w:spacing w:after="0" w:line="25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recorded 72% and 75% for the three months ended September 30, 2014 and 2013, respectively, and 75% and 76% for the nine months ended September 30, 2014 and 2013, respectively, of its total gross product revenue from sales to Besse Medical, a subsidiary of AmerisourceBergen Corporation.</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Revenue from product sales is recorded net of applicable provisions for rebates and chargebacks under governmental programs, distribution-related fees, prompt pay discounts, and other sales-related deductions. The following table summarizes the provisions, and credits/payments, for these sales-related deductions during the nine months ended September 30, 2014.</w:t>
      </w:r>
    </w:p>
    <w:p>
      <w:pPr>
        <w:spacing w:after="0" w:line="258"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Other Sales-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Related</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24,601</w:t>
            </w:r>
          </w:p>
        </w:tc>
      </w:tr>
      <w:tr>
        <w:trPr>
          <w:trHeight w:val="243"/>
        </w:trPr>
        <w:tc>
          <w:tcPr>
            <w:tcW w:w="3340" w:type="dxa"/>
            <w:vAlign w:val="bottom"/>
          </w:tcPr>
          <w:p>
            <w:pPr>
              <w:ind w:left="260"/>
              <w:spacing w:after="0"/>
              <w:rPr>
                <w:sz w:val="20"/>
                <w:szCs w:val="20"/>
                <w:color w:val="auto"/>
              </w:rPr>
            </w:pPr>
            <w:r>
              <w:rPr>
                <w:rFonts w:ascii="Arial" w:cs="Arial" w:eastAsia="Arial" w:hAnsi="Arial"/>
                <w:sz w:val="18"/>
                <w:szCs w:val="18"/>
                <w:color w:val="auto"/>
                <w:w w:val="96"/>
              </w:rPr>
              <w:t>Provision related to current period sales</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23,265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53,689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78,156</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(79,962)</w:t>
            </w:r>
          </w:p>
        </w:tc>
      </w:tr>
      <w:tr>
        <w:trPr>
          <w:trHeight w:val="257"/>
        </w:trPr>
        <w:tc>
          <w:tcPr>
            <w:tcW w:w="3340" w:type="dxa"/>
            <w:vAlign w:val="bottom"/>
          </w:tcPr>
          <w:p>
            <w:pPr>
              <w:ind w:left="20"/>
              <w:spacing w:after="0"/>
              <w:rPr>
                <w:sz w:val="20"/>
                <w:szCs w:val="20"/>
                <w:color w:val="auto"/>
              </w:rPr>
            </w:pPr>
            <w:r>
              <w:rPr>
                <w:rFonts w:ascii="Arial" w:cs="Arial" w:eastAsia="Arial" w:hAnsi="Arial"/>
                <w:sz w:val="18"/>
                <w:szCs w:val="18"/>
                <w:color w:val="auto"/>
              </w:rPr>
              <w:t>Balance as of September 30,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18,474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22,795</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Under the provisions of the Patient Protection and Affordable Care Act ("PPACA") and the Health Care and Education Reconciliation Act of 2010, a non-tax deductible annual fee (the "Branded Prescription Drug Fee") is imposed on pharmaceutical manufacturers that sell branded prescription drugs to specified government programs. The legislation imposed an annual fee on companies for each calendar year beginning in 2011. This fee is allocated to companies based on their prior year market share of total branded prescription drug sales into these government programs. Orphan drugs sales, including ARCALYST, are not subject to the fee. In July 2014, the Internal Revenue Service ("IRS") issued final regulations that provide guidance on the Branded Prescription Drug Fee. The final regulations differ in some respects from the temporary regulations issued by the IRS in 2011, including that a company is liable for the fee based on its branded prescription drug sales in the current year, instead of the liability only being applicable upon the first qualifying branded prescription drug sale of the following fee year under the temporary regulations. As a result of the issuance of these final IRS regulations, the Company will record an estimate of the fee in the same period in which its qualifying branded prescription drug sales occur. Therefore, in the third quarter of 2014, an incremental charge was recorded to (i) recognize a liability for the estimated fee payable based on 2014 sales through the first nine months of 2014, and (ii) expense the remaining prepaid asset recorded under the previous accounting for the estimated fee payable based on 2013</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sales. The impact of the incremental charge in the third quarter was $40.6 million, which was included in selling, general, and administrative expenses.</w:t>
      </w:r>
    </w:p>
    <w:p>
      <w:pPr>
        <w:spacing w:after="0" w:line="287" w:lineRule="exact"/>
        <w:rPr>
          <w:sz w:val="20"/>
          <w:szCs w:val="20"/>
          <w:color w:val="auto"/>
        </w:rPr>
      </w:pPr>
    </w:p>
    <w:p>
      <w:pPr>
        <w:ind w:left="340" w:right="9200" w:hanging="332"/>
        <w:spacing w:after="0" w:line="566" w:lineRule="auto"/>
        <w:tabs>
          <w:tab w:leader="none" w:pos="19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Collaboration Agreements </w:t>
      </w:r>
      <w:r>
        <w:rPr>
          <w:rFonts w:ascii="Arial" w:cs="Arial" w:eastAsia="Arial" w:hAnsi="Arial"/>
          <w:sz w:val="18"/>
          <w:szCs w:val="18"/>
          <w:i w:val="1"/>
          <w:iCs w:val="1"/>
          <w:color w:val="auto"/>
        </w:rPr>
        <w:t>Sanofi</w:t>
      </w:r>
    </w:p>
    <w:p>
      <w:pPr>
        <w:jc w:val="both"/>
        <w:ind w:firstLine="243"/>
        <w:spacing w:after="0" w:line="279" w:lineRule="auto"/>
        <w:rPr>
          <w:sz w:val="20"/>
          <w:szCs w:val="20"/>
          <w:color w:val="auto"/>
        </w:rPr>
      </w:pPr>
      <w:r>
        <w:rPr>
          <w:rFonts w:ascii="Arial" w:cs="Arial" w:eastAsia="Arial" w:hAnsi="Arial"/>
          <w:sz w:val="17"/>
          <w:szCs w:val="17"/>
          <w:color w:val="auto"/>
        </w:rPr>
        <w:t>Sanofi collaboration revenue, as detailed below, consisted primarily of reimbursement for research and development expenses that the Company incurred, partly offset by sharing of pre-launch commercialization expenses in connection with the companies' antibody collaboration. In addition, Sanofi collaboration revenue for the nine months ended September 30, 2013 was reduced by two $10.0 million up-front payments to Sanofi in connection with the Company's acquisition from Sanofi of full exclusive rights to two families of novel antibodies, as described below.</w:t>
      </w:r>
    </w:p>
    <w:p>
      <w:pPr>
        <w:spacing w:after="0" w:line="248" w:lineRule="exact"/>
        <w:rPr>
          <w:sz w:val="20"/>
          <w:szCs w:val="20"/>
          <w:color w:val="auto"/>
        </w:rPr>
      </w:pPr>
    </w:p>
    <w:tbl>
      <w:tblPr>
        <w:tblLayout w:type="fixed"/>
        <w:tblInd w:w="2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300" w:type="dxa"/>
            <w:vAlign w:val="bottom"/>
          </w:tcPr>
          <w:p>
            <w:pPr>
              <w:spacing w:after="0"/>
              <w:rPr>
                <w:sz w:val="17"/>
                <w:szCs w:val="17"/>
                <w:color w:val="auto"/>
              </w:rPr>
            </w:pPr>
          </w:p>
        </w:tc>
        <w:tc>
          <w:tcPr>
            <w:tcW w:w="104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320" w:type="dxa"/>
            <w:vAlign w:val="bottom"/>
            <w:tcBorders>
              <w:top w:val="single" w:sz="8" w:color="auto"/>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ZALTRAP:</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gridSpan w:val="2"/>
          </w:tcPr>
          <w:p>
            <w:pPr>
              <w:ind w:left="140"/>
              <w:spacing w:after="0"/>
              <w:rPr>
                <w:sz w:val="20"/>
                <w:szCs w:val="20"/>
                <w:color w:val="auto"/>
              </w:rPr>
            </w:pPr>
            <w:r>
              <w:rPr>
                <w:rFonts w:ascii="Arial" w:cs="Arial" w:eastAsia="Arial" w:hAnsi="Arial"/>
                <w:sz w:val="18"/>
                <w:szCs w:val="18"/>
                <w:color w:val="auto"/>
                <w:w w:val="93"/>
              </w:rPr>
              <w:t>Regeneron's share of losses in connection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tcPr>
          <w:p>
            <w:pPr>
              <w:ind w:left="300"/>
              <w:spacing w:after="0"/>
              <w:rPr>
                <w:sz w:val="20"/>
                <w:szCs w:val="20"/>
                <w:color w:val="auto"/>
              </w:rPr>
            </w:pPr>
            <w:r>
              <w:rPr>
                <w:rFonts w:ascii="Arial" w:cs="Arial" w:eastAsia="Arial" w:hAnsi="Arial"/>
                <w:sz w:val="18"/>
                <w:szCs w:val="18"/>
                <w:color w:val="auto"/>
              </w:rPr>
              <w:t>with commercialization of ZALTRAP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Reimbursement of Regeneron research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and development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ZALTRAP</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Antibody:</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Reimbursement of Regeneron research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and development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140,497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gridSpan w:val="2"/>
          </w:tcPr>
          <w:p>
            <w:pPr>
              <w:ind w:left="140"/>
              <w:spacing w:after="0"/>
              <w:rPr>
                <w:sz w:val="20"/>
                <w:szCs w:val="20"/>
                <w:color w:val="auto"/>
              </w:rPr>
            </w:pPr>
            <w:r>
              <w:rPr>
                <w:rFonts w:ascii="Arial" w:cs="Arial" w:eastAsia="Arial" w:hAnsi="Arial"/>
                <w:sz w:val="18"/>
                <w:szCs w:val="18"/>
                <w:color w:val="auto"/>
                <w:w w:val="99"/>
              </w:rPr>
              <w:t>Regeneron's share of commercialization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Total Antibody</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131,916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136,993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Sanofi collaboration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132,925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134,359</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3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300" w:type="dxa"/>
            <w:vAlign w:val="bottom"/>
          </w:tcPr>
          <w:p>
            <w:pPr>
              <w:spacing w:after="0"/>
              <w:rPr>
                <w:sz w:val="17"/>
                <w:szCs w:val="17"/>
                <w:color w:val="auto"/>
              </w:rPr>
            </w:pPr>
          </w:p>
        </w:tc>
        <w:tc>
          <w:tcPr>
            <w:tcW w:w="104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2013</w:t>
            </w:r>
          </w:p>
        </w:tc>
      </w:tr>
      <w:tr>
        <w:trPr>
          <w:trHeight w:val="48"/>
        </w:trPr>
        <w:tc>
          <w:tcPr>
            <w:tcW w:w="20" w:type="dxa"/>
            <w:vAlign w:val="bottom"/>
            <w:tcBorders>
              <w:bottom w:val="single" w:sz="8" w:color="CCEEFF"/>
            </w:tcBorders>
          </w:tcPr>
          <w:p>
            <w:pPr>
              <w:spacing w:after="0"/>
              <w:rPr>
                <w:sz w:val="4"/>
                <w:szCs w:val="4"/>
                <w:color w:val="auto"/>
              </w:rPr>
            </w:pPr>
          </w:p>
        </w:tc>
        <w:tc>
          <w:tcPr>
            <w:tcW w:w="2320" w:type="dxa"/>
            <w:vAlign w:val="bottom"/>
            <w:tcBorders>
              <w:top w:val="single" w:sz="8" w:color="auto"/>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ZALTRAP:</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340" w:type="dxa"/>
            <w:vAlign w:val="bottom"/>
            <w:gridSpan w:val="2"/>
          </w:tcPr>
          <w:p>
            <w:pPr>
              <w:ind w:left="140"/>
              <w:spacing w:after="0"/>
              <w:rPr>
                <w:sz w:val="20"/>
                <w:szCs w:val="20"/>
                <w:color w:val="auto"/>
              </w:rPr>
            </w:pPr>
            <w:r>
              <w:rPr>
                <w:rFonts w:ascii="Arial" w:cs="Arial" w:eastAsia="Arial" w:hAnsi="Arial"/>
                <w:sz w:val="18"/>
                <w:szCs w:val="18"/>
                <w:color w:val="auto"/>
                <w:w w:val="93"/>
              </w:rPr>
              <w:t>Regeneron's share of losses in connection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tcPr>
          <w:p>
            <w:pPr>
              <w:ind w:left="300"/>
              <w:spacing w:after="0"/>
              <w:rPr>
                <w:sz w:val="20"/>
                <w:szCs w:val="20"/>
                <w:color w:val="auto"/>
              </w:rPr>
            </w:pPr>
            <w:r>
              <w:rPr>
                <w:rFonts w:ascii="Arial" w:cs="Arial" w:eastAsia="Arial" w:hAnsi="Arial"/>
                <w:sz w:val="18"/>
                <w:szCs w:val="18"/>
                <w:color w:val="auto"/>
              </w:rPr>
              <w:t>with commercialization of ZALTRAP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(4,912)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(22,581)</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Reimbursement of Regeneron research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and development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5,497</w:t>
            </w:r>
          </w:p>
        </w:tc>
      </w:tr>
      <w:tr>
        <w:trPr>
          <w:trHeight w:val="243"/>
        </w:trPr>
        <w:tc>
          <w:tcPr>
            <w:tcW w:w="20" w:type="dxa"/>
            <w:vAlign w:val="bottom"/>
          </w:tcPr>
          <w:p>
            <w:pPr>
              <w:spacing w:after="0"/>
              <w:rPr>
                <w:sz w:val="21"/>
                <w:szCs w:val="21"/>
                <w:color w:val="auto"/>
              </w:rPr>
            </w:pPr>
          </w:p>
        </w:tc>
        <w:tc>
          <w:tcPr>
            <w:tcW w:w="334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6,610</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ZALTRAP</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(10,474)</w:t>
            </w:r>
          </w:p>
        </w:tc>
      </w:tr>
      <w:tr>
        <w:trPr>
          <w:trHeight w:val="237"/>
        </w:trPr>
        <w:tc>
          <w:tcPr>
            <w:tcW w:w="20" w:type="dxa"/>
            <w:vAlign w:val="bottom"/>
          </w:tcPr>
          <w:p>
            <w:pPr>
              <w:spacing w:after="0"/>
              <w:rPr>
                <w:sz w:val="20"/>
                <w:szCs w:val="20"/>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Antibody:</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Reimbursement of Regeneron research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and development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405,212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338,027</w:t>
            </w:r>
          </w:p>
        </w:tc>
      </w:tr>
      <w:tr>
        <w:trPr>
          <w:trHeight w:val="229"/>
        </w:trPr>
        <w:tc>
          <w:tcPr>
            <w:tcW w:w="20" w:type="dxa"/>
            <w:vAlign w:val="bottom"/>
          </w:tcPr>
          <w:p>
            <w:pPr>
              <w:spacing w:after="0"/>
              <w:rPr>
                <w:sz w:val="19"/>
                <w:szCs w:val="19"/>
                <w:color w:val="auto"/>
              </w:rPr>
            </w:pPr>
          </w:p>
        </w:tc>
        <w:tc>
          <w:tcPr>
            <w:tcW w:w="3340" w:type="dxa"/>
            <w:vAlign w:val="bottom"/>
            <w:gridSpan w:val="2"/>
          </w:tcPr>
          <w:p>
            <w:pPr>
              <w:ind w:left="140"/>
              <w:spacing w:after="0"/>
              <w:rPr>
                <w:sz w:val="20"/>
                <w:szCs w:val="20"/>
                <w:color w:val="auto"/>
              </w:rPr>
            </w:pPr>
            <w:r>
              <w:rPr>
                <w:rFonts w:ascii="Arial" w:cs="Arial" w:eastAsia="Arial" w:hAnsi="Arial"/>
                <w:sz w:val="18"/>
                <w:szCs w:val="18"/>
                <w:color w:val="auto"/>
                <w:w w:val="99"/>
              </w:rPr>
              <w:t>Regeneron's share of commercialization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Up-front payments to Sanofi for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acquisition of rights related to two</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antibodies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43"/>
        </w:trPr>
        <w:tc>
          <w:tcPr>
            <w:tcW w:w="20" w:type="dxa"/>
            <w:vAlign w:val="bottom"/>
          </w:tcPr>
          <w:p>
            <w:pPr>
              <w:spacing w:after="0"/>
              <w:rPr>
                <w:sz w:val="21"/>
                <w:szCs w:val="21"/>
                <w:color w:val="auto"/>
              </w:rPr>
            </w:pPr>
          </w:p>
        </w:tc>
        <w:tc>
          <w:tcPr>
            <w:tcW w:w="334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11,608</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Antibody</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402,832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329,635</w:t>
            </w:r>
          </w:p>
        </w:tc>
      </w:tr>
      <w:tr>
        <w:trPr>
          <w:trHeight w:val="257"/>
        </w:trPr>
        <w:tc>
          <w:tcPr>
            <w:tcW w:w="20" w:type="dxa"/>
            <w:vAlign w:val="bottom"/>
          </w:tcPr>
          <w:p>
            <w:pPr>
              <w:spacing w:after="0"/>
              <w:rPr>
                <w:sz w:val="22"/>
                <w:szCs w:val="22"/>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Total Sanofi collaboration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406,028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319,161</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37" w:lineRule="auto"/>
        <w:rPr>
          <w:sz w:val="20"/>
          <w:szCs w:val="20"/>
          <w:color w:val="auto"/>
        </w:rPr>
      </w:pPr>
      <w:r>
        <w:rPr>
          <w:rFonts w:ascii="Arial" w:cs="Arial" w:eastAsia="Arial" w:hAnsi="Arial"/>
          <w:sz w:val="18"/>
          <w:szCs w:val="18"/>
          <w:color w:val="auto"/>
        </w:rPr>
        <w:t>Sanofi commenced sales of ZALTRAP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(ziv-aflibercept) Injection for Intravenous Infusion, in combination with 5-fluorouracil, leucovorin, irinotecan ("FOLFIRI"), for patients with metastatic colorectal cancer that is resistant to or has progressed following an oxaliplatin-containing regimen, in the United States in the third quarter of 2012 and in certain European and other countries in the first quarter of 2013. The Company and Sanofi globally collaborate on the development and commercialization of ZALTRAP. Under the terms of the companies' September 2003 collaboration agreement, as amended, Regeneron and Sanofi share co-promotion rights and profits and losses on sales of ZALTRAP outside of Japan. The Company is entitled to receive a percentage of sales of ZALTRAP in Japan.</w:t>
      </w:r>
    </w:p>
    <w:p>
      <w:pPr>
        <w:spacing w:after="0" w:line="26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Company's antibody collaboration agreement with Sanofi, agreed upon worldwide development expenses incurred by both companies during the term of the agreement are funded by Sanofi, except that following receipt of the first positive Phase 3 trial results for a co-developed drug candidate, which first occurred in the fourth quarter of 2013, subsequent Phase 3 trial-related costs for that drug candidate ("Shared Phase 3 Trial Costs") are shared 80% by Sanofi and 20% by Regeneron. Consequently, during the three and nine months ended September 30, 2014, the Company recognized as additional research and development expense $28.4 million and $81.3 million, respectively, of antibody development expenses that the Company was obligated to reimburse to Sanofi related to alirocumab and sarilumab.</w:t>
      </w:r>
    </w:p>
    <w:p>
      <w:pPr>
        <w:spacing w:after="0" w:line="19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Effective in the second quarter of 2014, the Company and Sanofi began sharing pre-launch commercialization expenses related to alirocumab in accordance with the companies’ antibody collaboration agreement.</w:t>
      </w:r>
    </w:p>
    <w:p>
      <w:pPr>
        <w:spacing w:after="0" w:line="116"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May 2013, the Company acquired from Sanofi full exclusive rights to two families of novel antibodies invented at Regeneron and previously included in the Company's antibody collaboration with Sanofi. The Company acquired full rights to antibodies targeting the platelet derived growth factor (PDGF) family of receptors and ligands in ophthalmology and all other indications and to antibodies targeting the angiopoietin-2 (Ang2) receptor and ligand in ophthalmology. With respect to PDGF antibodies, the Company made a $10.0 million up-front payment to Sanofi in the second quarter of 2013. In addition, with respect to Ang2 antibodies in ophthalmology, the Company made a $10.0 million up-front payment to Sanofi in the second quarter of 2013.</w:t>
      </w:r>
    </w:p>
    <w:p>
      <w:pPr>
        <w:spacing w:after="0" w:line="10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 respect to PDGF antibodies, the Company made two $5.0 million development milestone payments to Sanofi in the first quarter of 2014, which were recorded in the Company's Statements of Operations as research and development expense. The Company is also obligated to pay up to $30.0 million in additional potential development milestones as well as royalties on any future sales of PDGF antibodies.</w:t>
      </w:r>
    </w:p>
    <w:p>
      <w:pPr>
        <w:spacing w:after="0" w:line="4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July 2014, in connection with the Company’s antibody collaboration with Sanofi, the Company purchased a U.S. Food and Drug Administration ("FDA") priority review voucher from a third party for $67.5 million. The Company and Sanofi equally</w:t>
      </w:r>
    </w:p>
    <w:p>
      <w:pPr>
        <w:sectPr>
          <w:pgSz w:w="11900" w:h="16838" w:orient="portrait"/>
          <w:cols w:equalWidth="0" w:num="1">
            <w:col w:w="11420"/>
          </w:cols>
          <w:pgMar w:left="240" w:top="13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30"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shared the priority review voucher's purchase price, and the Company's share of the cost, or $33.8 million, was recorded as a research and development expense during the third quarter of 2014. The Company subsequently transferred the voucher to Sanofi, which intends to use the priority review voucher in connection with a planned Biologics License Application submission to the FDA for alirocumab.</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Bayer HealthCare LLC</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Company and Bayer HealthCare globally collaborate on the development and commercialization of EYLEA outside of the United States. Bayer HealthCare commenced sales of EYLEA outside the United States for the treatment of wet AMD in the fourth quarter of 2012, for the treatment of macular edema secondary to CRVO in the fourth quarter of 2013, and for the treatment of DME in the third quarter of 2014. In addition, in January 2014, the Company entered into a license and collaboration agreement with Bayer HealthCare governing the joint development and commercialization outside the United States of an antibody product candidate to Platelet Derived Growth Factor Receptor Beta (PDGFR-beta).</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the Company earned from Bayer HealthCare is detailed below:</w:t>
      </w:r>
    </w:p>
    <w:p>
      <w:pPr>
        <w:spacing w:after="0" w:line="302" w:lineRule="exact"/>
        <w:rPr>
          <w:sz w:val="20"/>
          <w:szCs w:val="20"/>
          <w:color w:val="auto"/>
        </w:rPr>
      </w:pPr>
    </w:p>
    <w:tbl>
      <w:tblPr>
        <w:tblLayout w:type="fixed"/>
        <w:tblInd w:w="25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6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Bayer HealthCare Collaboration Revenue</w:t>
            </w:r>
          </w:p>
        </w:tc>
        <w:tc>
          <w:tcPr>
            <w:tcW w:w="280" w:type="dxa"/>
            <w:vAlign w:val="bottom"/>
          </w:tcPr>
          <w:p>
            <w:pPr>
              <w:spacing w:after="0"/>
              <w:rPr>
                <w:sz w:val="17"/>
                <w:szCs w:val="17"/>
                <w:color w:val="auto"/>
              </w:rPr>
            </w:pPr>
          </w:p>
        </w:tc>
        <w:tc>
          <w:tcPr>
            <w:tcW w:w="10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322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2"/>
          </w:tcPr>
          <w:p>
            <w:pPr>
              <w:ind w:left="80"/>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commercialization of EYLEA outside the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85,351</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31,769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4"/>
              </w:rPr>
              <w:t>Sales and substantive development milestones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2"/>
          </w:tcPr>
          <w:p>
            <w:pPr>
              <w:ind w:left="80"/>
              <w:spacing w:after="0"/>
              <w:rPr>
                <w:sz w:val="20"/>
                <w:szCs w:val="20"/>
                <w:color w:val="auto"/>
              </w:rPr>
            </w:pPr>
            <w:r>
              <w:rPr>
                <w:rFonts w:ascii="Arial" w:cs="Arial" w:eastAsia="Arial" w:hAnsi="Arial"/>
                <w:sz w:val="18"/>
                <w:szCs w:val="18"/>
                <w:color w:val="auto"/>
              </w:rPr>
              <w:t>Cost-sharing of Regeneron EYLEA</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Total EYLEA</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132,490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88,583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PDGFR-beta antibody: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2"/>
          </w:tcPr>
          <w:p>
            <w:pPr>
              <w:ind w:left="80"/>
              <w:spacing w:after="0"/>
              <w:rPr>
                <w:sz w:val="20"/>
                <w:szCs w:val="20"/>
                <w:color w:val="auto"/>
              </w:rPr>
            </w:pPr>
            <w:r>
              <w:rPr>
                <w:rFonts w:ascii="Arial" w:cs="Arial" w:eastAsia="Arial" w:hAnsi="Arial"/>
                <w:sz w:val="18"/>
                <w:szCs w:val="18"/>
                <w:color w:val="auto"/>
              </w:rPr>
              <w:t>Cost-sharing of REGN2176-3 development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Total PDGFR-beta</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9"/>
              </w:rPr>
              <w:t>Total Bayer HealthCare collaboration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88,583</w:t>
            </w: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jc w:val="right"/>
              <w:ind w:right="400"/>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6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5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6"/>
        </w:trPr>
        <w:tc>
          <w:tcPr>
            <w:tcW w:w="350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w w:val="98"/>
              </w:rPr>
              <w:t>Bayer HealthCare Collaboration Revenue</w:t>
            </w:r>
          </w:p>
        </w:tc>
        <w:tc>
          <w:tcPr>
            <w:tcW w:w="340" w:type="dxa"/>
            <w:vAlign w:val="bottom"/>
          </w:tcPr>
          <w:p>
            <w:pPr>
              <w:spacing w:after="0"/>
              <w:rPr>
                <w:sz w:val="17"/>
                <w:szCs w:val="17"/>
                <w:color w:val="auto"/>
              </w:rPr>
            </w:pPr>
          </w:p>
        </w:tc>
        <w:tc>
          <w:tcPr>
            <w:tcW w:w="102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ind w:right="430"/>
              <w:spacing w:after="0" w:line="196" w:lineRule="exact"/>
              <w:rPr>
                <w:sz w:val="20"/>
                <w:szCs w:val="20"/>
                <w:color w:val="auto"/>
              </w:rPr>
            </w:pPr>
            <w:r>
              <w:rPr>
                <w:rFonts w:ascii="Arial" w:cs="Arial" w:eastAsia="Arial" w:hAnsi="Arial"/>
                <w:sz w:val="18"/>
                <w:szCs w:val="18"/>
                <w:b w:val="1"/>
                <w:bCs w:val="1"/>
                <w:color w:val="auto"/>
                <w:w w:val="84"/>
              </w:rPr>
              <w:t>2013</w:t>
            </w:r>
          </w:p>
        </w:tc>
      </w:tr>
      <w:tr>
        <w:trPr>
          <w:trHeight w:val="48"/>
        </w:trPr>
        <w:tc>
          <w:tcPr>
            <w:tcW w:w="20" w:type="dxa"/>
            <w:vAlign w:val="bottom"/>
            <w:tcBorders>
              <w:bottom w:val="single" w:sz="8" w:color="CCEEFF"/>
            </w:tcBorders>
          </w:tcPr>
          <w:p>
            <w:pPr>
              <w:spacing w:after="0"/>
              <w:rPr>
                <w:sz w:val="4"/>
                <w:szCs w:val="4"/>
                <w:color w:val="auto"/>
              </w:rPr>
            </w:pPr>
          </w:p>
        </w:tc>
        <w:tc>
          <w:tcPr>
            <w:tcW w:w="322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44"/>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Regeneron's net profit in connection with</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commercialization of EYLEA outside the</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213,291</w:t>
            </w:r>
          </w:p>
        </w:tc>
        <w:tc>
          <w:tcPr>
            <w:tcW w:w="120" w:type="dxa"/>
            <w:vAlign w:val="bottom"/>
          </w:tcPr>
          <w:p>
            <w:pPr>
              <w:spacing w:after="0"/>
              <w:rPr>
                <w:sz w:val="20"/>
                <w:szCs w:val="20"/>
                <w:color w:val="auto"/>
              </w:rPr>
            </w:pP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57,186</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Sales and substantive development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milestones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r>
      <w:tr>
        <w:trPr>
          <w:trHeight w:val="229"/>
        </w:trPr>
        <w:tc>
          <w:tcPr>
            <w:tcW w:w="20" w:type="dxa"/>
            <w:vAlign w:val="bottom"/>
          </w:tcPr>
          <w:p>
            <w:pPr>
              <w:spacing w:after="0"/>
              <w:rPr>
                <w:sz w:val="19"/>
                <w:szCs w:val="19"/>
                <w:color w:val="auto"/>
              </w:rPr>
            </w:pP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Cost-sharing of Regeneron EYLEA</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development 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26,235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13,207</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34,490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19,201</w:t>
            </w:r>
          </w:p>
        </w:tc>
      </w:tr>
      <w:tr>
        <w:trPr>
          <w:trHeight w:val="237"/>
        </w:trPr>
        <w:tc>
          <w:tcPr>
            <w:tcW w:w="20" w:type="dxa"/>
            <w:vAlign w:val="bottom"/>
          </w:tcPr>
          <w:p>
            <w:pPr>
              <w:spacing w:after="0"/>
              <w:rPr>
                <w:sz w:val="20"/>
                <w:szCs w:val="20"/>
                <w:color w:val="auto"/>
              </w:rPr>
            </w:pP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Total EYLEA</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349,016</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134,594</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PDGFR-beta antibody:</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480" w:type="dxa"/>
            <w:vAlign w:val="bottom"/>
            <w:gridSpan w:val="2"/>
          </w:tcPr>
          <w:p>
            <w:pPr>
              <w:ind w:left="80"/>
              <w:spacing w:after="0"/>
              <w:rPr>
                <w:sz w:val="20"/>
                <w:szCs w:val="20"/>
                <w:color w:val="auto"/>
              </w:rPr>
            </w:pPr>
            <w:r>
              <w:rPr>
                <w:rFonts w:ascii="Arial" w:cs="Arial" w:eastAsia="Arial" w:hAnsi="Arial"/>
                <w:sz w:val="18"/>
                <w:szCs w:val="18"/>
                <w:color w:val="auto"/>
                <w:w w:val="98"/>
              </w:rPr>
              <w:t>Cost-sharing of REGN2176-3 development</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Total PDGFR-beta</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9,444</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4"/>
              </w:rPr>
              <w:t>Total Bayer HealthCare collaboration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358,460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134,594</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EYLEA</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During the nine months ended September 30, 2014, the Company earned, and recorded as revenue, five $15.0 million sales milestones (two of which were recorded in the third quarter of 2014) from Bayer HealthCare upon total aggregate net sales of EYLEA outside the United States exceeding $500 million, $600 million, $700 million, $800 million, and $900 million, respectively, over a twelve-month period. The Company is eligible to receive one additional $15.0 million sales milestone payment if twelve-month sales of EYLEA outside the United States exceed $1 billion. In addition, in connection with a November 2013 agreement under which Bayer HealthCare obtained rights to use certain of the Company’s EYLEA clinical data for a regulatory filing, the Company became eligible to receive up to $30.0 million in additional sales milestone payments if twelve-month sales of specific commercial supplies of EYLEA outside the United States achieve certain specified levels up to $200 million.</w:t>
      </w:r>
    </w:p>
    <w:p>
      <w:pPr>
        <w:spacing w:after="0" w:line="23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January 2014, Bayer HealthCare decided to participate in the global development and commercialization of EYLEA outside the United States for the treatment of macular edema following branch retinal vein occlusion ("BRVO"). In connection with this decision, Bayer HealthCare reimbursed Regeneron $15.7 million for a defined share of the EYLEA global development costs that the Company had incurred prior to February 2014 for the BRVO indication, which was recognized as Bayer HealthCare collaboration revenue in the first quarter of 2014 and is included with "Cost-sharing of Regeneron EYLEA development expenses" for the nine months ended September 30, 2014 in the table above. In addition, all future agreed upon global EYLEA development expenses incurred in connection with BRVO are being shared equally, and any future profits or losses on sales of EYLEA outside of the United States for the treatment of macular edema following BRVO will also be shared (for countries other than Japan). The Company is entitled to receive a tiered percentage of EYLEA net sales in Japan.</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PDGFR-beta Antibody</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2014, the Company also entered into an agreement with Bayer HealthCare governing the joint development and commercialization outside the United States of an antibody product candidate to PDGFR-beta, including in combination with EYLEA, for the treatment of ocular diseases or disorders. REGN2176-3, a combination product candidate comprised of an antibody to PDGFR-beta co-formulated with EYLEA, is being developed under the agreement. Under the agreement, the Company will conduct the initial development of the PDGFR-beta antibody through completion of the first proof-of-concept study, upon which Bayer HealthCare will have a right to opt-in to license and collaborate on further development and commercialization outside the United States.</w:t>
      </w:r>
    </w:p>
    <w:p>
      <w:pPr>
        <w:sectPr>
          <w:pgSz w:w="11900" w:h="16838" w:orient="portrait"/>
          <w:cols w:equalWidth="0" w:num="1">
            <w:col w:w="11420"/>
          </w:cols>
          <w:pgMar w:left="240" w:top="130"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30"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connection with the agreement, Bayer HealthCare made a $25.5 million non-refundable upfront payment to the Company in January 2014, and is obligated to pay 25% of global development costs and 50% of development costs exclusively for the territory outside the United States under the initial development plan. In addition, Bayer HealthCare is obligated to reimburse the Company for 50% of development milestone payments to Sanofi related to the Company's acquisition of rights to antibodies targeting the PDGF family of receptors in May 2013, as described above. In that regard, Bayer HealthCare made two $2.5 million development milestone payments to the Company in the first quarter of 2014 (both of which, for the purpose of revenue recognition, were not considered substantive). Further, in connection with the Company’s initial development of the PDGFR-beta antibody through completion of the first proof-of-concept study, the Company is eligible to receive up to $15.0 million in future development milestone payments from Bayer HealthCare, although certain of these development milestone payments could be reduced by half if Bayer HealthCare does not opt-in to the collaboration.</w:t>
      </w:r>
    </w:p>
    <w:p>
      <w:pPr>
        <w:spacing w:after="0" w:line="22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From inception of the agreement until Bayer HealthCare has the right to opt-in to the collaboration, the Company's sole significant deliverable is research and development services provided in accordance with the agreement. Therefore, the $25.5 million upfront payment was allocated to this deliverable, initially recorded as deferred revenue, and will be recognized as revenue over the related performance period. In addition, the two $2.5 million non-substantive development milestone payments from Bayer HealthCare were also initially recorded as deferred revenue and will be recognized over the same performance period as the upfront payment.</w:t>
      </w:r>
    </w:p>
    <w:p>
      <w:pPr>
        <w:spacing w:after="0" w:line="10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Bayer HealthCare exercises its right to opt-in to the collaboration, it will obtain exclusive commercialization rights to the product outside the United States, continue to pay for 25% of global development costs and 50% of development costs exclusively for the territory outside the United States, pay a $20.0 million opt-in payment to the Company, pay a $20.0 million development milestone to the Company upon receipt of the first marketing approval in the European Union or Japan, share profits and losses from sales outside the United States equally with the Company, and be responsible for the payment of royalties on sales outside the United States to Sanofi.</w:t>
      </w:r>
    </w:p>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Within the United States, the Company has exclusive commercialization rights and will retain all of the profits from sales. If Bayer HealthCare does not opt-in to the collaboration, the Company will have exclusive rights to develop and commercialize PDGFR-beta antibodies (except as a combination product with EYLEA) for use outside the United States.</w:t>
      </w:r>
    </w:p>
    <w:p>
      <w:pPr>
        <w:spacing w:after="0" w:line="1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also has the right to opt-out of the collaboration upon completion of the first proof-of-concept study for the PDGFR-beta antibody. If the Company opts-out of the collaboration and Bayer HealthCare exercises its right to opt-in to the collaboration, Bayer HealthCare will obtain exclusive rights to the PDGFR-beta antibody (except as a combination product with EYLEA) outside of the United States, be responsible for all development costs outside of the United States, be responsible for all royalty and milestone payments to a third party, and will retain all of the profits from sales of the PDGFR-beta antibody outside of the United States.</w:t>
      </w:r>
    </w:p>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Unless terminated earlier in accordance with its provisions, the agreement will continue to be in effect until such time as neither party or its respective affiliates or sublicensees is developing or commercializing a PDGFR-beta antibody in the specified field outside of the United States and such discontinuation is acknowledged as permanent by both the Company and Bayer HealthCare in writing.</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Avalanche Biotechnologies, Inc.</w:t>
      </w:r>
    </w:p>
    <w:p>
      <w:pPr>
        <w:spacing w:after="0" w:line="18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May 2014, the Company entered into a research collaboration and license agreement with Avalanche Biotechnologies, Inc. to discover, develop, and commercialize novel gene therapy products for the treatment of ophthalmologic diseases. In connection with the agreement, the Company made a $2.0 million upfront payment and a $6.0 million pre-payment of collaboration research costs, and is obligated to pay potential additional research costs, an aggregate amount of up to $80.0 million per product upon meeting certain potential development and regulatory milestones (for products directed to as many as eight therapeutic targets, or up to an aggregate of $640.0 million), and royalties on any future sales of such products. The Company also purchased an aggregate of $5.0 million of Avalanche preferred stock. Under the agreement, the Company will collaborate with Avalanche to conduct research for the discovery of novel gene therapy vectors. Subsequent to the filing of an Investigational New Drug application ("IND") with the FDA for a product candidate developed under the agreement, Regeneron may exercise its right to obtain exclusive worldwide rights to further research, develop, and commercialize such product candidates directed to the applicable therapeutic target. In addition, Avalanche has the option to share in development costs and profits for products directed toward up to two therapeutic targets of its choice.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5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July 2014, Avalanche commenced an initial public offering ("IPO") of its common stock and thereby triggered the Company's obligation under the research collaboration and license agreement to purchase up to $10.0 million of Avalanche common stock in a concurrent private placement. As part of the concurrent private placement, the Company purchased from Avalanche at the closing of the IPO 588,235 shares of Avalanche common stock for an aggregate purchase price of $10.0 million. In addition, at the closing of the IPO, Avalanche preferred stock, including the Avalanche preferred stock held by the Company, automatically converted on a one-for-one basis into Avalanche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339"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22860</wp:posOffset>
            </wp:positionV>
            <wp:extent cx="14490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 w:lineRule="exact"/>
        <w:rPr>
          <w:sz w:val="20"/>
          <w:szCs w:val="20"/>
          <w:color w:val="auto"/>
        </w:rPr>
      </w:pPr>
    </w:p>
    <w:tbl>
      <w:tblPr>
        <w:tblLayout w:type="fixed"/>
        <w:tblInd w:w="262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141,306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i w:val="1"/>
                <w:iCs w:val="1"/>
                <w:color w:val="auto"/>
              </w:rPr>
              <w:t>Effective of dilutive securities: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senior notes - interest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6"/>
        </w:trPr>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to contractual coupon interest rate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amortization of discount and note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57"/>
        </w:trPr>
        <w:tc>
          <w:tcPr>
            <w:tcW w:w="3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issuance costs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4,678</w:t>
            </w:r>
          </w:p>
        </w:tc>
      </w:tr>
      <w:tr>
        <w:trPr>
          <w:trHeight w:val="29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 diluted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82,523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145,984</w:t>
            </w:r>
          </w:p>
        </w:tc>
      </w:tr>
      <w:tr>
        <w:trPr>
          <w:trHeight w:val="311"/>
        </w:trPr>
        <w:tc>
          <w:tcPr>
            <w:tcW w:w="3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i w:val="1"/>
                <w:iCs w:val="1"/>
                <w:color w:val="auto"/>
              </w:rPr>
              <w:t>(Shares in thousands)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 basic</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98,226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10,379</w:t>
            </w: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Warrants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2,885</w:t>
            </w: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Dilutive potential shares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18,487</w:t>
            </w:r>
          </w:p>
        </w:tc>
      </w:tr>
      <w:tr>
        <w:trPr>
          <w:trHeight w:val="29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117,423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116,713</w:t>
            </w:r>
          </w:p>
        </w:tc>
      </w:tr>
      <w:tr>
        <w:trPr>
          <w:trHeight w:val="203"/>
        </w:trPr>
        <w:tc>
          <w:tcPr>
            <w:tcW w:w="3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567"/>
        </w:trPr>
        <w:tc>
          <w:tcPr>
            <w:tcW w:w="3900" w:type="dxa"/>
            <w:vAlign w:val="bottom"/>
          </w:tcPr>
          <w:p>
            <w:pPr>
              <w:ind w:left="300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22860</wp:posOffset>
            </wp:positionV>
            <wp:extent cx="14579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38" w:lineRule="exact"/>
        <w:rPr>
          <w:sz w:val="20"/>
          <w:szCs w:val="20"/>
          <w:color w:val="auto"/>
        </w:rPr>
      </w:pPr>
    </w:p>
    <w:tbl>
      <w:tblPr>
        <w:tblLayout w:type="fixed"/>
        <w:tblInd w:w="26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r>
      <w:tr>
        <w:trPr>
          <w:trHeight w:val="27"/>
        </w:trPr>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237,898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327,556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i w:val="1"/>
                <w:iCs w:val="1"/>
                <w:color w:val="auto"/>
              </w:rPr>
              <w:t>Effective of dilutive securities: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Convertible senior notes - interest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6"/>
        </w:trPr>
        <w:tc>
          <w:tcPr>
            <w:tcW w:w="3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 to contractual coupon interest rate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3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amortization of discount and note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57"/>
        </w:trPr>
        <w:tc>
          <w:tcPr>
            <w:tcW w:w="3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issuance costs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13,857</w:t>
            </w:r>
          </w:p>
        </w:tc>
      </w:tr>
      <w:tr>
        <w:trPr>
          <w:trHeight w:val="297"/>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 diluted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237,898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341,413</w:t>
            </w:r>
          </w:p>
        </w:tc>
      </w:tr>
      <w:tr>
        <w:trPr>
          <w:trHeight w:val="311"/>
        </w:trPr>
        <w:tc>
          <w:tcPr>
            <w:tcW w:w="3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i w:val="1"/>
                <w:iCs w:val="1"/>
                <w:color w:val="auto"/>
              </w:rPr>
              <w:t>(Shares in thousands)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 basic</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97,602</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10,220</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7"/>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Warrants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2,556</w:t>
            </w:r>
          </w:p>
        </w:tc>
      </w:tr>
      <w:tr>
        <w:trPr>
          <w:trHeight w:val="27"/>
        </w:trPr>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Dilutive potential shares</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17,952</w:t>
            </w:r>
          </w:p>
        </w:tc>
      </w:tr>
      <w:tr>
        <w:trPr>
          <w:trHeight w:val="297"/>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113,203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115,554</w:t>
            </w:r>
          </w:p>
        </w:tc>
      </w:tr>
      <w:tr>
        <w:trPr>
          <w:trHeight w:val="203"/>
        </w:trPr>
        <w:tc>
          <w:tcPr>
            <w:tcW w:w="3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7"/>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7"/>
        </w:trPr>
        <w:tc>
          <w:tcPr>
            <w:tcW w:w="3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Shares which have been excluded from the September 30, 2014 and 2013 diluted per share amounts because their effect would have been antidilutive include the following:</w:t>
      </w:r>
    </w:p>
    <w:p>
      <w:pPr>
        <w:spacing w:after="0" w:line="247"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r>
      <w:tr>
        <w:trPr>
          <w:trHeight w:val="234"/>
        </w:trPr>
        <w:tc>
          <w:tcPr>
            <w:tcW w:w="2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19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r>
      <w:tr>
        <w:trPr>
          <w:trHeight w:val="27"/>
        </w:trPr>
        <w:tc>
          <w:tcPr>
            <w:tcW w:w="2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360"/>
        </w:trPr>
        <w:tc>
          <w:tcPr>
            <w:tcW w:w="2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2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19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r>
      <w:tr>
        <w:trPr>
          <w:trHeight w:val="27"/>
        </w:trPr>
        <w:tc>
          <w:tcPr>
            <w:tcW w:w="2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4,483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02"/>
        </w:trPr>
        <w:tc>
          <w:tcPr>
            <w:tcW w:w="2160" w:type="dxa"/>
            <w:vAlign w:val="bottom"/>
          </w:tcPr>
          <w:p>
            <w:pPr>
              <w:spacing w:after="0"/>
              <w:rPr>
                <w:sz w:val="24"/>
                <w:szCs w:val="24"/>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15</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Marketable securities at September 30, 2014 and December 31, 2013 consist of both debt securities issued by investment grade institutions as well as equity securities. The Company also held restricted marketable securities as of September 30, 2014, consisting of the Company's investment in Avalanche common shares (see Note 3), which are subject to customary transfer restrictions until January 2015 under a lock-up agreement with the underwriters of Avalanche's IPO.</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the Company's investments in marketable securities at September 30, 2014 and December 31, 2013.</w:t>
      </w:r>
    </w:p>
    <w:p>
      <w:pPr>
        <w:spacing w:after="0" w:line="302"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w:t>
            </w:r>
          </w:p>
        </w:tc>
        <w:tc>
          <w:tcPr>
            <w:tcW w:w="28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Fair</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7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At September 30, 2014</w:t>
            </w:r>
          </w:p>
        </w:tc>
        <w:tc>
          <w:tcPr>
            <w:tcW w:w="200" w:type="dxa"/>
            <w:vAlign w:val="bottom"/>
          </w:tcPr>
          <w:p>
            <w:pPr>
              <w:spacing w:after="0"/>
              <w:rPr>
                <w:sz w:val="17"/>
                <w:szCs w:val="17"/>
                <w:color w:val="auto"/>
              </w:rPr>
            </w:pPr>
          </w:p>
        </w:tc>
        <w:tc>
          <w:tcPr>
            <w:tcW w:w="128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80" w:type="dxa"/>
            <w:vAlign w:val="bottom"/>
          </w:tcPr>
          <w:p>
            <w:pPr>
              <w:spacing w:after="0"/>
              <w:rPr>
                <w:sz w:val="17"/>
                <w:szCs w:val="17"/>
                <w:color w:val="auto"/>
              </w:rPr>
            </w:pPr>
          </w:p>
        </w:tc>
        <w:tc>
          <w:tcPr>
            <w:tcW w:w="1220" w:type="dxa"/>
            <w:vAlign w:val="bottom"/>
            <w:gridSpan w:val="2"/>
          </w:tcPr>
          <w:p>
            <w:pPr>
              <w:ind w:left="180"/>
              <w:spacing w:after="0" w:line="196" w:lineRule="exact"/>
              <w:rPr>
                <w:sz w:val="20"/>
                <w:szCs w:val="20"/>
                <w:color w:val="auto"/>
              </w:rPr>
            </w:pPr>
            <w:r>
              <w:rPr>
                <w:rFonts w:ascii="Arial" w:cs="Arial" w:eastAsia="Arial" w:hAnsi="Arial"/>
                <w:sz w:val="18"/>
                <w:szCs w:val="18"/>
                <w:b w:val="1"/>
                <w:bCs w:val="1"/>
                <w:color w:val="auto"/>
              </w:rPr>
              <w:t>Gains</w:t>
            </w:r>
          </w:p>
        </w:tc>
        <w:tc>
          <w:tcPr>
            <w:tcW w:w="400" w:type="dxa"/>
            <w:vAlign w:val="bottom"/>
          </w:tcPr>
          <w:p>
            <w:pPr>
              <w:spacing w:after="0"/>
              <w:rPr>
                <w:sz w:val="17"/>
                <w:szCs w:val="17"/>
                <w:color w:val="auto"/>
              </w:rPr>
            </w:pPr>
          </w:p>
        </w:tc>
        <w:tc>
          <w:tcPr>
            <w:tcW w:w="108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Losses</w:t>
            </w:r>
          </w:p>
        </w:tc>
        <w:tc>
          <w:tcPr>
            <w:tcW w:w="280" w:type="dxa"/>
            <w:vAlign w:val="bottom"/>
          </w:tcPr>
          <w:p>
            <w:pPr>
              <w:spacing w:after="0"/>
              <w:rPr>
                <w:sz w:val="17"/>
                <w:szCs w:val="17"/>
                <w:color w:val="auto"/>
              </w:rPr>
            </w:pPr>
          </w:p>
        </w:tc>
        <w:tc>
          <w:tcPr>
            <w:tcW w:w="110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Value</w:t>
            </w:r>
          </w:p>
        </w:tc>
      </w:tr>
      <w:tr>
        <w:trPr>
          <w:trHeight w:val="48"/>
        </w:trPr>
        <w:tc>
          <w:tcPr>
            <w:tcW w:w="20" w:type="dxa"/>
            <w:vAlign w:val="bottom"/>
            <w:tcBorders>
              <w:bottom w:val="single" w:sz="8" w:color="CCEEFF"/>
            </w:tcBorders>
          </w:tcPr>
          <w:p>
            <w:pPr>
              <w:spacing w:after="0"/>
              <w:rPr>
                <w:sz w:val="4"/>
                <w:szCs w:val="4"/>
                <w:color w:val="auto"/>
              </w:rPr>
            </w:pPr>
          </w:p>
        </w:tc>
        <w:tc>
          <w:tcPr>
            <w:tcW w:w="170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30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40" w:type="dxa"/>
            <w:vAlign w:val="bottom"/>
            <w:gridSpan w:val="3"/>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51,059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51,129</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696,149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695,592</w:t>
            </w:r>
          </w:p>
        </w:tc>
      </w:tr>
      <w:tr>
        <w:trPr>
          <w:trHeight w:val="243"/>
        </w:trPr>
        <w:tc>
          <w:tcPr>
            <w:tcW w:w="20" w:type="dxa"/>
            <w:vAlign w:val="bottom"/>
          </w:tcPr>
          <w:p>
            <w:pPr>
              <w:spacing w:after="0"/>
              <w:rPr>
                <w:sz w:val="21"/>
                <w:szCs w:val="21"/>
                <w:color w:val="auto"/>
              </w:rPr>
            </w:pPr>
          </w:p>
        </w:tc>
        <w:tc>
          <w:tcPr>
            <w:tcW w:w="4740" w:type="dxa"/>
            <w:vAlign w:val="bottom"/>
            <w:gridSpan w:val="3"/>
          </w:tcPr>
          <w:p>
            <w:pPr>
              <w:ind w:left="160"/>
              <w:spacing w:after="0"/>
              <w:rPr>
                <w:sz w:val="20"/>
                <w:szCs w:val="20"/>
                <w:color w:val="auto"/>
              </w:rPr>
            </w:pPr>
            <w:r>
              <w:rPr>
                <w:rFonts w:ascii="Arial" w:cs="Arial" w:eastAsia="Arial" w:hAnsi="Arial"/>
                <w:sz w:val="18"/>
                <w:szCs w:val="18"/>
                <w:color w:val="auto"/>
              </w:rPr>
              <w:t>Municipal bonds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42,756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42,842</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Equity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5,099</w:t>
            </w:r>
          </w:p>
        </w:tc>
      </w:tr>
      <w:tr>
        <w:trPr>
          <w:trHeight w:val="237"/>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791,130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794,662</w:t>
            </w:r>
          </w:p>
        </w:tc>
      </w:tr>
      <w:tr>
        <w:trPr>
          <w:trHeight w:val="27"/>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Restricted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40" w:type="dxa"/>
            <w:vAlign w:val="bottom"/>
            <w:gridSpan w:val="3"/>
          </w:tcPr>
          <w:p>
            <w:pPr>
              <w:ind w:left="160"/>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39,431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54,431</w:t>
            </w:r>
          </w:p>
        </w:tc>
      </w:tr>
      <w:tr>
        <w:trPr>
          <w:trHeight w:val="27"/>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806,130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44,103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849,093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0"/>
              </w:rPr>
              <w:t>At December 31, 2013</w:t>
            </w:r>
          </w:p>
        </w:tc>
        <w:tc>
          <w:tcPr>
            <w:tcW w:w="304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40" w:type="dxa"/>
            <w:vAlign w:val="bottom"/>
            <w:gridSpan w:val="3"/>
          </w:tcPr>
          <w:p>
            <w:pPr>
              <w:spacing w:after="0"/>
              <w:rPr>
                <w:sz w:val="20"/>
                <w:szCs w:val="20"/>
                <w:color w:val="auto"/>
              </w:rPr>
            </w:pPr>
            <w:r>
              <w:rPr>
                <w:rFonts w:ascii="Arial" w:cs="Arial" w:eastAsia="Arial" w:hAnsi="Arial"/>
                <w:sz w:val="18"/>
                <w:szCs w:val="18"/>
                <w:i w:val="1"/>
                <w:iCs w:val="1"/>
                <w:color w:val="auto"/>
              </w:rPr>
              <w:t>Unrestricted</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107,521</w:t>
            </w:r>
          </w:p>
        </w:tc>
      </w:tr>
      <w:tr>
        <w:trPr>
          <w:trHeight w:val="243"/>
        </w:trPr>
        <w:tc>
          <w:tcPr>
            <w:tcW w:w="20" w:type="dxa"/>
            <w:vAlign w:val="bottom"/>
          </w:tcPr>
          <w:p>
            <w:pPr>
              <w:spacing w:after="0"/>
              <w:rPr>
                <w:sz w:val="21"/>
                <w:szCs w:val="21"/>
                <w:color w:val="auto"/>
              </w:rPr>
            </w:pPr>
          </w:p>
        </w:tc>
        <w:tc>
          <w:tcPr>
            <w:tcW w:w="4740" w:type="dxa"/>
            <w:vAlign w:val="bottom"/>
            <w:gridSpan w:val="3"/>
          </w:tcPr>
          <w:p>
            <w:pPr>
              <w:ind w:left="16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369,321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369,193</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23,944</w:t>
            </w:r>
          </w:p>
        </w:tc>
      </w:tr>
      <w:tr>
        <w:trPr>
          <w:trHeight w:val="243"/>
        </w:trPr>
        <w:tc>
          <w:tcPr>
            <w:tcW w:w="20" w:type="dxa"/>
            <w:vAlign w:val="bottom"/>
          </w:tcPr>
          <w:p>
            <w:pPr>
              <w:spacing w:after="0"/>
              <w:rPr>
                <w:sz w:val="21"/>
                <w:szCs w:val="21"/>
                <w:color w:val="auto"/>
              </w:rPr>
            </w:pPr>
          </w:p>
        </w:tc>
        <w:tc>
          <w:tcPr>
            <w:tcW w:w="4740" w:type="dxa"/>
            <w:vAlign w:val="bottom"/>
            <w:gridSpan w:val="3"/>
          </w:tcPr>
          <w:p>
            <w:pPr>
              <w:ind w:left="160"/>
              <w:spacing w:after="0"/>
              <w:rPr>
                <w:sz w:val="20"/>
                <w:szCs w:val="20"/>
                <w:color w:val="auto"/>
              </w:rPr>
            </w:pPr>
            <w:r>
              <w:rPr>
                <w:rFonts w:ascii="Arial" w:cs="Arial" w:eastAsia="Arial" w:hAnsi="Arial"/>
                <w:sz w:val="18"/>
                <w:szCs w:val="18"/>
                <w:color w:val="auto"/>
              </w:rPr>
              <w:t>Municipal bonds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36,935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36,921</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International government agency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2,008</w:t>
            </w:r>
          </w:p>
        </w:tc>
      </w:tr>
      <w:tr>
        <w:trPr>
          <w:trHeight w:val="243"/>
        </w:trPr>
        <w:tc>
          <w:tcPr>
            <w:tcW w:w="20" w:type="dxa"/>
            <w:vAlign w:val="bottom"/>
          </w:tcPr>
          <w:p>
            <w:pPr>
              <w:spacing w:after="0"/>
              <w:rPr>
                <w:sz w:val="21"/>
                <w:szCs w:val="21"/>
                <w:color w:val="auto"/>
              </w:rPr>
            </w:pPr>
          </w:p>
        </w:tc>
        <w:tc>
          <w:tcPr>
            <w:tcW w:w="4740" w:type="dxa"/>
            <w:vAlign w:val="bottom"/>
            <w:gridSpan w:val="3"/>
          </w:tcPr>
          <w:p>
            <w:pPr>
              <w:ind w:left="16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7,514</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Equity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r>
      <w:tr>
        <w:trPr>
          <w:trHeight w:val="237"/>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548,322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548,267</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classifies its debt security investments based on their contractual maturity dates. The debt securities listed at September 30, 2014 mature at various dates through August 2024. The fair values of debt security investments by contractual maturity as of September 30, 2014 and December 31, 2013 consist of the following:</w:t>
      </w:r>
    </w:p>
    <w:p>
      <w:pPr>
        <w:spacing w:after="0" w:line="258"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September 30, 2014</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2013</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Maturities within one year</w:t>
            </w:r>
          </w:p>
        </w:tc>
        <w:tc>
          <w:tcPr>
            <w:tcW w:w="13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287,739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158,376</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w w:val="98"/>
              </w:rPr>
              <w:t>Maturities after one year through five years</w:t>
            </w: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496,700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383,410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Maturities after five years through ten years</w:t>
            </w:r>
          </w:p>
        </w:tc>
        <w:tc>
          <w:tcPr>
            <w:tcW w:w="7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Maturities after ten years</w:t>
            </w: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789,563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547,101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ind w:right="270"/>
              <w:spacing w:after="0"/>
              <w:rPr>
                <w:sz w:val="20"/>
                <w:szCs w:val="20"/>
                <w:color w:val="auto"/>
              </w:rPr>
            </w:pPr>
            <w:r>
              <w:rPr>
                <w:rFonts w:ascii="Arial" w:cs="Arial" w:eastAsia="Arial" w:hAnsi="Arial"/>
                <w:sz w:val="18"/>
                <w:szCs w:val="18"/>
                <w:color w:val="auto"/>
              </w:rPr>
              <w:t>16</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4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September 30, 2014 and December 31, 2013.</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27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At September 30, 2014</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34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Fair Value</w:t>
            </w:r>
          </w:p>
        </w:tc>
        <w:tc>
          <w:tcPr>
            <w:tcW w:w="136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70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343,835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343,835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(1,131)</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355,738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0"/>
                <w:szCs w:val="20"/>
                <w:color w:val="auto"/>
              </w:rPr>
            </w:pPr>
          </w:p>
        </w:tc>
        <w:tc>
          <w:tcPr>
            <w:tcW w:w="124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355,738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w:t>
            </w:r>
          </w:p>
        </w:tc>
      </w:tr>
      <w:tr>
        <w:trPr>
          <w:trHeight w:val="67"/>
        </w:trPr>
        <w:tc>
          <w:tcPr>
            <w:tcW w:w="20" w:type="dxa"/>
            <w:vAlign w:val="bottom"/>
            <w:tcBorders>
              <w:bottom w:val="single" w:sz="8" w:color="CCEEFF"/>
            </w:tcBorders>
          </w:tcPr>
          <w:p>
            <w:pPr>
              <w:spacing w:after="0"/>
              <w:rPr>
                <w:sz w:val="5"/>
                <w:szCs w:val="5"/>
                <w:color w:val="auto"/>
              </w:rPr>
            </w:pPr>
          </w:p>
        </w:tc>
        <w:tc>
          <w:tcPr>
            <w:tcW w:w="170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5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3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At December 31, 2013</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176,140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176,140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239,812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0"/>
                <w:szCs w:val="20"/>
                <w:color w:val="auto"/>
              </w:rPr>
            </w:pPr>
          </w:p>
        </w:tc>
        <w:tc>
          <w:tcPr>
            <w:tcW w:w="124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239,812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Realized gains and losses are included as a component of investment income. For both the three and nine months ended September 30, 2014, total realized gains and losses on sales of marketable securities were not material. For both the three and nine months ended September 30, 2013, total realized gains on sales of marketable securities were $0.5 million and $1.0 million, respectively, and there were no realized losses. Changes in the Company's accumulated other comprehensive income (loss) for the three and nine months ended September 30, 2014 and 2013 related to unrealized gains and losses on available-for-sale marketable securities. For the three and nine months ended September 30, 2014 and 2013, amounts reclassified from accumulated other comprehensive income (loss) into investment income in the Company's Statements of Operations were related to realized gains and losses on sales of marketable securities.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Company’s assets that are measured at fair value on a recurring basis</w:t>
      </w:r>
      <w:r>
        <w:rPr>
          <w:rFonts w:ascii="Arial" w:cs="Arial" w:eastAsia="Arial" w:hAnsi="Arial"/>
          <w:sz w:val="16"/>
          <w:szCs w:val="16"/>
          <w:i w:val="1"/>
          <w:iCs w:val="1"/>
          <w:color w:val="auto"/>
        </w:rPr>
        <w:t>,</w:t>
      </w:r>
      <w:r>
        <w:rPr>
          <w:rFonts w:ascii="Arial" w:cs="Arial" w:eastAsia="Arial" w:hAnsi="Arial"/>
          <w:sz w:val="16"/>
          <w:szCs w:val="16"/>
          <w:color w:val="auto"/>
        </w:rPr>
        <w:t xml:space="preserve"> at September 30, 2014 and December 31, 2013, consist of the following:</w:t>
      </w:r>
    </w:p>
    <w:p>
      <w:pPr>
        <w:spacing w:after="0" w:line="32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Fair Value Measurements at</w:t>
            </w:r>
          </w:p>
        </w:tc>
      </w:t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Reporting Date Using</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194"/>
        </w:trPr>
        <w:tc>
          <w:tcPr>
            <w:tcW w:w="20" w:type="dxa"/>
            <w:vAlign w:val="bottom"/>
          </w:tcPr>
          <w:p>
            <w:pPr>
              <w:spacing w:after="0"/>
              <w:rPr>
                <w:sz w:val="16"/>
                <w:szCs w:val="16"/>
                <w:color w:val="auto"/>
              </w:rPr>
            </w:pPr>
          </w:p>
        </w:tc>
        <w:tc>
          <w:tcPr>
            <w:tcW w:w="62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At September 30, 2014</w:t>
            </w: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3"/>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70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4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62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51,129</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695,592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695,592</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42,842</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794,662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789,563</w:t>
            </w:r>
          </w:p>
        </w:tc>
      </w:tr>
      <w:tr>
        <w:trPr>
          <w:trHeight w:val="237"/>
        </w:trPr>
        <w:tc>
          <w:tcPr>
            <w:tcW w:w="20" w:type="dxa"/>
            <w:vAlign w:val="bottom"/>
          </w:tcPr>
          <w:p>
            <w:pPr>
              <w:spacing w:after="0"/>
              <w:rPr>
                <w:sz w:val="20"/>
                <w:szCs w:val="20"/>
                <w:color w:val="auto"/>
              </w:rPr>
            </w:pPr>
          </w:p>
        </w:tc>
        <w:tc>
          <w:tcPr>
            <w:tcW w:w="6200" w:type="dxa"/>
            <w:vAlign w:val="bottom"/>
            <w:gridSpan w:val="3"/>
          </w:tcPr>
          <w:p>
            <w:pPr>
              <w:spacing w:after="0"/>
              <w:rPr>
                <w:sz w:val="20"/>
                <w:szCs w:val="20"/>
                <w:color w:val="auto"/>
              </w:rPr>
            </w:pPr>
            <w:r>
              <w:rPr>
                <w:rFonts w:ascii="Arial" w:cs="Arial" w:eastAsia="Arial" w:hAnsi="Arial"/>
                <w:sz w:val="18"/>
                <w:szCs w:val="18"/>
                <w:i w:val="1"/>
                <w:iCs w:val="1"/>
                <w:color w:val="auto"/>
              </w:rPr>
              <w:t>Restricted</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54,431</w:t>
            </w:r>
          </w:p>
        </w:tc>
      </w:tr>
      <w:tr>
        <w:trPr>
          <w:trHeight w:val="237"/>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849,093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843,994</w:t>
            </w:r>
          </w:p>
        </w:tc>
      </w:tr>
      <w:tr>
        <w:trPr>
          <w:trHeight w:val="67"/>
        </w:trPr>
        <w:tc>
          <w:tcPr>
            <w:tcW w:w="20" w:type="dxa"/>
            <w:vAlign w:val="bottom"/>
            <w:tcBorders>
              <w:bottom w:val="single" w:sz="8" w:color="CCEEFF"/>
            </w:tcBorders>
          </w:tcPr>
          <w:p>
            <w:pPr>
              <w:spacing w:after="0"/>
              <w:rPr>
                <w:sz w:val="5"/>
                <w:szCs w:val="5"/>
                <w:color w:val="auto"/>
              </w:rPr>
            </w:pPr>
          </w:p>
        </w:tc>
        <w:tc>
          <w:tcPr>
            <w:tcW w:w="170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44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2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At December 31, 2013</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62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107,521</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369,193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369,193</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23,944</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36,921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36,921</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International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2,008</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7,514</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548,267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547,101</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 The Company did not record any charges for other-than-temporary impairment of its Level 2 marketable securities during the three and nine months ended September 30, 2014 and 2013.</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the three months ended September 30, 2013, the Company sold a Level 3 marketable security and realized a $0.4 million gain on its sale. There were no other sales, or purchases or maturities of, Level 3 marketable securities and no unrealized gains or losses related to Level 3 marketable securities for the three and nine months ended September 30, 2014 and 2013. There were no transfers of marketable securities between Levels 1, 2, or 3 classifications during the three and nine months ended September 30, 2014 and 2013.</w:t>
      </w:r>
    </w:p>
    <w:p>
      <w:pPr>
        <w:sectPr>
          <w:pgSz w:w="11900" w:h="16838" w:orient="portrait"/>
          <w:cols w:equalWidth="0" w:num="1">
            <w:col w:w="11420"/>
          </w:cols>
          <w:pgMar w:left="240" w:top="130"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30" w:right="2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of September 30, 2014 and December 31, 2013, the Company had $338.9 million and $400.0 million, respectively, in aggregate principal amount of 1.875% convertible senior notes (the "Notes") that will mature on October 1, 2016 unless earlier converted or repurchased. As described in Note 9, a portion of the Notes was surrendered for conversion during the second quarter of 2014. The fair value of the outstanding Notes was estimated to be $1,433.8 million and $1,327.2 million as of September 30, 2014 and December 31, 2013, respectively, and was determined based on Level 2 inputs, such as market and observable sources.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21"/>
        </w:trPr>
        <w:tc>
          <w:tcPr>
            <w:tcW w:w="2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24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9,120</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70,965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35,868</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14,352</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27,814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11,014</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42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70,354</w:t>
            </w:r>
          </w:p>
        </w:tc>
      </w:tr>
      <w:tr>
        <w:trPr>
          <w:trHeight w:val="20"/>
        </w:trPr>
        <w:tc>
          <w:tcPr>
            <w:tcW w:w="24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 For the three months ended September 30, 2014, cost of goods sold included inventory write-downs and reserves totaling $1.6 million; such amounts were not material for the three months ended September 30, 2013. For the nine months ended September 30, 2014 and 2013, cost of goods sold included inventory write-downs and reserves totaling $3.5 million and $4.8 million, respectively.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8. Accounts Payable and Accrued Expenses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expenses consist of the following:</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48"/>
        </w:trPr>
        <w:tc>
          <w:tcPr>
            <w:tcW w:w="2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24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r>
      <w:tr>
        <w:trPr>
          <w:trHeight w:val="27"/>
        </w:trPr>
        <w:tc>
          <w:tcPr>
            <w:tcW w:w="246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61,936</w:t>
            </w:r>
          </w:p>
        </w:tc>
      </w:tr>
      <w:tr>
        <w:trPr>
          <w:trHeight w:val="243"/>
        </w:trPr>
        <w:tc>
          <w:tcPr>
            <w:tcW w:w="246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Accrued payroll and related costs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69,429</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clinical trial expense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23,654</w:t>
            </w:r>
          </w:p>
        </w:tc>
      </w:tr>
      <w:tr>
        <w:trPr>
          <w:trHeight w:val="229"/>
        </w:trPr>
        <w:tc>
          <w:tcPr>
            <w:tcW w:w="246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w w:val="94"/>
              </w:rPr>
              <w:t>Accrued sales-related charges, deductions,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and royalties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114,408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66,855</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460" w:type="dxa"/>
            <w:vAlign w:val="bottom"/>
          </w:tcPr>
          <w:p>
            <w:pPr>
              <w:spacing w:after="0"/>
              <w:rPr>
                <w:sz w:val="23"/>
                <w:szCs w:val="23"/>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 and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29,022</w:t>
            </w:r>
          </w:p>
        </w:tc>
      </w:tr>
      <w:tr>
        <w:trPr>
          <w:trHeight w:val="237"/>
        </w:trPr>
        <w:tc>
          <w:tcPr>
            <w:tcW w:w="2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337,976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250,896</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Debt</w:t>
      </w:r>
    </w:p>
    <w:p>
      <w:pPr>
        <w:spacing w:after="0" w:line="28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the second quarter of 2014, $61.1 million principal amount of the Company's $400.0 million aggregate principal amount of Notes were surrendered for conversion. In accordance with the terms of the Notes, the Company elected to settle these conversion obligations through a combination of cash, in an amount equal to the principal amount of the converted Notes, and shares of the Company's Common Stock in respect of any amounts due in excess thereof. Consequently, upon settlement of the Notes during the second quarter of 2014, the Company (i) paid $61.1 million in cash, (ii) issued 521,876 shares of Common Stock, (iii) recognized a $10.8 million loss on the debt extinguishment, and (iv) allocated $156.7 million of the settlement consideration provided to the Note holders to the reacquisition of the equity component of the Notes, and recognized such amount as a reduction of stockholder's equity.</w:t>
      </w:r>
    </w:p>
    <w:p>
      <w:pPr>
        <w:sectPr>
          <w:pgSz w:w="11900" w:h="16838" w:orient="portrait"/>
          <w:cols w:equalWidth="0" w:num="1">
            <w:col w:w="11420"/>
          </w:cols>
          <w:pgMar w:left="240" w:top="130" w:right="239"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30"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3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connection with the initial offering of the Notes in October 2011, the Company entered into convertible note hedge and warrant transactions with multiple counterparties, which were recorded to additional paid-in capital. As a result of the Note conversions described above, in the second quarter of 2014 the Company exercised a proportionate amount of its convertible note hedges, for which the Company received 521,876 shares of Common Stock, which was equivalent to the number of shares the Company was required to issue to settle the non-cash portion of the related Note conversions. The shares received were recorded as Treasury Stock, at cost, in the Company's Balance Sheet and Statement of Stockholders' Equity.</w:t>
      </w:r>
    </w:p>
    <w:p>
      <w:pPr>
        <w:spacing w:after="0" w:line="17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Also during the second quarter of 2014, the Company entered into agreements to reduce the number of warrants held by each of the warrant holders in proportion to the amount of Notes converted. Pursuant to the agreements, the Company paid an aggregate amount of $143.0 million to the warrant holders to reduce the maximum number of shares of Common Stock issuable upon exercise of the warrants from 4,760,840 to 4,033,324 (subject to adjustment from time to time as provided in the applicable warrant agreements). The remaining warrants expire, and will be exercisable, at various dates during 2017.</w:t>
      </w:r>
    </w:p>
    <w:p>
      <w:pPr>
        <w:spacing w:after="0" w:line="20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October 2014, the Company received notification that an additional $160.8 million principal amount of the Notes were surrendered for conversion, and settlement is anticipated during the fourth quarter of 2014. The Company elected to settle these conversion obligations through a combination of cash and shares (total payment will be based on the average of the volume-weighted-average prices of the Common Stock during the 40 trading-day cash settlement averaging period specified in the indenture governing the Notes). In connection with these Note conversions, the Company exercised a proportionate amount of its convertible note hedges, for which the Company expects to receive shares of Common Stock equivalent to the number of shares the Company will be required to issue to settle the non-cash portion of the related Note conversions.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83"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The Company is subject to U.S. federal, state, and foreign income taxes. The Company recorded an income tax provision in its Statement of Operations of $96.4 million and $84.4 million for the three months ended September 30, 2014 and 2013, respectively, and $316.6 million and $187.7 million for the nine months ended September 30, 2014 and 2013, respectively. The Company's effective tax rate was 54.7% and 37.4% for the three months ended September 30, 2014 and 2013, respectively, and 57.1% and 36.4% for the nine months ended September 30, 2014 and 2013, respectively. The Company's effective tax rate for the three and nine months ended September 30, 2014 was negatively impacted by losses incurred in foreign jurisdictions with rates lower than the federal statutory rate, the incremental charge related to the non-tax deductible Branded Prescription Drug Fee (see Note 2), and expiration at the end of 2013 of the federal tax credit for increased research activities. In addition, the Company's effective tax rate for the nine months ended September 30, 2014 was negatively impacted by New York State tax legislation enacted in the first quarter of 2014. This tax legislation reduced the New York State income tax rate to zero percent for "qualified manufacturers", including Regeneron, effective in 2014; however, it also resulted in the Company reducing its related deferred tax assets as a discrete item in the first quarter of 2014. As a result, this tax legislation caused a net increase in the Company's effective tax rate of 2.2% for the nine months ended September 30, 2014.</w:t>
      </w:r>
    </w:p>
    <w:p>
      <w:pPr>
        <w:spacing w:after="0" w:line="23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Company's effective tax rate for the nine months ended September 30, 2013 included, as a discrete item in the first quarter of 2013, the favorable impact of the enactment of The American Taxpayer Relief Act in January 2013. The American Taxpayer Relief Act included a provision to extend the income tax credit for increased research activities retroactively to the tax year ended December 31, 2012, as well as for 2013. As a result, the Company's 2012 research tax credit reduced its effective tax rate for the nine months ended September 30, 2013 by 4.3%.</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also recorded an income tax provision in its Statement of Comprehensive Income of $13.5 million and $14.9 million for the three and nine months ended September 30, 2014, respectively, in connection with the Company’s unrealized gains on “available-for-sale” marketable securities. For both the three and nine months ended September 30, 2013, no such income tax provision or benefit was required in connection with the Company’s unrealized gains (losses) on “available-for-sale” marketable securities.</w:t>
      </w:r>
    </w:p>
    <w:p>
      <w:pPr>
        <w:spacing w:after="0" w:line="119"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8"/>
          <w:szCs w:val="18"/>
          <w:color w:val="auto"/>
        </w:rPr>
        <w:t>Tax years subsequent to 2010 remain open to examination by federal tax authorities. The Company's 2011 federal income tax return is currently under audit by the IRS. During the second quarter of 2014, New York State tax authorities finalized their audit of the Company's 2009, 2010, and 2011 business corporation franchise tax returns with no adjustments</w:t>
      </w:r>
      <w:r>
        <w:rPr>
          <w:rFonts w:ascii="Arial" w:cs="Arial" w:eastAsia="Arial" w:hAnsi="Arial"/>
          <w:sz w:val="19"/>
          <w:szCs w:val="19"/>
          <w:color w:val="1F497D"/>
        </w:rPr>
        <w: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Cash Flows</w:t>
      </w:r>
    </w:p>
    <w:p>
      <w:pPr>
        <w:spacing w:after="0" w:line="283"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Supplemental disclosure of non-cash investing and financing activities: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Included in accounts payable and accrued expenses at September 30, 2014 and December 31, 2013 were $38.6 million and $16.1 million, respectively, of accrued capital expenditures primarily in connection with renovation of the Company's new Limerick, Ireland facility and expansion and renovations in its Rensselaer, New York manufacturing facilities. Included in accounts payable and accrued expenses at September 30, 2013 and December 31, 2012 were $18.4 million and $8.6 million, respectively, of accrued capital expenditures.</w:t>
      </w:r>
    </w:p>
    <w:p>
      <w:pPr>
        <w:spacing w:after="0" w:line="24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Pursuant to the application of authoritative guidance issued by the Financial Accounting Standards Board ("FASB") to the Company's lease of office and laboratory facilities in Tarrytown, New York, the Company recognized a facility lease obligation of $92.6 million and $7.7 million during the nine months ended September 30, 2014 and 2013, respectively, in connection with capitalizing, on the Company's books, the landlord's costs of constructing new facilities that the Company has leased. In addition, included in property, plant, and equipment at September 30, 2014 and September 30, 2013 were $4.5 million and $1.0 million of capitalized interest for the nine months ended September 30, 2014 and September 30, 2013, respectively, as the related facilities are currently under construction.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Matters</w:t>
      </w:r>
    </w:p>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Costs associated with the Company's involvement in legal proceedings are expensed as incurred.</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‘287 Patent and '018 Patent</w:t>
      </w:r>
    </w:p>
    <w:p>
      <w:pPr>
        <w:spacing w:after="0" w:line="14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Company is a party to patent infringement litigation involving its European Patent No. 1,360,287 (the "'287 Patent") and its U.S. Patent No. 8,502,018 (the "'018 Patent"), both of which concern genetically altered mice capable of producing chimeric antibodies that are part human and part mouse. Chimeric antibody sequences can be used to produce high-affinity fully human monoclonal antibodies. In these proceedings (the "'287 Patent Infringement Litigation" and "'018 Patent Infringement Litigation," respectively), the Company claims infringement of several claims of the '287 Patent and the '018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and the '018 Patent (as applicable). With respect to the '018 Patent Infringement Litigation against Ablexis, LLC, on October 31, 2014, the Company and Ablexis reached a confidential settlement and filed a joint stipulation dismissing the action with prejudice. As the '287 Patent Infringement Litigation and remaining '018 Patent Infringement Litigation proceedings are at an early stage, at this time the Company is not able to predict the outcome of, or an estimate of gain, if any, related to, these proceedings.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PCSK9 Antibody (Alirocumab)</w:t>
      </w:r>
    </w:p>
    <w:p>
      <w:pPr>
        <w:spacing w:after="0" w:line="14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October 17, 2014 and October 28, 2014, Amgen Inc. filed lawsuits against Regeneron, Sanofi, Aventisub LLC, and Aventis Pharmaceuticals, Inc. in the United States District Court for the District of Delaware seeking an injunction to prevent Regeneron and the other defendants from making, using, offering to sell, or selling within the United States (as well as importing into the United States) alirocumab, the antibody to PCSK9 for LDL cholesterol reduction Regeneron is jointly developing with Sanofi. In the complaints, Amgen asserts U.S. Patent Nos. 8,563,698, 8,829,165, and 8,859,741 and U.S. Patent Nos. 8,871,913 and 8,871,914, respectively. Amgen also seeks a judgment of patent infringement of the asserted patents, monetary damages (together with interest), costs and expenses of the lawsuits, and attorneys’ fees. This matter has not yet progressed sufficiently through discovery and/or development of important factual information and legal issues to enable the Company to estimate a range of possible loss, if 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Recently Issued Accounting Standards</w:t>
      </w:r>
    </w:p>
    <w:p>
      <w:pPr>
        <w:spacing w:after="0" w:line="148"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 xml:space="preserve">In May 2014, the FASB issued a new standard related to revenue recognition,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will replace existing revenue recognition guidance. The new standard requires an entity to recognize the amount of revenue to which it 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The new standard will be effective for annual and interim reporting periods beginning after December 15, 2016, and early adoption is not permitted. The standard allows for two transition methods - retrospectively to each prior reporting period presented or retrospectively with the cumulative effect of initially applying the standard recognized at the date of initial adoption. The Company has not yet determined its method of transition and is evaluating the impact that this guidance will have on the Company's financial statements.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8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6"/>
          <w:szCs w:val="16"/>
          <w:i w:val="1"/>
          <w:iCs w:val="1"/>
          <w:color w:val="auto"/>
        </w:rPr>
        <w:t>The discussion below contains forward-looking statements that involve risks and uncertainties relating to future events and the future performance of Regeneron Pharmaceuticals, Inc.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Regeneron's human genetics initiative;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sarilumab, alirocumab, and dupilumab; ongoing regulatory obligations and oversight impacting our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coverage and reimbursement determinations by third-party payers, including Medicare and Medicaid; unanticipated expenses; the costs of developing, producing, and selling products; our ability to meet any of our sales or other financial projections or guidance, including without limitation capital expenditures and income tax obligations, and changes to the assumptions underlying those projections or guidance; the potential for any license or collaboration agreement, including our agreements with Sanofi and Bayer HealthCare LLC, to be cancelled or terminated without any further product success; and risks associated with intellectual property of other parties and pending or future litigation relating thereto.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Regeneron Pharmaceuticals, Inc. is a fully integrated biopharmaceutical company that discovers, invents, develops, manufactures, and commercializes medicines for the treatment of serious medical conditions. We commercialize medicines for eye diseases, colorectal cancer, and a rare inflammatory condition and have product candidates in development in other areas of high unmet medical need, including hypercholesterolemia, oncology, rheumatoid arthritis (RA), asthma, and atopic dermatitis.</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total revenues were $725.8 million in the third quarter and $2,017.2 million in the first nine months of 2014, compared to $597.0 million in the third quarter and $1,494.3 million in the first nine months of 2013. Our net income was $79.7 million, or $0.70 per diluted share, in the third quarter and $237.9 million, or $2.10 per diluted share, in the first nine months of 2014, compared to net income of $141.3 million, or $1.25 per diluted share, in the third quarter and $327.6 million, or $2.95 per diluted share, in the first nine months of 2013. Refer to the "Results of Operations" section below for further details of our financial results.</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three marketed products:</w:t>
      </w:r>
    </w:p>
    <w:p>
      <w:pPr>
        <w:spacing w:after="0" w:line="275" w:lineRule="exact"/>
        <w:rPr>
          <w:sz w:val="20"/>
          <w:szCs w:val="20"/>
          <w:color w:val="auto"/>
        </w:rPr>
      </w:pPr>
    </w:p>
    <w:p>
      <w:pPr>
        <w:jc w:val="both"/>
        <w:ind w:left="66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EYLEA (aflibercept) Injection</w:t>
      </w:r>
      <w:r>
        <w:rPr>
          <w:rFonts w:ascii="Arial" w:cs="Arial" w:eastAsia="Arial" w:hAnsi="Arial"/>
          <w:sz w:val="18"/>
          <w:szCs w:val="18"/>
          <w:color w:val="auto"/>
        </w:rPr>
        <w:t>, known in the scientific literature as VEGF Trap-Eye, which is available in the United States, European Union</w:t>
      </w:r>
      <w:r>
        <w:rPr>
          <w:rFonts w:ascii="Arial" w:cs="Arial" w:eastAsia="Arial" w:hAnsi="Arial"/>
          <w:sz w:val="18"/>
          <w:szCs w:val="18"/>
          <w:b w:val="1"/>
          <w:bCs w:val="1"/>
          <w:color w:val="auto"/>
        </w:rPr>
        <w:t xml:space="preserve"> </w:t>
      </w:r>
      <w:r>
        <w:rPr>
          <w:rFonts w:ascii="Arial" w:cs="Arial" w:eastAsia="Arial" w:hAnsi="Arial"/>
          <w:sz w:val="18"/>
          <w:szCs w:val="18"/>
          <w:color w:val="auto"/>
        </w:rPr>
        <w:t>(EU), Japan, and certain other countries outside the United States for the treatment of neovascular age-related macular degeneration (wet AMD) and macular edema following central retinal vein occlusion (CRVO). In July 2014, the U.S. Food and Drug Administration (FDA) approved EYLEA for the treatment of diabetic macular edema (DME), and in August 2014, the European Commission approved EYLEA for the treatment of visual impairment due to DME. In September 2014, the Japanese Ministry of Health, Labour and Welfare (MHLW) approved EYLEA for myopic choroidal neovascularization (mCNV). In October 2014, the FDA approved EYLEA for the treatment of macular edema following retinal vein occlusion (RVO), which includes macular edema following branch retinal vein occlusion (BRVO). We are collaborating with Bayer HealthCare on the global development and commercialization of EYLEA outside the United States. Regulatory applications have been submitted for EYLEA in Japan, and certain markets within Asia Pacific and Latin America for the treatment of DME, and in Europe and Japan for the treatment of macular edema following BRVO.</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07" w:lineRule="exact"/>
        <w:rPr>
          <w:sz w:val="20"/>
          <w:szCs w:val="20"/>
          <w:color w:val="auto"/>
        </w:rPr>
      </w:pPr>
    </w:p>
    <w:p>
      <w:pPr>
        <w:jc w:val="both"/>
        <w:ind w:left="660" w:hanging="328"/>
        <w:spacing w:after="0" w:line="26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ZALTRAP</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color w:val="auto"/>
        </w:rPr>
        <w:t xml:space="preserve"> (ziv-aflibercept) Injection for Intravenous Infusion</w:t>
      </w:r>
      <w:r>
        <w:rPr>
          <w:rFonts w:ascii="Arial" w:cs="Arial" w:eastAsia="Arial" w:hAnsi="Arial"/>
          <w:sz w:val="16"/>
          <w:szCs w:val="16"/>
          <w:color w:val="auto"/>
        </w:rPr>
        <w:t>, known in the scientific literature as VEGF Trap, which is available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 EU, and certain other countries for treatment, in combination with 5-fluorouracil, leucovorin, irinotecan (FOLFIRI), of patients with metastatic colorectal cancer (mCRC) that is resistant to or has progressed following an oxaliplatin-containing regimen. Regulatory applications for marketing authorization of ZALTRAP for the treatment of previously treated mCRC patients in other countries have also been submitted and are currently under review by the respective regulatory agencies. We and Sanofi globally collaborate on the development and commercialization of</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ZALTRAP.</w:t>
      </w:r>
    </w:p>
    <w:p>
      <w:pPr>
        <w:spacing w:after="0" w:line="125" w:lineRule="exact"/>
        <w:rPr>
          <w:rFonts w:ascii="Arial" w:cs="Arial" w:eastAsia="Arial" w:hAnsi="Arial"/>
          <w:sz w:val="16"/>
          <w:szCs w:val="16"/>
          <w:color w:val="auto"/>
        </w:rPr>
      </w:pPr>
    </w:p>
    <w:p>
      <w:pPr>
        <w:jc w:val="both"/>
        <w:ind w:left="660" w:hanging="328"/>
        <w:spacing w:after="0" w:line="22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ARCALYST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color w:val="auto"/>
        </w:rPr>
        <w:t xml:space="preserve"> (rilonacept) Injection for Subcutaneous Use</w:t>
      </w:r>
      <w:r>
        <w:rPr>
          <w:rFonts w:ascii="Arial" w:cs="Arial" w:eastAsia="Arial" w:hAnsi="Arial"/>
          <w:sz w:val="18"/>
          <w:szCs w:val="18"/>
          <w:color w:val="auto"/>
        </w:rPr>
        <w:t>, which is available in the United States for the treatment of Cryopyrin-Associated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Syndromes (CAPS), including Familial Cold Auto-inflammatory Syndrome (FCAS) and Muckle-Wells Syndrome (MWS), in adults and children 12 years and older.</w:t>
      </w:r>
    </w:p>
    <w:p>
      <w:pPr>
        <w:spacing w:after="0" w:line="12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 xml:space="preserve">We have 18 product candidates in clinical development, all of which were discovered in our research laboratories. These consist of two Trap-based clinical programs and 16 fully human monoclonal antibody product candidates, as summarized below. Each of the antibodies in the table below was generated using our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technology.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4375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Trap-based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EYLEA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445770"/>
                    </a:xfrm>
                    <a:prstGeom prst="rect">
                      <a:avLst/>
                    </a:prstGeom>
                    <a:noFill/>
                  </pic:spPr>
                </pic:pic>
              </a:graphicData>
            </a:graphic>
          </wp:anchor>
        </w:drawing>
      </w:r>
    </w:p>
    <w:p>
      <w:pPr>
        <w:spacing w:after="0" w:line="43" w:lineRule="exact"/>
        <w:rPr>
          <w:sz w:val="20"/>
          <w:szCs w:val="20"/>
          <w:color w:val="auto"/>
        </w:rPr>
      </w:pPr>
    </w:p>
    <w:p>
      <w:pPr>
        <w:ind w:left="40" w:right="200"/>
        <w:spacing w:after="0" w:line="264" w:lineRule="auto"/>
        <w:rPr>
          <w:sz w:val="20"/>
          <w:szCs w:val="20"/>
          <w:color w:val="auto"/>
        </w:rPr>
      </w:pPr>
      <w:r>
        <w:rPr>
          <w:rFonts w:ascii="Arial" w:cs="Arial" w:eastAsia="Arial" w:hAnsi="Arial"/>
          <w:sz w:val="18"/>
          <w:szCs w:val="18"/>
          <w:color w:val="auto"/>
        </w:rPr>
        <w:t>In Phase 3 clinical development for the treatment of wet AMD (Asia) and DME in collaboration with Bayer HealthCare. As described below, EYLEA is also being studied in combination with (i) an antibody to Platelet Derived Growth Factor Receptor Beta (PDGFR-beta), and (ii) an antibody to angiopoietin-2 (Ang2).</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ZALTRAP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Phase 3 clinical development in metastatic colorectal cancer in the Asia-Pacific region (in collaboration with Sanofi).</w:t>
      </w:r>
    </w:p>
    <w:p>
      <w:pPr>
        <w:spacing w:after="0" w:line="5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Antibody-based Clinical Programs in Collaboration with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Alirocumab (REGN727)</w:t>
      </w:r>
    </w:p>
    <w:p>
      <w:pPr>
        <w:spacing w:after="0" w:line="117" w:lineRule="exact"/>
        <w:rPr>
          <w:sz w:val="20"/>
          <w:szCs w:val="20"/>
          <w:color w:val="auto"/>
        </w:rPr>
      </w:pPr>
    </w:p>
    <w:p>
      <w:pPr>
        <w:ind w:left="40" w:right="520"/>
        <w:spacing w:after="0" w:line="277" w:lineRule="auto"/>
        <w:rPr>
          <w:sz w:val="20"/>
          <w:szCs w:val="20"/>
          <w:color w:val="auto"/>
        </w:rPr>
      </w:pPr>
      <w:r>
        <w:rPr>
          <w:rFonts w:ascii="Arial" w:cs="Arial" w:eastAsia="Arial" w:hAnsi="Arial"/>
          <w:sz w:val="18"/>
          <w:szCs w:val="18"/>
          <w:color w:val="auto"/>
        </w:rPr>
        <w:t>Antibody to Proprotein Convertase Subtilisin/Kexin type 9 (PCSK9). In Phase 3 clinical development for low-density lipoprotein (LDL) cholesterol reduction and for the prevention of cardiovascular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Sarilumab (REGN88)</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the interleukin-6 receptor (IL-6R). In clinical development in rheumatoid arthritis (Phase 3) and non-infectious uveitis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Dupilumab (REGN668)</w:t>
      </w:r>
    </w:p>
    <w:p>
      <w:pPr>
        <w:spacing w:after="0" w:line="63" w:lineRule="exact"/>
        <w:rPr>
          <w:sz w:val="20"/>
          <w:szCs w:val="20"/>
          <w:color w:val="auto"/>
        </w:rPr>
      </w:pPr>
    </w:p>
    <w:p>
      <w:pPr>
        <w:ind w:left="40" w:right="540"/>
        <w:spacing w:after="0" w:line="277" w:lineRule="auto"/>
        <w:rPr>
          <w:sz w:val="20"/>
          <w:szCs w:val="20"/>
          <w:color w:val="auto"/>
        </w:rPr>
      </w:pPr>
      <w:r>
        <w:rPr>
          <w:rFonts w:ascii="Arial" w:cs="Arial" w:eastAsia="Arial" w:hAnsi="Arial"/>
          <w:sz w:val="18"/>
          <w:szCs w:val="18"/>
          <w:color w:val="auto"/>
        </w:rPr>
        <w:t>Antibody to the interleukin-4 receptor (IL-4R) alpha subunit. In clinical development in atopic dermatitis (Phase 3), asthma (Phase 2b), and chronic sinusitis with nasal polyps (CSwNP)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REGN1033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myostatin (GDF8). In Phase 2 clinical development in skeletal muscle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37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Nesvacumab (REGN910)</w:t>
      </w:r>
    </w:p>
    <w:p>
      <w:pPr>
        <w:spacing w:after="0" w:line="117"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Antibody to Ang2, a novel angiogenesis target. In Phase 1 clinical development in oncology. Currently on partial clinical hold by the FDA for systemic use in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437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i w:val="1"/>
          <w:iCs w:val="1"/>
          <w:color w:val="auto"/>
        </w:rPr>
        <w:t>REGN2222</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against respiratory syncytial virus (RSV). Phase 1 clinical study initiated in the second quarter of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Antibody-based Clinical Programs in Collaboration with Bayer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REGN2176-3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342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34290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Combination product comprised of an antibody to PDGFR-beta co-formulated with EYLEA for use in ophthalmology, via intravitreal administration.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Phase 1 clinical study for the treatment of wet AMD initiated in the first quarter of 2014.</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Antibody-based Clinical Programs Developing Independently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REGN1908-1909</w:t>
      </w:r>
      <w:r>
        <w:rPr>
          <w:rFonts w:ascii="Arial" w:cs="Arial" w:eastAsia="Arial" w:hAnsi="Arial"/>
          <w:sz w:val="25"/>
          <w:szCs w:val="25"/>
          <w:b w:val="1"/>
          <w:bCs w:val="1"/>
          <w:i w:val="1"/>
          <w:iCs w:val="1"/>
          <w:color w:val="auto"/>
          <w:vertAlign w:val="superscript"/>
        </w:rPr>
        <w:t>*</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combination in Phase 1/Phase 2 clinical development against allergic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437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REGN1400</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ErbB3. In Phase 1 clinical development in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REGN1154</w:t>
      </w:r>
      <w:r>
        <w:rPr>
          <w:rFonts w:ascii="Arial" w:cs="Arial" w:eastAsia="Arial" w:hAnsi="Arial"/>
          <w:sz w:val="25"/>
          <w:szCs w:val="25"/>
          <w:b w:val="1"/>
          <w:bCs w:val="1"/>
          <w:i w:val="1"/>
          <w:iCs w:val="1"/>
          <w:color w:val="auto"/>
          <w:vertAlign w:val="superscript"/>
        </w:rPr>
        <w:t>*</w:t>
      </w:r>
    </w:p>
    <w:p>
      <w:pPr>
        <w:ind w:left="40"/>
        <w:spacing w:after="0"/>
        <w:rPr>
          <w:sz w:val="20"/>
          <w:szCs w:val="20"/>
          <w:color w:val="auto"/>
        </w:rPr>
      </w:pPr>
      <w:r>
        <w:rPr>
          <w:rFonts w:ascii="Arial" w:cs="Arial" w:eastAsia="Arial" w:hAnsi="Arial"/>
          <w:sz w:val="18"/>
          <w:szCs w:val="18"/>
          <w:color w:val="auto"/>
        </w:rPr>
        <w:t>Antibody against an undisclosed target. Phase 1 clinical study in Australia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4375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REGN1500</w:t>
      </w:r>
      <w:r>
        <w:rPr>
          <w:rFonts w:ascii="Arial" w:cs="Arial" w:eastAsia="Arial" w:hAnsi="Arial"/>
          <w:sz w:val="25"/>
          <w:szCs w:val="25"/>
          <w:b w:val="1"/>
          <w:bCs w:val="1"/>
          <w:i w:val="1"/>
          <w:iCs w:val="1"/>
          <w:color w:val="auto"/>
          <w:vertAlign w:val="superscript"/>
        </w:rPr>
        <w:t>*</w:t>
      </w:r>
    </w:p>
    <w:p>
      <w:pPr>
        <w:ind w:left="40" w:right="140"/>
        <w:spacing w:after="0" w:line="259" w:lineRule="auto"/>
        <w:rPr>
          <w:sz w:val="20"/>
          <w:szCs w:val="20"/>
          <w:color w:val="auto"/>
        </w:rPr>
      </w:pPr>
      <w:r>
        <w:rPr>
          <w:rFonts w:ascii="Arial" w:cs="Arial" w:eastAsia="Arial" w:hAnsi="Arial"/>
          <w:sz w:val="18"/>
          <w:szCs w:val="18"/>
          <w:color w:val="auto"/>
        </w:rPr>
        <w:t>Antibody to Angptl-3 in Phase 1 clinical development. Studies are ongoing under a partial clinical hold by the FDA that excludes women of childbearing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4375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REGN1193</w:t>
      </w:r>
      <w:r>
        <w:rPr>
          <w:rFonts w:ascii="Arial" w:cs="Arial" w:eastAsia="Arial" w:hAnsi="Arial"/>
          <w:sz w:val="25"/>
          <w:szCs w:val="25"/>
          <w:b w:val="1"/>
          <w:bCs w:val="1"/>
          <w:i w:val="1"/>
          <w:iCs w:val="1"/>
          <w:color w:val="auto"/>
          <w:vertAlign w:val="superscript"/>
        </w:rPr>
        <w:t>*</w:t>
      </w:r>
    </w:p>
    <w:p>
      <w:pPr>
        <w:ind w:left="40"/>
        <w:spacing w:after="0"/>
        <w:rPr>
          <w:sz w:val="20"/>
          <w:szCs w:val="20"/>
          <w:color w:val="auto"/>
        </w:rPr>
      </w:pPr>
      <w:r>
        <w:rPr>
          <w:rFonts w:ascii="Arial" w:cs="Arial" w:eastAsia="Arial" w:hAnsi="Arial"/>
          <w:sz w:val="18"/>
          <w:szCs w:val="18"/>
          <w:color w:val="auto"/>
        </w:rPr>
        <w:t>Antibody in Phase 1 clinical development against an undisclosed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4375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Enoticumab (REGN421)</w:t>
      </w:r>
      <w:r>
        <w:rPr>
          <w:rFonts w:ascii="Arial" w:cs="Arial" w:eastAsia="Arial" w:hAnsi="Arial"/>
          <w:sz w:val="25"/>
          <w:szCs w:val="25"/>
          <w:b w:val="1"/>
          <w:bCs w:val="1"/>
          <w:i w:val="1"/>
          <w:iCs w:val="1"/>
          <w:color w:val="auto"/>
          <w:vertAlign w:val="superscript"/>
        </w:rPr>
        <w:t>*</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Delta-like ligand-4 (Dll4), a novel angiogenesis target. In Phase 1 clinical development in oncology (advanced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4375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REGN1979</w:t>
      </w:r>
    </w:p>
    <w:p>
      <w:pPr>
        <w:spacing w:after="0" w:line="63" w:lineRule="exact"/>
        <w:rPr>
          <w:sz w:val="20"/>
          <w:szCs w:val="20"/>
          <w:color w:val="auto"/>
        </w:rPr>
      </w:pPr>
    </w:p>
    <w:p>
      <w:pPr>
        <w:ind w:left="40" w:right="1940"/>
        <w:spacing w:after="0" w:line="296" w:lineRule="auto"/>
        <w:rPr>
          <w:sz w:val="20"/>
          <w:szCs w:val="20"/>
          <w:color w:val="auto"/>
        </w:rPr>
      </w:pPr>
      <w:r>
        <w:rPr>
          <w:rFonts w:ascii="Arial" w:cs="Arial" w:eastAsia="Arial" w:hAnsi="Arial"/>
          <w:sz w:val="18"/>
          <w:szCs w:val="18"/>
          <w:color w:val="auto"/>
        </w:rPr>
        <w:t xml:space="preserve">Bispecific antibody against both CD20 and CD3 for use in oncology. Phase 1 clinical study initiated in the third quarter of 2014. </w:t>
      </w:r>
      <w:r>
        <w:rPr>
          <w:rFonts w:ascii="Arial" w:cs="Arial" w:eastAsia="Arial" w:hAnsi="Arial"/>
          <w:sz w:val="18"/>
          <w:szCs w:val="18"/>
          <w:b w:val="1"/>
          <w:bCs w:val="1"/>
          <w:i w:val="1"/>
          <w:iCs w:val="1"/>
          <w:color w:val="auto"/>
        </w:rPr>
        <w:t>REGN910-3</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4375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ind w:left="40" w:right="360"/>
        <w:spacing w:after="0" w:line="259" w:lineRule="auto"/>
        <w:rPr>
          <w:sz w:val="20"/>
          <w:szCs w:val="20"/>
          <w:color w:val="auto"/>
        </w:rPr>
      </w:pPr>
      <w:r>
        <w:rPr>
          <w:rFonts w:ascii="Arial" w:cs="Arial" w:eastAsia="Arial" w:hAnsi="Arial"/>
          <w:sz w:val="18"/>
          <w:szCs w:val="18"/>
          <w:color w:val="auto"/>
        </w:rPr>
        <w:t>Combination product comprised of an antibody to Ang2 co-formulated with EYLEA for use in ophthalmology, via intravitreal administration. Phase 1 clinical study initiated in the fourth quarter of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4375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Fasinumab (REGN475)</w:t>
      </w:r>
      <w:r>
        <w:rPr>
          <w:rFonts w:ascii="Arial" w:cs="Arial" w:eastAsia="Arial" w:hAnsi="Arial"/>
          <w:sz w:val="25"/>
          <w:szCs w:val="25"/>
          <w:b w:val="1"/>
          <w:bCs w:val="1"/>
          <w:i w:val="1"/>
          <w:iCs w:val="1"/>
          <w:color w:val="auto"/>
          <w:vertAlign w:val="superscript"/>
        </w:rPr>
        <w:t>*</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Nerve Growth Factor (NGF). In development for the treatment of pain; currently on partial clinical hold by the FDA.</w:t>
      </w:r>
    </w:p>
    <w:p>
      <w:pPr>
        <w:sectPr>
          <w:pgSz w:w="11900" w:h="16838" w:orient="portrait"/>
          <w:cols w:equalWidth="0" w:num="1">
            <w:col w:w="11220"/>
          </w:cols>
          <w:pgMar w:left="240" w:top="130" w:right="439" w:bottom="1440" w:gutter="0" w:footer="0" w:header="0"/>
        </w:sectPr>
      </w:pPr>
    </w:p>
    <w:p>
      <w:pPr>
        <w:spacing w:after="0" w:line="32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20"/>
          </w:cols>
          <w:pgMar w:left="240" w:top="130" w:right="4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40" w:right="160" w:firstLine="9"/>
        <w:spacing w:after="0" w:line="253" w:lineRule="auto"/>
        <w:tabs>
          <w:tab w:leader="none" w:pos="121" w:val="left"/>
        </w:tabs>
        <w:numPr>
          <w:ilvl w:val="0"/>
          <w:numId w:val="7"/>
        </w:numPr>
        <w:rPr>
          <w:rFonts w:ascii="Arial" w:cs="Arial" w:eastAsia="Arial" w:hAnsi="Arial"/>
          <w:sz w:val="9"/>
          <w:szCs w:val="9"/>
          <w:color w:val="auto"/>
        </w:rPr>
      </w:pPr>
      <w:r>
        <w:rPr>
          <w:rFonts w:ascii="Arial" w:cs="Arial" w:eastAsia="Arial" w:hAnsi="Arial"/>
          <w:sz w:val="14"/>
          <w:szCs w:val="14"/>
          <w:color w:val="auto"/>
        </w:rPr>
        <w:t>Sanofi did not opt-in to or elected not to continue to co-develop the product candidate and we have sole global rights. Under the terms of our agreement, Sanofi is entitled to receive a mid-single digit royalty on any future sales of the product candidate.</w:t>
      </w:r>
    </w:p>
    <w:p>
      <w:pPr>
        <w:spacing w:after="0" w:line="12" w:lineRule="exact"/>
        <w:rPr>
          <w:sz w:val="20"/>
          <w:szCs w:val="20"/>
          <w:color w:val="auto"/>
        </w:rPr>
      </w:pPr>
    </w:p>
    <w:p>
      <w:pPr>
        <w:ind w:left="40" w:right="180" w:firstLine="9"/>
        <w:spacing w:after="0" w:line="253" w:lineRule="auto"/>
        <w:tabs>
          <w:tab w:leader="none" w:pos="163" w:val="left"/>
        </w:tabs>
        <w:numPr>
          <w:ilvl w:val="0"/>
          <w:numId w:val="8"/>
        </w:numPr>
        <w:rPr>
          <w:rFonts w:ascii="Arial" w:cs="Arial" w:eastAsia="Arial" w:hAnsi="Arial"/>
          <w:sz w:val="9"/>
          <w:szCs w:val="9"/>
          <w:color w:val="auto"/>
        </w:rPr>
      </w:pPr>
      <w:r>
        <w:rPr>
          <w:rFonts w:ascii="Arial" w:cs="Arial" w:eastAsia="Arial" w:hAnsi="Arial"/>
          <w:sz w:val="14"/>
          <w:szCs w:val="14"/>
          <w:color w:val="auto"/>
        </w:rPr>
        <w:t>We acquired from Sanofi full exclusive rights to antibodies targeting the Ang2 receptor and ligand in ophthalmology, which were previously included in our antibody collaboration with Sanofi. Under the terms of our agreement, Sanofi is entitled to receive a potential development milestone and royalties on any future sales of the product candidate.</w:t>
      </w:r>
    </w:p>
    <w:p>
      <w:pPr>
        <w:spacing w:after="0" w:line="25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Development of REGN2009, which was an antibody in Phase 1 clinical development against an undisclosed target, was discontinued in the second quarter of 2014.</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technologies, and to combine that foundation with our clinical development, manufacturing, and commercial capabilities. We are executing our long-term objective to build a successful, integrated, multi-product biopharmaceutical company that provides patients and medical professionals with innovative options for preventing and treating human diseases.</w:t>
      </w:r>
    </w:p>
    <w:p>
      <w:pPr>
        <w:spacing w:after="0" w:line="241" w:lineRule="exact"/>
        <w:rPr>
          <w:sz w:val="20"/>
          <w:szCs w:val="20"/>
          <w:color w:val="auto"/>
        </w:rPr>
      </w:pPr>
    </w:p>
    <w:p>
      <w:pPr>
        <w:jc w:val="both"/>
        <w:ind w:firstLine="243"/>
        <w:spacing w:after="0" w:line="216"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to understand the role of these proteins in normal physiology, as well as in models of disease. Our human monoclonal antibody technology (</w:t>
      </w:r>
      <w:r>
        <w:rPr>
          <w:rFonts w:ascii="Arial" w:cs="Arial" w:eastAsia="Arial" w:hAnsi="Arial"/>
          <w:sz w:val="18"/>
          <w:szCs w:val="18"/>
          <w:i w:val="1"/>
          <w:iCs w:val="1"/>
          <w:color w:val="auto"/>
        </w:rPr>
        <w:t>VelocImmune</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We continue to invest in the development of enabling technologies to assist in our efforts to identify, develop, manufacture, and commercialize new product candidates.</w:t>
      </w:r>
    </w:p>
    <w:p>
      <w:pPr>
        <w:spacing w:after="0" w:line="26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early 2014, we launched a new human genetics initiative via a wholly owned subsidiary, Regeneron Genetics Center LLC (RGC). RGC performs sequencing and genotyping to generate de-identified genomic data.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both large population-based efforts as well as family-based approaches.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(aflibercept) Injection</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product sales of EYLEA in the United States were $445.0 million in the third quarter and $1,218.8 million in the first nine months of 2014, compared to $363.1 million in the third quarter and $1,006.8 million in the first nine months of 2013. Bayer HealthCare records revenue from sales of EYLEA outside the United States, which were $277.0 million in the third quarter and $741.9 million in the first nine months of 2014, compared to $124.8 million in the third quarter and $288.3 million in the first nine months of 2013.</w:t>
      </w:r>
    </w:p>
    <w:p>
      <w:pPr>
        <w:spacing w:after="0" w:line="24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commenced sales of EYLEA for the treatment of wet AMD in November 2011, for the treatment of macular edema following CRVO in September 2012, and for the treatment of DME in July 2014, following receipt of regulatory approval in the United States. In addition, in October 2014, the FDA approved EYLEA for the treatment of macular edema following RVO, which includes macular edema following BRVO. Bayer HealthCare commenced sales of EYLEA for the treatment of wet AMD in the fourth quarter of 2012 and for the treatment of macular edema secondary to CRVO following receipt of regulatory approvals outside the United States. In addition, Bayer HealthCare commenced sales of EYLEA for the treatment of visual impairment due to DME in the third quarter of 2014 following receipt of regulatory approval in the EU. In September 2014, the Japanese MHLW approved EYLEA for mCNV. Bayer HealthCare has additional regulatory applications for EYLEA for the treatment of wet AMD, macular edema secondary to CRVO, and DME pending in other countries. In addition, Bayer HealthCare has submitted applications to the European Medicines Agency (EMA) and MHLW seeking marketing authorization in the EU and Japan, respectively, for EYLEA for the treatment of macular edema following BRVO.</w:t>
      </w:r>
    </w:p>
    <w:p>
      <w:pPr>
        <w:spacing w:after="0" w:line="18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September 2014, based on data from the VIVID-DME and VISTA-DME trials, the FDA granted EYLEA Breakthrough Therapy designation for the treatment of diabetic retinopathy in patients with DME.</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collaborating with Bayer HealthCare on the global development and commercialization of EYLEA outside the United States. Bayer HealthCare markets, and records revenue from sales of, EYLEA outside the United States, where, for countries other than Japan, the companies share equally the profits and losses from sales of EYLEA. In Japan, we are entitled to receive a percentage of the sales of EYLEA. We maintain exclusive rights to EYLEA in the United States and are entitled to all profits from such sales.</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ZALTRAP (ziv-aflibercept) Injection for Intravenous Infusion</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and Sanofi globally collaborate on the development and commercialization of ZALTRAP, and share profits and losses from commercialization of ZALTRAP, except for Japan, where we are entitled to receive a percentage of the sales of ZALTRAP.</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0" w:right="239" w:bottom="1440" w:gutter="0" w:footer="0" w:header="0"/>
          <w:type w:val="continuous"/>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ZALTRAP net product sales, which are recorded by Sanofi, commenced in the United States in August 2012 and in Europe in the first quarter of 2013, and were $23.4 million in the third quarter and $66.2 million in the first nine months of 2014, compared to $17.8 million in the third quarter and $50.5 million in the first nine months of 2013. Regulatory applications for marketing authorization of ZALTRAP for the treatment of previously treated mCRC patients in other countries have also been submitted and are currently under review by the respective regulatory agencies.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ARCALYST (rilonacept) Injection for Subcutaneous Use</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ARCALYST (rilonacept) Injection for Subcutaneous Use is available in the United States for the treatment of CAPS in adults and children 12 years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 Net product sales of ARCALYST totaled $3.8 million in the third quarter and $10.4 million in the first nine months of 2014, compared to $4.0 million in the third quarter and $12.9 million in the first nine months of 2013.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Trap-based Clinical Programs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 Ophthalmologic Diseases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CRVO is caused by obstruction of the central retinal vein that leads to a back-up of blood and fluid in the retina. Release of VEGF contributes to increased vascular permeability in the eye and macular edema. In BRVO, a blockage occurs in the blood vessels branching from the main vein draining the retina, resulting in the release of VEGF and consequent retinal edema. For centrally involved DME, VEGF-mediated leakage of fluid from blood vessels in the eye results in interference with vision. Wet AMD, diabetic retinopathy (which includes DME), and retinal vein occlusion are three of the leading causes of adult blindness in the developed world. In these conditions, severe visual loss is caused by neovascular proliferation and/or retinal edema.</w:t>
      </w:r>
    </w:p>
    <w:p>
      <w:pPr>
        <w:spacing w:after="0" w:line="25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Wet AMD</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Phase 3 SIGHT Trial. </w:t>
      </w:r>
      <w:r>
        <w:rPr>
          <w:rFonts w:ascii="Arial" w:cs="Arial" w:eastAsia="Arial" w:hAnsi="Arial"/>
          <w:sz w:val="18"/>
          <w:szCs w:val="18"/>
          <w:color w:val="auto"/>
        </w:rPr>
        <w:t>In the fourth quarter of 2011, we and Bayer HealthCare initiated a Phase 3 trial in China evaluating the efficacy and safety of</w:t>
      </w:r>
      <w:r>
        <w:rPr>
          <w:rFonts w:ascii="Arial" w:cs="Arial" w:eastAsia="Arial" w:hAnsi="Arial"/>
          <w:sz w:val="18"/>
          <w:szCs w:val="18"/>
          <w:i w:val="1"/>
          <w:iCs w:val="1"/>
          <w:color w:val="auto"/>
        </w:rPr>
        <w:t xml:space="preserve"> </w:t>
      </w:r>
      <w:r>
        <w:rPr>
          <w:rFonts w:ascii="Arial" w:cs="Arial" w:eastAsia="Arial" w:hAnsi="Arial"/>
          <w:sz w:val="18"/>
          <w:szCs w:val="18"/>
          <w:color w:val="auto"/>
        </w:rPr>
        <w:t>EYLEA in wet AMD (SIGHT). In the trial, EYLEA 2 milligrams (mg) dosed every two months achieved the primary endpoint of a significantly greater improvement in best-corrected visual acuity (BCVA) from baseline compared to photodynamic therapy (PDT) at 28 weeks (14 letters for EYLEA vs. 3.9 letters for PDT, p&lt;0.0001). The safety results were consistent with results from prior studies in wet AMD.</w:t>
      </w:r>
    </w:p>
    <w:p>
      <w:pPr>
        <w:spacing w:after="0" w:line="24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RE-VIEW Study</w:t>
      </w:r>
      <w:r>
        <w:rPr>
          <w:rFonts w:ascii="Arial" w:cs="Arial" w:eastAsia="Arial" w:hAnsi="Arial"/>
          <w:sz w:val="18"/>
          <w:szCs w:val="18"/>
          <w:color w:val="auto"/>
        </w:rPr>
        <w:t>. In the fourth quarter of 2012, we initiated a study (RE-VIEW) to fulfill a post-marketing requirement by the FDA, which is evaluating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 of EYLEA on corneal endothelium. The trial is fully enrolled.</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DME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Phase 3 VISTA-DME and VIVID-DME Trials</w:t>
      </w:r>
      <w:r>
        <w:rPr>
          <w:rFonts w:ascii="Arial" w:cs="Arial" w:eastAsia="Arial" w:hAnsi="Arial"/>
          <w:sz w:val="18"/>
          <w:szCs w:val="18"/>
          <w:color w:val="auto"/>
        </w:rPr>
        <w:t>. We are conducting the VISTA-DME study in the United States. Bayer HealthCare is conducting the VIVID-DME study in Europe, Japan, and Australia. Patients in both trials were randomized to receive either EYLEA 2 mg monthly, EYLEA 2 mg every two months (after 5 initial monthly injections), or the comparator treatment of laser photocoagulation.</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Based on the positive results of the Phase 3 VISTA-DME and VIVID-DME trials of EYLEA for the treatment of DME at 52 weeks, we submitted a supplemental Biologics License Application (BLA) for U.S. regulatory approval of EYLEA in DME and in July 2014, the FDA approved EYLEA for the treatment of DME. Bayer HealthCare also submitted an application for marketing approval for the treatment of DME in the EU, and the European Commission approved EYLEA for the treatment of visual impairment due to DME in August 2014. Bayer HealthCare has made regulatory submissions in Japan, and certain markets within Asia Pacific and Latin America.</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0"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February 2014, we and Bayer HealthCare announced that in the Phase 3 VISTA-DME trial of EYLEA for the treatment of DME, EYLEA 2 mg dosed monthly and EYLEA 2 mg dosed every two months (after 5 initial monthly injections) showed a sustained improvement from baseline in BCVA at week 100, compared to laser photocoagulation. After two years, patients receiving EYLEA 2 mg monthly had a mean change from baseline in BCVA of 11.5 letters and patients receiving EYLEA 2 mg every other month (after 5 initial monthly injections) had a mean change from baseline in BCVA of 11.1 letters, compared to patients receiving laser photocoagulation who had a mean change from baseline in BCVA of 0.9 letters. In the VISTA-DME trial, EYLEA was generally well tolerated with a similar overall incidence of adverse events (AEs), ocular serious AEs, and non-ocular serious AEs across the treatment groups and the laser control group. The most frequent ocular treatment emergent AEs (TEAEs) observed included conjunctival hemorrhage, eye pain, and vitreous floaters. The most frequent non-ocular TEAEs included hypertension, nasopharyngitis, anemia, and urinary tract infection, which occurred with similar frequency in the treatment groups and the laser control group. Arterial thromboembolic events as defined by the Anti-Platelet Trialists' Collaboration (non-fatal stroke, non-fatal myocardial infarction, and vascular death) were similar across the treatment groups and the laser control group with events occurring in 13 out of 155 patients in the EYLEA 2 mg dosed monthly group, 11 out of 152 patients in the EYLEA 2 mg dosed every two months group, and 9 out of 154 patients in the laser treatment group. Eight out of 155 patients died in the EYLEA 2 mg dosed monthly group, 4 out of 152 patients in the EYLEA 2 mg dosed every two months group, and 3 out of 154 patients in the laser treatment group.</w:t>
      </w:r>
    </w:p>
    <w:p>
      <w:pPr>
        <w:spacing w:after="0" w:line="24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In July 2014, we announced that in the Phase 3 VIVID-DME trial, EYLEA 2 mg dosed monthly and EYLEA 2 mg dosed every two months (after 5 initial monthly injections) showed a sustained improvement from baseline in BCVA at week 100 (2 years), compared to laser photocoagulation. After two years, patients receiving EYLEA 2 mg monthly had a mean change from baseline in BCVA of 11.4 letters and patients receiving EYLEA 2 mg every two months had a mean change from baseline in BCVA of 9.4 letters, compared to patients receiving laser photocoagulation who had a mean change from baseline in BCVA of 0.7 letters. Additionally, 31.1% of patients receiving EYLEA every two months achieved an increase of greater than or equal to 15 letters, or approximately 3 lines of vision, from baseline (P = 0.0001), and 38.2% receiving EYLEA every month achieved an increase of greater than or equal to 15 letters from baseline (P less than 0.0001 vs. laser), compared with 12.1% of patients in the laser control arm achieving similar vision gains. In the VIVID-DME trial, EYLEA had a similar overall incidence of AEs, ocular serious AEs, and non-ocular serious AEs across the EYLEA treatment groups and the laser control group. The most frequent ocular AEs observed in the VIVID-DME trial included conjunctival hemorrhage, cataract, and increased intraocular pressure. The most frequent non-ocular AEs included nasopharyngitis and hypertension. Arterial thromboembolic events as defined by the Anti-Platelet Trialists' Collaboration (non-fatal stroke, non-fatal myocardial infarction, and vascular death) were similar across the treatment groups and the laser control group. Four out of 136 patients died in the EYLEA 2 mg dosed monthly group, 6 out of 135 patients in the EYLEA 2 mg dosed every two months group, and 1 out of 133 patients in the laser treatment group. Full two-year data from the VIVID-DME trial were presented at medical conferences in 2014.</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Both the VIVID-DME and VISTA-DME trials will continue as planned up to 148 weeks.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September 2014, based on data from the VIVID-DME and VISTA-DME trials, the FDA granted EYLEA Breakthrough Therapy designation for the treatment of diabetic retinopathy in patients with DME.</w:t>
      </w:r>
    </w:p>
    <w:p>
      <w:pPr>
        <w:spacing w:after="0" w:line="1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Phase 3 VIVID-Japan and VIVID EAST-DME Studies. </w:t>
      </w:r>
      <w:r>
        <w:rPr>
          <w:rFonts w:ascii="Arial" w:cs="Arial" w:eastAsia="Arial" w:hAnsi="Arial"/>
          <w:sz w:val="18"/>
          <w:szCs w:val="18"/>
          <w:color w:val="auto"/>
        </w:rPr>
        <w:t>An additional Phase 3 safety study in Japan (VIVID-Japan) was initiated in the first quarter of 2012</w:t>
      </w:r>
      <w:r>
        <w:rPr>
          <w:rFonts w:ascii="Arial" w:cs="Arial" w:eastAsia="Arial" w:hAnsi="Arial"/>
          <w:sz w:val="18"/>
          <w:szCs w:val="18"/>
          <w:i w:val="1"/>
          <w:iCs w:val="1"/>
          <w:color w:val="auto"/>
        </w:rPr>
        <w:t xml:space="preserve"> </w:t>
      </w:r>
      <w:r>
        <w:rPr>
          <w:rFonts w:ascii="Arial" w:cs="Arial" w:eastAsia="Arial" w:hAnsi="Arial"/>
          <w:sz w:val="18"/>
          <w:szCs w:val="18"/>
          <w:color w:val="auto"/>
        </w:rPr>
        <w:t>and is required for approval in Japan. In the first quarter of 2014, Bayer HealthCare reported positive results from the VIVID-Japan study, which did not change the overall safety profile for EYLEA in DME, and submitted an application for marketing authorization of EYLEA for the treatment of DME in Japan. In February 2013, we and Bayer HealthCare also initiated another Phase 3 study to evaluate the efficacy and safety of EYLEA in DME in Russia, China, and other Asian countries (VIVID EAST-DME). This trial is fully enrolled.</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Macular Edema Following RVO</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Phase 3 VIBRANT Study</w:t>
      </w:r>
      <w:r>
        <w:rPr>
          <w:rFonts w:ascii="Arial" w:cs="Arial" w:eastAsia="Arial" w:hAnsi="Arial"/>
          <w:sz w:val="18"/>
          <w:szCs w:val="18"/>
          <w:color w:val="auto"/>
        </w:rPr>
        <w:t>. In October 2013, we reported positive top-line results from the VIBRANT trial. The study achieved its primary endpoint of a</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difference for EYLEA dose 2 mg monthly versus laser in proportion of patients who gained at least 15 letters of visual acuity at 24 weeks versus baseline. The incidence of serious AEs was similar in both study arms. The most common ocular AEs in the EYLEA treated patients were conjunctival hemorrhage and eye pain. There were no cases of intraocular inflammation. There was one ocular SAE in a patient in the EYLEA group, which was a traumatic cataract. Based on the positive results of the VIBRANT study, a supplemental BLA for U.S. regulatory approval of EYLEA in BRVO was submitted, and the FDA approved EYLEA for the treatment of macular edema following RVO, which includes macular edema following BRVO, in October 2014.</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In January 2014, Bayer HealthCare exercised its right to opt-in to the global development and commercialization of EYLEA outside the United States for the treatment of macular edema following BRVO as described below under "Collaborations with Bayer HealthCare - </w:t>
      </w:r>
      <w:r>
        <w:rPr>
          <w:rFonts w:ascii="Arial" w:cs="Arial" w:eastAsia="Arial" w:hAnsi="Arial"/>
          <w:sz w:val="18"/>
          <w:szCs w:val="18"/>
          <w:i w:val="1"/>
          <w:iCs w:val="1"/>
          <w:color w:val="auto"/>
        </w:rPr>
        <w:t>EYLEA outside the United States</w:t>
      </w:r>
      <w:r>
        <w:rPr>
          <w:rFonts w:ascii="Arial" w:cs="Arial" w:eastAsia="Arial" w:hAnsi="Arial"/>
          <w:sz w:val="18"/>
          <w:szCs w:val="18"/>
          <w:color w:val="auto"/>
        </w:rPr>
        <w:t>." Bayer HealthCare has also submitted applications to the EMA and the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Japanese MHLW seeking marketing authorization in the EU and Japan, respectively, for EYLEA for the treatment of macular edema following BRVO.</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ZALTRAP (ziv-aflibercept) - Oncology</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ZALTRAP is a fusion protein that is designed to bind all forms of VEGF-A, VEGF-B, and PlGF, and prevent their interaction with cell surface receptors. VEGF-A (and to a lesser degree, PlGF) is required for angiogenesis that is needed for tumors to grow. ZALTRAP is in Phase 3 clinical development in metastatic colorectal cancer in the Asia-Pacific region.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Late-Stage Antibody-based Clinical Programs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Alirocumab (REGN727; PCSK9 Antibody) for LDL cholesterol reduction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Elevated LDL cholesterol ("bad cholesterol") level is a validated risk factor leading to cardiovascular disease. Statins are a class of drugs that lower LDL through inhibition of HMG-CoA, an enzyme regulating the early and rate-limiting step in cholesterol biosynthesis that ultimately results in an increase in LDL receptors to increase the uptake of plasma LDL lipoproteins. PCSK9 is a secreted protein that plays a key role in modulating LDL cholesterol (LDL-C) levels in the body. PCSK9 binds to and induces the destruction of the LDL receptor, thereby interfering with cellular uptake and increasing circulating levels of LDL cholesterol. In a landmark study published in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in March 2006, patients with lower than normal PCSK9 levels due to a genetic abnormality not only had significantly lower levels of LDL-C, but also a significant reduction in the risk of coronary heart disease. We used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generate a fully human monoclonal antibody inhibitor of PCSK9, called alirocumab, that is intended to lower LDL cholesterol.</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Programs</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Phase 3 ODYSSEY Program</w:t>
      </w:r>
      <w:r>
        <w:rPr>
          <w:rFonts w:ascii="Arial" w:cs="Arial" w:eastAsia="Arial" w:hAnsi="Arial"/>
          <w:sz w:val="18"/>
          <w:szCs w:val="18"/>
          <w:color w:val="auto"/>
        </w:rPr>
        <w:t>. We and Sanofi initiated the global Phase 3 ODYSSEY program for alirocumab in the second quarter of 2012. The</w:t>
      </w:r>
      <w:r>
        <w:rPr>
          <w:rFonts w:ascii="Arial" w:cs="Arial" w:eastAsia="Arial" w:hAnsi="Arial"/>
          <w:sz w:val="18"/>
          <w:szCs w:val="18"/>
          <w:i w:val="1"/>
          <w:iCs w:val="1"/>
          <w:color w:val="auto"/>
        </w:rPr>
        <w:t xml:space="preserve"> </w:t>
      </w:r>
      <w:r>
        <w:rPr>
          <w:rFonts w:ascii="Arial" w:cs="Arial" w:eastAsia="Arial" w:hAnsi="Arial"/>
          <w:sz w:val="18"/>
          <w:szCs w:val="18"/>
          <w:color w:val="auto"/>
        </w:rPr>
        <w:t>ODYSSEY program is expected to enroll more than 23,500 patients. This includes eleven clinical trials evaluating the effect of alirocumab, dosed every two weeks, on lowering LDL cholesterol. In addition, the 18,000 patient ODYSSEY OUTCOMES trial, assessing reduction in serious cardiovascular events, is currently enrolling patients, while the other trials exploring every two week dosing in the ODYSSEY program are fully enrolled. LDL cholesterol reduction is expected to be the primary efficacy endpoint for initial regulatory filings. Additionally, the ODYSSEY program includes two trials of alirocumab dosed every four weeks, ODYSSEY CHOICE I, which was initiated in the fourth quarter of 2013, and ODYSSEY CHOICE II, which was initiated in the first quarter of 2014; both of these trials are fully enrolled. Patients in the ODYSSEY CHOICE I trial receive alirocumab 300 mg in combination with statins each month and patients in the CHOICE II trial receive alirocumab 150 mg monotherapy and in combination with non-statin lipid lowering therapy each month. The ODYSSEY studies are being conducted in clinical centers around the world including North America, Western and Eastern Europe, South America, Australia, and Asia.</w:t>
      </w:r>
    </w:p>
    <w:p>
      <w:pPr>
        <w:spacing w:after="0" w:line="24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first trial to report data from the Phase 3 ODYSSEY program was the ODYSSEY MONO trial (in the fourth quarter of 2013), which evaluated the efficacy and safety of alirocumab monotherapy versus ezetimibe monotherapy in patients with primary hypercholesterolemia. The study achieved its primary efficacy endpoint and demonstrated that patients randomized to receive alirocumab monotherapy experienced a mean reduction in LDL-C levels of 47.2% from baseline to week 24, compared to 15.6% in patients receiving ezetimibe monotherapy (p&lt;0.0001). The percentage of patients who reported TEAEs was 78.4% in the ezetimibe group and 69.2% in the alirocumab group. The most common class of AEs was infections (39.2% with ezetimibe vs. 42.3% with alirocumab), which included nasopharyngitis, influenza, and upper respiratory tract infection. Injection-site reactions occurred in less than 2% of patients in both groups. Muscle-related AEs occurred in 3.9% of patients treated with ezetimibe and 3.8% of patients treated with alirocumab.</w:t>
      </w:r>
    </w:p>
    <w:p>
      <w:pPr>
        <w:spacing w:after="0" w:line="22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July 2014, we and Sanofi reported positive, top-line results from nine Phase 3 ODYSSEY studies. All nine studies (ODYSSEY LONG TERM, FH I, FH II, HIGH FH, COMBO I, COMBO II, OPTIONS I, OPTIONS II, and ALTERNATIVE), met their primary efficacy endpoint of a greater percent reduction from baseline in LDL-C at 24 weeks compared to placebo or active comparator. In all nine studies, the mean percent reduction in LDL-C from baseline at 24 weeks in alirocumab-treated patients was consistent with results seen in previous alirocumab trials. All patients received alirocumab in addition to standard-of care lipid-lowering therapy, with the exception of some patients in ODYSSEY ALTERNATIVE. All trials included patients with LDL-C not at goal with or without a documented history of cardiovascular disease (CVD). The trials evaluated two distinct dosing regimens: 150 mg every two weeks or 75 mg every two weeks increasing to 150 mg if needed to reach protocol-specified LDL-C targets. A majority of patients in these trials were able to reach their LDL-C goals while remaining on the 75 mg dose. The 75 mg and the 150 mg doses were delivered with a single, self-administered one-milliliter (mL) injection.</w:t>
      </w:r>
    </w:p>
    <w:p>
      <w:pPr>
        <w:spacing w:after="0" w:line="25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2,341-patient ongoing ODYSSEY LONG TERM trial evaluated the long-term safety and efficacy of alirocumab compared to placebo. Both treatment groups received statins and some patients also received additional lipid-lowering therapies. The trial</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0" w:right="2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met its primary efficacy endpoint at 24 weeks. A pre-specified interim safety analysis was performed when all patients reached one year and approximately 25% of patients reached 18 months of treatment. A lower rate of adjudicated major cardiovascular events (cardiac death, myocardial infarction, stroke, and unstable angina requiring hospitalization) was observed in the alirocumab arm compared to placebo in a post-hoc safety analysis (1.4 percent compared to 3.0 percent, nominal p-value less than 0.01). The potential of alirocumab to demonstrate cardiovascular benefit is being prospectively assessed in the ongoing 18,000-patient ODYSSEY OUTCOMES trial.</w:t>
      </w:r>
    </w:p>
    <w:p>
      <w:pPr>
        <w:spacing w:after="0" w:line="24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ODYSSEY ALTERNATIVE trial evaluated patients with a history of intolerance to two or more statins, who were randomized to receive alirocumab, ezetimibe or atorvastatin 20 mg (a calibrator arm). This trial met its primary efficacy endpoint of a greater percent reduction from baseline in LDL-C at 24 weeks with alirocumab compared to ezetimibe. In the ALTERNATIVE trial, rates of discontinuation due to AEs were 25.4% for atorvastatin, 24.8% for ezetimibe and 18.3% for alirocumab; these differences between treatment groups were not statistically significant.</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Alirocumab was generally well tolerated in the nine ODYSSEY trials. The most common AEs were nasopharyngitis and upper respiratory tract infection, which were generally balanced between treatment groups. Injection site reactions were more frequent in the alirocumab group compared to placebo. Serious AEs and deaths were generally balanced between treatment groups as were other key AEs including musculoskeletal, neurocognitive, and liver-related events.</w:t>
      </w:r>
    </w:p>
    <w:p>
      <w:pPr>
        <w:spacing w:after="0" w:line="10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July 2014, we and Sanofi also announced that the companies intend to use an FDA rare pediatric disease priority review voucher in connection with the planned BLA submission for alirocumab. The priority review voucher entitles the holder to designate a human drug application for priority review. The FDA's goal for reviewing a human drug application with priority review is to take action within 6 months instead of 10 months under standard review. We purchased the voucher from a third party, which had received it through the FDA’s Rare Pediatric Disease Priority Review Voucher Program. We and Sanofi equally shared the voucher’s purchase price of $67.5 million.</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and Sanofi expect to submit U.S. and EU regulatory applications for alirocumab before the end of 2014.</w:t>
      </w:r>
    </w:p>
    <w:p>
      <w:pPr>
        <w:spacing w:after="0" w:line="27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In August 2014, detailed positive results from four Phase 3 ODYSSEY trials of alirocumab in patients with hypercholesterolemia were presented at the ESC Congress 2014 in Barcelona, Spain. This included the ODYSSEY LONG TERM, COMBO II, and FH I and FH II studies. On the primary efficacy endpoint of the LONG TERM trial, at 24 weeks, there was a 61% reduction from baseline in LDL-C levels in the alirocumab group as compared to a 1% increase in the placebo group (62% reduction in alirocumab group compared to placebo), p &lt; 0.0001. Of the alirocumab patients, 81% achieved their pre-specified LDL-C goal (either 70 milligrams/deciliter (mg/dL) or 100 mg/dL depending on patients' baseline cardiovascular (CV) risk) compared to 9% for placebo (p &lt; 0.0001). The most common AEs (greater than or equal to 5% of patients) were nasopharyngitis (13% alirocumab; 13% placebo), upper respiratory tract infection (7% alirocumab; 8% placebo), and injection site reactions (6% alirocumab; 4% placebo). In a post hoc safety analysis, there was a lower rate of adjudicated major CV events (cardiac death, myocardial infarction, stroke, and unstable angina requiring hospitalization) in the alirocumab group compared to placebo (1.4% compared to 3.0%, nominal p-value less than 0.01). These CV events comprise the composite primary endpoint of the ongoing 18,000-patient ODYSSEY OUTCOMES trial, which is prospectively evaluating the potential of alirocumab to demonstrate CV benefit.</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the primary endpoint of the COMBO II trial, which was conducted in patients with hypercholesterolemia with high CV risk and inadequate LDL-C reduction at baseline despite stable, maximally tolerated statin therapy, at 24 weeks, there was a 51% reduction from baseline in LDL-C levels in the alirocumab group compared to a 21% reduction in the ezetimibe group (30% reduction in alirocumab group compared to ezetimibe group), p &lt; 0.0001. The most common AEs (greater than or equal to 5% of patients) were upper respiratory tract infection (6.5% alirocumab; 6% ezetimibe), accidental overdose (6% alirocumab; 7% ezetimibe), dizziness (5% alirocumab; 5% ezetimibe), and myalgia (4% alirocumab; 5% ezetimibe).</w:t>
      </w:r>
    </w:p>
    <w:p>
      <w:pPr>
        <w:spacing w:after="0" w:line="22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On the primary endpoint of the FH I and FH II trials, at 24 weeks, there was a 49% reduction from baseline in LDL-C levels in both FH I and FH II alirocumab groups compared to an increase of 9% in FH I and 3% in FH II in the placebo groups (58% and 51% reduction compared to placebo), p &lt; 0.0001. In pooled data from both trials, the most common AEs (greater than or equal to 5% of patients) were injection site reactions (11.5% alirocumab; 9% placebo), nasopharyngitis (10% alirocumab; 11% placebo), influenza (9% alirocumab; 6% placebo), and headache (5.5% alirocumab; 7% placebo).</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i w:val="1"/>
          <w:iCs w:val="1"/>
          <w:color w:val="auto"/>
        </w:rPr>
        <w:t>Phase 2 Studies</w:t>
      </w:r>
      <w:r>
        <w:rPr>
          <w:rFonts w:ascii="Arial" w:cs="Arial" w:eastAsia="Arial" w:hAnsi="Arial"/>
          <w:sz w:val="17"/>
          <w:szCs w:val="17"/>
          <w:color w:val="auto"/>
        </w:rPr>
        <w:t>. In the first quarter of 2014, the first Phase 2 study with alirocumab in Japanese patients met its primary endpoint. The results</w:t>
      </w:r>
      <w:r>
        <w:rPr>
          <w:rFonts w:ascii="Arial" w:cs="Arial" w:eastAsia="Arial" w:hAnsi="Arial"/>
          <w:sz w:val="17"/>
          <w:szCs w:val="17"/>
          <w:i w:val="1"/>
          <w:iCs w:val="1"/>
          <w:color w:val="auto"/>
        </w:rPr>
        <w:t xml:space="preserve"> </w:t>
      </w:r>
      <w:r>
        <w:rPr>
          <w:rFonts w:ascii="Arial" w:cs="Arial" w:eastAsia="Arial" w:hAnsi="Arial"/>
          <w:sz w:val="17"/>
          <w:szCs w:val="17"/>
          <w:color w:val="auto"/>
        </w:rPr>
        <w:t>demonstrated that the mean LDL-C percentage reduction from baseline to week 12, the primary efficacy endpoint of the study, was significantly greater in patients randomized to receive one of three doses of alirocumab administered every other week (Q2W) - 150 mg, 75 mg, and 50 mg, in combination with statin therapy, compared to patients receiving placebo. At week 12, the mean percentage reduction in LDL-C from baseline in patients receiving alirocumab 50 mg Q2W was 55%, alirocumab 75 mg Q2W was 62% and alirocumab 150 mg Q2W was 72%, compared to 3% in the placebo group. TEAEs in this study were reported by 52% of patients in the alirocumab 50 mg group, 48% of patients in the 75 mg group, and 64% of patients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150 mg group, compared to 32% in the placebo group. The most frequently reported TEAEs were nasopharyngitis, injection site reaction, back pain, cystitis and ligament sprain.</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Sarilumab (REGN88; IL-6R Antibody) for inflammatory diseases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 xml:space="preserve">IL-6 is a key cytokine involved in the pathogenesis of RA, causing inflammation and joint destruction. Sarilumab is a fully human monoclonal antibody to IL-6R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Rheumatoid Arthritis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Phase 3 SARIL-RA-MOBILITY Trial</w:t>
      </w:r>
      <w:r>
        <w:rPr>
          <w:rFonts w:ascii="Arial" w:cs="Arial" w:eastAsia="Arial" w:hAnsi="Arial"/>
          <w:sz w:val="18"/>
          <w:szCs w:val="18"/>
          <w:color w:val="auto"/>
        </w:rPr>
        <w:t>. In the fourth quarter of 2013, we and Sanofi announced that in the SARIL-RA-MOBILITY Phase 3 clinical trial in</w:t>
      </w:r>
      <w:r>
        <w:rPr>
          <w:rFonts w:ascii="Arial" w:cs="Arial" w:eastAsia="Arial" w:hAnsi="Arial"/>
          <w:sz w:val="18"/>
          <w:szCs w:val="18"/>
          <w:i w:val="1"/>
          <w:iCs w:val="1"/>
          <w:color w:val="auto"/>
        </w:rPr>
        <w:t xml:space="preserve"> </w:t>
      </w:r>
      <w:r>
        <w:rPr>
          <w:rFonts w:ascii="Arial" w:cs="Arial" w:eastAsia="Arial" w:hAnsi="Arial"/>
          <w:sz w:val="18"/>
          <w:szCs w:val="18"/>
          <w:color w:val="auto"/>
        </w:rPr>
        <w:t>adult patients with active RA who were inadequate responders to methotrexate (MTX) therapy, sarilumab treatment in combination with MTX improved disease signs and symptoms as well as physical function, and inhibited progression of joint damage. The 52 week SARIL-RA-MOBILITY Phase 3 trial enrolled approximately 1,200 patients with active, moderate-to-severe rheumatoid arthritis, and who were inadequate responders to MTX therapy. Patients were randomized to one of three subcutaneous treatment groups, all in combination with MTX and dosed every other week: sarilumab 200 mg, sarilumab 150 mg, or placebo. Both sarilumab groups showed clinically relevant and statistically significant improvements compared to the placebo group in all three co-primary endpoints (p &lt; 0.0001).</w:t>
      </w:r>
    </w:p>
    <w:p>
      <w:pPr>
        <w:spacing w:after="0" w:line="24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SARIL-RA-MOBILITY trial, infections were the most frequently reported adverse events and were reported with a higher incidence in the sarilumab groups compared to placebo, all in combination with MTX. Among patients treated with sarilumab, a dose dependent decrease in mean neutrophil counts was observed. Serious infections were not associated with grades 3 and 4 neutropenia in this study. Increases in mean LDL cholesterol and transaminases were observed.</w:t>
      </w:r>
    </w:p>
    <w:p>
      <w:pPr>
        <w:spacing w:after="0" w:line="24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June 2014, efficacy and safety data from the SARIL-RA-MOBILITY study was presented at the annual meeting of The European League Against Rheumatism (EULAR).</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Additional data from the study will be presented at the American College of Rheumatology in November 2014.</w:t>
      </w:r>
    </w:p>
    <w:p>
      <w:pPr>
        <w:spacing w:after="0" w:line="27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i w:val="1"/>
          <w:iCs w:val="1"/>
          <w:color w:val="auto"/>
        </w:rPr>
        <w:t>Additional Phase 3 Studies</w:t>
      </w:r>
      <w:r>
        <w:rPr>
          <w:rFonts w:ascii="Arial" w:cs="Arial" w:eastAsia="Arial" w:hAnsi="Arial"/>
          <w:sz w:val="16"/>
          <w:szCs w:val="16"/>
          <w:color w:val="auto"/>
        </w:rPr>
        <w:t>. We and Sanofi have also initiated additional Phase 3 studies, SARIL-RA-TARGET and SARIL-RA-ASCERTAIN. The broad</w:t>
      </w:r>
      <w:r>
        <w:rPr>
          <w:rFonts w:ascii="Arial" w:cs="Arial" w:eastAsia="Arial" w:hAnsi="Arial"/>
          <w:sz w:val="16"/>
          <w:szCs w:val="16"/>
          <w:i w:val="1"/>
          <w:iCs w:val="1"/>
          <w:color w:val="auto"/>
        </w:rPr>
        <w:t xml:space="preserve"> </w:t>
      </w:r>
      <w:r>
        <w:rPr>
          <w:rFonts w:ascii="Arial" w:cs="Arial" w:eastAsia="Arial" w:hAnsi="Arial"/>
          <w:sz w:val="16"/>
          <w:szCs w:val="16"/>
          <w:color w:val="auto"/>
        </w:rPr>
        <w:t>SARIL-RA clinical development program is focused on adult populations with moderate-to-severe RA who are inadequate responders to either MTX or tumor necrosis factor alpha (TNF-alpha) inhibitor therapy. SARIL-RA-TARGET is a randomized, double-blind, placebo-controlled study evaluating sarilumab in combination with non-biologic, disease-modifying anti-rheumatic drugs (DMARDS) in moderate-to-severe active RA patients with inadequate responses to, or who are intolerant of, one or more TNF-alpha inhibitors. The SARIL-RA-ASCERTAIN study, which is fully enrolled, is a safety study evaluating the safety and tolerability of sarilumab versus a calibrator, tocilizumab, both in combination with MTX, in patients with RA who are inadequate responders to, or intolerant of, TNF-alpha inhibitors. Patients who complete SARIL-RA-MOBILITY, SARIL-RA-TARGET, or SARIL-RA-ASCERTAIN are offered enrollment into the ongoing SARIL-RA-EXTEND, which is an open-label, long-term safety study of sarilumab. The SARIL-RA-COMPARE Phase 3 study has been discontinued due to slower than anticipated enrollment; this discontinuation will not impact planned global regulatory filings.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Non-infectious Uveitis</w:t>
      </w:r>
    </w:p>
    <w:p>
      <w:pPr>
        <w:spacing w:after="0" w:line="27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i w:val="1"/>
          <w:iCs w:val="1"/>
          <w:color w:val="auto"/>
        </w:rPr>
        <w:t>Phase 2 SARIL-NIU-SATURN Study</w:t>
      </w:r>
      <w:r>
        <w:rPr>
          <w:rFonts w:ascii="Arial" w:cs="Arial" w:eastAsia="Arial" w:hAnsi="Arial"/>
          <w:sz w:val="18"/>
          <w:szCs w:val="18"/>
          <w:color w:val="auto"/>
        </w:rPr>
        <w:t>. A Phase 2 study, SARIL-NIU-SATURN, was initiated in the fourth quarter of 2013 and is a placebo-controlled proof-of-concept study evaluating the safety and efficacy of sarilumab in non-infectious uveitis.</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Dupilumab (REGN668; IL-4R Antibody) for allergic and inflammatory conditions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(allergic) dermatitis, asthma, and chronic sinusitis with nasal polyposis. Dupilumab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that is designed to bind to IL-4R alpha subunit and block signaling from both IL-4 and IL-13.</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Atopic Dermatitis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Phase 2a Trial. </w:t>
      </w:r>
      <w:r>
        <w:rPr>
          <w:rFonts w:ascii="Arial" w:cs="Arial" w:eastAsia="Arial" w:hAnsi="Arial"/>
          <w:sz w:val="18"/>
          <w:szCs w:val="18"/>
          <w:color w:val="auto"/>
        </w:rPr>
        <w:t>Data from four Phase 1 and Phase 2 studies of dupilumab in adults with moderate-to-severe atopic dermatitis, a severe chronic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eczema, were published in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in July 2014. In the Phase 2a study of 109 patients with moderate-to-severe atopic dermatitis, dupilumab 300 mg administered weekly was associated with rapid and marked sustained improvements in several endpoints such as Eczema Severe Score Index (EASI), Scoring of Atopic Dermatitis</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30"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(SCORAD), Investigator’s Global Assessment Score (IGA), baseline Body Surface Area (BSA), and pruritus. After 12 weeks of treatment, patients receiving dupilumab achieved statistically superior clinical outcomes compared to patients in the placebo group in all measures of disease activity and pruritus. There were notably fewer patients with skin infections associated with dupilumab treatment (5.5%), compared with placebo (24.1%). There were no infection related serious AEs or eczema herpeticum in the dupilumab group. In the placebo group, three patients with skin infections and four patients with atopic dermatitis exacerbations required hospitalization. The most common TEAEs were nasopharyngitis, headache, and conjunctivitis.</w:t>
      </w:r>
    </w:p>
    <w:p>
      <w:pPr>
        <w:spacing w:after="0" w:line="227"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i w:val="1"/>
          <w:iCs w:val="1"/>
          <w:color w:val="auto"/>
        </w:rPr>
        <w:t>Phase 2b Trial</w:t>
      </w:r>
      <w:r>
        <w:rPr>
          <w:rFonts w:ascii="Arial" w:cs="Arial" w:eastAsia="Arial" w:hAnsi="Arial"/>
          <w:sz w:val="16"/>
          <w:szCs w:val="16"/>
          <w:color w:val="auto"/>
        </w:rPr>
        <w:t>. In the second quarter of 2013, a Phase 2b trial in atopic dermatitis was initiated. In July 2014, we and Sanofi announced positive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from a Phase 2b dose-ranging study of dupilumab in adult patients with moderate-to-severe atopic dermatitis. All doses of dupilumab met the primary endpoint of a greater improvement in EASI scores from baseline compared to placebo. In the Phase 2b trial, all five subcutaneous doses of dupilumab showed a dose-dependent improvement in the primary endpoint, the mean percent change in EASI score from baseline to week 16. The improvements in EASI score ranged from a high of 74% for patients in the highest dose group, who received 300 mg weekly, to a low of 45% in patients who received the lowest dose of 100 mg monthly, compared to 18% for patients in the placebo group (p&lt;0.0001 for all doses). The most common AE in the Phase 2b study was nasopharyngitis, which was balanced across dupilumab treatment groups (18.5% to 23%) compared to placebo (21%). Injection site reactions were more frequent in the dupilumab group (5% to 9.5%) compared to placebo (3%), as was headache (12% to 15%) compared to placebo (8%).</w:t>
      </w:r>
    </w:p>
    <w:p>
      <w:pPr>
        <w:spacing w:after="0" w:line="22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Dupilumab-treated patients showed highly statistically significant and dose-dependent improvements in additional key efficacy measures compared to placebo after 16 weeks of treatment:</w:t>
      </w:r>
    </w:p>
    <w:p>
      <w:pPr>
        <w:spacing w:after="0" w:line="170" w:lineRule="exact"/>
        <w:rPr>
          <w:sz w:val="20"/>
          <w:szCs w:val="20"/>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 to 33% of dupilumab-treated patients achieved clearing or near-clearing of skin lesions, as measured by an IGA score of 0 or 1, compared to 2% with placebo (p=0.02 to p&lt;0.0001).</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Dupilumab-treated patients experienced a 16.5% to 47% mean reduction in itching, as measured by the pruritus numerical-rating scale (NRS) score, compared to an increase of 5% in the placebo group (p=0.0005 to p&lt;0.0001).</w:t>
      </w:r>
    </w:p>
    <w:p>
      <w:pPr>
        <w:spacing w:after="0" w:line="11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This Phase 2b double-blind, placebo-controlled, 16-week, dose-ranging study randomized 380 patients with moderate-to-severe atopic dermatitis, who could not be adequately controlled with topical medication or for whom topical treatment was not advisable. Patients were randomized to receive one of five doses of dupilumab (300 mg weekly, 300 mg every other week, 300 mg monthly, 200 mg every other week, 100 mg monthly) or placebo. Patients in the study had approximately 50% of their skin affected by atopic dermatitis at baseline. In the year preceding enrollment in the study, approximately 35% of patients received an oral corticosteroid and approximately 20% received a systemic non-steroid immunosuppressant for AD. Approximately 60% of patients had another allergic condition, including approximately 40% of patients who had a history of asthma. The follow-up period of the study is ongoing and patients will be followed for 16 weeks after treatment.</w:t>
      </w:r>
    </w:p>
    <w:p>
      <w:pPr>
        <w:spacing w:after="0" w:line="1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Phase 3 Study</w:t>
      </w:r>
      <w:r>
        <w:rPr>
          <w:rFonts w:ascii="Arial" w:cs="Arial" w:eastAsia="Arial" w:hAnsi="Arial"/>
          <w:sz w:val="18"/>
          <w:szCs w:val="18"/>
          <w:color w:val="auto"/>
        </w:rPr>
        <w:t>. In the fourth quarter of 2014, a Phase 3 trial in atopic dermatitis, LIBERTY AD CHRONOS, was initiated and is currently enrolling</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LIBERTY AD CHRONOS, is a randomized, double-blind, placebo-controlled, multi-national study with the primary objective of demonstrating the efficacy of dupilumab in adults with moderate-to-severe atopic dermatitis when administered concomitantly with topical corticosteroids through 16 weeks. Secondary objectives of the study will evaluate the long-term safety and efficacy of dupilumab up to 52 weeks. The trial will enroll approximately 700 adult patients.</w:t>
      </w:r>
    </w:p>
    <w:p>
      <w:pPr>
        <w:spacing w:after="0" w:line="13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LIBERTY AD Phase 3 clinical program will consist of at least five trials, including LIBERTY AD CHRONOS, of patients with moderate-to-severe atopic dermatitis at sites worldwide.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Asthma</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Phase 2a Trial</w:t>
      </w:r>
      <w:r>
        <w:rPr>
          <w:rFonts w:ascii="Arial" w:cs="Arial" w:eastAsia="Arial" w:hAnsi="Arial"/>
          <w:sz w:val="18"/>
          <w:szCs w:val="18"/>
          <w:color w:val="auto"/>
        </w:rPr>
        <w:t>. Data from a Phase 2a trial in asthma patients with elevated eosinophils were presented at the American Thoracic Society in May 2013,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were also published in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in June 2013. In this study, patients receiving dupilumab at 300 mg weekly for 12 weeks experienced an 87% reduction in the incidence of asthma exacerbations compared to patients receiving placebo (p&lt;0.0001). Clinically meaningful and statistically significant improvements were observed for lung function and other asthma control parameters, such as forced expiratory volume over one second (FEV</w:t>
      </w:r>
      <w:r>
        <w:rPr>
          <w:rFonts w:ascii="Arial" w:cs="Arial" w:eastAsia="Arial" w:hAnsi="Arial"/>
          <w:sz w:val="12"/>
          <w:szCs w:val="12"/>
          <w:color w:val="auto"/>
        </w:rPr>
        <w:t>1</w:t>
      </w:r>
      <w:r>
        <w:rPr>
          <w:rFonts w:ascii="Arial" w:cs="Arial" w:eastAsia="Arial" w:hAnsi="Arial"/>
          <w:sz w:val="18"/>
          <w:szCs w:val="18"/>
          <w:color w:val="auto"/>
        </w:rPr>
        <w:t>). TEAEs were reported by a similar proportion of patients in both treatment groups (76.9% placebo; 80.8% dupilumab). AEs were generally non-specific and of mild-to-moderate intensity. The most common AEs for placebo and dupilumab were injection-site reaction, nasopharyngitis, upper respiratory tract infection, headache, and nausea.</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Phase 2b Trial</w:t>
      </w:r>
      <w:r>
        <w:rPr>
          <w:rFonts w:ascii="Arial" w:cs="Arial" w:eastAsia="Arial" w:hAnsi="Arial"/>
          <w:sz w:val="18"/>
          <w:szCs w:val="18"/>
          <w:color w:val="auto"/>
        </w:rPr>
        <w:t>. In the second quarter of 2013, a Phase 2b trial in asthma was initiated and is fully enrolled.</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Chronic Sinusitis with Nasal Polyps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Phase 2a Study</w:t>
      </w:r>
      <w:r>
        <w:rPr>
          <w:rFonts w:ascii="Arial" w:cs="Arial" w:eastAsia="Arial" w:hAnsi="Arial"/>
          <w:sz w:val="18"/>
          <w:szCs w:val="18"/>
          <w:color w:val="auto"/>
        </w:rPr>
        <w:t>. In the third quarter of 2013, a Phase 2a trial in nasal polyposis was initiated. In September 2014, we and Sanofi announced positive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Phase 2a proof-of-concept study of dupilumab in patients with moderate-to-severe CSwNP who did not respond to intranasal corticosteroids. The randomized, double-blind, placebo-controlled study enrolled 60 adult patients with moderate-to-severe CSwNP. Patients in the study received 300 mg of dupilumab or placebo administered once per week</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0"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subcutaneously for 16 weeks, following an initial loading dose of 600 mg. All patients in the study also received a standard-of-care nasal corticosteroid spray. Patients were eligible for the study if they continued to have severe CSwNP despite standard treatment for at least one month. Fifty percent of patients in the study had received prior surgery for their condition. Asthma was also present in 58 percent of CSwNP patients in the study. The conditions are often co-morbid and symptoms/exacerbations are frequently interdependent.</w:t>
      </w:r>
    </w:p>
    <w:p>
      <w:pPr>
        <w:spacing w:after="0" w:line="24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the study, dupilumab resulted in a statistically-significant improvement in the size of nasal polyps, as measured by endoscopic Nasal Polyp Score (NPS), the primary endpoint of the study. Statistically significant improvements in all secondary efficacy endpoints were also observed, including objective measures of sinusitis by CT scan, nasal air flow, and patient-reported symptoms (sense of smell, congestion, postnasal drip, runny nose and sleep disturbance). In a pre-specified exploratory analysis, dupilumab-treated patients who also had asthma demonstrated significant improvements in asthma control. The safety profile was consistent with previous studies. The most common AEs with dupilumab were injection site reactions, nasopharyngitis, oropharyngeal pain, epistaxis, headache, and dizziness. Detailed results of the study will be presented at an upcoming medical conference.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Our preclinical research programs are in the areas of oncology, angiogenesis, ophthalmology, metabolic and related diseases, muscle diseases and disorders, inflammation and immune diseases, bone and cartilage, pain, cardiovascular diseases, and infectious diseases.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28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scientists have developed two different technologies to design protein therapeutics to block the action of specific cell surface or secreted proteins. The first technology, termed the "Trap" technology, was used to generate our three approved products, EYLEA, ZALTRAP, and ARCALYST. These novel "Traps" are composed of fusions between two distinct receptor components and the constant region of an antibody molecule called the "Fc region," resulting in high affinity product candidates.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is our second technology platform; it is used for discovering, developing, and producing fully human monoclonal antibodies that can address both secreted and cell-surface targets.</w:t>
      </w:r>
    </w:p>
    <w:p>
      <w:pPr>
        <w:spacing w:after="0" w:line="242" w:lineRule="exact"/>
        <w:rPr>
          <w:sz w:val="20"/>
          <w:szCs w:val="20"/>
          <w:color w:val="auto"/>
        </w:rPr>
      </w:pPr>
    </w:p>
    <w:p>
      <w:pPr>
        <w:jc w:val="both"/>
        <w:ind w:firstLine="243"/>
        <w:spacing w:after="0" w:line="239" w:lineRule="auto"/>
        <w:rPr>
          <w:sz w:val="20"/>
          <w:szCs w:val="20"/>
          <w:color w:val="auto"/>
        </w:rPr>
      </w:pPr>
      <w:r>
        <w:rPr>
          <w:rFonts w:ascii="Arial" w:cs="Arial" w:eastAsia="Arial" w:hAnsi="Arial"/>
          <w:sz w:val="18"/>
          <w:szCs w:val="18"/>
          <w:b w:val="1"/>
          <w:bCs w:val="1"/>
          <w:i w:val="1"/>
          <w:iCs w:val="1"/>
          <w:color w:val="auto"/>
        </w:rPr>
        <w:t xml:space="preserve">VelociSuite. </w:t>
      </w:r>
      <w:r>
        <w:rPr>
          <w:rFonts w:ascii="Arial" w:cs="Arial" w:eastAsia="Arial" w:hAnsi="Arial"/>
          <w:sz w:val="18"/>
          <w:szCs w:val="18"/>
          <w:i w:val="1"/>
          <w:iCs w:val="1"/>
          <w:color w:val="auto"/>
        </w:rPr>
        <w:t>VelociSuite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 VelociGene, VelociMouse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and VelociMab</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mouse platform is utilized to produce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fully human monoclonal antibodies.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was generated by exploiting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technology (see below), in a process in which six megabases of mouse immune gene loci were replaced, or "humanized," with corresponding human immune gene loci.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mice can be used to generate efficiently fully human monoclonal antibodies to targets of therapeutic interest.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and our entire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produce our next generation of drug candidates for preclinical and clinical development.</w:t>
      </w:r>
    </w:p>
    <w:p>
      <w:pPr>
        <w:spacing w:after="0" w:line="260"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offers the opportunity to humanize targets by replacing the mouse gene with the human homolog. Thus,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allows scientists to rapidly identify the physical and biological effects of deleting or over-expressing the target gene, as well as to characterize and test potential therapeutic molecules.</w:t>
      </w:r>
    </w:p>
    <w:p>
      <w:pPr>
        <w:spacing w:after="0" w:line="2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are suitable for direct phenotyping or other studies. We have also developed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VelociMab</w:t>
      </w:r>
      <w:r>
        <w:rPr>
          <w:rFonts w:ascii="Arial" w:cs="Arial" w:eastAsia="Arial" w:hAnsi="Arial"/>
          <w:sz w:val="18"/>
          <w:szCs w:val="18"/>
          <w:color w:val="auto"/>
        </w:rPr>
        <w:t xml:space="preserve"> platform for the rapid screening of antibodies and rapid generation of expression cell lines for our Traps and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human monoclonal antibodies.</w:t>
      </w:r>
    </w:p>
    <w:p>
      <w:pPr>
        <w:spacing w:after="0" w:line="2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 xml:space="preserve">We have utilized our </w:t>
      </w:r>
      <w:r>
        <w:rPr>
          <w:rFonts w:ascii="Arial" w:cs="Arial" w:eastAsia="Arial" w:hAnsi="Arial"/>
          <w:sz w:val="17"/>
          <w:szCs w:val="17"/>
          <w:i w:val="1"/>
          <w:iCs w:val="1"/>
          <w:color w:val="auto"/>
        </w:rPr>
        <w:t>VelociSuite</w:t>
      </w:r>
      <w:r>
        <w:rPr>
          <w:rFonts w:ascii="Arial" w:cs="Arial" w:eastAsia="Arial" w:hAnsi="Arial"/>
          <w:sz w:val="17"/>
          <w:szCs w:val="17"/>
          <w:color w:val="auto"/>
        </w:rPr>
        <w:t xml:space="preserve"> technologies to develop a class of potential drug candidates, known as bi-specific antibodies. In the area of immunotherapies in oncology, we are exploring the use of bi-specific antibodies that target tumor antigens and the CD3 receptor on T-cells to harness the oncolytic properties of T-cells. Our first such bi-specific antibody, which entered into clinical development in 2014, targets CD20 and CD3.</w:t>
      </w:r>
    </w:p>
    <w:p>
      <w:pPr>
        <w:spacing w:after="0" w:line="22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b w:val="1"/>
          <w:bCs w:val="1"/>
          <w:i w:val="1"/>
          <w:iCs w:val="1"/>
          <w:color w:val="auto"/>
        </w:rPr>
        <w:t xml:space="preserve">Regeneron Genetics Center. </w:t>
      </w:r>
      <w:r>
        <w:rPr>
          <w:rFonts w:ascii="Arial" w:cs="Arial" w:eastAsia="Arial" w:hAnsi="Arial"/>
          <w:sz w:val="17"/>
          <w:szCs w:val="17"/>
          <w:color w:val="auto"/>
        </w:rPr>
        <w:t>In early 2014, we launched a new human genetics initiative via a wholly owned subsidiary, Regeneron Genetics Center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RGC leverages de-identified clinical and molecular data from human volunteers for medically relevant associations in a blinded fashion designed to preserve patients’ privacy.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both large population-based efforts as well as family-based approaches.</w:t>
      </w:r>
    </w:p>
    <w:p>
      <w:pPr>
        <w:spacing w:after="0" w:line="2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Central to the work of RGC is a collaboration with the Geisinger Health System of Pennsylvania. During the initial five-year collaboration term, Geisinger plans to collect samples from more than 100,000 consented patient volunteers, while RGC will perform sequencing and genotyping to generate de-identified genomic data. In addition, RGC has formed research collaborations with other institutions such as Columbia University Medical Center, the Clinic for Special Children, and Baylor College of Medicine.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Sanofi</w:t>
      </w:r>
    </w:p>
    <w:p>
      <w:pPr>
        <w:spacing w:after="0" w:line="27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i w:val="1"/>
          <w:iCs w:val="1"/>
          <w:color w:val="auto"/>
        </w:rPr>
        <w:t>ZALTRAP</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September 2003, we and Sanofi have been parties to a global collaboration for the development and commercialization of ZALTRAP.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current terms of our collaboration agreement we and Sanofi share co-promotion rights and share profits and losses from commercialization of ZALTRAP outside of Japan. In Japan, we are entitled to receive a percentage of approximately 35% on sales of ZALTRAP, subject to certain potential adjustments.</w:t>
      </w:r>
    </w:p>
    <w:p>
      <w:pPr>
        <w:spacing w:after="0" w:line="23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Under the collaboration agreement, agreed upon worldwide development expenses incurred by both companies during the term of the agreement are funded by Sanofi. If the collaboration becomes profitable, we will be obligated to reimburse Sanofi out of our share of ZALTRAP profits for 50% of the development expenses that they funded. The reimbursement payment in any quarter will equal 5% of the then outstanding repayment obligation, but never more than our share of the ZALTRAP profits in the quarter unless we elect to reimburse Sanofi at a faster rate. As a result, we expect that, for the foreseeable future, our share of any ZALTRAP profits will be used to reimburse Sanofi for this repayment obligation.</w:t>
      </w:r>
    </w:p>
    <w:p>
      <w:pPr>
        <w:spacing w:after="0" w:line="2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Antibodies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November 2007, we and Sanofi have been parties to a global, strategic collaboration to discover, develop, and commercialize fully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human monoclonal antibodies. The collaboration is governed by a Discovery and Preclinical Development Agreement and a License and Collaboration Agreement (each as amended). Pursuant to the collaboration, Sanofi is funding up to $160 million per year of our antibody discovery activities over the period from 2010-2017 to identify and validate potential drug discovery targets and develop fully human monoclonal antibodies against these targets. We lead the design and conduct of research activities under the collaboration, including target identification and validation, antibody development, research and preclinical activities through filing of an Investigational New Drug application (IND) or its equivalent, toxicology studies, and manufacture of preclinical and clinical supplies. Sanofi has an option to extend certain antibody development and preclinical activities relating to selected program targets for up to an additional three years after 2017.</w:t>
      </w:r>
    </w:p>
    <w:p>
      <w:pPr>
        <w:spacing w:after="0" w:line="24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For each drug candidate identified through discovery research under the discovery agreement, Sanofi has the option to license rights to the candidate under the license agreement. If it elects to do so, Sanofi will co-develop the drug candidate with us through product approval. Development costs for the drug candidate are shared between the companies, with Sanofi generally funding these costs upfront,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 for these development costs.</w:t>
      </w:r>
    </w:p>
    <w:p>
      <w:pPr>
        <w:spacing w:after="0" w:line="2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Sanofi will lead commercialization activities for products developed under the license agreement, subject to our right to co-promote such products. We and Sanofi will equally share profits and losses from sales within the United States. We and Sanofi will share profits outside the United States on a sliding scale based on sales starting at 65% (Sanofi)/35% (us) and ending at 55% (Sanofi)/45% (us), and will share losses outside the United States at 55% (Sanofi)/45% (us). In addition to profit sharing, we are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entitled to receive up to $250 million in sales milestone payments, with milestone payments commencing after aggregate annual sales outside the United States exceed $1.0 billion on a rolling 12-month basis.</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Bayer HealthCare</w:t>
      </w:r>
    </w:p>
    <w:p>
      <w:pPr>
        <w:spacing w:after="0" w:line="27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i w:val="1"/>
          <w:iCs w:val="1"/>
          <w:color w:val="auto"/>
        </w:rPr>
        <w:t>EYLEA outside the United States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October 2006, we and Bayer HealthCare have been parties to a license and collaboration agreement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development and commercialization outside the United States of EYLEA. Under the agreement, we and Bayer HealthCare collaborate on, and share the costs of, the development of EYLEA through an integrated global plan. Bayer HealthCare markets EYLEA outside the United States, where, for countries other than Japan, the companies share equally in profits and losses from sales of EYLEA. In Japan, we are entitled to receive a tiered percentage of between 33.5% and 40.0% of EYLEA net sales.</w:t>
      </w:r>
    </w:p>
    <w:p>
      <w:pPr>
        <w:spacing w:after="0" w:line="10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2014, Bayer HealthCare decided to participate in the global development and commercialization of EYLEA outside the United States for the treatment of macular edema following BRVO. In connection with this decision, Bayer HealthCare reimbursed us for a defined share of the EYLEA global development costs that we had incurred prior to February 2014 for the BRVO indication. In addition, all future agreed upon global EYLEA development expenses incurred in connection with BRVO are being shared equally, and profits or losses on sales of EYLEA outside of the United States for the treatment of macular edema following BRVO will also be shared (for countries other than Japan). As described above, we are entitled to receive a tiered percentage of EYLEA net sales in Japan.</w:t>
      </w:r>
    </w:p>
    <w:p>
      <w:pPr>
        <w:spacing w:after="0" w:line="11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Since inception of the agreement, we have received $110.0 million of development milestone payments and $120.0 million of sales milestone payments from Bayer HealthCare. In addition, we may earn up to $45.0 million in additional sales milestone payments if twelve-month sales of EYLEA outside the United States achieve certain specified levels.</w:t>
      </w:r>
    </w:p>
    <w:p>
      <w:pPr>
        <w:spacing w:after="0" w:line="10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HealthCare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HealthCare at a faster rate. As a result, we expect that, initially, a portion of our share of EYLEA profits outside the United States will be used to reimburse Bayer HealthCare for this repayment obligation.</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any such sales.</w:t>
      </w:r>
    </w:p>
    <w:p>
      <w:pPr>
        <w:spacing w:after="0" w:line="2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PDGFR-beta antibody outside the United States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January 2014, we entered into an agreement with Bayer HealthCare governing the joint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commercialization outside the United States of an antibody product candidate to PDGFR-beta, including in combination with EYLEA, for the treatment of ocular diseases or disorders. REGN2176-3, a combination product candidate comprised of an antibody to PDGFR-beta co-formulated with EYLEA, is being developed under the agreement. Under the agreement, we will conduct the initial development of the PDGFR-beta antibody through completion of the first proof-of-concept study, upon which Bayer HealthCare will have a right to opt-in to license and collaborate on further development and commercialization outside the United States.</w:t>
      </w:r>
    </w:p>
    <w:p>
      <w:pPr>
        <w:spacing w:after="0" w:line="246"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connection with the agreement, Bayer HealthCare made a $25.5 million non-refundable upfront payment to us in January 2014, and is obligated to pay 25% of global development costs and 50% of development costs exclusively for the territory outside the United States under the initial development plan. In addition, Bayer HealthCare is obligated to reimburse us for 50% of development milestone payments to Sanofi related to our acquisition of rights to antibodies targeting the PDGF family of receptors in May 2013. In that regard, Bayer HealthCare made two $2.5 million development milestone payments to us in the first quarter of 2014. Further, in connection with our initial development of the PDGFR-beta antibody through completion of the first proof-of-concept study, we are eligible to receive up to $15.0 million in future development milestone payments from Bayer HealthCare, although certain of these development milestone payments could be reduced by half if Bayer HealthCare does not opt-in to the collaboration.</w:t>
      </w:r>
    </w:p>
    <w:p>
      <w:pPr>
        <w:spacing w:after="0" w:line="8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Bayer HealthCare exercises its right to opt-in to the collaboration, they will obtain exclusive commercialization rights to the product outside the United States, continue to pay for 25% of global development costs and 50% of development costs exclusively for the territory outside the United States, pay a $20.0 million opt-in payment to us, pay a $20.0 million development milestone to us upon receipt of the first marketing approval in the European Union or Japan, share profits and losses from sales outside the United States equally with us, and be responsible for the payment of royalties on sales outside the United States to Sanofi.</w:t>
      </w:r>
    </w:p>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Within the United States, we have exclusive commercialization rights and will retain all of the profits from sales. If Bayer HealthCare does not opt-in to the collaboration, we will have exclusive rights to develop and commercialize PDGFR-beta antibodies (except as a combination product with EYLEA) for use outside the United States.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also have the right to opt-out of the collaboration upon completion of the first proof-of-concept study for the PDGFR-beta antibody. If we opt-out of the collaboration and Bayer HealthCare exercises its right to opt-in to the collaboration, Bayer HealthCare will obtain exclusive rights to the PDGFR-beta antibody (except as a combination product with EYLEA) outside of the United States, be responsible for all development costs outside of the United States, be responsible for all royalty and milestone payments to a third party, and will retain all of the profits from sales of the PDGFR-beta antibody outside of the United States.</w:t>
      </w:r>
    </w:p>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Unless terminated earlier in accordance with its provisions, the agreement will continue to be in effect until such time as neither party or its respective affiliates or sublicensees is developing or commercializing a PDGFR-beta antibody in the specified field outside of the United States and such discontinuation is acknowledged as permanent by both us and Bayer HealthCare in writing.</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Avalanche Biotechnologies, Inc.</w:t>
      </w:r>
    </w:p>
    <w:p>
      <w:pPr>
        <w:spacing w:after="0" w:line="2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May 2014, we entered into a research collaboration and license agreement with Avalanche Biotechnologies, Inc. to discover, develop, and commercialize novel gene therapy products for the treatment of ophthalmologic diseases. In connection with the agreement, we made a $2.0 million upfront payment and a $6.0 million pre-payment of collaboration research costs, and are obligated to pay potential additional research costs, an aggregate amount of up to $80.0 million per product upon meeting certain potential development and regulatory milestones (for products directed to as many as eight therapeutic targets, or up to an aggregate of $640.0 million), and royalties on any future sales of such products. We also purchased an aggregate of $5.0 million of Avalanche preferred stock. Under the agreement, we will collaborate with Avalanche to conduct research for the discovery of novel gene therapy vectors. Subsequent to the filing of an IND with the FDA for a product candidate, we may exercise our right to obtain exclusive worldwide rights to further research, develop, and commercialize such product candidates directed to the applicable therapeutic target. In addition, Avalanche has the option to share in development costs and profits for products directed toward up to two therapeutic targets of its choice.</w:t>
      </w:r>
    </w:p>
    <w:p>
      <w:pPr>
        <w:spacing w:after="0" w:line="10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July 2014, Avalanche commenced an initial public offering (IPO) of its common stock and thereby triggered our obligation under the research collaboration and license agreement to purchase up to $10.0 million of Avalanche common stock in a concurrent private placement. As part of the concurrent private placement, we purchased from Avalanche at the closing of its IPO 588,235 shares of Avalanche common stock for an aggregate purchase price of $10.0 million. In addition, at the closing of its IPO, Avalanche preferred stock, including the Avalanche preferred stock held by us, automatically converted on a one-for-one basis into Avalanche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4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will expand and require additional resources. Our operating results may fluctuate from quarter to quarter and will depend on, among other factors, the net sales of our marketed products, the scope and progress of our research and development efforts, the timing of certain expenses, and the continuation of our collaborations with Sanofi and Bayer HealthCare, including our share of collaboration profits or losses from sales of commercialized products and the amount of reimbursement of our research and development expenses that we receive from collaborators. We cannot predict whether or when new products or new indications for our marketed products will receive regulatory approval or, if any such approval is received, whether we will be able to successfully commercialize such product(s) and whether or when they may become profitable.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2014 to date were, and plans for the next twelve months are, as follows: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Trap-based Clinical Programs:</w:t>
      </w:r>
    </w:p>
    <w:p>
      <w:pPr>
        <w:spacing w:after="0" w:line="167" w:lineRule="exact"/>
        <w:rPr>
          <w:sz w:val="20"/>
          <w:szCs w:val="20"/>
          <w:color w:val="auto"/>
        </w:rPr>
      </w:pPr>
    </w:p>
    <w:p>
      <w:pPr>
        <w:ind w:left="1940"/>
        <w:spacing w:after="0"/>
        <w:tabs>
          <w:tab w:leader="none" w:pos="7320" w:val="left"/>
        </w:tabs>
        <w:rPr>
          <w:sz w:val="20"/>
          <w:szCs w:val="20"/>
          <w:color w:val="auto"/>
        </w:rPr>
      </w:pPr>
      <w:r>
        <w:rPr>
          <w:rFonts w:ascii="Arial" w:cs="Arial" w:eastAsia="Arial" w:hAnsi="Arial"/>
          <w:sz w:val="18"/>
          <w:szCs w:val="18"/>
          <w:b w:val="1"/>
          <w:bCs w:val="1"/>
          <w:color w:val="auto"/>
        </w:rPr>
        <w:t>2014 Events to Date</w:t>
      </w:r>
      <w:r>
        <w:rPr>
          <w:sz w:val="20"/>
          <w:szCs w:val="20"/>
          <w:color w:val="auto"/>
        </w:rPr>
        <w:tab/>
      </w:r>
      <w:r>
        <w:rPr>
          <w:rFonts w:ascii="Arial" w:cs="Arial" w:eastAsia="Arial" w:hAnsi="Arial"/>
          <w:sz w:val="16"/>
          <w:szCs w:val="16"/>
          <w:b w:val="1"/>
          <w:bCs w:val="1"/>
          <w:color w:val="auto"/>
        </w:rPr>
        <w:t>2014-2015 Plans (next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EYLEA</w:t>
      </w:r>
    </w:p>
    <w:p>
      <w:pPr>
        <w:sectPr>
          <w:pgSz w:w="11900" w:h="16838" w:orient="portrait"/>
          <w:cols w:equalWidth="0" w:num="1">
            <w:col w:w="11400"/>
          </w:cols>
          <w:pgMar w:left="240" w:top="130" w:right="259" w:bottom="1440" w:gutter="0" w:footer="0" w:header="0"/>
        </w:sectPr>
      </w:pPr>
    </w:p>
    <w:p>
      <w:pPr>
        <w:spacing w:after="0" w:line="63" w:lineRule="exact"/>
        <w:rPr>
          <w:sz w:val="20"/>
          <w:szCs w:val="20"/>
          <w:color w:val="auto"/>
        </w:rPr>
      </w:pPr>
    </w:p>
    <w:p>
      <w:pPr>
        <w:ind w:left="260" w:right="180" w:hanging="202"/>
        <w:spacing w:after="0" w:line="257"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Bayer HealthCare received regulatory approval for EYLEA in certain countries for the treatment of patients with wet AMD and macular edema secondary to CRVO, and continued to pursue regulatory applications for marketing approval in additional countries</w:t>
      </w:r>
    </w:p>
    <w:p>
      <w:pPr>
        <w:spacing w:after="0" w:line="26" w:lineRule="exact"/>
        <w:rPr>
          <w:rFonts w:ascii="Arial" w:cs="Arial" w:eastAsia="Arial" w:hAnsi="Arial"/>
          <w:sz w:val="18"/>
          <w:szCs w:val="18"/>
          <w:color w:val="auto"/>
        </w:rPr>
      </w:pPr>
    </w:p>
    <w:p>
      <w:pPr>
        <w:ind w:left="260" w:right="240" w:hanging="202"/>
        <w:spacing w:after="0" w:line="264"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Bayer HealthCare opted-in to the global development and commercialization outside the United States for the treatment of macular edema following BRVO</w:t>
      </w:r>
    </w:p>
    <w:p>
      <w:pPr>
        <w:spacing w:after="0" w:line="73" w:lineRule="exact"/>
        <w:rPr>
          <w:rFonts w:ascii="Arial" w:cs="Arial" w:eastAsia="Arial" w:hAnsi="Arial"/>
          <w:sz w:val="18"/>
          <w:szCs w:val="18"/>
          <w:color w:val="auto"/>
        </w:rPr>
      </w:pPr>
    </w:p>
    <w:p>
      <w:pPr>
        <w:ind w:left="260" w:right="100" w:hanging="202"/>
        <w:spacing w:after="0" w:line="277"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Reported positive two-year results from the Phase 3 VISTA-DME and VIVID-DME studies</w:t>
      </w:r>
    </w:p>
    <w:p>
      <w:pPr>
        <w:spacing w:after="0" w:line="8" w:lineRule="exact"/>
        <w:rPr>
          <w:rFonts w:ascii="Arial" w:cs="Arial" w:eastAsia="Arial" w:hAnsi="Arial"/>
          <w:sz w:val="18"/>
          <w:szCs w:val="18"/>
          <w:color w:val="auto"/>
        </w:rPr>
      </w:pPr>
    </w:p>
    <w:p>
      <w:pPr>
        <w:jc w:val="both"/>
        <w:ind w:left="260" w:right="100" w:hanging="202"/>
        <w:spacing w:after="0" w:line="264"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Bayer HealthCare reported positive results from the VIVID-Japan study and submitted an application for marketing authorization of EYLEA for the treatment of DME in Japan</w:t>
      </w:r>
    </w:p>
    <w:p>
      <w:pPr>
        <w:spacing w:after="0" w:line="19" w:lineRule="exact"/>
        <w:rPr>
          <w:rFonts w:ascii="Arial" w:cs="Arial" w:eastAsia="Arial" w:hAnsi="Arial"/>
          <w:sz w:val="18"/>
          <w:szCs w:val="18"/>
          <w:color w:val="auto"/>
        </w:rPr>
      </w:pPr>
    </w:p>
    <w:p>
      <w:pPr>
        <w:ind w:left="260" w:right="80" w:hanging="202"/>
        <w:spacing w:after="0" w:line="317"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Supplemental BLA accepted for regulatory approval in the United States for the treatment of macular edema following RVO</w:t>
      </w:r>
    </w:p>
    <w:p>
      <w:pPr>
        <w:ind w:left="260" w:right="620" w:hanging="202"/>
        <w:spacing w:after="0" w:line="277"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Received positive week 52 results from the Phase 3 BRVO VIBRANT study</w:t>
      </w:r>
    </w:p>
    <w:p>
      <w:pPr>
        <w:spacing w:after="0" w:line="8" w:lineRule="exact"/>
        <w:rPr>
          <w:rFonts w:ascii="Arial" w:cs="Arial" w:eastAsia="Arial" w:hAnsi="Arial"/>
          <w:sz w:val="18"/>
          <w:szCs w:val="18"/>
          <w:color w:val="auto"/>
        </w:rPr>
      </w:pPr>
    </w:p>
    <w:p>
      <w:pPr>
        <w:ind w:left="260" w:right="300" w:hanging="202"/>
        <w:spacing w:after="0" w:line="277"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Reported positive results from the Phase 3 SIGHT study in wet AMD in China</w:t>
      </w:r>
    </w:p>
    <w:p>
      <w:pPr>
        <w:spacing w:after="0" w:line="8" w:lineRule="exact"/>
        <w:rPr>
          <w:rFonts w:ascii="Arial" w:cs="Arial" w:eastAsia="Arial" w:hAnsi="Arial"/>
          <w:sz w:val="18"/>
          <w:szCs w:val="18"/>
          <w:color w:val="auto"/>
        </w:rPr>
      </w:pPr>
    </w:p>
    <w:p>
      <w:pPr>
        <w:ind w:left="260" w:right="220" w:hanging="202"/>
        <w:spacing w:after="0" w:line="286"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Bayer HealthCare submitted regulatory applications seeking marketing authorization in the EU and Japan for EYLEA for the treatment of macular edema following BRVO</w:t>
      </w:r>
    </w:p>
    <w:p>
      <w:pPr>
        <w:spacing w:after="0" w:line="3" w:lineRule="exact"/>
        <w:rPr>
          <w:rFonts w:ascii="Arial" w:cs="Arial" w:eastAsia="Arial" w:hAnsi="Arial"/>
          <w:sz w:val="17"/>
          <w:szCs w:val="17"/>
          <w:color w:val="auto"/>
        </w:rPr>
      </w:pPr>
    </w:p>
    <w:p>
      <w:pPr>
        <w:ind w:left="260" w:hanging="20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FDA approved EYLEA for the treatment of DME</w:t>
      </w:r>
    </w:p>
    <w:p>
      <w:pPr>
        <w:spacing w:after="0" w:line="63" w:lineRule="exact"/>
        <w:rPr>
          <w:rFonts w:ascii="Arial" w:cs="Arial" w:eastAsia="Arial" w:hAnsi="Arial"/>
          <w:sz w:val="18"/>
          <w:szCs w:val="18"/>
          <w:color w:val="auto"/>
        </w:rPr>
      </w:pPr>
    </w:p>
    <w:p>
      <w:pPr>
        <w:ind w:left="260" w:right="100" w:hanging="202"/>
        <w:spacing w:after="0" w:line="298"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Bayer HealthCare received regulatory approval for EYLEA in the EU for the treatment of visual impairment due to DME</w:t>
      </w:r>
    </w:p>
    <w:p>
      <w:pPr>
        <w:ind w:left="260" w:hanging="202"/>
        <w:spacing w:after="0" w:line="277"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Received Breakthrough Therapy Designation from the FDA for the treatment of diabetic retinopathy in patients with DME</w:t>
      </w:r>
    </w:p>
    <w:p>
      <w:pPr>
        <w:spacing w:after="0" w:line="8" w:lineRule="exact"/>
        <w:rPr>
          <w:rFonts w:ascii="Arial" w:cs="Arial" w:eastAsia="Arial" w:hAnsi="Arial"/>
          <w:sz w:val="18"/>
          <w:szCs w:val="18"/>
          <w:color w:val="auto"/>
        </w:rPr>
      </w:pPr>
    </w:p>
    <w:p>
      <w:pPr>
        <w:ind w:left="260" w:right="440" w:hanging="202"/>
        <w:spacing w:after="0" w:line="277"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Bayer HealthCare received regulatory approval for mCNV in Japan</w:t>
      </w:r>
    </w:p>
    <w:p>
      <w:pPr>
        <w:spacing w:after="0" w:line="8" w:lineRule="exact"/>
        <w:rPr>
          <w:rFonts w:ascii="Arial" w:cs="Arial" w:eastAsia="Arial" w:hAnsi="Arial"/>
          <w:sz w:val="18"/>
          <w:szCs w:val="18"/>
          <w:color w:val="auto"/>
        </w:rPr>
      </w:pPr>
    </w:p>
    <w:p>
      <w:pPr>
        <w:ind w:left="260" w:right="480" w:hanging="202"/>
        <w:spacing w:after="0" w:line="325"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FDA approved EYLEA for the treatment of macular edema following RVO (including macular edema following BRVO)</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65" w:right="160" w:hanging="265"/>
        <w:spacing w:after="0" w:line="277"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Bayer HealthCare to file for China regulatory approval for the treatment of wet AMD</w:t>
      </w:r>
    </w:p>
    <w:p>
      <w:pPr>
        <w:spacing w:after="0" w:line="89" w:lineRule="exact"/>
        <w:rPr>
          <w:rFonts w:ascii="Arial" w:cs="Arial" w:eastAsia="Arial" w:hAnsi="Arial"/>
          <w:sz w:val="18"/>
          <w:szCs w:val="18"/>
          <w:color w:val="auto"/>
        </w:rPr>
      </w:pPr>
    </w:p>
    <w:p>
      <w:pPr>
        <w:ind w:left="265" w:right="60" w:hanging="265"/>
        <w:spacing w:after="0" w:line="277"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Bayer HealthCare to file for additional ex-US regulatory approvals in DME, macular edema following BRVO, and mCNV</w:t>
      </w:r>
    </w:p>
    <w:p>
      <w:pPr>
        <w:spacing w:after="0" w:line="89" w:lineRule="exact"/>
        <w:rPr>
          <w:rFonts w:ascii="Arial" w:cs="Arial" w:eastAsia="Arial" w:hAnsi="Arial"/>
          <w:sz w:val="18"/>
          <w:szCs w:val="18"/>
          <w:color w:val="auto"/>
        </w:rPr>
      </w:pPr>
    </w:p>
    <w:p>
      <w:pPr>
        <w:ind w:left="265" w:right="240" w:hanging="265"/>
        <w:spacing w:after="0" w:line="298" w:lineRule="auto"/>
        <w:tabs>
          <w:tab w:leader="none" w:pos="2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Regulatory agency decisions on applications outside the United States for the treatment of DME and macular edema following BRVO</w:t>
      </w:r>
    </w:p>
    <w:p>
      <w:pPr>
        <w:ind w:left="265" w:hanging="265"/>
        <w:spacing w:after="0"/>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 sBLA with the FDA for diabetic retinopathy in patients with DME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3565525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640" w:lineRule="exact"/>
        <w:rPr>
          <w:sz w:val="20"/>
          <w:szCs w:val="20"/>
          <w:color w:val="auto"/>
        </w:rPr>
      </w:pPr>
    </w:p>
    <w:p>
      <w:pPr>
        <w:sectPr>
          <w:pgSz w:w="11900" w:h="16838" w:orient="portrait"/>
          <w:cols w:equalWidth="0" w:num="2">
            <w:col w:w="5120" w:space="475"/>
            <w:col w:w="5805"/>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i w:val="1"/>
          <w:iCs w:val="1"/>
          <w:color w:val="auto"/>
        </w:rPr>
        <w:t>ZALTRAP</w:t>
      </w:r>
    </w:p>
    <w:p>
      <w:pPr>
        <w:sectPr>
          <w:pgSz w:w="11900" w:h="16838" w:orient="portrait"/>
          <w:cols w:equalWidth="0" w:num="1">
            <w:col w:w="11400"/>
          </w:cols>
          <w:pgMar w:left="240" w:top="130" w:right="259" w:bottom="1440" w:gutter="0" w:footer="0" w:header="0"/>
          <w:type w:val="continuous"/>
        </w:sectPr>
      </w:pPr>
    </w:p>
    <w:p>
      <w:pPr>
        <w:spacing w:after="0" w:line="75" w:lineRule="exact"/>
        <w:rPr>
          <w:sz w:val="20"/>
          <w:szCs w:val="20"/>
          <w:color w:val="auto"/>
        </w:rPr>
      </w:pPr>
    </w:p>
    <w:p>
      <w:pPr>
        <w:ind w:left="260" w:right="115" w:hanging="202"/>
        <w:spacing w:after="0" w:line="286" w:lineRule="auto"/>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Sanofi received regulatory approval in additional countries for ZALTRAP for patients with mCRC that is resistant to or has progressed following an oxaliplatin-containing regimen</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65" w:right="320" w:hanging="265"/>
        <w:spacing w:after="0" w:line="264" w:lineRule="auto"/>
        <w:tabs>
          <w:tab w:leader="none" w:pos="2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agency decisions outside the United States on additional applications for ZALTRAP in the treatment of previously treated mCRC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4445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4875" w:space="720"/>
            <w:col w:w="5805"/>
          </w:cols>
          <w:pgMar w:left="240" w:top="130" w:right="259" w:bottom="1440" w:gutter="0" w:footer="0" w:header="0"/>
          <w:type w:val="continuous"/>
        </w:sect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130" w:right="25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1">
              <w:r>
                <w:rPr>
                  <w:rFonts w:ascii="Arial" w:cs="Arial" w:eastAsia="Arial" w:hAnsi="Arial"/>
                  <w:sz w:val="16"/>
                  <w:szCs w:val="16"/>
                  <w:color w:val="0000EE"/>
                  <w:w w:val="90"/>
                </w:rPr>
                <w:t>Table of Contents</w:t>
              </w:r>
            </w:hyperlink>
          </w:p>
        </w:tc>
        <w:tc>
          <w:tcPr>
            <w:tcW w:w="15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561"/>
        </w:trPr>
        <w:tc>
          <w:tcPr>
            <w:tcW w:w="60" w:type="dxa"/>
            <w:vAlign w:val="bottom"/>
          </w:tcPr>
          <w:p>
            <w:pPr>
              <w:spacing w:after="0"/>
              <w:rPr>
                <w:sz w:val="24"/>
                <w:szCs w:val="24"/>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86"/>
              </w:rPr>
              <w:t>Antibody-based Clinical Programs:</w:t>
            </w:r>
          </w:p>
        </w:tc>
        <w:tc>
          <w:tcPr>
            <w:tcW w:w="46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53"/>
        </w:trPr>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80" w:type="dxa"/>
            <w:vAlign w:val="bottom"/>
          </w:tcPr>
          <w:p>
            <w:pPr>
              <w:ind w:left="2000"/>
              <w:spacing w:after="0"/>
              <w:rPr>
                <w:sz w:val="20"/>
                <w:szCs w:val="20"/>
                <w:color w:val="auto"/>
              </w:rPr>
            </w:pPr>
            <w:r>
              <w:rPr>
                <w:rFonts w:ascii="Arial" w:cs="Arial" w:eastAsia="Arial" w:hAnsi="Arial"/>
                <w:sz w:val="18"/>
                <w:szCs w:val="18"/>
                <w:b w:val="1"/>
                <w:bCs w:val="1"/>
                <w:color w:val="auto"/>
              </w:rPr>
              <w:t>2014 Events to Date</w:t>
            </w:r>
          </w:p>
        </w:tc>
        <w:tc>
          <w:tcPr>
            <w:tcW w:w="4060" w:type="dxa"/>
            <w:vAlign w:val="bottom"/>
          </w:tcPr>
          <w:p>
            <w:pPr>
              <w:ind w:left="900"/>
              <w:spacing w:after="0"/>
              <w:rPr>
                <w:sz w:val="20"/>
                <w:szCs w:val="20"/>
                <w:color w:val="auto"/>
              </w:rPr>
            </w:pPr>
            <w:r>
              <w:rPr>
                <w:rFonts w:ascii="Arial" w:cs="Arial" w:eastAsia="Arial" w:hAnsi="Arial"/>
                <w:sz w:val="18"/>
                <w:szCs w:val="18"/>
                <w:b w:val="1"/>
                <w:bCs w:val="1"/>
                <w:color w:val="auto"/>
              </w:rPr>
              <w:t>2014-2015 Plans (next 12 months)</w:t>
            </w:r>
          </w:p>
        </w:tc>
      </w:tr>
      <w:tr>
        <w:trPr>
          <w:trHeight w:val="27"/>
        </w:trPr>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22"/>
        </w:trPr>
        <w:tc>
          <w:tcPr>
            <w:tcW w:w="2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Alirocumab (PCSK9 Antibody)</w:t>
            </w:r>
          </w:p>
        </w:tc>
        <w:tc>
          <w:tcPr>
            <w:tcW w:w="4680" w:type="dxa"/>
            <w:vAlign w:val="bottom"/>
          </w:tcPr>
          <w:p>
            <w:pPr>
              <w:ind w:left="640"/>
              <w:spacing w:after="0"/>
              <w:rPr>
                <w:sz w:val="20"/>
                <w:szCs w:val="20"/>
                <w:color w:val="auto"/>
              </w:rPr>
            </w:pPr>
            <w:r>
              <w:rPr>
                <w:rFonts w:ascii="Arial" w:cs="Arial" w:eastAsia="Arial" w:hAnsi="Arial"/>
                <w:sz w:val="18"/>
                <w:szCs w:val="18"/>
                <w:color w:val="auto"/>
              </w:rPr>
              <w:t>Ÿ  Initiated Phase 3 ODYSSEY CHOICE II trial</w:t>
            </w:r>
          </w:p>
        </w:tc>
        <w:tc>
          <w:tcPr>
            <w:tcW w:w="4060" w:type="dxa"/>
            <w:vAlign w:val="bottom"/>
          </w:tcPr>
          <w:p>
            <w:pPr>
              <w:ind w:left="80"/>
              <w:spacing w:after="0"/>
              <w:rPr>
                <w:sz w:val="20"/>
                <w:szCs w:val="20"/>
                <w:color w:val="auto"/>
              </w:rPr>
            </w:pPr>
            <w:r>
              <w:rPr>
                <w:rFonts w:ascii="Arial" w:cs="Arial" w:eastAsia="Arial" w:hAnsi="Arial"/>
                <w:sz w:val="18"/>
                <w:szCs w:val="18"/>
                <w:color w:val="auto"/>
              </w:rPr>
              <w:t>Ÿ  Continue enrollment of Phase 3 ODYSSEY</w:t>
            </w: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OUTCOMES trial</w:t>
            </w:r>
          </w:p>
        </w:tc>
      </w:tr>
      <w:tr>
        <w:trPr>
          <w:trHeight w:val="256"/>
        </w:trPr>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680" w:type="dxa"/>
            <w:vAlign w:val="bottom"/>
          </w:tcPr>
          <w:p>
            <w:pPr>
              <w:ind w:left="640"/>
              <w:spacing w:after="0"/>
              <w:rPr>
                <w:sz w:val="20"/>
                <w:szCs w:val="20"/>
                <w:color w:val="auto"/>
              </w:rPr>
            </w:pPr>
            <w:r>
              <w:rPr>
                <w:rFonts w:ascii="Arial" w:cs="Arial" w:eastAsia="Arial" w:hAnsi="Arial"/>
                <w:sz w:val="18"/>
                <w:szCs w:val="18"/>
                <w:color w:val="auto"/>
              </w:rPr>
              <w:t>Ÿ  Completed patient enrollment in ODYSSEY</w:t>
            </w:r>
          </w:p>
        </w:tc>
        <w:tc>
          <w:tcPr>
            <w:tcW w:w="4060" w:type="dxa"/>
            <w:vAlign w:val="bottom"/>
          </w:tcPr>
          <w:p>
            <w:pPr>
              <w:ind w:left="80"/>
              <w:spacing w:after="0"/>
              <w:rPr>
                <w:sz w:val="20"/>
                <w:szCs w:val="20"/>
                <w:color w:val="auto"/>
              </w:rPr>
            </w:pPr>
            <w:r>
              <w:rPr>
                <w:rFonts w:ascii="Arial" w:cs="Arial" w:eastAsia="Arial" w:hAnsi="Arial"/>
                <w:sz w:val="18"/>
                <w:szCs w:val="18"/>
                <w:color w:val="auto"/>
                <w:w w:val="94"/>
              </w:rPr>
              <w:t>Ÿ  Report results from additional Phase 3 ODYSSEY</w:t>
            </w: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80" w:type="dxa"/>
            <w:vAlign w:val="bottom"/>
          </w:tcPr>
          <w:p>
            <w:pPr>
              <w:ind w:left="900"/>
              <w:spacing w:after="0"/>
              <w:rPr>
                <w:sz w:val="20"/>
                <w:szCs w:val="20"/>
                <w:color w:val="auto"/>
              </w:rPr>
            </w:pPr>
            <w:r>
              <w:rPr>
                <w:rFonts w:ascii="Arial" w:cs="Arial" w:eastAsia="Arial" w:hAnsi="Arial"/>
                <w:sz w:val="18"/>
                <w:szCs w:val="18"/>
                <w:color w:val="auto"/>
              </w:rPr>
              <w:t>CHOICE I and CHOICE II trials</w:t>
            </w:r>
          </w:p>
        </w:tc>
        <w:tc>
          <w:tcPr>
            <w:tcW w:w="4060" w:type="dxa"/>
            <w:vAlign w:val="bottom"/>
          </w:tcPr>
          <w:p>
            <w:pPr>
              <w:ind w:left="340"/>
              <w:spacing w:after="0"/>
              <w:rPr>
                <w:sz w:val="20"/>
                <w:szCs w:val="20"/>
                <w:color w:val="auto"/>
              </w:rPr>
            </w:pPr>
            <w:r>
              <w:rPr>
                <w:rFonts w:ascii="Arial" w:cs="Arial" w:eastAsia="Arial" w:hAnsi="Arial"/>
                <w:sz w:val="18"/>
                <w:szCs w:val="18"/>
                <w:color w:val="auto"/>
              </w:rPr>
              <w:t>trials</w:t>
            </w:r>
          </w:p>
        </w:tc>
      </w:tr>
      <w:tr>
        <w:trPr>
          <w:trHeight w:val="270"/>
        </w:trPr>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680" w:type="dxa"/>
            <w:vAlign w:val="bottom"/>
          </w:tcPr>
          <w:p>
            <w:pPr>
              <w:ind w:left="640"/>
              <w:spacing w:after="0"/>
              <w:rPr>
                <w:sz w:val="20"/>
                <w:szCs w:val="20"/>
                <w:color w:val="auto"/>
              </w:rPr>
            </w:pPr>
            <w:r>
              <w:rPr>
                <w:rFonts w:ascii="Arial" w:cs="Arial" w:eastAsia="Arial" w:hAnsi="Arial"/>
                <w:sz w:val="18"/>
                <w:szCs w:val="18"/>
                <w:color w:val="auto"/>
              </w:rPr>
              <w:t>Ÿ  Initiated Phase 3 program in Japan</w:t>
            </w:r>
          </w:p>
        </w:tc>
        <w:tc>
          <w:tcPr>
            <w:tcW w:w="4060" w:type="dxa"/>
            <w:vAlign w:val="bottom"/>
          </w:tcPr>
          <w:p>
            <w:pPr>
              <w:ind w:left="80"/>
              <w:spacing w:after="0"/>
              <w:rPr>
                <w:sz w:val="20"/>
                <w:szCs w:val="20"/>
                <w:color w:val="auto"/>
              </w:rPr>
            </w:pPr>
            <w:r>
              <w:rPr>
                <w:rFonts w:ascii="Arial" w:cs="Arial" w:eastAsia="Arial" w:hAnsi="Arial"/>
                <w:sz w:val="18"/>
                <w:szCs w:val="18"/>
                <w:color w:val="auto"/>
                <w:w w:val="99"/>
              </w:rPr>
              <w:t>Ÿ  File for regulatory approvals in the U.S. and EU</w:t>
            </w:r>
          </w:p>
        </w:tc>
      </w:tr>
      <w:tr>
        <w:trPr>
          <w:trHeight w:val="256"/>
        </w:trPr>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680" w:type="dxa"/>
            <w:vAlign w:val="bottom"/>
          </w:tcPr>
          <w:p>
            <w:pPr>
              <w:ind w:left="640"/>
              <w:spacing w:after="0"/>
              <w:rPr>
                <w:sz w:val="20"/>
                <w:szCs w:val="20"/>
                <w:color w:val="auto"/>
              </w:rPr>
            </w:pPr>
            <w:r>
              <w:rPr>
                <w:rFonts w:ascii="Arial" w:cs="Arial" w:eastAsia="Arial" w:hAnsi="Arial"/>
                <w:sz w:val="18"/>
                <w:szCs w:val="18"/>
                <w:color w:val="auto"/>
                <w:w w:val="93"/>
              </w:rPr>
              <w:t>Ÿ  Reported positive topline results from nine Phase 3</w:t>
            </w:r>
          </w:p>
        </w:tc>
        <w:tc>
          <w:tcPr>
            <w:tcW w:w="4060" w:type="dxa"/>
            <w:vAlign w:val="bottom"/>
          </w:tcPr>
          <w:p>
            <w:pPr>
              <w:spacing w:after="0"/>
              <w:rPr>
                <w:sz w:val="22"/>
                <w:szCs w:val="22"/>
                <w:color w:val="auto"/>
              </w:rPr>
            </w:pP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80" w:type="dxa"/>
            <w:vAlign w:val="bottom"/>
          </w:tcPr>
          <w:p>
            <w:pPr>
              <w:ind w:left="900"/>
              <w:spacing w:after="0"/>
              <w:rPr>
                <w:sz w:val="20"/>
                <w:szCs w:val="20"/>
                <w:color w:val="auto"/>
              </w:rPr>
            </w:pPr>
            <w:r>
              <w:rPr>
                <w:rFonts w:ascii="Arial" w:cs="Arial" w:eastAsia="Arial" w:hAnsi="Arial"/>
                <w:sz w:val="18"/>
                <w:szCs w:val="18"/>
                <w:color w:val="auto"/>
              </w:rPr>
              <w:t>ODYSSEY studies</w:t>
            </w:r>
          </w:p>
        </w:tc>
        <w:tc>
          <w:tcPr>
            <w:tcW w:w="406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680" w:type="dxa"/>
            <w:vAlign w:val="bottom"/>
          </w:tcPr>
          <w:p>
            <w:pPr>
              <w:ind w:left="640"/>
              <w:spacing w:after="0"/>
              <w:rPr>
                <w:sz w:val="20"/>
                <w:szCs w:val="20"/>
                <w:color w:val="auto"/>
              </w:rPr>
            </w:pPr>
            <w:r>
              <w:rPr>
                <w:rFonts w:ascii="Arial" w:cs="Arial" w:eastAsia="Arial" w:hAnsi="Arial"/>
                <w:sz w:val="18"/>
                <w:szCs w:val="18"/>
                <w:color w:val="auto"/>
              </w:rPr>
              <w:t>Ÿ  Detailed positive results from four Phase 3</w:t>
            </w:r>
          </w:p>
        </w:tc>
        <w:tc>
          <w:tcPr>
            <w:tcW w:w="4060" w:type="dxa"/>
            <w:vAlign w:val="bottom"/>
          </w:tcPr>
          <w:p>
            <w:pPr>
              <w:spacing w:after="0"/>
              <w:rPr>
                <w:sz w:val="22"/>
                <w:szCs w:val="22"/>
                <w:color w:val="auto"/>
              </w:rPr>
            </w:pPr>
          </w:p>
        </w:tc>
      </w:tr>
      <w:tr>
        <w:trPr>
          <w:trHeight w:val="216"/>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80" w:type="dxa"/>
            <w:vAlign w:val="bottom"/>
          </w:tcPr>
          <w:p>
            <w:pPr>
              <w:ind w:left="900"/>
              <w:spacing w:after="0"/>
              <w:rPr>
                <w:sz w:val="20"/>
                <w:szCs w:val="20"/>
                <w:color w:val="auto"/>
              </w:rPr>
            </w:pPr>
            <w:r>
              <w:rPr>
                <w:rFonts w:ascii="Arial" w:cs="Arial" w:eastAsia="Arial" w:hAnsi="Arial"/>
                <w:sz w:val="18"/>
                <w:szCs w:val="18"/>
                <w:color w:val="auto"/>
                <w:w w:val="96"/>
              </w:rPr>
              <w:t>ODYSSEY trials presented at the ESC Congress</w:t>
            </w:r>
          </w:p>
        </w:tc>
        <w:tc>
          <w:tcPr>
            <w:tcW w:w="406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80" w:type="dxa"/>
            <w:vAlign w:val="bottom"/>
          </w:tcPr>
          <w:p>
            <w:pPr>
              <w:ind w:left="900"/>
              <w:spacing w:after="0"/>
              <w:rPr>
                <w:sz w:val="20"/>
                <w:szCs w:val="20"/>
                <w:color w:val="auto"/>
              </w:rPr>
            </w:pPr>
            <w:r>
              <w:rPr>
                <w:rFonts w:ascii="Arial" w:cs="Arial" w:eastAsia="Arial" w:hAnsi="Arial"/>
                <w:sz w:val="18"/>
                <w:szCs w:val="18"/>
                <w:color w:val="auto"/>
              </w:rPr>
              <w:t>2014</w:t>
            </w:r>
          </w:p>
        </w:tc>
        <w:tc>
          <w:tcPr>
            <w:tcW w:w="40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53" w:lineRule="exact"/>
        <w:rPr>
          <w:sz w:val="20"/>
          <w:szCs w:val="20"/>
          <w:color w:val="auto"/>
        </w:rPr>
      </w:pPr>
    </w:p>
    <w:p>
      <w:pPr>
        <w:ind w:left="40"/>
        <w:spacing w:after="0"/>
        <w:tabs>
          <w:tab w:leader="none" w:pos="3300" w:val="left"/>
        </w:tabs>
        <w:rPr>
          <w:sz w:val="20"/>
          <w:szCs w:val="20"/>
          <w:color w:val="auto"/>
        </w:rPr>
      </w:pPr>
      <w:r>
        <w:rPr>
          <w:rFonts w:ascii="Arial" w:cs="Arial" w:eastAsia="Arial" w:hAnsi="Arial"/>
          <w:sz w:val="18"/>
          <w:szCs w:val="18"/>
          <w:b w:val="1"/>
          <w:bCs w:val="1"/>
          <w:i w:val="1"/>
          <w:iCs w:val="1"/>
          <w:color w:val="auto"/>
        </w:rPr>
        <w:t>Sarilumab (IL-6R Antibody)</w:t>
      </w:r>
      <w:r>
        <w:rPr>
          <w:sz w:val="20"/>
          <w:szCs w:val="20"/>
          <w:color w:val="auto"/>
        </w:rPr>
        <w:tab/>
      </w:r>
      <w:r>
        <w:rPr>
          <w:rFonts w:ascii="Arial" w:cs="Arial" w:eastAsia="Arial" w:hAnsi="Arial"/>
          <w:sz w:val="16"/>
          <w:szCs w:val="16"/>
          <w:color w:val="auto"/>
        </w:rPr>
        <w:t>Ÿ  Obtained positive results from Phase 1b RA trial in</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Japan</w:t>
      </w:r>
    </w:p>
    <w:p>
      <w:pPr>
        <w:spacing w:after="0" w:line="4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Ÿ  Positive results from Phase 3 SARIL-RA-</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MOBILITY trial presented at EULAR 2014</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conference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68" w:right="580" w:hanging="268"/>
        <w:spacing w:after="0" w:line="277" w:lineRule="auto"/>
        <w:tabs>
          <w:tab w:leader="none" w:pos="2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enrollment in Phase 3 SARIL-RA program</w:t>
      </w:r>
    </w:p>
    <w:p>
      <w:pPr>
        <w:spacing w:after="0" w:line="8" w:lineRule="exact"/>
        <w:rPr>
          <w:rFonts w:ascii="Arial" w:cs="Arial" w:eastAsia="Arial" w:hAnsi="Arial"/>
          <w:sz w:val="18"/>
          <w:szCs w:val="18"/>
          <w:color w:val="auto"/>
        </w:rPr>
      </w:pPr>
    </w:p>
    <w:p>
      <w:pPr>
        <w:ind w:left="268" w:right="200" w:hanging="268"/>
        <w:spacing w:after="0" w:line="342" w:lineRule="auto"/>
        <w:tabs>
          <w:tab w:leader="none" w:pos="268"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Complete patient enrollment in SARIL-NIU-SATURN Phase 2 study in non-infectious uveitis</w:t>
      </w:r>
    </w:p>
    <w:p>
      <w:pPr>
        <w:spacing w:after="0" w:line="178" w:lineRule="exact"/>
        <w:rPr>
          <w:sz w:val="20"/>
          <w:szCs w:val="20"/>
          <w:color w:val="auto"/>
        </w:rPr>
      </w:pPr>
    </w:p>
    <w:p>
      <w:pPr>
        <w:sectPr>
          <w:pgSz w:w="11900" w:h="16838" w:orient="portrait"/>
          <w:cols w:equalWidth="0" w:num="2">
            <w:col w:w="7280" w:space="152"/>
            <w:col w:w="3988"/>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840" w:type="dxa"/>
            <w:vAlign w:val="bottom"/>
          </w:tcPr>
          <w:p>
            <w:pPr>
              <w:ind w:left="60"/>
              <w:spacing w:after="0"/>
              <w:rPr>
                <w:sz w:val="20"/>
                <w:szCs w:val="20"/>
                <w:color w:val="auto"/>
              </w:rPr>
            </w:pPr>
            <w:r>
              <w:rPr>
                <w:rFonts w:ascii="Arial" w:cs="Arial" w:eastAsia="Arial" w:hAnsi="Arial"/>
                <w:sz w:val="18"/>
                <w:szCs w:val="18"/>
                <w:color w:val="auto"/>
              </w:rPr>
              <w:t>SARIL-RA-COMPARE Phase 3 study</w:t>
            </w:r>
          </w:p>
        </w:tc>
        <w:tc>
          <w:tcPr>
            <w:tcW w:w="4060" w:type="dxa"/>
            <w:vAlign w:val="bottom"/>
          </w:tcPr>
          <w:p>
            <w:pPr>
              <w:ind w:left="80"/>
              <w:spacing w:after="0"/>
              <w:rPr>
                <w:sz w:val="20"/>
                <w:szCs w:val="20"/>
                <w:color w:val="auto"/>
              </w:rPr>
            </w:pPr>
            <w:r>
              <w:rPr>
                <w:rFonts w:ascii="Arial" w:cs="Arial" w:eastAsia="Arial" w:hAnsi="Arial"/>
                <w:sz w:val="18"/>
                <w:szCs w:val="18"/>
                <w:color w:val="auto"/>
              </w:rPr>
              <w:t>Ÿ  Report results from additional Phase 3 trials</w:t>
            </w:r>
          </w:p>
        </w:tc>
      </w:tr>
      <w:tr>
        <w:trPr>
          <w:trHeight w:val="230"/>
        </w:trPr>
        <w:tc>
          <w:tcPr>
            <w:tcW w:w="3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discontinued</w:t>
            </w:r>
          </w:p>
        </w:tc>
        <w:tc>
          <w:tcPr>
            <w:tcW w:w="4060" w:type="dxa"/>
            <w:vAlign w:val="bottom"/>
          </w:tcPr>
          <w:p>
            <w:pPr>
              <w:spacing w:after="0"/>
              <w:rPr>
                <w:sz w:val="20"/>
                <w:szCs w:val="20"/>
                <w:color w:val="auto"/>
              </w:rPr>
            </w:pPr>
          </w:p>
        </w:tc>
      </w:tr>
      <w:tr>
        <w:trPr>
          <w:trHeight w:val="256"/>
        </w:trPr>
        <w:tc>
          <w:tcPr>
            <w:tcW w:w="3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4060" w:type="dxa"/>
            <w:vAlign w:val="bottom"/>
          </w:tcPr>
          <w:p>
            <w:pPr>
              <w:ind w:left="80"/>
              <w:spacing w:after="0"/>
              <w:rPr>
                <w:sz w:val="20"/>
                <w:szCs w:val="20"/>
                <w:color w:val="auto"/>
              </w:rPr>
            </w:pPr>
            <w:r>
              <w:rPr>
                <w:rFonts w:ascii="Arial" w:cs="Arial" w:eastAsia="Arial" w:hAnsi="Arial"/>
                <w:sz w:val="18"/>
                <w:szCs w:val="18"/>
                <w:color w:val="auto"/>
                <w:w w:val="95"/>
              </w:rPr>
              <w:t>Ÿ  Initiate additional clinical studies, including Phase</w:t>
            </w:r>
          </w:p>
        </w:tc>
      </w:tr>
      <w:tr>
        <w:trPr>
          <w:trHeight w:val="216"/>
        </w:trPr>
        <w:tc>
          <w:tcPr>
            <w:tcW w:w="3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w w:val="96"/>
              </w:rPr>
              <w:t>3 MONARCH study (head-to-head monotherapy</w:t>
            </w:r>
          </w:p>
        </w:tc>
      </w:tr>
      <w:tr>
        <w:trPr>
          <w:trHeight w:val="230"/>
        </w:trPr>
        <w:tc>
          <w:tcPr>
            <w:tcW w:w="3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study against adalimumab)</w:t>
            </w: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22"/>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Dupilumab (IL-4R Antibody)</w:t>
            </w: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840" w:type="dxa"/>
            <w:vAlign w:val="bottom"/>
          </w:tcPr>
          <w:p>
            <w:pPr>
              <w:ind w:left="60"/>
              <w:spacing w:after="0"/>
              <w:rPr>
                <w:sz w:val="20"/>
                <w:szCs w:val="20"/>
                <w:color w:val="auto"/>
              </w:rPr>
            </w:pPr>
            <w:r>
              <w:rPr>
                <w:rFonts w:ascii="Arial" w:cs="Arial" w:eastAsia="Arial" w:hAnsi="Arial"/>
                <w:sz w:val="18"/>
                <w:szCs w:val="18"/>
                <w:color w:val="auto"/>
              </w:rPr>
              <w:t>Reported positive Phase 2a data in atopic</w:t>
            </w:r>
          </w:p>
        </w:tc>
        <w:tc>
          <w:tcPr>
            <w:tcW w:w="4060" w:type="dxa"/>
            <w:vAlign w:val="bottom"/>
          </w:tcPr>
          <w:p>
            <w:pPr>
              <w:ind w:left="80"/>
              <w:spacing w:after="0"/>
              <w:rPr>
                <w:sz w:val="20"/>
                <w:szCs w:val="20"/>
                <w:color w:val="auto"/>
              </w:rPr>
            </w:pPr>
            <w:r>
              <w:rPr>
                <w:rFonts w:ascii="Arial" w:cs="Arial" w:eastAsia="Arial" w:hAnsi="Arial"/>
                <w:sz w:val="18"/>
                <w:szCs w:val="18"/>
                <w:color w:val="auto"/>
                <w:w w:val="96"/>
              </w:rPr>
              <w:t>Ÿ  Continue enrollment of LIBERTY AD CHRONOS</w:t>
            </w:r>
          </w:p>
        </w:tc>
      </w:tr>
      <w:tr>
        <w:trPr>
          <w:trHeight w:val="230"/>
        </w:trPr>
        <w:tc>
          <w:tcPr>
            <w:tcW w:w="3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dermatitis</w:t>
            </w:r>
          </w:p>
        </w:tc>
        <w:tc>
          <w:tcPr>
            <w:tcW w:w="4060" w:type="dxa"/>
            <w:vAlign w:val="bottom"/>
          </w:tcPr>
          <w:p>
            <w:pPr>
              <w:ind w:left="340"/>
              <w:spacing w:after="0"/>
              <w:rPr>
                <w:sz w:val="20"/>
                <w:szCs w:val="20"/>
                <w:color w:val="auto"/>
              </w:rPr>
            </w:pPr>
            <w:r>
              <w:rPr>
                <w:rFonts w:ascii="Arial" w:cs="Arial" w:eastAsia="Arial" w:hAnsi="Arial"/>
                <w:sz w:val="18"/>
                <w:szCs w:val="18"/>
                <w:color w:val="auto"/>
              </w:rPr>
              <w:t>trial in atopic dermatitis</w:t>
            </w:r>
          </w:p>
        </w:tc>
      </w:tr>
      <w:tr>
        <w:trPr>
          <w:trHeight w:val="256"/>
        </w:trPr>
        <w:tc>
          <w:tcPr>
            <w:tcW w:w="3120" w:type="dxa"/>
            <w:vAlign w:val="bottom"/>
          </w:tcPr>
          <w:p>
            <w:pPr>
              <w:spacing w:after="0"/>
              <w:rPr>
                <w:sz w:val="22"/>
                <w:szCs w:val="22"/>
                <w:color w:val="auto"/>
              </w:rPr>
            </w:pP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840" w:type="dxa"/>
            <w:vAlign w:val="bottom"/>
          </w:tcPr>
          <w:p>
            <w:pPr>
              <w:ind w:left="60"/>
              <w:spacing w:after="0"/>
              <w:rPr>
                <w:sz w:val="20"/>
                <w:szCs w:val="20"/>
                <w:color w:val="auto"/>
              </w:rPr>
            </w:pPr>
            <w:r>
              <w:rPr>
                <w:rFonts w:ascii="Arial" w:cs="Arial" w:eastAsia="Arial" w:hAnsi="Arial"/>
                <w:sz w:val="18"/>
                <w:szCs w:val="18"/>
                <w:color w:val="auto"/>
              </w:rPr>
              <w:t>Reported positive Phase 2b data in atopic</w:t>
            </w:r>
          </w:p>
        </w:tc>
        <w:tc>
          <w:tcPr>
            <w:tcW w:w="4060" w:type="dxa"/>
            <w:vAlign w:val="bottom"/>
          </w:tcPr>
          <w:p>
            <w:pPr>
              <w:ind w:left="80"/>
              <w:spacing w:after="0"/>
              <w:rPr>
                <w:sz w:val="20"/>
                <w:szCs w:val="20"/>
                <w:color w:val="auto"/>
              </w:rPr>
            </w:pPr>
            <w:r>
              <w:rPr>
                <w:rFonts w:ascii="Arial" w:cs="Arial" w:eastAsia="Arial" w:hAnsi="Arial"/>
                <w:sz w:val="18"/>
                <w:szCs w:val="18"/>
                <w:color w:val="auto"/>
              </w:rPr>
              <w:t>Ÿ  Initiate additional Phase 3 trials in atopic</w:t>
            </w:r>
          </w:p>
        </w:tc>
      </w:tr>
      <w:tr>
        <w:trPr>
          <w:trHeight w:val="230"/>
        </w:trPr>
        <w:tc>
          <w:tcPr>
            <w:tcW w:w="3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dermatitis</w:t>
            </w:r>
          </w:p>
        </w:tc>
        <w:tc>
          <w:tcPr>
            <w:tcW w:w="4060" w:type="dxa"/>
            <w:vAlign w:val="bottom"/>
          </w:tcPr>
          <w:p>
            <w:pPr>
              <w:ind w:left="340"/>
              <w:spacing w:after="0"/>
              <w:rPr>
                <w:sz w:val="20"/>
                <w:szCs w:val="20"/>
                <w:color w:val="auto"/>
              </w:rPr>
            </w:pPr>
            <w:r>
              <w:rPr>
                <w:rFonts w:ascii="Arial" w:cs="Arial" w:eastAsia="Arial" w:hAnsi="Arial"/>
                <w:sz w:val="18"/>
                <w:szCs w:val="18"/>
                <w:color w:val="auto"/>
              </w:rPr>
              <w:t>dermatitis</w:t>
            </w:r>
          </w:p>
        </w:tc>
      </w:tr>
      <w:tr>
        <w:trPr>
          <w:trHeight w:val="256"/>
        </w:trPr>
        <w:tc>
          <w:tcPr>
            <w:tcW w:w="3120" w:type="dxa"/>
            <w:vAlign w:val="bottom"/>
          </w:tcPr>
          <w:p>
            <w:pPr>
              <w:spacing w:after="0"/>
              <w:rPr>
                <w:sz w:val="22"/>
                <w:szCs w:val="22"/>
                <w:color w:val="auto"/>
              </w:rPr>
            </w:pP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840" w:type="dxa"/>
            <w:vAlign w:val="bottom"/>
          </w:tcPr>
          <w:p>
            <w:pPr>
              <w:ind w:left="60"/>
              <w:spacing w:after="0"/>
              <w:rPr>
                <w:sz w:val="20"/>
                <w:szCs w:val="20"/>
                <w:color w:val="auto"/>
              </w:rPr>
            </w:pPr>
            <w:r>
              <w:rPr>
                <w:rFonts w:ascii="Arial" w:cs="Arial" w:eastAsia="Arial" w:hAnsi="Arial"/>
                <w:sz w:val="18"/>
                <w:szCs w:val="18"/>
                <w:color w:val="auto"/>
                <w:w w:val="93"/>
              </w:rPr>
              <w:t>Completed patient enrollment of Phase 2b asthma</w:t>
            </w:r>
          </w:p>
        </w:tc>
        <w:tc>
          <w:tcPr>
            <w:tcW w:w="4060" w:type="dxa"/>
            <w:vAlign w:val="bottom"/>
          </w:tcPr>
          <w:p>
            <w:pPr>
              <w:ind w:left="80"/>
              <w:spacing w:after="0"/>
              <w:rPr>
                <w:sz w:val="20"/>
                <w:szCs w:val="20"/>
                <w:color w:val="auto"/>
              </w:rPr>
            </w:pPr>
            <w:r>
              <w:rPr>
                <w:rFonts w:ascii="Arial" w:cs="Arial" w:eastAsia="Arial" w:hAnsi="Arial"/>
                <w:sz w:val="18"/>
                <w:szCs w:val="18"/>
                <w:color w:val="auto"/>
              </w:rPr>
              <w:t>Ÿ  Report results from Phase 2b trial in asthma</w:t>
            </w:r>
          </w:p>
        </w:tc>
      </w:tr>
      <w:tr>
        <w:trPr>
          <w:trHeight w:val="230"/>
        </w:trPr>
        <w:tc>
          <w:tcPr>
            <w:tcW w:w="3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trial</w:t>
            </w:r>
          </w:p>
        </w:tc>
        <w:tc>
          <w:tcPr>
            <w:tcW w:w="4060" w:type="dxa"/>
            <w:vAlign w:val="bottom"/>
          </w:tcPr>
          <w:p>
            <w:pPr>
              <w:spacing w:after="0"/>
              <w:rPr>
                <w:sz w:val="20"/>
                <w:szCs w:val="20"/>
                <w:color w:val="auto"/>
              </w:rPr>
            </w:pPr>
          </w:p>
        </w:tc>
      </w:tr>
      <w:tr>
        <w:trPr>
          <w:trHeight w:val="256"/>
        </w:trPr>
        <w:tc>
          <w:tcPr>
            <w:tcW w:w="3120" w:type="dxa"/>
            <w:vAlign w:val="bottom"/>
          </w:tcPr>
          <w:p>
            <w:pPr>
              <w:spacing w:after="0"/>
              <w:rPr>
                <w:sz w:val="22"/>
                <w:szCs w:val="22"/>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w w:val="98"/>
              </w:rPr>
              <w:t>Ÿ  Completed patient enrollment of Phase 2a nasal</w:t>
            </w:r>
          </w:p>
        </w:tc>
        <w:tc>
          <w:tcPr>
            <w:tcW w:w="4060" w:type="dxa"/>
            <w:vAlign w:val="bottom"/>
          </w:tcPr>
          <w:p>
            <w:pPr>
              <w:spacing w:after="0"/>
              <w:rPr>
                <w:sz w:val="22"/>
                <w:szCs w:val="22"/>
                <w:color w:val="auto"/>
              </w:rPr>
            </w:pPr>
          </w:p>
        </w:tc>
      </w:tr>
      <w:tr>
        <w:trPr>
          <w:trHeight w:val="230"/>
        </w:trPr>
        <w:tc>
          <w:tcPr>
            <w:tcW w:w="3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polyposis trial</w:t>
            </w:r>
          </w:p>
        </w:tc>
        <w:tc>
          <w:tcPr>
            <w:tcW w:w="4060" w:type="dxa"/>
            <w:vAlign w:val="bottom"/>
          </w:tcPr>
          <w:p>
            <w:pPr>
              <w:spacing w:after="0"/>
              <w:rPr>
                <w:sz w:val="20"/>
                <w:szCs w:val="20"/>
                <w:color w:val="auto"/>
              </w:rPr>
            </w:pPr>
          </w:p>
        </w:tc>
      </w:tr>
      <w:tr>
        <w:trPr>
          <w:trHeight w:val="270"/>
        </w:trPr>
        <w:tc>
          <w:tcPr>
            <w:tcW w:w="3120" w:type="dxa"/>
            <w:vAlign w:val="bottom"/>
          </w:tcPr>
          <w:p>
            <w:pPr>
              <w:spacing w:after="0"/>
              <w:rPr>
                <w:sz w:val="23"/>
                <w:szCs w:val="23"/>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Ÿ  Reported positive Phase 2a data in CSwNP</w:t>
            </w:r>
          </w:p>
        </w:tc>
        <w:tc>
          <w:tcPr>
            <w:tcW w:w="4060" w:type="dxa"/>
            <w:vAlign w:val="bottom"/>
          </w:tcPr>
          <w:p>
            <w:pPr>
              <w:spacing w:after="0"/>
              <w:rPr>
                <w:sz w:val="23"/>
                <w:szCs w:val="23"/>
                <w:color w:val="auto"/>
              </w:rPr>
            </w:pPr>
          </w:p>
        </w:tc>
      </w:tr>
      <w:tr>
        <w:trPr>
          <w:trHeight w:val="256"/>
        </w:trPr>
        <w:tc>
          <w:tcPr>
            <w:tcW w:w="3120" w:type="dxa"/>
            <w:vAlign w:val="bottom"/>
          </w:tcPr>
          <w:p>
            <w:pPr>
              <w:spacing w:after="0"/>
              <w:rPr>
                <w:sz w:val="22"/>
                <w:szCs w:val="22"/>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Ÿ  Initiated LIBERTY AD CHRONOS Phase 3 trial</w:t>
            </w:r>
          </w:p>
        </w:tc>
        <w:tc>
          <w:tcPr>
            <w:tcW w:w="4060" w:type="dxa"/>
            <w:vAlign w:val="bottom"/>
          </w:tcPr>
          <w:p>
            <w:pPr>
              <w:spacing w:after="0"/>
              <w:rPr>
                <w:sz w:val="22"/>
                <w:szCs w:val="22"/>
                <w:color w:val="auto"/>
              </w:rPr>
            </w:pPr>
          </w:p>
        </w:tc>
      </w:tr>
      <w:tr>
        <w:trPr>
          <w:trHeight w:val="230"/>
        </w:trPr>
        <w:tc>
          <w:tcPr>
            <w:tcW w:w="3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in atopic dermatitis</w:t>
            </w:r>
          </w:p>
        </w:tc>
        <w:tc>
          <w:tcPr>
            <w:tcW w:w="4060" w:type="dxa"/>
            <w:vAlign w:val="bottom"/>
          </w:tcPr>
          <w:p>
            <w:pPr>
              <w:spacing w:after="0"/>
              <w:rPr>
                <w:sz w:val="20"/>
                <w:szCs w:val="20"/>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22"/>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REGN1033 (GDF8 Antibody)</w:t>
            </w: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840" w:type="dxa"/>
            <w:vAlign w:val="bottom"/>
          </w:tcPr>
          <w:p>
            <w:pPr>
              <w:ind w:left="60"/>
              <w:spacing w:after="0"/>
              <w:rPr>
                <w:sz w:val="20"/>
                <w:szCs w:val="20"/>
                <w:color w:val="auto"/>
              </w:rPr>
            </w:pPr>
            <w:r>
              <w:rPr>
                <w:rFonts w:ascii="Arial" w:cs="Arial" w:eastAsia="Arial" w:hAnsi="Arial"/>
                <w:sz w:val="18"/>
                <w:szCs w:val="18"/>
                <w:color w:val="auto"/>
                <w:w w:val="90"/>
              </w:rPr>
              <w:t>Completed patient enrollment in Phase 1 and Phase</w:t>
            </w:r>
          </w:p>
        </w:tc>
        <w:tc>
          <w:tcPr>
            <w:tcW w:w="4060" w:type="dxa"/>
            <w:vAlign w:val="bottom"/>
          </w:tcPr>
          <w:p>
            <w:pPr>
              <w:spacing w:after="0"/>
              <w:rPr>
                <w:sz w:val="19"/>
                <w:szCs w:val="19"/>
                <w:color w:val="auto"/>
              </w:rPr>
            </w:pPr>
          </w:p>
        </w:tc>
      </w:tr>
      <w:tr>
        <w:trPr>
          <w:trHeight w:val="230"/>
        </w:trPr>
        <w:tc>
          <w:tcPr>
            <w:tcW w:w="3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2a studies</w:t>
            </w:r>
          </w:p>
        </w:tc>
        <w:tc>
          <w:tcPr>
            <w:tcW w:w="4060" w:type="dxa"/>
            <w:vAlign w:val="bottom"/>
          </w:tcPr>
          <w:p>
            <w:pPr>
              <w:spacing w:after="0"/>
              <w:rPr>
                <w:sz w:val="20"/>
                <w:szCs w:val="20"/>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22"/>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3"/>
              </w:rPr>
              <w:t>REGN1908-1909 (target not disclosed)</w:t>
            </w: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840" w:type="dxa"/>
            <w:vAlign w:val="bottom"/>
          </w:tcPr>
          <w:p>
            <w:pPr>
              <w:ind w:left="60"/>
              <w:spacing w:after="0"/>
              <w:rPr>
                <w:sz w:val="20"/>
                <w:szCs w:val="20"/>
                <w:color w:val="auto"/>
              </w:rPr>
            </w:pPr>
            <w:r>
              <w:rPr>
                <w:rFonts w:ascii="Arial" w:cs="Arial" w:eastAsia="Arial" w:hAnsi="Arial"/>
                <w:sz w:val="18"/>
                <w:szCs w:val="18"/>
                <w:color w:val="auto"/>
                <w:w w:val="99"/>
              </w:rPr>
              <w:t>Completed patient enrollment of First in Human</w:t>
            </w:r>
          </w:p>
        </w:tc>
        <w:tc>
          <w:tcPr>
            <w:tcW w:w="4060" w:type="dxa"/>
            <w:vAlign w:val="bottom"/>
          </w:tcPr>
          <w:p>
            <w:pPr>
              <w:ind w:left="80"/>
              <w:spacing w:after="0"/>
              <w:rPr>
                <w:sz w:val="20"/>
                <w:szCs w:val="20"/>
                <w:color w:val="auto"/>
              </w:rPr>
            </w:pPr>
            <w:r>
              <w:rPr>
                <w:rFonts w:ascii="Arial" w:cs="Arial" w:eastAsia="Arial" w:hAnsi="Arial"/>
                <w:sz w:val="18"/>
                <w:szCs w:val="18"/>
                <w:color w:val="auto"/>
              </w:rPr>
              <w:t>Ÿ  Continue patient enrollment in Phase 2 study</w:t>
            </w:r>
          </w:p>
        </w:tc>
      </w:tr>
      <w:tr>
        <w:trPr>
          <w:trHeight w:val="230"/>
        </w:trPr>
        <w:tc>
          <w:tcPr>
            <w:tcW w:w="3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study</w:t>
            </w:r>
          </w:p>
        </w:tc>
        <w:tc>
          <w:tcPr>
            <w:tcW w:w="4060" w:type="dxa"/>
            <w:vAlign w:val="bottom"/>
          </w:tcPr>
          <w:p>
            <w:pPr>
              <w:spacing w:after="0"/>
              <w:rPr>
                <w:sz w:val="20"/>
                <w:szCs w:val="20"/>
                <w:color w:val="auto"/>
              </w:rPr>
            </w:pPr>
          </w:p>
        </w:tc>
      </w:tr>
      <w:tr>
        <w:trPr>
          <w:trHeight w:val="270"/>
        </w:trPr>
        <w:tc>
          <w:tcPr>
            <w:tcW w:w="3120" w:type="dxa"/>
            <w:vAlign w:val="bottom"/>
          </w:tcPr>
          <w:p>
            <w:pPr>
              <w:spacing w:after="0"/>
              <w:rPr>
                <w:sz w:val="23"/>
                <w:szCs w:val="23"/>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Ÿ  Initiated Phase 2 study</w:t>
            </w:r>
          </w:p>
        </w:tc>
        <w:tc>
          <w:tcPr>
            <w:tcW w:w="4060" w:type="dxa"/>
            <w:vAlign w:val="bottom"/>
          </w:tcPr>
          <w:p>
            <w:pPr>
              <w:spacing w:after="0"/>
              <w:rPr>
                <w:sz w:val="23"/>
                <w:szCs w:val="23"/>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22"/>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Nesvacumab (Ang2 Antibody)</w:t>
            </w: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840" w:type="dxa"/>
            <w:vAlign w:val="bottom"/>
          </w:tcPr>
          <w:p>
            <w:pPr>
              <w:ind w:left="60"/>
              <w:spacing w:after="0"/>
              <w:rPr>
                <w:sz w:val="20"/>
                <w:szCs w:val="20"/>
                <w:color w:val="auto"/>
              </w:rPr>
            </w:pPr>
            <w:r>
              <w:rPr>
                <w:rFonts w:ascii="Arial" w:cs="Arial" w:eastAsia="Arial" w:hAnsi="Arial"/>
                <w:sz w:val="18"/>
                <w:szCs w:val="18"/>
                <w:color w:val="auto"/>
              </w:rPr>
              <w:t>On partial clinical hold by the FDA for systemic</w:t>
            </w:r>
          </w:p>
        </w:tc>
        <w:tc>
          <w:tcPr>
            <w:tcW w:w="4060" w:type="dxa"/>
            <w:vAlign w:val="bottom"/>
          </w:tcPr>
          <w:p>
            <w:pPr>
              <w:spacing w:after="0"/>
              <w:rPr>
                <w:sz w:val="19"/>
                <w:szCs w:val="19"/>
                <w:color w:val="auto"/>
              </w:rPr>
            </w:pPr>
          </w:p>
        </w:tc>
      </w:tr>
      <w:tr>
        <w:trPr>
          <w:trHeight w:val="230"/>
        </w:trPr>
        <w:tc>
          <w:tcPr>
            <w:tcW w:w="3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use in oncology</w:t>
            </w:r>
          </w:p>
        </w:tc>
        <w:tc>
          <w:tcPr>
            <w:tcW w:w="4060" w:type="dxa"/>
            <w:vAlign w:val="bottom"/>
          </w:tcPr>
          <w:p>
            <w:pPr>
              <w:spacing w:after="0"/>
              <w:rPr>
                <w:sz w:val="20"/>
                <w:szCs w:val="20"/>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REGN1400 (ErbB3 Antibody)</w:t>
            </w: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840" w:type="dxa"/>
            <w:vAlign w:val="bottom"/>
          </w:tcPr>
          <w:p>
            <w:pPr>
              <w:ind w:left="60"/>
              <w:spacing w:after="0"/>
              <w:rPr>
                <w:sz w:val="20"/>
                <w:szCs w:val="20"/>
                <w:color w:val="auto"/>
              </w:rPr>
            </w:pPr>
            <w:r>
              <w:rPr>
                <w:rFonts w:ascii="Arial" w:cs="Arial" w:eastAsia="Arial" w:hAnsi="Arial"/>
                <w:sz w:val="18"/>
                <w:szCs w:val="18"/>
                <w:color w:val="auto"/>
              </w:rPr>
              <w:t>Completed patient enrollment in Phase 1 study</w:t>
            </w:r>
          </w:p>
        </w:tc>
        <w:tc>
          <w:tcPr>
            <w:tcW w:w="4060" w:type="dxa"/>
            <w:vAlign w:val="bottom"/>
          </w:tcPr>
          <w:p>
            <w:pPr>
              <w:spacing w:after="0"/>
              <w:rPr>
                <w:sz w:val="20"/>
                <w:szCs w:val="20"/>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REGN1154 (target not disclosed)</w:t>
            </w:r>
          </w:p>
        </w:tc>
        <w:tc>
          <w:tcPr>
            <w:tcW w:w="4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060" w:type="dxa"/>
            <w:vAlign w:val="bottom"/>
          </w:tcPr>
          <w:p>
            <w:pPr>
              <w:ind w:left="80"/>
              <w:spacing w:after="0"/>
              <w:rPr>
                <w:sz w:val="20"/>
                <w:szCs w:val="20"/>
                <w:color w:val="auto"/>
              </w:rPr>
            </w:pPr>
            <w:r>
              <w:rPr>
                <w:rFonts w:ascii="Arial" w:cs="Arial" w:eastAsia="Arial" w:hAnsi="Arial"/>
                <w:sz w:val="18"/>
                <w:szCs w:val="18"/>
                <w:color w:val="auto"/>
              </w:rPr>
              <w:t>Ÿ  Determine future development plan</w:t>
            </w: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REGN1500 (Angptl-3 Antibody)</w:t>
            </w: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840" w:type="dxa"/>
            <w:vAlign w:val="bottom"/>
          </w:tcPr>
          <w:p>
            <w:pPr>
              <w:ind w:left="60"/>
              <w:spacing w:after="0"/>
              <w:rPr>
                <w:sz w:val="20"/>
                <w:szCs w:val="20"/>
                <w:color w:val="auto"/>
              </w:rPr>
            </w:pPr>
            <w:r>
              <w:rPr>
                <w:rFonts w:ascii="Arial" w:cs="Arial" w:eastAsia="Arial" w:hAnsi="Arial"/>
                <w:sz w:val="18"/>
                <w:szCs w:val="18"/>
                <w:color w:val="auto"/>
              </w:rPr>
              <w:t>Continued patient enrollment in Phase 1 study</w:t>
            </w:r>
          </w:p>
        </w:tc>
        <w:tc>
          <w:tcPr>
            <w:tcW w:w="4060" w:type="dxa"/>
            <w:vAlign w:val="bottom"/>
          </w:tcPr>
          <w:p>
            <w:pPr>
              <w:ind w:left="80"/>
              <w:spacing w:after="0"/>
              <w:rPr>
                <w:sz w:val="20"/>
                <w:szCs w:val="20"/>
                <w:color w:val="auto"/>
              </w:rPr>
            </w:pPr>
            <w:r>
              <w:rPr>
                <w:rFonts w:ascii="Arial" w:cs="Arial" w:eastAsia="Arial" w:hAnsi="Arial"/>
                <w:sz w:val="18"/>
                <w:szCs w:val="18"/>
                <w:color w:val="auto"/>
              </w:rPr>
              <w:t>Ÿ  Complete patient enrollment in Phase 1 study</w:t>
            </w:r>
          </w:p>
        </w:tc>
      </w:tr>
      <w:tr>
        <w:trPr>
          <w:trHeight w:val="270"/>
        </w:trPr>
        <w:tc>
          <w:tcPr>
            <w:tcW w:w="3120" w:type="dxa"/>
            <w:vAlign w:val="bottom"/>
          </w:tcPr>
          <w:p>
            <w:pPr>
              <w:spacing w:after="0"/>
              <w:rPr>
                <w:sz w:val="23"/>
                <w:szCs w:val="23"/>
                <w:color w:val="auto"/>
              </w:rPr>
            </w:pP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840" w:type="dxa"/>
            <w:vAlign w:val="bottom"/>
          </w:tcPr>
          <w:p>
            <w:pPr>
              <w:ind w:left="60"/>
              <w:spacing w:after="0"/>
              <w:rPr>
                <w:sz w:val="20"/>
                <w:szCs w:val="20"/>
                <w:color w:val="auto"/>
              </w:rPr>
            </w:pPr>
            <w:r>
              <w:rPr>
                <w:rFonts w:ascii="Arial" w:cs="Arial" w:eastAsia="Arial" w:hAnsi="Arial"/>
                <w:sz w:val="18"/>
                <w:szCs w:val="18"/>
                <w:color w:val="auto"/>
              </w:rPr>
              <w:t>On partial clinical hold by the FDA</w:t>
            </w:r>
          </w:p>
        </w:tc>
        <w:tc>
          <w:tcPr>
            <w:tcW w:w="4060" w:type="dxa"/>
            <w:vAlign w:val="bottom"/>
          </w:tcPr>
          <w:p>
            <w:pPr>
              <w:ind w:left="80"/>
              <w:spacing w:after="0"/>
              <w:rPr>
                <w:sz w:val="20"/>
                <w:szCs w:val="20"/>
                <w:color w:val="auto"/>
              </w:rPr>
            </w:pPr>
            <w:r>
              <w:rPr>
                <w:rFonts w:ascii="Arial" w:cs="Arial" w:eastAsia="Arial" w:hAnsi="Arial"/>
                <w:sz w:val="18"/>
                <w:szCs w:val="18"/>
                <w:color w:val="auto"/>
              </w:rPr>
              <w:t>Ÿ  Initiate Phase 2 study</w:t>
            </w: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REGN1193 (target not disclosed)</w:t>
            </w: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840" w:type="dxa"/>
            <w:vAlign w:val="bottom"/>
          </w:tcPr>
          <w:p>
            <w:pPr>
              <w:ind w:left="60"/>
              <w:spacing w:after="0"/>
              <w:rPr>
                <w:sz w:val="20"/>
                <w:szCs w:val="20"/>
                <w:color w:val="auto"/>
              </w:rPr>
            </w:pPr>
            <w:r>
              <w:rPr>
                <w:rFonts w:ascii="Arial" w:cs="Arial" w:eastAsia="Arial" w:hAnsi="Arial"/>
                <w:sz w:val="18"/>
                <w:szCs w:val="18"/>
                <w:color w:val="auto"/>
              </w:rPr>
              <w:t>Continued patient enrollment in Phase 1 study</w:t>
            </w:r>
          </w:p>
        </w:tc>
        <w:tc>
          <w:tcPr>
            <w:tcW w:w="4060" w:type="dxa"/>
            <w:vAlign w:val="bottom"/>
          </w:tcPr>
          <w:p>
            <w:pPr>
              <w:ind w:left="80"/>
              <w:spacing w:after="0"/>
              <w:rPr>
                <w:sz w:val="20"/>
                <w:szCs w:val="20"/>
                <w:color w:val="auto"/>
              </w:rPr>
            </w:pPr>
            <w:r>
              <w:rPr>
                <w:rFonts w:ascii="Arial" w:cs="Arial" w:eastAsia="Arial" w:hAnsi="Arial"/>
                <w:sz w:val="18"/>
                <w:szCs w:val="18"/>
                <w:color w:val="auto"/>
              </w:rPr>
              <w:t>Ÿ  Continue patient enrollment in Phase 1 study</w:t>
            </w: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22"/>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Enoticumab (Dll4 Antibody)</w:t>
            </w: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840" w:type="dxa"/>
            <w:vAlign w:val="bottom"/>
          </w:tcPr>
          <w:p>
            <w:pPr>
              <w:ind w:left="60"/>
              <w:spacing w:after="0"/>
              <w:rPr>
                <w:sz w:val="20"/>
                <w:szCs w:val="20"/>
                <w:color w:val="auto"/>
              </w:rPr>
            </w:pPr>
            <w:r>
              <w:rPr>
                <w:rFonts w:ascii="Arial" w:cs="Arial" w:eastAsia="Arial" w:hAnsi="Arial"/>
                <w:sz w:val="18"/>
                <w:szCs w:val="18"/>
                <w:color w:val="auto"/>
              </w:rPr>
              <w:t>Completed patient enrollment of Phase 1</w:t>
            </w:r>
          </w:p>
        </w:tc>
        <w:tc>
          <w:tcPr>
            <w:tcW w:w="4060" w:type="dxa"/>
            <w:vAlign w:val="bottom"/>
          </w:tcPr>
          <w:p>
            <w:pPr>
              <w:spacing w:after="0"/>
              <w:rPr>
                <w:sz w:val="19"/>
                <w:szCs w:val="19"/>
                <w:color w:val="auto"/>
              </w:rPr>
            </w:pPr>
          </w:p>
        </w:tc>
      </w:tr>
      <w:tr>
        <w:trPr>
          <w:trHeight w:val="230"/>
        </w:trPr>
        <w:tc>
          <w:tcPr>
            <w:tcW w:w="3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expansion study</w:t>
            </w:r>
          </w:p>
        </w:tc>
        <w:tc>
          <w:tcPr>
            <w:tcW w:w="4060" w:type="dxa"/>
            <w:vAlign w:val="bottom"/>
          </w:tcPr>
          <w:p>
            <w:pPr>
              <w:spacing w:after="0"/>
              <w:rPr>
                <w:sz w:val="20"/>
                <w:szCs w:val="20"/>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18" w:right="239" w:bottom="1440" w:gutter="0" w:footer="0" w:header="0"/>
          <w:type w:val="continuous"/>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gridSpan w:val="4"/>
          </w:tcPr>
          <w:p>
            <w:pPr>
              <w:ind w:left="40"/>
              <w:spacing w:after="0"/>
              <w:rPr>
                <w:sz w:val="20"/>
                <w:szCs w:val="20"/>
                <w:color w:val="auto"/>
              </w:rPr>
            </w:pPr>
            <w:r>
              <w:rPr>
                <w:rFonts w:ascii="Arial" w:cs="Arial" w:eastAsia="Arial" w:hAnsi="Arial"/>
                <w:sz w:val="18"/>
                <w:szCs w:val="18"/>
                <w:b w:val="1"/>
                <w:bCs w:val="1"/>
                <w:i w:val="1"/>
                <w:iCs w:val="1"/>
                <w:color w:val="auto"/>
                <w:w w:val="87"/>
              </w:rPr>
              <w:t>Antibody-based Clinical Programs (continued):</w:t>
            </w:r>
          </w:p>
        </w:tc>
        <w:tc>
          <w:tcPr>
            <w:tcW w:w="362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534"/>
        </w:trPr>
        <w:tc>
          <w:tcPr>
            <w:tcW w:w="40" w:type="dxa"/>
            <w:vAlign w:val="bottom"/>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tcPr>
          <w:p>
            <w:pPr>
              <w:ind w:left="1100"/>
              <w:spacing w:after="0"/>
              <w:rPr>
                <w:sz w:val="20"/>
                <w:szCs w:val="20"/>
                <w:color w:val="auto"/>
              </w:rPr>
            </w:pPr>
            <w:r>
              <w:rPr>
                <w:rFonts w:ascii="Arial" w:cs="Arial" w:eastAsia="Arial" w:hAnsi="Arial"/>
                <w:sz w:val="18"/>
                <w:szCs w:val="18"/>
                <w:b w:val="1"/>
                <w:bCs w:val="1"/>
                <w:color w:val="auto"/>
              </w:rPr>
              <w:t>2014 Events to Date</w:t>
            </w:r>
          </w:p>
        </w:tc>
        <w:tc>
          <w:tcPr>
            <w:tcW w:w="4220" w:type="dxa"/>
            <w:vAlign w:val="bottom"/>
          </w:tcPr>
          <w:p>
            <w:pPr>
              <w:ind w:left="1060"/>
              <w:spacing w:after="0"/>
              <w:rPr>
                <w:sz w:val="20"/>
                <w:szCs w:val="20"/>
                <w:color w:val="auto"/>
              </w:rPr>
            </w:pPr>
            <w:r>
              <w:rPr>
                <w:rFonts w:ascii="Arial" w:cs="Arial" w:eastAsia="Arial" w:hAnsi="Arial"/>
                <w:sz w:val="18"/>
                <w:szCs w:val="18"/>
                <w:b w:val="1"/>
                <w:bCs w:val="1"/>
                <w:color w:val="auto"/>
              </w:rPr>
              <w:t>2014-2015 Plans (next 12 months)</w:t>
            </w:r>
          </w:p>
        </w:tc>
      </w:tr>
      <w:tr>
        <w:trPr>
          <w:trHeight w:val="27"/>
        </w:trPr>
        <w:tc>
          <w:tcPr>
            <w:tcW w:w="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22"/>
        </w:trPr>
        <w:tc>
          <w:tcPr>
            <w:tcW w:w="31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w w:val="94"/>
              </w:rPr>
              <w:t>REGN2176-3 (PDGFR-beta Antibody in</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Ÿ</w:t>
            </w:r>
          </w:p>
        </w:tc>
        <w:tc>
          <w:tcPr>
            <w:tcW w:w="3620" w:type="dxa"/>
            <w:vAlign w:val="bottom"/>
          </w:tcPr>
          <w:p>
            <w:pPr>
              <w:spacing w:after="0"/>
              <w:rPr>
                <w:sz w:val="20"/>
                <w:szCs w:val="20"/>
                <w:color w:val="auto"/>
              </w:rPr>
            </w:pPr>
            <w:r>
              <w:rPr>
                <w:rFonts w:ascii="Arial" w:cs="Arial" w:eastAsia="Arial" w:hAnsi="Arial"/>
                <w:sz w:val="18"/>
                <w:szCs w:val="18"/>
                <w:color w:val="auto"/>
              </w:rPr>
              <w:t>Initiated Phase 1 study</w:t>
            </w:r>
          </w:p>
        </w:tc>
        <w:tc>
          <w:tcPr>
            <w:tcW w:w="4220" w:type="dxa"/>
            <w:vAlign w:val="bottom"/>
          </w:tcPr>
          <w:p>
            <w:pPr>
              <w:ind w:left="240"/>
              <w:spacing w:after="0"/>
              <w:rPr>
                <w:sz w:val="20"/>
                <w:szCs w:val="20"/>
                <w:color w:val="auto"/>
              </w:rPr>
            </w:pPr>
            <w:r>
              <w:rPr>
                <w:rFonts w:ascii="Arial" w:cs="Arial" w:eastAsia="Arial" w:hAnsi="Arial"/>
                <w:sz w:val="18"/>
                <w:szCs w:val="18"/>
                <w:color w:val="auto"/>
              </w:rPr>
              <w:t>Ÿ  Initiate Phase 2 study</w:t>
            </w:r>
          </w:p>
        </w:tc>
      </w:tr>
      <w:tr>
        <w:trPr>
          <w:trHeight w:val="284"/>
        </w:trPr>
        <w:tc>
          <w:tcPr>
            <w:tcW w:w="31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combination with EYLEA)</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Ÿ</w:t>
            </w:r>
          </w:p>
        </w:tc>
        <w:tc>
          <w:tcPr>
            <w:tcW w:w="3620" w:type="dxa"/>
            <w:vAlign w:val="bottom"/>
          </w:tcPr>
          <w:p>
            <w:pPr>
              <w:spacing w:after="0"/>
              <w:rPr>
                <w:sz w:val="20"/>
                <w:szCs w:val="20"/>
                <w:color w:val="auto"/>
              </w:rPr>
            </w:pPr>
            <w:r>
              <w:rPr>
                <w:rFonts w:ascii="Arial" w:cs="Arial" w:eastAsia="Arial" w:hAnsi="Arial"/>
                <w:sz w:val="18"/>
                <w:szCs w:val="18"/>
                <w:color w:val="auto"/>
                <w:w w:val="96"/>
              </w:rPr>
              <w:t>Completed patient enrollment of Phase 1 study</w:t>
            </w:r>
          </w:p>
        </w:tc>
        <w:tc>
          <w:tcPr>
            <w:tcW w:w="4220" w:type="dxa"/>
            <w:vAlign w:val="bottom"/>
          </w:tcPr>
          <w:p>
            <w:pPr>
              <w:spacing w:after="0"/>
              <w:rPr>
                <w:sz w:val="24"/>
                <w:szCs w:val="24"/>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31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REGN2222 (RSV)</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Ÿ</w:t>
            </w:r>
          </w:p>
        </w:tc>
        <w:tc>
          <w:tcPr>
            <w:tcW w:w="3620" w:type="dxa"/>
            <w:vAlign w:val="bottom"/>
          </w:tcPr>
          <w:p>
            <w:pPr>
              <w:spacing w:after="0"/>
              <w:rPr>
                <w:sz w:val="20"/>
                <w:szCs w:val="20"/>
                <w:color w:val="auto"/>
              </w:rPr>
            </w:pPr>
            <w:r>
              <w:rPr>
                <w:rFonts w:ascii="Arial" w:cs="Arial" w:eastAsia="Arial" w:hAnsi="Arial"/>
                <w:sz w:val="18"/>
                <w:szCs w:val="18"/>
                <w:color w:val="auto"/>
              </w:rPr>
              <w:t>Initiated Phase 1 study</w:t>
            </w:r>
          </w:p>
        </w:tc>
        <w:tc>
          <w:tcPr>
            <w:tcW w:w="4220" w:type="dxa"/>
            <w:vAlign w:val="bottom"/>
          </w:tcPr>
          <w:p>
            <w:pPr>
              <w:ind w:left="240"/>
              <w:spacing w:after="0"/>
              <w:rPr>
                <w:sz w:val="20"/>
                <w:szCs w:val="20"/>
                <w:color w:val="auto"/>
              </w:rPr>
            </w:pPr>
            <w:r>
              <w:rPr>
                <w:rFonts w:ascii="Arial" w:cs="Arial" w:eastAsia="Arial" w:hAnsi="Arial"/>
                <w:sz w:val="18"/>
                <w:szCs w:val="18"/>
                <w:color w:val="auto"/>
              </w:rPr>
              <w:t>Ÿ  Complete patient enrollment in Phase 1 study</w:t>
            </w:r>
          </w:p>
        </w:tc>
      </w:tr>
      <w:tr>
        <w:trPr>
          <w:trHeight w:val="27"/>
        </w:trPr>
        <w:tc>
          <w:tcPr>
            <w:tcW w:w="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31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w w:val="98"/>
              </w:rPr>
              <w:t>REGN1979 (CD20 and CD3 Antibody)</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Ÿ</w:t>
            </w:r>
          </w:p>
        </w:tc>
        <w:tc>
          <w:tcPr>
            <w:tcW w:w="3620" w:type="dxa"/>
            <w:vAlign w:val="bottom"/>
          </w:tcPr>
          <w:p>
            <w:pPr>
              <w:spacing w:after="0"/>
              <w:rPr>
                <w:sz w:val="20"/>
                <w:szCs w:val="20"/>
                <w:color w:val="auto"/>
              </w:rPr>
            </w:pPr>
            <w:r>
              <w:rPr>
                <w:rFonts w:ascii="Arial" w:cs="Arial" w:eastAsia="Arial" w:hAnsi="Arial"/>
                <w:sz w:val="18"/>
                <w:szCs w:val="18"/>
                <w:color w:val="auto"/>
              </w:rPr>
              <w:t>Initiated Phase 1 study</w:t>
            </w:r>
          </w:p>
        </w:tc>
        <w:tc>
          <w:tcPr>
            <w:tcW w:w="4220" w:type="dxa"/>
            <w:vAlign w:val="bottom"/>
          </w:tcPr>
          <w:p>
            <w:pPr>
              <w:ind w:left="240"/>
              <w:spacing w:after="0"/>
              <w:rPr>
                <w:sz w:val="20"/>
                <w:szCs w:val="20"/>
                <w:color w:val="auto"/>
              </w:rPr>
            </w:pPr>
            <w:r>
              <w:rPr>
                <w:rFonts w:ascii="Arial" w:cs="Arial" w:eastAsia="Arial" w:hAnsi="Arial"/>
                <w:sz w:val="18"/>
                <w:szCs w:val="18"/>
                <w:color w:val="auto"/>
                <w:w w:val="98"/>
              </w:rPr>
              <w:t>Ÿ  Commence patient enrollment in Phase 1 study</w:t>
            </w:r>
          </w:p>
        </w:tc>
      </w:tr>
      <w:tr>
        <w:trPr>
          <w:trHeight w:val="27"/>
        </w:trPr>
        <w:tc>
          <w:tcPr>
            <w:tcW w:w="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22"/>
        </w:trPr>
        <w:tc>
          <w:tcPr>
            <w:tcW w:w="31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REGN910-3 (Ang2 Antibody co-</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Ÿ</w:t>
            </w:r>
          </w:p>
        </w:tc>
        <w:tc>
          <w:tcPr>
            <w:tcW w:w="3620" w:type="dxa"/>
            <w:vAlign w:val="bottom"/>
          </w:tcPr>
          <w:p>
            <w:pPr>
              <w:spacing w:after="0"/>
              <w:rPr>
                <w:sz w:val="20"/>
                <w:szCs w:val="20"/>
                <w:color w:val="auto"/>
              </w:rPr>
            </w:pPr>
            <w:r>
              <w:rPr>
                <w:rFonts w:ascii="Arial" w:cs="Arial" w:eastAsia="Arial" w:hAnsi="Arial"/>
                <w:sz w:val="18"/>
                <w:szCs w:val="18"/>
                <w:color w:val="auto"/>
              </w:rPr>
              <w:t>Initiated Phase 1 study</w:t>
            </w:r>
          </w:p>
        </w:tc>
        <w:tc>
          <w:tcPr>
            <w:tcW w:w="4220" w:type="dxa"/>
            <w:vAlign w:val="bottom"/>
          </w:tcPr>
          <w:p>
            <w:pPr>
              <w:ind w:left="240"/>
              <w:spacing w:after="0"/>
              <w:rPr>
                <w:sz w:val="20"/>
                <w:szCs w:val="20"/>
                <w:color w:val="auto"/>
              </w:rPr>
            </w:pPr>
            <w:r>
              <w:rPr>
                <w:rFonts w:ascii="Arial" w:cs="Arial" w:eastAsia="Arial" w:hAnsi="Arial"/>
                <w:sz w:val="18"/>
                <w:szCs w:val="18"/>
                <w:color w:val="auto"/>
                <w:w w:val="98"/>
              </w:rPr>
              <w:t>Ÿ  Commence patient enrollment in Phase 1 study</w:t>
            </w:r>
          </w:p>
        </w:tc>
      </w:tr>
      <w:tr>
        <w:trPr>
          <w:trHeight w:val="230"/>
        </w:trPr>
        <w:tc>
          <w:tcPr>
            <w:tcW w:w="31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formulated with EYLEA)</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31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Fasinumab (NGF Antibody)</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Ÿ</w:t>
            </w:r>
          </w:p>
        </w:tc>
        <w:tc>
          <w:tcPr>
            <w:tcW w:w="3620" w:type="dxa"/>
            <w:vAlign w:val="bottom"/>
          </w:tcPr>
          <w:p>
            <w:pPr>
              <w:spacing w:after="0"/>
              <w:rPr>
                <w:sz w:val="20"/>
                <w:szCs w:val="20"/>
                <w:color w:val="auto"/>
              </w:rPr>
            </w:pPr>
            <w:r>
              <w:rPr>
                <w:rFonts w:ascii="Arial" w:cs="Arial" w:eastAsia="Arial" w:hAnsi="Arial"/>
                <w:sz w:val="18"/>
                <w:szCs w:val="18"/>
                <w:color w:val="auto"/>
              </w:rPr>
              <w:t>On partial clinical hold by the FDA</w:t>
            </w:r>
          </w:p>
        </w:tc>
        <w:tc>
          <w:tcPr>
            <w:tcW w:w="4220" w:type="dxa"/>
            <w:vAlign w:val="bottom"/>
          </w:tcPr>
          <w:p>
            <w:pPr>
              <w:ind w:left="240"/>
              <w:spacing w:after="0"/>
              <w:rPr>
                <w:sz w:val="20"/>
                <w:szCs w:val="20"/>
                <w:color w:val="auto"/>
              </w:rPr>
            </w:pPr>
            <w:r>
              <w:rPr>
                <w:rFonts w:ascii="Arial" w:cs="Arial" w:eastAsia="Arial" w:hAnsi="Arial"/>
                <w:sz w:val="18"/>
                <w:szCs w:val="18"/>
                <w:color w:val="auto"/>
              </w:rPr>
              <w:t>Ÿ  Determine future development plan</w:t>
            </w:r>
          </w:p>
        </w:tc>
      </w:tr>
      <w:tr>
        <w:trPr>
          <w:trHeight w:val="27"/>
        </w:trPr>
        <w:tc>
          <w:tcPr>
            <w:tcW w:w="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31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REGN2009 (target not disclosed)</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Ÿ</w:t>
            </w:r>
          </w:p>
        </w:tc>
        <w:tc>
          <w:tcPr>
            <w:tcW w:w="3620" w:type="dxa"/>
            <w:vAlign w:val="bottom"/>
          </w:tcPr>
          <w:p>
            <w:pPr>
              <w:spacing w:after="0"/>
              <w:rPr>
                <w:sz w:val="20"/>
                <w:szCs w:val="20"/>
                <w:color w:val="auto"/>
              </w:rPr>
            </w:pPr>
            <w:r>
              <w:rPr>
                <w:rFonts w:ascii="Arial" w:cs="Arial" w:eastAsia="Arial" w:hAnsi="Arial"/>
                <w:sz w:val="18"/>
                <w:szCs w:val="18"/>
                <w:color w:val="auto"/>
              </w:rPr>
              <w:t>Development discontinued</w:t>
            </w:r>
          </w:p>
        </w:tc>
        <w:tc>
          <w:tcPr>
            <w:tcW w:w="422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2014 and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for the three months ended September 30, 2014 and 2013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7"/>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597.0</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(360.2)</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7"/>
        </w:trPr>
        <w:tc>
          <w:tcPr>
            <w:tcW w:w="4280" w:type="dxa"/>
            <w:vAlign w:val="bottom"/>
          </w:tcPr>
          <w:p>
            <w:pPr>
              <w:ind w:left="26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225.7</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57"/>
        </w:trPr>
        <w:tc>
          <w:tcPr>
            <w:tcW w:w="42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141.3</w:t>
            </w: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Revenues for the three months ended September 30, 2014 and 2013 consist of the following:</w:t>
      </w:r>
    </w:p>
    <w:p>
      <w:pPr>
        <w:spacing w:after="0" w:line="302"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367.1</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r>
      <w:tr>
        <w:trPr>
          <w:trHeight w:val="243"/>
        </w:trPr>
        <w:tc>
          <w:tcPr>
            <w:tcW w:w="4320" w:type="dxa"/>
            <w:vAlign w:val="bottom"/>
          </w:tcPr>
          <w:p>
            <w:pPr>
              <w:ind w:left="260"/>
              <w:spacing w:after="0"/>
              <w:rPr>
                <w:sz w:val="20"/>
                <w:szCs w:val="20"/>
                <w:color w:val="auto"/>
              </w:rPr>
            </w:pPr>
            <w:r>
              <w:rPr>
                <w:rFonts w:ascii="Arial" w:cs="Arial" w:eastAsia="Arial" w:hAnsi="Arial"/>
                <w:sz w:val="18"/>
                <w:szCs w:val="18"/>
                <w:color w:val="auto"/>
              </w:rPr>
              <w:t>Bayer HealthCare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88.6</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Technology licensing and other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w:t>
            </w: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Net product sales consist of U.S. sales of EYLEA and ARCALYST. In November 2011, we received marketing approval from the FDA for EYLEA for the treatment of wet AMD, at which time EYLEA product sales commenced. In September 2012, we received marketing approval from the FDA for EYLEA for the treatment of macular edema following CRVO, and in July 2014, we received marketing approval from the FDA for EYLEA for the treatment of DME. For the three months ended September 30, 2014, EYLEA net product sales increased to $445.0 million from $363.1 million for the three months ended September 30, 2013 due to higher sales volume. For the three months ended September 30, 2014 and 2013, we also recognized ARCALYST net product sales of $3.8 million and $4.0 million, respectively.</w:t>
      </w:r>
    </w:p>
    <w:p>
      <w:pPr>
        <w:sectPr>
          <w:pgSz w:w="11900" w:h="16838" w:orient="portrait"/>
          <w:cols w:equalWidth="0" w:num="1">
            <w:col w:w="11420"/>
          </w:cols>
          <w:pgMar w:left="240" w:top="130"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30" w:right="23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For the three months ended September 30, 2014 and 2013, we recorded 72% and 75%, respectively, of our total gross product revenue from sales to Besse Medical, a subsidiary of AmerisourceBergen Corporation.</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Revenue from product sales is recorded net of applicable provisions for rebates and chargebacks under governmental programs, distribution-related fees, prompt pay discounts, and other sales-related deductions. The following table summarizes the provisions, and credits/payments, for sales-related deductions for the three months ended September 30, 2014 and 2013.</w:t>
      </w:r>
    </w:p>
    <w:p>
      <w:pPr>
        <w:spacing w:after="0" w:line="393"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Distribution-</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Other Sales-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Rebates &amp;</w:t>
            </w: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Related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Related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Chargebacks</w:t>
            </w:r>
          </w:p>
        </w:tc>
        <w:tc>
          <w:tcPr>
            <w:tcW w:w="20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Fees</w:t>
            </w: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Deductions</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2420" w:type="dxa"/>
            <w:vAlign w:val="bottom"/>
          </w:tcPr>
          <w:p>
            <w:pPr>
              <w:ind w:left="260"/>
              <w:spacing w:after="0"/>
              <w:rPr>
                <w:sz w:val="20"/>
                <w:szCs w:val="20"/>
                <w:color w:val="auto"/>
              </w:rPr>
            </w:pPr>
            <w:r>
              <w:rPr>
                <w:rFonts w:ascii="Arial" w:cs="Arial" w:eastAsia="Arial" w:hAnsi="Arial"/>
                <w:sz w:val="18"/>
                <w:szCs w:val="18"/>
                <w:color w:val="auto"/>
                <w:w w:val="99"/>
              </w:rPr>
              <w:t>Provision related to current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20"/>
              <w:spacing w:after="0"/>
              <w:rPr>
                <w:sz w:val="20"/>
                <w:szCs w:val="20"/>
                <w:color w:val="auto"/>
              </w:rPr>
            </w:pPr>
            <w:r>
              <w:rPr>
                <w:rFonts w:ascii="Arial" w:cs="Arial" w:eastAsia="Arial" w:hAnsi="Arial"/>
                <w:sz w:val="18"/>
                <w:szCs w:val="18"/>
                <w:color w:val="auto"/>
              </w:rPr>
              <w:t>period sales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9"/>
        </w:trPr>
        <w:tc>
          <w:tcPr>
            <w:tcW w:w="2420" w:type="dxa"/>
            <w:vAlign w:val="bottom"/>
          </w:tcPr>
          <w:p>
            <w:pPr>
              <w:ind w:left="20"/>
              <w:spacing w:after="0"/>
              <w:rPr>
                <w:sz w:val="20"/>
                <w:szCs w:val="20"/>
                <w:color w:val="auto"/>
              </w:rPr>
            </w:pPr>
            <w:r>
              <w:rPr>
                <w:rFonts w:ascii="Arial" w:cs="Arial" w:eastAsia="Arial" w:hAnsi="Arial"/>
                <w:sz w:val="18"/>
                <w:szCs w:val="18"/>
                <w:color w:val="auto"/>
              </w:rPr>
              <w:t>Balance as of September 30,</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2"/>
        </w:trPr>
        <w:tc>
          <w:tcPr>
            <w:tcW w:w="2420" w:type="dxa"/>
            <w:vAlign w:val="bottom"/>
          </w:tcPr>
          <w:p>
            <w:pPr>
              <w:ind w:left="2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9"/>
        </w:trPr>
        <w:tc>
          <w:tcPr>
            <w:tcW w:w="2420" w:type="dxa"/>
            <w:vAlign w:val="bottom"/>
          </w:tcPr>
          <w:p>
            <w:pPr>
              <w:ind w:left="260"/>
              <w:spacing w:after="0"/>
              <w:rPr>
                <w:sz w:val="20"/>
                <w:szCs w:val="20"/>
                <w:color w:val="auto"/>
              </w:rPr>
            </w:pPr>
            <w:r>
              <w:rPr>
                <w:rFonts w:ascii="Arial" w:cs="Arial" w:eastAsia="Arial" w:hAnsi="Arial"/>
                <w:sz w:val="18"/>
                <w:szCs w:val="18"/>
                <w:color w:val="auto"/>
                <w:w w:val="99"/>
              </w:rPr>
              <w:t>Provision related to current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20"/>
              <w:spacing w:after="0"/>
              <w:rPr>
                <w:sz w:val="20"/>
                <w:szCs w:val="20"/>
                <w:color w:val="auto"/>
              </w:rPr>
            </w:pPr>
            <w:r>
              <w:rPr>
                <w:rFonts w:ascii="Arial" w:cs="Arial" w:eastAsia="Arial" w:hAnsi="Arial"/>
                <w:sz w:val="18"/>
                <w:szCs w:val="18"/>
                <w:color w:val="auto"/>
              </w:rPr>
              <w:t>period sales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9"/>
        </w:trPr>
        <w:tc>
          <w:tcPr>
            <w:tcW w:w="2420" w:type="dxa"/>
            <w:vAlign w:val="bottom"/>
          </w:tcPr>
          <w:p>
            <w:pPr>
              <w:ind w:left="20"/>
              <w:spacing w:after="0"/>
              <w:rPr>
                <w:sz w:val="20"/>
                <w:szCs w:val="20"/>
                <w:color w:val="auto"/>
              </w:rPr>
            </w:pPr>
            <w:r>
              <w:rPr>
                <w:rFonts w:ascii="Arial" w:cs="Arial" w:eastAsia="Arial" w:hAnsi="Arial"/>
                <w:sz w:val="18"/>
                <w:szCs w:val="18"/>
                <w:color w:val="auto"/>
              </w:rPr>
              <w:t>Balance as of September 30,</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2"/>
        </w:trPr>
        <w:tc>
          <w:tcPr>
            <w:tcW w:w="2420" w:type="dxa"/>
            <w:vAlign w:val="bottom"/>
          </w:tcPr>
          <w:p>
            <w:pPr>
              <w:ind w:left="20"/>
              <w:spacing w:after="0"/>
              <w:rPr>
                <w:sz w:val="20"/>
                <w:szCs w:val="20"/>
                <w:color w:val="auto"/>
              </w:rPr>
            </w:pPr>
            <w:r>
              <w:rPr>
                <w:rFonts w:ascii="Arial" w:cs="Arial" w:eastAsia="Arial" w:hAnsi="Arial"/>
                <w:sz w:val="18"/>
                <w:szCs w:val="18"/>
                <w:color w:val="auto"/>
              </w:rPr>
              <w:t>2013</w:t>
            </w:r>
          </w:p>
        </w:tc>
        <w:tc>
          <w:tcPr>
            <w:tcW w:w="1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Sanofi collaboration revenue, as detailed below, consisted primarily of reimbursement for research and development expenses that we incurred, partly offset by sharing of pre-launch commercialization expenses, in connection with the companies' antibody collaboration.</w:t>
      </w:r>
    </w:p>
    <w:p>
      <w:pPr>
        <w:spacing w:after="0" w:line="383"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Three months ended September</w:t>
            </w:r>
          </w:p>
        </w:tc>
        <w:tc>
          <w:tcPr>
            <w:tcW w:w="0" w:type="dxa"/>
            <w:vAlign w:val="bottom"/>
          </w:tcPr>
          <w:p>
            <w:pPr>
              <w:spacing w:after="0"/>
              <w:rPr>
                <w:sz w:val="1"/>
                <w:szCs w:val="1"/>
                <w:color w:val="auto"/>
              </w:rPr>
            </w:pPr>
          </w:p>
        </w:tc>
      </w:tr>
      <w:tr>
        <w:trPr>
          <w:trHeight w:val="194"/>
        </w:trPr>
        <w:tc>
          <w:tcPr>
            <w:tcW w:w="44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6"/>
                <w:szCs w:val="16"/>
                <w:color w:val="auto"/>
              </w:rPr>
            </w:pPr>
          </w:p>
        </w:tc>
        <w:tc>
          <w:tcPr>
            <w:tcW w:w="1340" w:type="dxa"/>
            <w:vAlign w:val="bottom"/>
            <w:gridSpan w:val="3"/>
          </w:tcPr>
          <w:p>
            <w:pPr>
              <w:jc w:val="right"/>
              <w:ind w:right="110"/>
              <w:spacing w:after="0" w:line="194" w:lineRule="exact"/>
              <w:rPr>
                <w:sz w:val="20"/>
                <w:szCs w:val="20"/>
                <w:color w:val="auto"/>
              </w:rPr>
            </w:pPr>
            <w:r>
              <w:rPr>
                <w:rFonts w:ascii="Arial" w:cs="Arial" w:eastAsia="Arial" w:hAnsi="Arial"/>
                <w:sz w:val="18"/>
                <w:szCs w:val="18"/>
                <w:b w:val="1"/>
                <w:bCs w:val="1"/>
                <w:color w:val="auto"/>
              </w:rPr>
              <w:t>30,</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commercialization of ZALTRAP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ZALTRAP</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Regeneron's share of commercialization expenses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ind w:left="460"/>
              <w:spacing w:after="0"/>
              <w:rPr>
                <w:sz w:val="20"/>
                <w:szCs w:val="20"/>
                <w:color w:val="auto"/>
              </w:rPr>
            </w:pPr>
            <w:r>
              <w:rPr>
                <w:rFonts w:ascii="Arial" w:cs="Arial" w:eastAsia="Arial" w:hAnsi="Arial"/>
                <w:sz w:val="18"/>
                <w:szCs w:val="18"/>
                <w:color w:val="auto"/>
              </w:rPr>
              <w:t>Total 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jc w:val="right"/>
              <w:ind w:right="860"/>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4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Sanofi commenced sales of ZALTRAP for treatment, in combination with FOLFIRI, of patients with mCRC that is resistant to or has progressed following an oxaliplatin-containing regimen, in the United States in the third quarter of 2012 and in certain European and other countries in the first quarter of 2013. Regeneron's share of the loss in connection with commercialization of ZALTRAP, as shown in the table below, represents our 50% share of ZALTRAP net product sales less cost of goods sold and shared commercialization and other expenses.</w:t>
      </w:r>
    </w:p>
    <w:p>
      <w:pPr>
        <w:spacing w:after="0" w:line="251" w:lineRule="exact"/>
        <w:rPr>
          <w:sz w:val="20"/>
          <w:szCs w:val="20"/>
          <w:color w:val="auto"/>
        </w:rPr>
      </w:pPr>
    </w:p>
    <w:tbl>
      <w:tblPr>
        <w:tblLayout w:type="fixed"/>
        <w:tblInd w:w="2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Regeneron's share of losses in connection with</w:t>
            </w:r>
          </w:p>
        </w:tc>
        <w:tc>
          <w:tcPr>
            <w:tcW w:w="120" w:type="dxa"/>
            <w:vAlign w:val="bottom"/>
          </w:tcPr>
          <w:p>
            <w:pPr>
              <w:spacing w:after="0"/>
              <w:rPr>
                <w:sz w:val="17"/>
                <w:szCs w:val="17"/>
                <w:color w:val="auto"/>
              </w:rPr>
            </w:pPr>
          </w:p>
        </w:tc>
        <w:tc>
          <w:tcPr>
            <w:tcW w:w="2540" w:type="dxa"/>
            <w:vAlign w:val="bottom"/>
            <w:gridSpan w:val="5"/>
          </w:tcPr>
          <w:p>
            <w:pPr>
              <w:jc w:val="center"/>
              <w:ind w:right="10"/>
              <w:spacing w:after="0"/>
              <w:rPr>
                <w:sz w:val="20"/>
                <w:szCs w:val="20"/>
                <w:color w:val="auto"/>
              </w:rPr>
            </w:pPr>
            <w:r>
              <w:rPr>
                <w:rFonts w:ascii="Arial" w:cs="Arial" w:eastAsia="Arial" w:hAnsi="Arial"/>
                <w:sz w:val="18"/>
                <w:szCs w:val="18"/>
                <w:b w:val="1"/>
                <w:bCs w:val="1"/>
                <w:color w:val="auto"/>
                <w:w w:val="88"/>
              </w:rPr>
              <w:t>Three months ended September</w:t>
            </w:r>
          </w:p>
        </w:tc>
      </w:tr>
      <w:tr>
        <w:trPr>
          <w:trHeight w:val="196"/>
        </w:trPr>
        <w:tc>
          <w:tcPr>
            <w:tcW w:w="20" w:type="dxa"/>
            <w:vAlign w:val="bottom"/>
          </w:tcPr>
          <w:p>
            <w:pPr>
              <w:spacing w:after="0"/>
              <w:rPr>
                <w:sz w:val="17"/>
                <w:szCs w:val="17"/>
                <w:color w:val="auto"/>
              </w:rPr>
            </w:pPr>
          </w:p>
        </w:tc>
        <w:tc>
          <w:tcPr>
            <w:tcW w:w="35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commercialization of ZALTRAP</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w w:val="87"/>
              </w:rPr>
              <w:t>30,</w:t>
            </w:r>
          </w:p>
        </w:tc>
        <w:tc>
          <w:tcPr>
            <w:tcW w:w="9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50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recorded by Sanofi</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43"/>
        </w:trPr>
        <w:tc>
          <w:tcPr>
            <w:tcW w:w="20" w:type="dxa"/>
            <w:vAlign w:val="bottom"/>
          </w:tcPr>
          <w:p>
            <w:pPr>
              <w:spacing w:after="0"/>
              <w:rPr>
                <w:sz w:val="21"/>
                <w:szCs w:val="21"/>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Regeneron's share of collaboration losses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14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share of the loss in the third quarter of 2014 and 2013 represents our share of the costs of launching and commercializing ZALTRAP, partly offset by net product sales. Sanofi provides us with an estimate of our share of the profit or loss from commercialization of ZALTRAP for the most recent fiscal quarter; these estimates are reconciled to actual results in the subsequent fiscal quarter, and our portion of the profit or loss is adjusted accordingly, as necessary.</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third quarter of 2014, Sanofi's reimbursement of our antibody research and development expenses consisted of $47.9 million under our discovery agreement and $92.6 million of development costs under our license agreement, compared to $45.3 million and $87.8 million, respectively, in the third quarter of 2013.</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Effective in the second quarter of 2014, we and Sanofi began sharing pre-launch commercialization expenses related to alirocumab in accordance with the companies’ antibody collaboration agreement.</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 Sanofi antibody revenue includes recognition of deferred revenue from an $85.0 million up-front payment and other payments. As of September 30, 2014, $54.6 million of the up-front and other payments was deferred and will be recognized as revenue in future periods.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collaboration revenue we earned from Bayer HealthCare, as detailed below, primarily consisted of recognition of our share of profits in connection with commercialization of EYLEA outside the United States, recognition of sales and substantive development milestones achieved, and reimbursement of other Regeneron EYLEA expenses.</w:t>
      </w:r>
    </w:p>
    <w:p>
      <w:pPr>
        <w:spacing w:after="0" w:line="258"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20" w:type="dxa"/>
            <w:vAlign w:val="bottom"/>
            <w:gridSpan w:val="6"/>
          </w:tcPr>
          <w:p>
            <w:pPr>
              <w:jc w:val="right"/>
              <w:spacing w:after="0"/>
              <w:rPr>
                <w:sz w:val="20"/>
                <w:szCs w:val="20"/>
                <w:color w:val="auto"/>
              </w:rPr>
            </w:pPr>
            <w:r>
              <w:rPr>
                <w:rFonts w:ascii="Arial" w:cs="Arial" w:eastAsia="Arial" w:hAnsi="Arial"/>
                <w:sz w:val="18"/>
                <w:szCs w:val="18"/>
                <w:b w:val="1"/>
                <w:bCs w:val="1"/>
                <w:color w:val="auto"/>
                <w:w w:val="91"/>
              </w:rPr>
              <w:t>Three months ended September</w:t>
            </w:r>
          </w:p>
        </w:tc>
      </w:tr>
      <w:tr>
        <w:trPr>
          <w:trHeight w:val="194"/>
        </w:trPr>
        <w:tc>
          <w:tcPr>
            <w:tcW w:w="20" w:type="dxa"/>
            <w:vAlign w:val="bottom"/>
          </w:tcPr>
          <w:p>
            <w:pPr>
              <w:spacing w:after="0"/>
              <w:rPr>
                <w:sz w:val="16"/>
                <w:szCs w:val="16"/>
                <w:color w:val="auto"/>
              </w:rPr>
            </w:pPr>
          </w:p>
        </w:tc>
        <w:tc>
          <w:tcPr>
            <w:tcW w:w="45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Bayer HealthCare Collaboration Revenue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gridSpan w:val="3"/>
          </w:tcPr>
          <w:p>
            <w:pPr>
              <w:jc w:val="right"/>
              <w:ind w:right="200"/>
              <w:spacing w:after="0" w:line="194" w:lineRule="exact"/>
              <w:rPr>
                <w:sz w:val="20"/>
                <w:szCs w:val="20"/>
                <w:color w:val="auto"/>
              </w:rPr>
            </w:pPr>
            <w:r>
              <w:rPr>
                <w:rFonts w:ascii="Arial" w:cs="Arial" w:eastAsia="Arial" w:hAnsi="Arial"/>
                <w:sz w:val="18"/>
                <w:szCs w:val="18"/>
                <w:b w:val="1"/>
                <w:bCs w:val="1"/>
                <w:color w:val="auto"/>
                <w:w w:val="87"/>
              </w:rPr>
              <w:t>30,</w:t>
            </w:r>
          </w:p>
        </w:tc>
        <w:tc>
          <w:tcPr>
            <w:tcW w:w="98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3220" w:type="dxa"/>
            <w:vAlign w:val="bottom"/>
            <w:tcBorders>
              <w:top w:val="single" w:sz="8" w:color="auto"/>
            </w:tcBorders>
          </w:tcPr>
          <w:p>
            <w:pPr>
              <w:spacing w:after="0"/>
              <w:rPr>
                <w:sz w:val="4"/>
                <w:szCs w:val="4"/>
                <w:color w:val="auto"/>
              </w:rPr>
            </w:pPr>
          </w:p>
        </w:tc>
        <w:tc>
          <w:tcPr>
            <w:tcW w:w="13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w w:val="97"/>
              </w:rPr>
              <w:t>commercialization of EYLEA outside the 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85.4</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Sales and substantive development milestones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20" w:type="dxa"/>
            <w:vAlign w:val="bottom"/>
          </w:tcPr>
          <w:p>
            <w:pPr>
              <w:spacing w:after="0"/>
              <w:rPr>
                <w:sz w:val="21"/>
                <w:szCs w:val="21"/>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w w:val="93"/>
              </w:rPr>
              <w:t>Cost-sharing of Regeneron EYLEA development expenses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7"/>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Total EYLEA</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PDGFR-beta antibody:</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Cost-sharing of REGN2176-3 development expenses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Total PDGFR-beta antibody</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45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Bayer HealthCare collaboration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Bayer HealthCare commenced sales of EYLEA outside the United States for the treatment of wet AMD in the fourth quarter of 2012, for the treatment of macular edema secondary to CRVO in the fourth quarter of 2013, and for the treatment of visual impairment due to DME in the third quarter of 2014. Regeneron's net profit in connection with commercialization of EYLEA outside the United States is summarized below.</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4"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w w:val="96"/>
              </w:rPr>
              <w:t>Regeneron's Net Profit from EYLEA Sales Outside the</w:t>
            </w:r>
          </w:p>
        </w:tc>
        <w:tc>
          <w:tcPr>
            <w:tcW w:w="2600" w:type="dxa"/>
            <w:vAlign w:val="bottom"/>
            <w:gridSpan w:val="6"/>
          </w:tcPr>
          <w:p>
            <w:pPr>
              <w:jc w:val="right"/>
              <w:spacing w:after="0"/>
              <w:rPr>
                <w:sz w:val="20"/>
                <w:szCs w:val="20"/>
                <w:color w:val="auto"/>
              </w:rPr>
            </w:pPr>
            <w:r>
              <w:rPr>
                <w:rFonts w:ascii="Arial" w:cs="Arial" w:eastAsia="Arial" w:hAnsi="Arial"/>
                <w:sz w:val="18"/>
                <w:szCs w:val="18"/>
                <w:b w:val="1"/>
                <w:bCs w:val="1"/>
                <w:color w:val="auto"/>
                <w:w w:val="91"/>
              </w:rPr>
              <w:t>Three months ended September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United States</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gridSpan w:val="3"/>
          </w:tcPr>
          <w:p>
            <w:pPr>
              <w:jc w:val="right"/>
              <w:ind w:right="110"/>
              <w:spacing w:after="0" w:line="196" w:lineRule="exact"/>
              <w:rPr>
                <w:sz w:val="20"/>
                <w:szCs w:val="20"/>
                <w:color w:val="auto"/>
              </w:rPr>
            </w:pPr>
            <w:r>
              <w:rPr>
                <w:rFonts w:ascii="Arial" w:cs="Arial" w:eastAsia="Arial" w:hAnsi="Arial"/>
                <w:sz w:val="18"/>
                <w:szCs w:val="18"/>
                <w:b w:val="1"/>
                <w:bCs w:val="1"/>
                <w:color w:val="auto"/>
                <w:w w:val="87"/>
              </w:rPr>
              <w:t>30,</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product sales outside the United States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4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w w:val="93"/>
              </w:rPr>
              <w:t>Regeneron's share of collaboration profit from sales outside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the United States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Reimbursement of EYLEA development expenses incurred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by Bayer HealthCare in accordance with Regeneron's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payment obligation</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85.4</w:t>
            </w:r>
          </w:p>
        </w:tc>
        <w:tc>
          <w:tcPr>
            <w:tcW w:w="60" w:type="dxa"/>
            <w:vAlign w:val="bottom"/>
            <w:tcBorders>
              <w:top w:val="single" w:sz="8" w:color="auto"/>
            </w:tcBorders>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w w:val="98"/>
              </w:rPr>
              <w:t>commercialization of EYLEA outside the United States</w:t>
            </w:r>
          </w:p>
        </w:tc>
        <w:tc>
          <w:tcPr>
            <w:tcW w:w="2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Bayer HealthCare records revenue from sales of EYLEA outside the United States. Bayer HealthCare provides us with an estimate of our share of the profit or loss,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 In the third quarter of 2014 and 2013, our share of the profit we earned from commercialization of EYLEA outside the United States was partly offset by our contractual obligation to reimburse Bayer HealthCare for a portion of the agreed-upon development expenses previously incurred by Bayer HealthCare.</w:t>
      </w:r>
    </w:p>
    <w:p>
      <w:pPr>
        <w:spacing w:after="0" w:line="2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third quarter of 2014, we earned, and recorded as revenue, two $15.0 million sales milestones from Bayer HealthCare upon total aggregate net sales of EYLEA outside the United States exceeding $800 million and $900 million, respectively, over a twelve-month period. In the third quarter of 2013, we earned, and recorded as revenue, two $15.0 million sales milestone payments from Bayer HealthCare upon total aggregate net sales of EYLEA outside the United States exceeding $200 million and $300 million, respectively, over a twelve-month period. In addition, in the third quarter of 2013, we earned a $15.0 million substantive development milestone payment from Bayer HealthCare upon receipt of marketing approval in the EU for EYLEA for the treatment of macular edema secondary to CRVO.</w:t>
      </w:r>
    </w:p>
    <w:p>
      <w:pPr>
        <w:spacing w:after="0" w:line="24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 xml:space="preserve">Other EYLEA revenue principally consists of (i) reimbursement of other Regeneron EYLEA expenses, primarily related to Bayer HealthCare's share of royalties payable to Genentech which commenced in May 2013 pursuant to the license and settlement agreement as described below under "Liquidity and Capital Resources - </w:t>
      </w:r>
      <w:r>
        <w:rPr>
          <w:rFonts w:ascii="Arial" w:cs="Arial" w:eastAsia="Arial" w:hAnsi="Arial"/>
          <w:sz w:val="16"/>
          <w:szCs w:val="16"/>
          <w:i w:val="1"/>
          <w:iCs w:val="1"/>
          <w:color w:val="auto"/>
        </w:rPr>
        <w:t>License and Settlement Agreements with Genentech - EYLEA</w:t>
      </w:r>
      <w:r>
        <w:rPr>
          <w:rFonts w:ascii="Arial" w:cs="Arial" w:eastAsia="Arial" w:hAnsi="Arial"/>
          <w:sz w:val="16"/>
          <w:szCs w:val="16"/>
          <w:color w:val="auto"/>
        </w:rPr>
        <w:t>", in connection with sales of EYLEA outside the United States, and (ii) recognition of deferred revenue related to EYLEA up-front and 2007 non-substantive milestone payments from Bayer HealthCare. As of September 30, 2014, $15.8 million of the EYLEA up-front and 2007 milestone payments was deferred and will be recognized ratably as revenue in future periods.</w:t>
      </w:r>
    </w:p>
    <w:p>
      <w:pPr>
        <w:spacing w:after="0" w:line="21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Cost-sharing of REGN2176-3 development expenses with Bayer HealthCare commenced in the first quarter of 2014 following the execution of the companies' PDGFR-beta antibody collaboration agreement as described above under "Collaboration with Bayer HealthCare - </w:t>
      </w:r>
      <w:r>
        <w:rPr>
          <w:rFonts w:ascii="Arial" w:cs="Arial" w:eastAsia="Arial" w:hAnsi="Arial"/>
          <w:sz w:val="18"/>
          <w:szCs w:val="18"/>
          <w:i w:val="1"/>
          <w:iCs w:val="1"/>
          <w:color w:val="auto"/>
        </w:rPr>
        <w:t>PDGFR-beta antibody outside</w:t>
      </w:r>
      <w:r>
        <w:rPr>
          <w:rFonts w:ascii="Arial" w:cs="Arial" w:eastAsia="Arial" w:hAnsi="Arial"/>
          <w:sz w:val="18"/>
          <w:szCs w:val="18"/>
          <w:color w:val="auto"/>
        </w:rPr>
        <w:t xml:space="preserve"> </w:t>
      </w:r>
      <w:r>
        <w:rPr>
          <w:rFonts w:ascii="Arial" w:cs="Arial" w:eastAsia="Arial" w:hAnsi="Arial"/>
          <w:sz w:val="18"/>
          <w:szCs w:val="18"/>
          <w:i w:val="1"/>
          <w:iCs w:val="1"/>
          <w:color w:val="auto"/>
        </w:rPr>
        <w:t>the United States.</w:t>
      </w:r>
      <w:r>
        <w:rPr>
          <w:rFonts w:ascii="Arial" w:cs="Arial" w:eastAsia="Arial" w:hAnsi="Arial"/>
          <w:sz w:val="18"/>
          <w:szCs w:val="18"/>
          <w:color w:val="auto"/>
        </w:rPr>
        <w:t>" Other PDGFR-beta antibody revenue consists of recognition of deferred revenue related to the PDGFR-beta up-front and non-substantive</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milestones received in the first quarter of 2014. As of September 30, 2014, $22.8 million of the PDGFR-beta up-front and 2014 milestone payments was deferred and will be recognized ratably as revenue in future periods.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and Other Revenue</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In connection with the amendment and extension of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license agreement with Astellas, in August 2010, we received a $165.0 million up-front payment, which was deferred upon receipt and is being recognized as revenue ratably over a seven-year period beginning in June 2011. In the third quarter of both 2014 and 2013, we recognized $5.9 million of technology licensing and other revenue related to this agreement. As of September 30, 2014, $86.9 million of the August 2010 technology licensing payment received from Astellas was deferred and will be recognized as revenue in future periods.</w:t>
      </w:r>
    </w:p>
    <w:p>
      <w:pPr>
        <w:spacing w:after="0" w:line="20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Under a June 2009 agreement with Novartis, we receive royalties on worldwide sales of Novartis' canakinumab. In the third quarter of 2014 and 2013, technology licensing and other revenue included $1.9 million and $1.0 million, respectively, of royalties from Novartis.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Total operating expenses increased to $543.1 million in the third quarter of 2014 from $360.2 million in the third quarter of 2013. Our average headcount in the third quarter of 2014 increased to 2,714 from 2,217 in the same period in 2013, principally in connection with expanding our research and development, and commercialization activities.</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30" w:right="23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Operating expenses in the third quarter of 2014 and 2013 included a total of $73.9 million and $45.8 million, respectively, of non-cash compensation expense related to employee stock option and restricted stock awards (Non-cash Compensation Expense). The increase in total Non-cash Compensation Expense in the third quarter of 2014 was primarily attributable to the higher fair market value of our Common Stock on the date of our annual employee option grants made in December 2013 compared to recent prior years.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Research and development expenses increased to $337.7 million in the third quarter of 2014 from $224.0 million in the same period of 2013. The following table summarizes the major categories of our research and development expenses for the three months ended September 30, 2014 and 2013:</w:t>
      </w:r>
    </w:p>
    <w:p>
      <w:pPr>
        <w:spacing w:after="0" w:line="201"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20" w:type="dxa"/>
            <w:vAlign w:val="bottom"/>
            <w:gridSpan w:val="6"/>
          </w:tcPr>
          <w:p>
            <w:pPr>
              <w:ind w:left="100"/>
              <w:spacing w:after="0"/>
              <w:rPr>
                <w:sz w:val="20"/>
                <w:szCs w:val="20"/>
                <w:color w:val="auto"/>
              </w:rPr>
            </w:pPr>
            <w:r>
              <w:rPr>
                <w:rFonts w:ascii="Arial" w:cs="Arial" w:eastAsia="Arial" w:hAnsi="Arial"/>
                <w:sz w:val="18"/>
                <w:szCs w:val="18"/>
                <w:b w:val="1"/>
                <w:bCs w:val="1"/>
                <w:color w:val="auto"/>
                <w:w w:val="94"/>
              </w:rPr>
              <w:t>Three months ended September</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4"/>
        </w:trPr>
        <w:tc>
          <w:tcPr>
            <w:tcW w:w="360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Research and Development Expenses*</w:t>
            </w:r>
          </w:p>
        </w:tc>
        <w:tc>
          <w:tcPr>
            <w:tcW w:w="300" w:type="dxa"/>
            <w:vAlign w:val="bottom"/>
          </w:tcPr>
          <w:p>
            <w:pPr>
              <w:spacing w:after="0"/>
              <w:rPr>
                <w:sz w:val="16"/>
                <w:szCs w:val="16"/>
                <w:color w:val="auto"/>
              </w:rPr>
            </w:pPr>
          </w:p>
        </w:tc>
        <w:tc>
          <w:tcPr>
            <w:tcW w:w="1360" w:type="dxa"/>
            <w:vAlign w:val="bottom"/>
            <w:gridSpan w:val="3"/>
          </w:tcPr>
          <w:p>
            <w:pPr>
              <w:jc w:val="right"/>
              <w:ind w:right="130"/>
              <w:spacing w:after="0" w:line="194" w:lineRule="exact"/>
              <w:rPr>
                <w:sz w:val="20"/>
                <w:szCs w:val="20"/>
                <w:color w:val="auto"/>
              </w:rPr>
            </w:pPr>
            <w:r>
              <w:rPr>
                <w:rFonts w:ascii="Arial" w:cs="Arial" w:eastAsia="Arial" w:hAnsi="Arial"/>
                <w:sz w:val="18"/>
                <w:szCs w:val="18"/>
                <w:b w:val="1"/>
                <w:bCs w:val="1"/>
                <w:color w:val="auto"/>
              </w:rPr>
              <w:t>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Increase</w:t>
            </w:r>
          </w:p>
        </w:tc>
      </w:tr>
      <w:tr>
        <w:trPr>
          <w:trHeight w:val="48"/>
        </w:trPr>
        <w:tc>
          <w:tcPr>
            <w:tcW w:w="20" w:type="dxa"/>
            <w:vAlign w:val="bottom"/>
          </w:tcPr>
          <w:p>
            <w:pPr>
              <w:spacing w:after="0"/>
              <w:rPr>
                <w:sz w:val="4"/>
                <w:szCs w:val="4"/>
                <w:color w:val="auto"/>
              </w:rPr>
            </w:pPr>
          </w:p>
        </w:tc>
        <w:tc>
          <w:tcPr>
            <w:tcW w:w="294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37"/>
        </w:trPr>
        <w:tc>
          <w:tcPr>
            <w:tcW w:w="36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(Decrease)</w:t>
            </w:r>
          </w:p>
        </w:tc>
      </w:tr>
      <w:tr>
        <w:trPr>
          <w:trHeight w:val="27"/>
        </w:trPr>
        <w:tc>
          <w:tcPr>
            <w:tcW w:w="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Clinical trial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Research and other development costs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Occupancy and other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3600" w:type="dxa"/>
            <w:vAlign w:val="bottom"/>
            <w:gridSpan w:val="3"/>
          </w:tcPr>
          <w:p>
            <w:pPr>
              <w:ind w:left="20"/>
              <w:spacing w:after="0"/>
              <w:rPr>
                <w:sz w:val="20"/>
                <w:szCs w:val="20"/>
                <w:color w:val="auto"/>
              </w:rPr>
            </w:pPr>
            <w:r>
              <w:rPr>
                <w:rFonts w:ascii="Arial" w:cs="Arial" w:eastAsia="Arial" w:hAnsi="Arial"/>
                <w:sz w:val="18"/>
                <w:szCs w:val="18"/>
                <w:color w:val="auto"/>
                <w:w w:val="98"/>
              </w:rPr>
              <w:t>Cost-sharing of Bayer HealthCare and Sanofi</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5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 xml:space="preserve">development expenses </w:t>
            </w:r>
            <w:r>
              <w:rPr>
                <w:rFonts w:ascii="Arial" w:cs="Arial" w:eastAsia="Arial" w:hAnsi="Arial"/>
                <w:sz w:val="18"/>
                <w:szCs w:val="18"/>
                <w:color w:val="auto"/>
                <w:vertAlign w:val="superscript"/>
              </w:rPr>
              <w:t>(3)</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7"/>
              </w:rPr>
              <w:t>Total research and development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1840" w:hanging="130"/>
        <w:spacing w:after="0"/>
        <w:tabs>
          <w:tab w:leader="none" w:pos="18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Certain prior year amounts have been reclassified to conform to the current year's presentation.</w:t>
      </w:r>
    </w:p>
    <w:p>
      <w:pPr>
        <w:spacing w:after="0" w:line="135" w:lineRule="exact"/>
        <w:rPr>
          <w:rFonts w:ascii="Arial" w:cs="Arial" w:eastAsia="Arial" w:hAnsi="Arial"/>
          <w:sz w:val="16"/>
          <w:szCs w:val="16"/>
          <w:color w:val="auto"/>
        </w:rPr>
      </w:pPr>
    </w:p>
    <w:p>
      <w:pPr>
        <w:ind w:left="820" w:hanging="164"/>
        <w:spacing w:after="0" w:line="245" w:lineRule="auto"/>
        <w:tabs>
          <w:tab w:leader="none" w:pos="836"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Includes Non-cash Compensation Expense of $39.0 million for the three months ended September 30, 2014 and $24.5 million for the three months ended September 30, 2013.</w:t>
      </w:r>
    </w:p>
    <w:p>
      <w:pPr>
        <w:jc w:val="both"/>
        <w:ind w:left="820" w:hanging="164"/>
        <w:spacing w:after="0" w:line="245" w:lineRule="auto"/>
        <w:tabs>
          <w:tab w:leader="none" w:pos="859"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Represents the full cost of manufacturing drug for use in research, preclinical development, and clinical trials, as well as pre-launch commercial supplies which were not capitalized as inventory. Includes related payroll and benefits, Non-cash Compensation Expense, manufacturing materials and supplies, drug filling, packaging, and labeling costs, depreciation, and occupancy costs of our Rensselaer manufacturing facility. Also includes Non-cash Compensation Expense of $7.1 million for the three months ended September 30, 2014 and $3.7 million for the three months ended September 30, 2013.</w:t>
      </w:r>
    </w:p>
    <w:p>
      <w:pPr>
        <w:jc w:val="both"/>
        <w:ind w:left="820" w:hanging="164"/>
        <w:spacing w:after="0" w:line="267" w:lineRule="auto"/>
        <w:tabs>
          <w:tab w:leader="none" w:pos="861"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Under our collaborations with Bayer HealthCare and Sanofi, in periods when Bayer HealthCare or Sanofi incurs certain development expenses, we also recognize, as additional research and development expense, the portion of our collaboration partners' development expenses that we are obligated to reimburse. Our collaboration partners provide us with estimated development expenses for the most recent fiscal quarter. Bayer HealthCare and Sanofi’s estimates are reconciled to their actual expenses for such quarter in the subsequent fiscal quarter, and our portion of our collaboration partners' development expenses that we are obligated to reimburse is adjusted accordingly.</w:t>
      </w:r>
    </w:p>
    <w:p>
      <w:pPr>
        <w:spacing w:after="0" w:line="23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Payroll and benefits increased principally due to the increase in employee headcount and Non-cash Compensation Expense, as described above. Clinical trial expenses increased primarily due to higher costs for clinical studies of dupilumab and REGN1033, partly offset by lower costs for alirocumab and EYLEA. Clinical manufacturing costs increased primarily due to higher costs related to manufacturing drug supplies of alirocumab and early-stage antibody product candidates, partly offset by lower costs related to manufacturing drug supplies of sarilumab and dupilumab. Research and other development costs increased due primarily to our 50% share ($33.8 million) of the cost of purchasing a FDA priority review voucher in the third quarter of 2014 as described above under "Late-Stage Antibody-based Clinical Programs - </w:t>
      </w:r>
      <w:r>
        <w:rPr>
          <w:rFonts w:ascii="Arial" w:cs="Arial" w:eastAsia="Arial" w:hAnsi="Arial"/>
          <w:sz w:val="18"/>
          <w:szCs w:val="18"/>
          <w:i w:val="1"/>
          <w:iCs w:val="1"/>
          <w:color w:val="auto"/>
        </w:rPr>
        <w:t>Alirocumab.</w:t>
      </w:r>
      <w:r>
        <w:rPr>
          <w:rFonts w:ascii="Arial" w:cs="Arial" w:eastAsia="Arial" w:hAnsi="Arial"/>
          <w:sz w:val="18"/>
          <w:szCs w:val="18"/>
          <w:color w:val="auto"/>
        </w:rPr>
        <w:t>" Cost-sharing of Bayer HealthCare and Sanofi development expenses increased primarily due to our obligation to fund 20% of Sanofi's Phase 3 alirocumab and sarilumab development costs, which commenced during the fourth quarter of 2013.</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HealthCare and Sanofi, the portion of Bayer HealthCare and Sanofi's development expenses which they incur and we are obligated to reimburse. Our estimates of research and development costs for clinical development programs are shown below:</w:t>
      </w:r>
    </w:p>
    <w:p>
      <w:pPr>
        <w:spacing w:after="0" w:line="248"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8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Project Costs</w:t>
            </w:r>
          </w:p>
        </w:tc>
        <w:tc>
          <w:tcPr>
            <w:tcW w:w="280" w:type="dxa"/>
            <w:vAlign w:val="bottom"/>
          </w:tcPr>
          <w:p>
            <w:pPr>
              <w:spacing w:after="0"/>
              <w:rPr>
                <w:sz w:val="16"/>
                <w:szCs w:val="16"/>
                <w:color w:val="auto"/>
              </w:rPr>
            </w:pPr>
          </w:p>
        </w:tc>
        <w:tc>
          <w:tcPr>
            <w:tcW w:w="2460" w:type="dxa"/>
            <w:vAlign w:val="bottom"/>
            <w:gridSpan w:val="5"/>
          </w:tcPr>
          <w:p>
            <w:pPr>
              <w:jc w:val="center"/>
              <w:ind w:right="360"/>
              <w:spacing w:after="0" w:line="194"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6"/>
                <w:szCs w:val="16"/>
                <w:color w:val="auto"/>
              </w:rPr>
            </w:pPr>
          </w:p>
        </w:tc>
        <w:tc>
          <w:tcPr>
            <w:tcW w:w="112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EYLEA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Alirocumab</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Sarilumab</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Dupilumab</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antibody candidates in clinical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9"/>
        </w:trPr>
        <w:tc>
          <w:tcPr>
            <w:tcW w:w="3380" w:type="dxa"/>
            <w:vAlign w:val="bottom"/>
            <w:gridSpan w:val="3"/>
          </w:tcPr>
          <w:p>
            <w:pPr>
              <w:ind w:left="40"/>
              <w:spacing w:after="0"/>
              <w:rPr>
                <w:sz w:val="20"/>
                <w:szCs w:val="20"/>
                <w:color w:val="auto"/>
              </w:rPr>
            </w:pPr>
            <w:r>
              <w:rPr>
                <w:rFonts w:ascii="Arial" w:cs="Arial" w:eastAsia="Arial" w:hAnsi="Arial"/>
                <w:sz w:val="18"/>
                <w:szCs w:val="18"/>
                <w:color w:val="auto"/>
                <w:w w:val="99"/>
              </w:rPr>
              <w:t>Other research programs and unallocated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costs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research and development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2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Selling, general, and administrative expenses increased to $149.7 million in the third quarter of 2014 from $97.6 million in the third quarter of 2013 primarily due to a $40.6 million incremental charge related to the Branded Prescription Drug Fee which was recorded in the third quarter of 2014. Under the provisions of the Patient Protection and Affordable Care Act (PPACA) and the Health Care and Education Reconciliation Act of 2010, a non-tax deductible annual fee (the Branded Prescription Drug Fee) is imposed on pharmaceutical manufacturers that sell branded prescription drugs to specified government programs. The legislation imposed an annual fee on companies for each calendar year beginning in 2011. This fee is allocated to companies based on their prior year market share of total branded prescription drug sales into these government programs. In July 2014, the Internal Revenue Service (IRS) issued final regulations that provide guidance on the Branded Prescription Drug Fee. The final regulations differ in some respects from the temporary regulations issued by the IRS in 2011, including that a company is liable for the fee based on its branded prescription drug sales in the current year, instead of the liability only being applicable upon the first qualifying branded prescription drug sale of the following fee year under the temporary regulations. As a result of the issuance of these final IRS regulations, we will record an estimate of the fee in the same period in which its qualifying branded prescription drug sales occur. Therefore, in the third quarter of 2014, an incremental charge was recorded to (i) recognize a liability for the estimated fee payable based on 2014 sales through the first nine months of 2014, and (ii) expense the remaining prepaid asset recorded under the previous accounting for the estimated fee payable based on 2013 sales.</w:t>
      </w:r>
    </w:p>
    <w:p>
      <w:pPr>
        <w:spacing w:after="0" w:line="24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addition, selling, general, and administrative expenses increased due to higher Non-cash Compensation Expense principally for the reason described under "</w:t>
      </w:r>
      <w:r>
        <w:rPr>
          <w:rFonts w:ascii="Arial" w:cs="Arial" w:eastAsia="Arial" w:hAnsi="Arial"/>
          <w:sz w:val="17"/>
          <w:szCs w:val="17"/>
          <w:i w:val="1"/>
          <w:iCs w:val="1"/>
          <w:color w:val="auto"/>
        </w:rPr>
        <w:t>Expenses</w:t>
      </w:r>
      <w:r>
        <w:rPr>
          <w:rFonts w:ascii="Arial" w:cs="Arial" w:eastAsia="Arial" w:hAnsi="Arial"/>
          <w:sz w:val="17"/>
          <w:szCs w:val="17"/>
          <w:color w:val="auto"/>
        </w:rPr>
        <w:t>" above, higher headcount and related costs, and higher legal costs primarily resulting from patent enforcement, partly offset by lower contributions to a not-for-profit organization that assists patients with chronic disease conditions. Selling, general, and administrative expenses included $26.9 million and $17.1 million of Non-cash Compensation Expense in the third quarter of 2014 and 2013,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Cost of goods sold was $33.7 million in the third quarter of 2014 and $28.3 million in the third quarter of 2013. Cost of goods sold, which primarily consists of royalties, as well as costs in connection with producing EYLEA and ARCALYST commercial supplies, increased principally due to the increase in U.S. EYLEA net product sales.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Manufacturing</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manufacture commercial supplies of product for our collaborators. Cost of collaboration manufacturing increased to $21.9 million in the third quarter of 2014 from $10.3 million in the third quarter of 2013 primarily due to royalties payable in connection with higher sales of EYLEA outside the United States. Cost of collaboration manufacturing also includes costs in connection with producing commercial supplies for our collaborators. When the product is sold by our collaborators to third-party customers, our risk of inventory loss no longer exists, and we therefore recognize our related manufacturing costs for the sold product as cost of collaboration manufacturing.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Interest expense in the third quarter of 2014 and 2013 primarily includes interest associated with our 1.875% convertible senior notes, including amortization of the note discount and debt issuance costs, and interest associated with our facility lease obligations.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the third quarter of 2014 and 2013, we recorded income tax expense of $96.4 million and $84.4 million, respectively. The effective tax rate was 54.7% and 37.4% for the third quarter of 2014 and 2013, respectively. The third quarter 2014 effective tax rate was negatively impacted by losses incurred in foreign jurisdictions with rates lower than the federal statutory rate, the incremental charge related to the non-tax deductible Branded Prescription Drug Fee (as described above), and expiration at the end of 2013 of the federal tax credit for increased research activities.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2014 and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for the nine months ended September 30, 2014 and 2013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7"/>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1,494.3</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(946.4)</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37"/>
        </w:trPr>
        <w:tc>
          <w:tcPr>
            <w:tcW w:w="428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554.4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515.2</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r>
      <w:tr>
        <w:trPr>
          <w:trHeight w:val="257"/>
        </w:trPr>
        <w:tc>
          <w:tcPr>
            <w:tcW w:w="42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327.6</w:t>
            </w: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Revenues for the nine months ended September 30, 2014 and 2013 consist of the following:</w:t>
      </w:r>
    </w:p>
    <w:p>
      <w:pPr>
        <w:spacing w:after="0" w:line="302"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1,019.7</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r>
      <w:tr>
        <w:trPr>
          <w:trHeight w:val="243"/>
        </w:trPr>
        <w:tc>
          <w:tcPr>
            <w:tcW w:w="4320" w:type="dxa"/>
            <w:vAlign w:val="bottom"/>
          </w:tcPr>
          <w:p>
            <w:pPr>
              <w:ind w:left="260"/>
              <w:spacing w:after="0"/>
              <w:rPr>
                <w:sz w:val="20"/>
                <w:szCs w:val="20"/>
                <w:color w:val="auto"/>
              </w:rPr>
            </w:pPr>
            <w:r>
              <w:rPr>
                <w:rFonts w:ascii="Arial" w:cs="Arial" w:eastAsia="Arial" w:hAnsi="Arial"/>
                <w:sz w:val="18"/>
                <w:szCs w:val="18"/>
                <w:color w:val="auto"/>
              </w:rPr>
              <w:t>Bayer HealthCare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134.6</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Technology licensing and other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1,494.3</w:t>
            </w: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Net product sales consist of U.S. sales of EYLEA and ARCALYST. For the nine months ended September 30, 2014, EYLEA net product sales increased to $1,218.8 million from $1,006.8 million for the nine months ended September 30, 2013 due to higher sales volume. For the nine months ended September 30, 2014 and 2013, we also recognized ARCALYST net product sales of $10.4 million and $12.9 million, respectively.</w:t>
      </w:r>
    </w:p>
    <w:p>
      <w:pPr>
        <w:spacing w:after="0" w:line="22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For the nine months ended September 30, 2014 and 2013, we recorded 75% and 76%, respectively, of our total gross product revenue from sales to Besse Medical, a subsidiary of AmerisourceBergen Corporation.</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Revenue from product sales is recorded net of applicable provisions for rebates and chargebacks under governmental programs, distribution-related fees, prompt pay discounts, and other sales-related deductions. The following table summarizes the provisions, and credits/payments, for sales-related deductions for the nine months ended September 30, 2014 and 2013.</w:t>
      </w:r>
    </w:p>
    <w:p>
      <w:pPr>
        <w:spacing w:after="0" w:line="393" w:lineRule="exact"/>
        <w:rPr>
          <w:sz w:val="20"/>
          <w:szCs w:val="20"/>
          <w:color w:val="auto"/>
        </w:rPr>
      </w:pPr>
    </w:p>
    <w:tbl>
      <w:tblPr>
        <w:tblLayout w:type="fixed"/>
        <w:tblInd w:w="180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Distribution-</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Other Sales-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Rebates &amp;</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Related</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Related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25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Chargebacks</w:t>
            </w:r>
          </w:p>
        </w:tc>
        <w:tc>
          <w:tcPr>
            <w:tcW w:w="1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Fees</w:t>
            </w:r>
          </w:p>
        </w:tc>
        <w:tc>
          <w:tcPr>
            <w:tcW w:w="12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Deductions</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2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Balance as of December 31,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29"/>
        </w:trPr>
        <w:tc>
          <w:tcPr>
            <w:tcW w:w="2540" w:type="dxa"/>
            <w:vAlign w:val="bottom"/>
          </w:tcPr>
          <w:p>
            <w:pPr>
              <w:ind w:left="260"/>
              <w:spacing w:after="0"/>
              <w:rPr>
                <w:sz w:val="20"/>
                <w:szCs w:val="20"/>
                <w:color w:val="auto"/>
              </w:rPr>
            </w:pPr>
            <w:r>
              <w:rPr>
                <w:rFonts w:ascii="Arial" w:cs="Arial" w:eastAsia="Arial" w:hAnsi="Arial"/>
                <w:sz w:val="18"/>
                <w:szCs w:val="18"/>
                <w:color w:val="auto"/>
              </w:rPr>
              <w:t>Provision related to current</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540" w:type="dxa"/>
            <w:vAlign w:val="bottom"/>
          </w:tcPr>
          <w:p>
            <w:pPr>
              <w:ind w:left="420"/>
              <w:spacing w:after="0"/>
              <w:rPr>
                <w:sz w:val="20"/>
                <w:szCs w:val="20"/>
                <w:color w:val="auto"/>
              </w:rPr>
            </w:pPr>
            <w:r>
              <w:rPr>
                <w:rFonts w:ascii="Arial" w:cs="Arial" w:eastAsia="Arial" w:hAnsi="Arial"/>
                <w:sz w:val="18"/>
                <w:szCs w:val="18"/>
                <w:color w:val="auto"/>
              </w:rPr>
              <w:t>period sales</w:t>
            </w:r>
          </w:p>
        </w:tc>
        <w:tc>
          <w:tcPr>
            <w:tcW w:w="1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78.2</w:t>
            </w: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57"/>
        </w:trPr>
        <w:tc>
          <w:tcPr>
            <w:tcW w:w="2540" w:type="dxa"/>
            <w:vAlign w:val="bottom"/>
          </w:tcPr>
          <w:p>
            <w:pPr>
              <w:ind w:left="20"/>
              <w:spacing w:after="0"/>
              <w:rPr>
                <w:sz w:val="20"/>
                <w:szCs w:val="20"/>
                <w:color w:val="auto"/>
              </w:rPr>
            </w:pPr>
            <w:r>
              <w:rPr>
                <w:rFonts w:ascii="Arial" w:cs="Arial" w:eastAsia="Arial" w:hAnsi="Arial"/>
                <w:sz w:val="18"/>
                <w:szCs w:val="18"/>
                <w:color w:val="auto"/>
                <w:w w:val="90"/>
              </w:rPr>
              <w:t>Balance as of September 30, 2014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r>
      <w:tr>
        <w:trPr>
          <w:trHeight w:val="20"/>
        </w:trPr>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Balance as of December 31, 2012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29"/>
        </w:trPr>
        <w:tc>
          <w:tcPr>
            <w:tcW w:w="2540" w:type="dxa"/>
            <w:vAlign w:val="bottom"/>
          </w:tcPr>
          <w:p>
            <w:pPr>
              <w:ind w:left="260"/>
              <w:spacing w:after="0"/>
              <w:rPr>
                <w:sz w:val="20"/>
                <w:szCs w:val="20"/>
                <w:color w:val="auto"/>
              </w:rPr>
            </w:pPr>
            <w:r>
              <w:rPr>
                <w:rFonts w:ascii="Arial" w:cs="Arial" w:eastAsia="Arial" w:hAnsi="Arial"/>
                <w:sz w:val="18"/>
                <w:szCs w:val="18"/>
                <w:color w:val="auto"/>
              </w:rPr>
              <w:t>Provision related to current</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540" w:type="dxa"/>
            <w:vAlign w:val="bottom"/>
          </w:tcPr>
          <w:p>
            <w:pPr>
              <w:ind w:left="420"/>
              <w:spacing w:after="0"/>
              <w:rPr>
                <w:sz w:val="20"/>
                <w:szCs w:val="20"/>
                <w:color w:val="auto"/>
              </w:rPr>
            </w:pPr>
            <w:r>
              <w:rPr>
                <w:rFonts w:ascii="Arial" w:cs="Arial" w:eastAsia="Arial" w:hAnsi="Arial"/>
                <w:sz w:val="18"/>
                <w:szCs w:val="18"/>
                <w:color w:val="auto"/>
              </w:rPr>
              <w:t>period sales</w:t>
            </w:r>
          </w:p>
        </w:tc>
        <w:tc>
          <w:tcPr>
            <w:tcW w:w="1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65.5</w:t>
            </w: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57"/>
        </w:trPr>
        <w:tc>
          <w:tcPr>
            <w:tcW w:w="2540" w:type="dxa"/>
            <w:vAlign w:val="bottom"/>
          </w:tcPr>
          <w:p>
            <w:pPr>
              <w:ind w:left="20"/>
              <w:spacing w:after="0"/>
              <w:rPr>
                <w:sz w:val="20"/>
                <w:szCs w:val="20"/>
                <w:color w:val="auto"/>
              </w:rPr>
            </w:pPr>
            <w:r>
              <w:rPr>
                <w:rFonts w:ascii="Arial" w:cs="Arial" w:eastAsia="Arial" w:hAnsi="Arial"/>
                <w:sz w:val="18"/>
                <w:szCs w:val="18"/>
                <w:color w:val="auto"/>
                <w:w w:val="90"/>
              </w:rPr>
              <w:t>Balance as of September 30, 2013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24.8</w:t>
            </w:r>
          </w:p>
        </w:tc>
      </w:tr>
      <w:tr>
        <w:trPr>
          <w:trHeight w:val="20"/>
        </w:trPr>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027"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30" w:right="239" w:bottom="1027" w:gutter="0" w:footer="0" w:header="0"/>
          <w:type w:val="continuous"/>
        </w:sectPr>
      </w:pPr>
    </w:p>
    <w:bookmarkStart w:id="46" w:name="page47"/>
    <w:bookmarkEnd w:id="4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Sanofi collaboration revenue, as detailed below, consisted primarily of reimbursement for research and development expenses that we incurred, partly offset by sharing of pre-launch commercialization expenses, in connection with the companies' antibody collaboration. In addition, Sanofi collaboration revenue for the nine months ended September 30, 2013 was reduced by two $10.0 million up-front payments to Sanofi in connection with our acquisition from Sanofi of full exclusive rights to two families of novel antibodies, as described below.</w:t>
      </w:r>
    </w:p>
    <w:p>
      <w:pPr>
        <w:spacing w:after="0" w:line="399"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194"/>
        </w:trPr>
        <w:tc>
          <w:tcPr>
            <w:tcW w:w="44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6"/>
                <w:szCs w:val="16"/>
                <w:color w:val="auto"/>
              </w:rPr>
            </w:pPr>
          </w:p>
        </w:tc>
        <w:tc>
          <w:tcPr>
            <w:tcW w:w="2320" w:type="dxa"/>
            <w:vAlign w:val="bottom"/>
            <w:gridSpan w:val="4"/>
          </w:tcPr>
          <w:p>
            <w:pPr>
              <w:jc w:val="right"/>
              <w:ind w:right="650"/>
              <w:spacing w:after="0" w:line="194" w:lineRule="exact"/>
              <w:rPr>
                <w:sz w:val="20"/>
                <w:szCs w:val="20"/>
                <w:color w:val="auto"/>
              </w:rPr>
            </w:pPr>
            <w:r>
              <w:rPr>
                <w:rFonts w:ascii="Arial" w:cs="Arial" w:eastAsia="Arial" w:hAnsi="Arial"/>
                <w:sz w:val="18"/>
                <w:szCs w:val="18"/>
                <w:b w:val="1"/>
                <w:bCs w:val="1"/>
                <w:color w:val="auto"/>
              </w:rPr>
              <w:t>September 30,</w:t>
            </w: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commercialization of ZALTRAP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ZALTRAP</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338.0</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Regeneron's share of commercialization expenses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Up-front payments to Sanofi for acquisition of rights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related to two antibodies</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Antibody</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329.7</w:t>
            </w:r>
          </w:p>
        </w:tc>
      </w:tr>
      <w:tr>
        <w:trPr>
          <w:trHeight w:val="25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406.0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319.2</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Regeneron's share of the loss in connection with commercialization of ZALTRAP, as shown in the table below, represents our 50% share of ZALTRAP net product sales less cost of goods sold and shared commercialization and other expenses.</w:t>
      </w:r>
    </w:p>
    <w:p>
      <w:pPr>
        <w:spacing w:after="0" w:line="234" w:lineRule="exact"/>
        <w:rPr>
          <w:sz w:val="20"/>
          <w:szCs w:val="20"/>
          <w:color w:val="auto"/>
        </w:rPr>
      </w:pPr>
    </w:p>
    <w:tbl>
      <w:tblPr>
        <w:tblLayout w:type="fixed"/>
        <w:tblInd w:w="21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Regeneron's share of losses in connection with</w:t>
            </w:r>
          </w:p>
        </w:tc>
        <w:tc>
          <w:tcPr>
            <w:tcW w:w="280" w:type="dxa"/>
            <w:vAlign w:val="bottom"/>
          </w:tcPr>
          <w:p>
            <w:pPr>
              <w:spacing w:after="0"/>
              <w:rPr>
                <w:sz w:val="18"/>
                <w:szCs w:val="18"/>
                <w:color w:val="auto"/>
              </w:rPr>
            </w:pPr>
          </w:p>
        </w:tc>
        <w:tc>
          <w:tcPr>
            <w:tcW w:w="23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196"/>
        </w:trPr>
        <w:tc>
          <w:tcPr>
            <w:tcW w:w="20" w:type="dxa"/>
            <w:vAlign w:val="bottom"/>
          </w:tcPr>
          <w:p>
            <w:pPr>
              <w:spacing w:after="0"/>
              <w:rPr>
                <w:sz w:val="17"/>
                <w:szCs w:val="17"/>
                <w:color w:val="auto"/>
              </w:rPr>
            </w:pPr>
          </w:p>
        </w:tc>
        <w:tc>
          <w:tcPr>
            <w:tcW w:w="35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commercialization of ZALTRAP</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4"/>
          </w:tcPr>
          <w:p>
            <w:pPr>
              <w:jc w:val="right"/>
              <w:ind w:right="670"/>
              <w:spacing w:after="0" w:line="196" w:lineRule="exact"/>
              <w:rPr>
                <w:sz w:val="20"/>
                <w:szCs w:val="20"/>
                <w:color w:val="auto"/>
              </w:rPr>
            </w:pPr>
            <w:r>
              <w:rPr>
                <w:rFonts w:ascii="Arial" w:cs="Arial" w:eastAsia="Arial" w:hAnsi="Arial"/>
                <w:sz w:val="18"/>
                <w:szCs w:val="18"/>
                <w:b w:val="1"/>
                <w:bCs w:val="1"/>
                <w:color w:val="auto"/>
              </w:rPr>
              <w:t>September 30,</w:t>
            </w:r>
          </w:p>
        </w:tc>
      </w:tr>
      <w:tr>
        <w:trPr>
          <w:trHeight w:val="48"/>
        </w:trPr>
        <w:tc>
          <w:tcPr>
            <w:tcW w:w="20" w:type="dxa"/>
            <w:vAlign w:val="bottom"/>
          </w:tcPr>
          <w:p>
            <w:pPr>
              <w:spacing w:after="0"/>
              <w:rPr>
                <w:sz w:val="4"/>
                <w:szCs w:val="4"/>
                <w:color w:val="auto"/>
              </w:rPr>
            </w:pPr>
          </w:p>
        </w:tc>
        <w:tc>
          <w:tcPr>
            <w:tcW w:w="250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recorded by Sanofi</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43"/>
        </w:trPr>
        <w:tc>
          <w:tcPr>
            <w:tcW w:w="20" w:type="dxa"/>
            <w:vAlign w:val="bottom"/>
          </w:tcPr>
          <w:p>
            <w:pPr>
              <w:spacing w:after="0"/>
              <w:rPr>
                <w:sz w:val="21"/>
                <w:szCs w:val="21"/>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Regeneron's share of collaboration losses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w:t>
            </w:r>
          </w:p>
        </w:tc>
      </w:tr>
    </w:tbl>
    <w:p>
      <w:pPr>
        <w:spacing w:after="0" w:line="14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share of the loss in the first nine months of 2014 and 2013 represents our share of the costs of launching and commercializing ZALTRAP, partly offset by net product sales. Sanofi provides us with an estimate of our share of the profit or loss from commercialization of ZALTRAP for the most recent fiscal quarter; these estimates are reconciled to actual results in the subsequent fiscal quarter, and our portion of the profit or loss is adjusted accordingly, as necessary.</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first nine months of 2014, Sanofi's reimbursement of our antibody research and development expenses consisted of $131.0 million under our discovery agreement and $274.2 million of development costs under our license agreement, compared to $133.4 million and $204.6 million, respectively, in the first nine months of 2013. The higher reimbursement of development costs in the first nine months of 2014, compared to the same period in 2013, was primarily due to increased development activities for dupilumab and REGN1033.</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Effective in the second quarter of 2014, we and Sanofi began sharing pre-launch commercialization expenses related to alirocumab in accordance with the companies’ antibody collaboration agreement.</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second quarter of 2013, we acquired from Sanofi full exclusive rights to two families of novel antibodies invented at Regeneron and previously included in our antibody collaboration with Sanofi. Consequently, we made two $10.0 million up-front payments to Sanofi in connection with acquiring from Sanofi full exclusive rights to (i) antibodies targeting the PDGF family of receptors and ligands in opthalmology and all other indications and (ii) antibodies targeting the Ang2 receptor and ligand in ophthalmology.</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30" w:right="239" w:bottom="1440" w:gutter="0" w:footer="0" w:header="0"/>
          <w:type w:val="continuous"/>
        </w:sectPr>
      </w:pPr>
    </w:p>
    <w:bookmarkStart w:id="47" w:name="page48"/>
    <w:bookmarkEnd w:id="4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collaboration revenue we earned from Bayer HealthCare, as detailed below, primarily consisted of recognition of our share of profits in connection with commercialization of EYLEA outside the United States, recognition of sales and substantive development milestones achieved, cost-sharing of Regeneron development expenses, and reimbursement of other Regeneron EYLEA expenses.</w:t>
      </w:r>
    </w:p>
    <w:p>
      <w:pPr>
        <w:spacing w:after="0" w:line="258"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194"/>
        </w:trPr>
        <w:tc>
          <w:tcPr>
            <w:tcW w:w="20" w:type="dxa"/>
            <w:vAlign w:val="bottom"/>
          </w:tcPr>
          <w:p>
            <w:pPr>
              <w:spacing w:after="0"/>
              <w:rPr>
                <w:sz w:val="16"/>
                <w:szCs w:val="16"/>
                <w:color w:val="auto"/>
              </w:rPr>
            </w:pPr>
          </w:p>
        </w:tc>
        <w:tc>
          <w:tcPr>
            <w:tcW w:w="45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Bayer HealthCare Collaboration Revenue</w:t>
            </w:r>
          </w:p>
        </w:tc>
        <w:tc>
          <w:tcPr>
            <w:tcW w:w="280" w:type="dxa"/>
            <w:vAlign w:val="bottom"/>
          </w:tcPr>
          <w:p>
            <w:pPr>
              <w:spacing w:after="0"/>
              <w:rPr>
                <w:sz w:val="16"/>
                <w:szCs w:val="16"/>
                <w:color w:val="auto"/>
              </w:rPr>
            </w:pPr>
          </w:p>
        </w:tc>
        <w:tc>
          <w:tcPr>
            <w:tcW w:w="2340" w:type="dxa"/>
            <w:vAlign w:val="bottom"/>
            <w:gridSpan w:val="4"/>
          </w:tcPr>
          <w:p>
            <w:pPr>
              <w:jc w:val="right"/>
              <w:ind w:right="650"/>
              <w:spacing w:after="0" w:line="194" w:lineRule="exact"/>
              <w:rPr>
                <w:sz w:val="20"/>
                <w:szCs w:val="20"/>
                <w:color w:val="auto"/>
              </w:rPr>
            </w:pPr>
            <w:r>
              <w:rPr>
                <w:rFonts w:ascii="Arial" w:cs="Arial" w:eastAsia="Arial" w:hAnsi="Arial"/>
                <w:sz w:val="18"/>
                <w:szCs w:val="18"/>
                <w:b w:val="1"/>
                <w:bCs w:val="1"/>
                <w:color w:val="auto"/>
              </w:rPr>
              <w:t>September 30,</w:t>
            </w:r>
          </w:p>
        </w:tc>
      </w:tr>
      <w:tr>
        <w:trPr>
          <w:trHeight w:val="48"/>
        </w:trPr>
        <w:tc>
          <w:tcPr>
            <w:tcW w:w="20" w:type="dxa"/>
            <w:vAlign w:val="bottom"/>
          </w:tcPr>
          <w:p>
            <w:pPr>
              <w:spacing w:after="0"/>
              <w:rPr>
                <w:sz w:val="4"/>
                <w:szCs w:val="4"/>
                <w:color w:val="auto"/>
              </w:rPr>
            </w:pPr>
          </w:p>
        </w:tc>
        <w:tc>
          <w:tcPr>
            <w:tcW w:w="3220" w:type="dxa"/>
            <w:vAlign w:val="bottom"/>
            <w:tcBorders>
              <w:top w:val="single" w:sz="8" w:color="auto"/>
            </w:tcBorders>
          </w:tcPr>
          <w:p>
            <w:pPr>
              <w:spacing w:after="0"/>
              <w:rPr>
                <w:sz w:val="4"/>
                <w:szCs w:val="4"/>
                <w:color w:val="auto"/>
              </w:rPr>
            </w:pPr>
          </w:p>
        </w:tc>
        <w:tc>
          <w:tcPr>
            <w:tcW w:w="13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w w:val="97"/>
              </w:rPr>
              <w:t>commercialization of EYLEA outside the 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213.3</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Sales and substantive development milestones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20" w:type="dxa"/>
            <w:vAlign w:val="bottom"/>
          </w:tcPr>
          <w:p>
            <w:pPr>
              <w:spacing w:after="0"/>
              <w:rPr>
                <w:sz w:val="21"/>
                <w:szCs w:val="21"/>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w w:val="93"/>
              </w:rPr>
              <w:t>Cost-sharing of Regeneron EYLEA development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37"/>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Total EYLEA</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PDGFR-beta antibody: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Cost-sharing of REGN2176-3 development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Total PDGFR-beta antibody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Bayer HealthCare collaboration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Regeneron's net profit in connection with commercialization of EYLEA outside the United States is summarized below.</w:t>
      </w:r>
    </w:p>
    <w:p>
      <w:pPr>
        <w:spacing w:after="0" w:line="200" w:lineRule="exact"/>
        <w:rPr>
          <w:sz w:val="20"/>
          <w:szCs w:val="20"/>
          <w:color w:val="auto"/>
        </w:rPr>
      </w:pPr>
    </w:p>
    <w:p>
      <w:pPr>
        <w:spacing w:after="0" w:line="224"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w w:val="96"/>
              </w:rPr>
              <w:t>Regeneron's Net Profit from EYLEA Sales Outside the</w:t>
            </w:r>
          </w:p>
        </w:tc>
        <w:tc>
          <w:tcPr>
            <w:tcW w:w="280" w:type="dxa"/>
            <w:vAlign w:val="bottom"/>
          </w:tcPr>
          <w:p>
            <w:pPr>
              <w:spacing w:after="0"/>
              <w:rPr>
                <w:sz w:val="18"/>
                <w:szCs w:val="18"/>
                <w:color w:val="auto"/>
              </w:rPr>
            </w:pPr>
          </w:p>
        </w:tc>
        <w:tc>
          <w:tcPr>
            <w:tcW w:w="23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United States</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4"/>
          </w:tcPr>
          <w:p>
            <w:pPr>
              <w:jc w:val="right"/>
              <w:ind w:right="650"/>
              <w:spacing w:after="0" w:line="196"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outside the United States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gridSpan w:val="3"/>
            <w:vMerge w:val="restart"/>
          </w:tcPr>
          <w:p>
            <w:pPr>
              <w:spacing w:after="0"/>
              <w:rPr>
                <w:sz w:val="20"/>
                <w:szCs w:val="20"/>
                <w:color w:val="auto"/>
              </w:rPr>
            </w:pPr>
            <w:r>
              <w:rPr>
                <w:rFonts w:ascii="Arial" w:cs="Arial" w:eastAsia="Arial" w:hAnsi="Arial"/>
                <w:sz w:val="18"/>
                <w:szCs w:val="18"/>
                <w:color w:val="auto"/>
                <w:w w:val="93"/>
              </w:rPr>
              <w:t>Regeneron's share of collaboration profit from sales outside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the United States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Reimbursement of EYLEA development expenses incurred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by Bayer HealthCare in accordance with Regeneron's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payment obligation</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213.3</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w w:val="98"/>
              </w:rPr>
              <w:t>commercialization of EYLEA outside the United States</w:t>
            </w: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Bayer HealthCare records revenue from sales of EYLEA outside the United States. Bayer HealthCare provides us with an estimate of our share of the profit or loss,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 In the first nine months of 2014 and 2013, our share of the profit we earned from commercialization of EYLEA outside the United States was partly offset by our contractual obligation to reimburse Bayer HealthCare for a portion of the agreed-upon development expenses previously incurred by Bayer HealthCare.</w:t>
      </w:r>
    </w:p>
    <w:p>
      <w:pPr>
        <w:spacing w:after="0" w:line="24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the first nine months of 2014, we earned, and recorded as revenue, five $15.0 million sales milestones from Bayer HealthCare upon total aggregate net sales of EYLEA outside the United States exceeding $500 million, $600 million, $700 million, $800 million, and $900 million, respectively, over a twelve-month period. In the third quarter of 2013, we earned, and recorded as revenue, two $15.0 million sales milestone payments from Bayer HealthCare upon total aggregate net sales of EYLEA outside the United States exceeding $200 million and $300 million, respectively, over a twelve-month period. In addition, in the third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quarter of 2013, we earned a $15.0 million substantive development milestone payment from Bayer HealthCare upon receipt of marketing approval in the EU for EYLEA for the treatment of macular edema secondary to CRVO.</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Cost-sharing of our global EYLEA development expenses with Bayer HealthCare increased in the first nine months of 2014 compared to the same period in 2013. In January 2014, Bayer HealthCare decided to participate in the global development and commercialization of EYLEA outside the United States for the treatment of macular edema following BRVO. In connection with this decision, Bayer HealthCare reimbursed us $15.7 million for a defined share of the EYLEA global development costs that we had incurred prior to February 2014 for the BRVO indication, which was recognized as Bayer HealthCare collaboration revenue in the first quarter of 2014. In addition, all future agreed upon global EYLEA development expenses incurred in connection with BRVO are being shared equally, and any future profits or losses on sales of EYLEA outside of the United States for the treatment of macular edema following BRVO will also be shared.</w:t>
      </w:r>
    </w:p>
    <w:p>
      <w:pPr>
        <w:spacing w:after="0" w:line="24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Other EYLEA revenue principally consists of (i) reimbursement of other Regeneron EYLEA expenses, primarily related to Bayer HealthCare's share of royalties payable to Genentech which commenced in May 2013 pursuant to the license and settlement agreement as described below under "Liquidity and Capital Resources - </w:t>
      </w:r>
      <w:r>
        <w:rPr>
          <w:rFonts w:ascii="Arial" w:cs="Arial" w:eastAsia="Arial" w:hAnsi="Arial"/>
          <w:sz w:val="16"/>
          <w:szCs w:val="16"/>
          <w:i w:val="1"/>
          <w:iCs w:val="1"/>
          <w:color w:val="auto"/>
        </w:rPr>
        <w:t>License and Settlement Agreements with Genentech - EYLEA</w:t>
      </w:r>
      <w:r>
        <w:rPr>
          <w:rFonts w:ascii="Arial" w:cs="Arial" w:eastAsia="Arial" w:hAnsi="Arial"/>
          <w:sz w:val="16"/>
          <w:szCs w:val="16"/>
          <w:color w:val="auto"/>
        </w:rPr>
        <w:t>", in connection with sales of EYLEA outside the United States, and (ii) recognition of deferred revenue related to EYLEA up-front and 2007 non-substantive milestone payments from Bayer HealthCare.</w:t>
      </w:r>
    </w:p>
    <w:p>
      <w:pPr>
        <w:spacing w:after="0" w:line="20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Cost-sharing of REGN2176-3 development expenses with Bayer HealthCare commenced in the first quarter of 2014 following the execution of the companies' PDGFR-beta antibody collaboration agreement as described above under "Collaboration with Bayer HealthCare - </w:t>
      </w:r>
      <w:r>
        <w:rPr>
          <w:rFonts w:ascii="Arial" w:cs="Arial" w:eastAsia="Arial" w:hAnsi="Arial"/>
          <w:sz w:val="18"/>
          <w:szCs w:val="18"/>
          <w:i w:val="1"/>
          <w:iCs w:val="1"/>
          <w:color w:val="auto"/>
        </w:rPr>
        <w:t>PDGFR-beta antibody outside</w:t>
      </w:r>
      <w:r>
        <w:rPr>
          <w:rFonts w:ascii="Arial" w:cs="Arial" w:eastAsia="Arial" w:hAnsi="Arial"/>
          <w:sz w:val="18"/>
          <w:szCs w:val="18"/>
          <w:color w:val="auto"/>
        </w:rPr>
        <w:t xml:space="preserve"> </w:t>
      </w:r>
      <w:r>
        <w:rPr>
          <w:rFonts w:ascii="Arial" w:cs="Arial" w:eastAsia="Arial" w:hAnsi="Arial"/>
          <w:sz w:val="18"/>
          <w:szCs w:val="18"/>
          <w:i w:val="1"/>
          <w:iCs w:val="1"/>
          <w:color w:val="auto"/>
        </w:rPr>
        <w:t>the United States.</w:t>
      </w:r>
      <w:r>
        <w:rPr>
          <w:rFonts w:ascii="Arial" w:cs="Arial" w:eastAsia="Arial" w:hAnsi="Arial"/>
          <w:sz w:val="18"/>
          <w:szCs w:val="18"/>
          <w:color w:val="auto"/>
        </w:rPr>
        <w:t>" Other PDGFR-beta antibody revenue consists of recognition of deferred revenue related to the PDGFR-beta up-front and non-substantive</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milestones received in the first quarter of 2014.</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and Other Revenue</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 xml:space="preserve">In connection with the amendment and extension of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license agreement with Astellas, in August 2010, we received a $165.0 million up-front payment, which was deferred upon receipt and is being recognized as revenue ratably over a seven-year period beginning in June 2011. In the first nine months of both 2014 and 2013, we recognized $17.7 million of technology licensing and other revenue related to this agreement.</w:t>
      </w:r>
    </w:p>
    <w:p>
      <w:pPr>
        <w:spacing w:after="0" w:line="22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Under a June 2009 agreement with Novartis, we receive royalties on worldwide sales of Novartis' canakinumab. In the first nine months of 2014 and 2013, technology licensing and other revenue included $5.4 million and $3.1 million, respectively, of royalties from Novartis.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Total operating expenses increased to $1,426.2 million in the first nine months of 2014 from $946.4 million in the first nine months of 2013. Our average headcount in the first nine months of 2014 increased to 2,551 from 2,098 in the same period in 2013, principally in connection with expanding our research and development, and commercialization activities.</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Operating expenses in the first nine months of 2014 and 2013 included a total of $225.8 million and $143.2 million respectively, of Non-cash Compensation Expense. The increase in total Non-cash Compensation Expense in the first nine months of 2014 was primarily attributable to the higher fair market value of our Common Stock on the date of our annual employee option grants made in December 2013 compared to recent prior years.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ind w:firstLine="243"/>
        <w:spacing w:after="0" w:line="342" w:lineRule="auto"/>
        <w:rPr>
          <w:sz w:val="20"/>
          <w:szCs w:val="20"/>
          <w:color w:val="auto"/>
        </w:rPr>
      </w:pPr>
      <w:r>
        <w:rPr>
          <w:rFonts w:ascii="Arial" w:cs="Arial" w:eastAsia="Arial" w:hAnsi="Arial"/>
          <w:sz w:val="16"/>
          <w:szCs w:val="16"/>
          <w:color w:val="auto"/>
        </w:rPr>
        <w:t>Research and development expenses increased to $919.6 million in the first nine months of 2014 from $591.8 million in the same period of 2013. The following table summarizes the major categories of our research and development expenses for the nine months ended September 30, 2014 and 2013:</w:t>
      </w:r>
    </w:p>
    <w:p>
      <w:pPr>
        <w:spacing w:after="0" w:line="201"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Nine months ended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4"/>
        </w:trPr>
        <w:tc>
          <w:tcPr>
            <w:tcW w:w="360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Research and Development Expenses*</w:t>
            </w:r>
          </w:p>
        </w:tc>
        <w:tc>
          <w:tcPr>
            <w:tcW w:w="300" w:type="dxa"/>
            <w:vAlign w:val="bottom"/>
          </w:tcPr>
          <w:p>
            <w:pPr>
              <w:spacing w:after="0"/>
              <w:rPr>
                <w:sz w:val="16"/>
                <w:szCs w:val="16"/>
                <w:color w:val="auto"/>
              </w:rPr>
            </w:pPr>
          </w:p>
        </w:tc>
        <w:tc>
          <w:tcPr>
            <w:tcW w:w="2420" w:type="dxa"/>
            <w:vAlign w:val="bottom"/>
            <w:gridSpan w:val="5"/>
          </w:tcPr>
          <w:p>
            <w:pPr>
              <w:jc w:val="center"/>
              <w:ind w:right="360"/>
              <w:spacing w:after="0" w:line="194"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6"/>
                <w:szCs w:val="16"/>
                <w:color w:val="auto"/>
              </w:rPr>
            </w:pPr>
          </w:p>
        </w:tc>
        <w:tc>
          <w:tcPr>
            <w:tcW w:w="106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Increase</w:t>
            </w:r>
          </w:p>
        </w:tc>
      </w:tr>
      <w:tr>
        <w:trPr>
          <w:trHeight w:val="48"/>
        </w:trPr>
        <w:tc>
          <w:tcPr>
            <w:tcW w:w="20" w:type="dxa"/>
            <w:vAlign w:val="bottom"/>
          </w:tcPr>
          <w:p>
            <w:pPr>
              <w:spacing w:after="0"/>
              <w:rPr>
                <w:sz w:val="4"/>
                <w:szCs w:val="4"/>
                <w:color w:val="auto"/>
              </w:rPr>
            </w:pPr>
          </w:p>
        </w:tc>
        <w:tc>
          <w:tcPr>
            <w:tcW w:w="294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37"/>
        </w:trPr>
        <w:tc>
          <w:tcPr>
            <w:tcW w:w="36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(Decrease)</w:t>
            </w:r>
          </w:p>
        </w:tc>
      </w:tr>
      <w:tr>
        <w:trPr>
          <w:trHeight w:val="27"/>
        </w:trPr>
        <w:tc>
          <w:tcPr>
            <w:tcW w:w="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Clinical trial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Research and other development costs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Occupancy and other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29"/>
        </w:trPr>
        <w:tc>
          <w:tcPr>
            <w:tcW w:w="3600" w:type="dxa"/>
            <w:vAlign w:val="bottom"/>
            <w:gridSpan w:val="3"/>
          </w:tcPr>
          <w:p>
            <w:pPr>
              <w:ind w:left="20"/>
              <w:spacing w:after="0"/>
              <w:rPr>
                <w:sz w:val="20"/>
                <w:szCs w:val="20"/>
                <w:color w:val="auto"/>
              </w:rPr>
            </w:pPr>
            <w:r>
              <w:rPr>
                <w:rFonts w:ascii="Arial" w:cs="Arial" w:eastAsia="Arial" w:hAnsi="Arial"/>
                <w:sz w:val="18"/>
                <w:szCs w:val="18"/>
                <w:color w:val="auto"/>
                <w:w w:val="98"/>
              </w:rPr>
              <w:t>Cost-sharing of Bayer HealthCare and Sanofi</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5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 xml:space="preserve">development expenses </w:t>
            </w:r>
            <w:r>
              <w:rPr>
                <w:rFonts w:ascii="Arial" w:cs="Arial" w:eastAsia="Arial" w:hAnsi="Arial"/>
                <w:sz w:val="18"/>
                <w:szCs w:val="18"/>
                <w:color w:val="auto"/>
                <w:vertAlign w:val="superscript"/>
              </w:rPr>
              <w:t>(3)</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7"/>
              </w:rPr>
              <w:t>Total research and development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1920" w:hanging="129"/>
        <w:spacing w:after="0"/>
        <w:tabs>
          <w:tab w:leader="none" w:pos="1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Certain prior year amounts have been reclassified to conform to the current year's presentation.</w:t>
      </w:r>
    </w:p>
    <w:p>
      <w:pPr>
        <w:spacing w:after="0" w:line="135" w:lineRule="exact"/>
        <w:rPr>
          <w:rFonts w:ascii="Arial" w:cs="Arial" w:eastAsia="Arial" w:hAnsi="Arial"/>
          <w:sz w:val="16"/>
          <w:szCs w:val="16"/>
          <w:color w:val="auto"/>
        </w:rPr>
      </w:pPr>
    </w:p>
    <w:p>
      <w:pPr>
        <w:ind w:left="820" w:right="20" w:hanging="164"/>
        <w:spacing w:after="0" w:line="245" w:lineRule="auto"/>
        <w:tabs>
          <w:tab w:leader="none" w:pos="836"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Includes Non-cash Compensation Expense of $113.9 million for the nine months ended September 30, 2014 and $72.9 million for the nine months ended September 30, 2013.</w:t>
      </w:r>
    </w:p>
    <w:p>
      <w:pPr>
        <w:jc w:val="both"/>
        <w:ind w:left="820" w:hanging="164"/>
        <w:spacing w:after="0" w:line="245" w:lineRule="auto"/>
        <w:tabs>
          <w:tab w:leader="none" w:pos="859"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Represents the full cost of manufacturing drug for use in research, preclinical development, and clinical trials, as well as pre-launch commercial supplies that were not capitalized as inventory. Includes related payroll and benefits, Non-cash Compensation Expense, manufacturing materials and supplies, drug filling, packaging, and labeling costs, depreciation, and occupancy costs of our Rensselaer manufacturing facility. Also includes Non-cash Compensation Expense of $19.3 million for the nine months ended September 30, 2014 and $9.8 million for the nine months ended September 30, 2013.</w:t>
      </w:r>
    </w:p>
    <w:p>
      <w:pPr>
        <w:jc w:val="both"/>
        <w:ind w:left="820" w:hanging="164"/>
        <w:spacing w:after="0" w:line="267" w:lineRule="auto"/>
        <w:tabs>
          <w:tab w:leader="none" w:pos="861"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Under our collaborations with Bayer HealthCare and Sanofi, in periods when Bayer HealthCare or Sanofi incurs certain development expenses, we also recognize, as additional research and development expense, the portion of our collaboration partners' development expenses that we are obligated to reimburse. Our collaboration partners provide us with estimated development expenses for the most recent fiscal quarter. Bayer HealthCare and Sanofi’s estimates are reconciled to their actual expenses for such quarter in the subsequent fiscal quarter, and our portion of our collaboration partners' development expenses that we are obligated to reimburse is adjusted accordingly.</w:t>
      </w:r>
    </w:p>
    <w:p>
      <w:pPr>
        <w:spacing w:after="0" w:line="23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Payroll and benefits increased principally due to the increase in employee headcount and Non-cash Compensation Expense, as described above. Clinical trial expenses increased due primarily to higher costs for clinical studies of dupilumab, alirocumab, and REGN1033, partly offset by lower EYLEA-related costs. Clinical manufacturing costs increased primarily due to higher costs related to manufacturing drug supplies of alirocumab and dupilumab. Research and other development costs increased primarily due to our 50% share ($33.8 million) of the cost of purchasing a FDA priority review voucher in the third quarter of 2014 as described above under "Late-Stage Antibody-based Clinical Programs - </w:t>
      </w:r>
      <w:r>
        <w:rPr>
          <w:rFonts w:ascii="Arial" w:cs="Arial" w:eastAsia="Arial" w:hAnsi="Arial"/>
          <w:sz w:val="17"/>
          <w:szCs w:val="17"/>
          <w:i w:val="1"/>
          <w:iCs w:val="1"/>
          <w:color w:val="auto"/>
        </w:rPr>
        <w:t>Alirocumab</w:t>
      </w:r>
      <w:r>
        <w:rPr>
          <w:rFonts w:ascii="Arial" w:cs="Arial" w:eastAsia="Arial" w:hAnsi="Arial"/>
          <w:sz w:val="17"/>
          <w:szCs w:val="17"/>
          <w:color w:val="auto"/>
        </w:rPr>
        <w:t>" and two $5.0 million development milestone payments we made to Sanofi in the first quarter of 2014 in connection with our acquisition from Sanofi of full exclusive rights to antibodies targeting the PDGF family of receptors in May 2013. Occupancy and other operating costs increased principally in connection with our higher headcount, expanded research and development activities, and higher information technology and facility-related costs at our Tarrytown and Rensselaer, New York sites. Cost-sharing of Bayer HealthCare and Sanofi development expenses increased primarily due to our obligation to fund 20% of Sanofi's Phase 3 alirocumab and sarilumab development costs, which commenced during the fourth quarter of 2013.</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HealthCare and Sanofi, the portion of Bayer HealthCare and Sanofi's development expenses which they incur and we are obligated to reimburse. Our estimates of research and development costs for clinical development programs are shown below:</w:t>
      </w:r>
    </w:p>
    <w:p>
      <w:pPr>
        <w:spacing w:after="0" w:line="235" w:lineRule="exact"/>
        <w:rPr>
          <w:sz w:val="20"/>
          <w:szCs w:val="20"/>
          <w:color w:val="auto"/>
        </w:rPr>
      </w:pPr>
    </w:p>
    <w:tbl>
      <w:tblPr>
        <w:tblLayout w:type="fixed"/>
        <w:tblInd w:w="1900" w:type="dxa"/>
        <w:tblCellMar>
          <w:top w:w="0" w:type="dxa"/>
          <w:left w:w="0" w:type="dxa"/>
          <w:bottom w:w="0" w:type="dxa"/>
          <w:right w:w="0" w:type="dxa"/>
        </w:tblCellMar>
      </w:tblPr>
      <w:tr>
        <w:trPr>
          <w:trHeight w:val="207"/>
        </w:trPr>
        <w:tc>
          <w:tcPr>
            <w:tcW w:w="3420" w:type="dxa"/>
            <w:vAlign w:val="bottom"/>
            <w:gridSpan w:val="3"/>
          </w:tcPr>
          <w:p>
            <w:pPr>
              <w:ind w:left="20"/>
              <w:spacing w:after="0"/>
              <w:rPr>
                <w:sz w:val="20"/>
                <w:szCs w:val="20"/>
                <w:color w:val="auto"/>
              </w:rPr>
            </w:pPr>
            <w:r>
              <w:rPr>
                <w:rFonts w:ascii="Arial" w:cs="Arial" w:eastAsia="Arial" w:hAnsi="Arial"/>
                <w:sz w:val="18"/>
                <w:szCs w:val="18"/>
                <w:b w:val="1"/>
                <w:bCs w:val="1"/>
                <w:color w:val="auto"/>
              </w:rPr>
              <w:t>Project Costs</w:t>
            </w:r>
          </w:p>
        </w:tc>
        <w:tc>
          <w:tcPr>
            <w:tcW w:w="120" w:type="dxa"/>
            <w:vAlign w:val="bottom"/>
          </w:tcPr>
          <w:p>
            <w:pPr>
              <w:spacing w:after="0"/>
              <w:rPr>
                <w:sz w:val="17"/>
                <w:szCs w:val="17"/>
                <w:color w:val="auto"/>
              </w:rPr>
            </w:pPr>
          </w:p>
        </w:tc>
        <w:tc>
          <w:tcPr>
            <w:tcW w:w="2840" w:type="dxa"/>
            <w:vAlign w:val="bottom"/>
            <w:gridSpan w:val="5"/>
          </w:tcPr>
          <w:p>
            <w:pPr>
              <w:spacing w:after="0"/>
              <w:rPr>
                <w:sz w:val="20"/>
                <w:szCs w:val="20"/>
                <w:color w:val="auto"/>
              </w:rPr>
            </w:pPr>
            <w:r>
              <w:rPr>
                <w:rFonts w:ascii="Arial" w:cs="Arial" w:eastAsia="Arial" w:hAnsi="Arial"/>
                <w:sz w:val="18"/>
                <w:szCs w:val="18"/>
                <w:b w:val="1"/>
                <w:bCs w:val="1"/>
                <w:color w:val="auto"/>
                <w:w w:val="95"/>
              </w:rPr>
              <w:t>Nine months ended September 30,</w:t>
            </w:r>
          </w:p>
        </w:tc>
        <w:tc>
          <w:tcPr>
            <w:tcW w:w="160" w:type="dxa"/>
            <w:vAlign w:val="bottom"/>
          </w:tcPr>
          <w:p>
            <w:pPr>
              <w:spacing w:after="0"/>
              <w:rPr>
                <w:sz w:val="17"/>
                <w:szCs w:val="17"/>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Increase</w:t>
            </w: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3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37"/>
        </w:trPr>
        <w:tc>
          <w:tcPr>
            <w:tcW w:w="34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(Decrease)</w:t>
            </w: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Alirocumab</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125.7</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Sarilumab</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r>
      <w:tr>
        <w:trPr>
          <w:trHeight w:val="243"/>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Dupilumab</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59.7</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antibody candidates in clinical</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Other research programs and unallocated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costs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52.3</w:t>
            </w: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2"/>
              </w:rPr>
              <w:t>Total research and development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327.8</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For the reasons described above under "Research and Development Expenses" for the three months ended September 30, 2014 and 2013,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Selling, general, and administrative expenses increased to $361.0 million in the first nine months of 2014 from $247.3 million in the first nine months of 2013 partly due to the $40.6 million incremental charge related to the Branded Prescription Drug Fee which was recorded in the third quarter of 2014, as described under "</w:t>
      </w:r>
      <w:r>
        <w:rPr>
          <w:rFonts w:ascii="Arial" w:cs="Arial" w:eastAsia="Arial" w:hAnsi="Arial"/>
          <w:sz w:val="17"/>
          <w:szCs w:val="17"/>
          <w:i w:val="1"/>
          <w:iCs w:val="1"/>
          <w:color w:val="auto"/>
        </w:rPr>
        <w:t>Three Months Ended September 30, 2014 and 2013 - Selling, General, and Administrative Expenses</w:t>
      </w:r>
      <w:r>
        <w:rPr>
          <w:rFonts w:ascii="Arial" w:cs="Arial" w:eastAsia="Arial" w:hAnsi="Arial"/>
          <w:sz w:val="17"/>
          <w:szCs w:val="17"/>
          <w:color w:val="auto"/>
        </w:rPr>
        <w:t>." In addition, selling, general, and administrative expenses increased due to higher Non-cash Compensation Expense principally for the reason described under "</w:t>
      </w:r>
      <w:r>
        <w:rPr>
          <w:rFonts w:ascii="Arial" w:cs="Arial" w:eastAsia="Arial" w:hAnsi="Arial"/>
          <w:sz w:val="17"/>
          <w:szCs w:val="17"/>
          <w:i w:val="1"/>
          <w:iCs w:val="1"/>
          <w:color w:val="auto"/>
        </w:rPr>
        <w:t>Expenses</w:t>
      </w:r>
      <w:r>
        <w:rPr>
          <w:rFonts w:ascii="Arial" w:cs="Arial" w:eastAsia="Arial" w:hAnsi="Arial"/>
          <w:sz w:val="17"/>
          <w:szCs w:val="17"/>
          <w:color w:val="auto"/>
        </w:rPr>
        <w:t>" above, higher headcount and headcount-related costs, higher legal costs primarily in connection with patent enforcement, partly offset by lower contributions to a not-for-profit organization that assists patients with chronic disease conditions. Selling, general, and administrative expenses included $90.7 million and $59.2 million of Non-cash Compensation Expense in the first nine months of 2014 and 2013,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Cost of goods sold was $91.1 million in the first nine months of 2014 and $83.6 million in the first nine months of 2013. Cost of goods sold, which primarily consists of royalties, as well as costs in connection with producing EYLEA and ARCALYST commercial supplies, increased principally due to the increase in U.S. EYLEA net product sales. In addition, in the first nine months of 2014 and 2013, cost of goods sold included inventory write-downs and reserves totaling $3.5 million and $4.8 million,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Manufacturing</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We manufacture commercial supplies of product for our collaborators. Cost of collaboration manufacturing increased to $54.5 million in the first nine months of 2014 from $23.7 million in the first nine months of 2013 primarily due to royalties payable to Genentech, which commenced in May 2013 pursuant to the license and settlement agreement as described below under "Liquidity and Capital Resources - </w:t>
      </w:r>
      <w:r>
        <w:rPr>
          <w:rFonts w:ascii="Arial" w:cs="Arial" w:eastAsia="Arial" w:hAnsi="Arial"/>
          <w:sz w:val="18"/>
          <w:szCs w:val="18"/>
          <w:i w:val="1"/>
          <w:iCs w:val="1"/>
          <w:color w:val="auto"/>
        </w:rPr>
        <w:t>License and Settlement Agreements with Genentech -</w:t>
      </w:r>
      <w:r>
        <w:rPr>
          <w:rFonts w:ascii="Arial" w:cs="Arial" w:eastAsia="Arial" w:hAnsi="Arial"/>
          <w:sz w:val="18"/>
          <w:szCs w:val="18"/>
          <w:color w:val="auto"/>
        </w:rPr>
        <w:t xml:space="preserve"> </w:t>
      </w:r>
      <w:r>
        <w:rPr>
          <w:rFonts w:ascii="Arial" w:cs="Arial" w:eastAsia="Arial" w:hAnsi="Arial"/>
          <w:sz w:val="18"/>
          <w:szCs w:val="18"/>
          <w:i w:val="1"/>
          <w:iCs w:val="1"/>
          <w:color w:val="auto"/>
        </w:rPr>
        <w:t>EYLEA</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sales of EYLEA outside the United States. Cost of collaboration manufacturing also includes costs in connection with producing</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supplies for our collaborators.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Interest expense in the first nine months of 2014 and 2013 primarily includes interest associated with our 1.875% convertible senior notes, including amortization of the note discount and debt issuance costs, and interest associated with our facility lease obligations. In the second quarter of 2014, we recognized a $10.8 million loss in connection with the conversion of $61.1 million principal amount of the notes.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306" w:lineRule="exact"/>
        <w:rPr>
          <w:sz w:val="20"/>
          <w:szCs w:val="20"/>
          <w:color w:val="auto"/>
        </w:rPr>
      </w:pPr>
    </w:p>
    <w:p>
      <w:pPr>
        <w:jc w:val="both"/>
        <w:ind w:firstLine="243"/>
        <w:spacing w:after="0" w:line="304" w:lineRule="auto"/>
        <w:rPr>
          <w:sz w:val="20"/>
          <w:szCs w:val="20"/>
          <w:color w:val="auto"/>
        </w:rPr>
      </w:pPr>
      <w:r>
        <w:rPr>
          <w:rFonts w:ascii="Arial" w:cs="Arial" w:eastAsia="Arial" w:hAnsi="Arial"/>
          <w:sz w:val="18"/>
          <w:szCs w:val="18"/>
          <w:color w:val="auto"/>
        </w:rPr>
        <w:t>In the first nine months of 2014 and 2013, we recorded income tax expense of $316.6 million and $187.7 million, respectively. The effective tax rate for the first nine months of 2014 was 57.1% and was negatively impacted by (i) losses incurred in foreign jurisdictions with rates lower than the federal statutory rate, (ii) expiration at the end of 2013 of the federal tax credit for increased research activities, (iii) the incremental charge related to the non-tax deductible Branded Prescription Drug Fee (as described above), and (iv) New York State tax legislation enacted in the first quarter of 2014. This tax legislation reduced the New York State income tax rate to zero percent for "qualified manufacturers", including Regeneron, effective in 2014; however, it also resulted in the reduction of our related deferred tax assets as a discrete item in the first quarter of 2014. As a result, this tax legislation caused a net increase in our effective tax rate by 2.2% for the first nine months of 2014.</w:t>
      </w:r>
    </w:p>
    <w:p>
      <w:pPr>
        <w:spacing w:after="0" w:line="21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effective tax rate for the first nine months of 2013 was 36.4%, which included, as a discrete item, the impact of enacting The American Taxpayer Relief Act in January 2013. The American Taxpayer Relief Act included a provision to extend the income tax credit for increased research activities retroactively for the tax year ended December 31, 2012. As a result, our 2012 research tax credit reduced our effective tax rate for the first nine months of 2013 by 4.3%.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Nine Months Ended September 30, 2014 and 2013</w:t>
      </w:r>
    </w:p>
    <w:p>
      <w:pPr>
        <w:spacing w:after="0" w:line="279"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At September 30, 2014, we had $1,495.6 million in cash, cash equivalents, and marketable securities compared with $1,083.9 million at December 31, 2013. EYLEA net trade accounts receivable were $672.7 million at September 30, 2014 and $785.8 million at December 31, 2013.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Net cash provided by operating activities was $544.9 million in the first nine months of 2014. Our net income of $237.9 million in the first nine months of 2014 included Non-cash Compensation Expense of $225.8 million and depreciation and amortization of $38.6 million. In addition, deferred tax assets at September 30, 2014 increased by $50.5 million, compared to end-of-year 2013, primarily due to an increase in Non-cash Compensation Expense and a credit for alternative minimum tax paid, partly offset by the reduction of our deferred tax assets related to the recently enacted New York State tax legislation, which reduced our New York State income tax rate to zero percent effective in 2014.</w:t>
      </w:r>
    </w:p>
    <w:p>
      <w:pPr>
        <w:spacing w:after="0" w:line="24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At September 30, 2014, Sanofi, Bayer HealthCare, and trade accounts receivable decreased by $27.7 million, compared to end-of-year 2013, primarily due to lower trade accounts receivable resulting from shortened payment terms to certain of our U.S. EYLEA customers effective January 2014, partly offset by higher amounts receivable from Bayer HealthCare in connection with the commercialization of EYLEA outside the United States. Inventories increased by $50.9 million, compared to end-of-year 2013, primarily in connection with increased production of EYLEA commercial supplies. Our deferred revenue at September 30, 2014 increased by $29.4 million, compared to end-of-year 2013, primarily due to (i) the receipt of a $25.5 million upfront payment as well as two $2.5 million non-substantive development milestone payments in the first quarter of 2014 in connection with our PDGFR-beta antibody collaboration agreement with Bayer HealthCare, and (ii) higher deferred revenue in connection with manufacturing commercial supplies of EYLEA for Bayer HealthCare, which is deferred until the product is sold by Bayer HealthCare to third-party customers. These increases were partly offset by amortization of a previously received and deferred $165.0 million payment under our license agreement with Astellas and amortization of previously deferred payments under our Sanofi and Bayer HealthCare collaborations. Accounts payable, accrued expenses, and other liabilities increased by $76.5 million at September 30, 2014, compared to end-of-year 2013, primarily due to higher accruals for sales-related charges, including the</w:t>
      </w:r>
    </w:p>
    <w:p>
      <w:pPr>
        <w:sectPr>
          <w:pgSz w:w="11900" w:h="16838" w:orient="portrait"/>
          <w:cols w:equalWidth="0" w:num="1">
            <w:col w:w="11420"/>
          </w:cols>
          <w:pgMar w:left="240" w:top="130"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30" w:right="239" w:bottom="1440" w:gutter="0" w:footer="0" w:header="0"/>
          <w:type w:val="continuous"/>
        </w:sectPr>
      </w:pPr>
    </w:p>
    <w:bookmarkStart w:id="52" w:name="page53"/>
    <w:bookmarkEnd w:id="5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impact of the Branded Prescription Drug Fee incremental charge as described above, and higher accruals related to various clinical studies and capital expenditures.</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cash provided by operating activities was $306.9 million in the first nine months of 2013. Our net income of $327.6 million in the first nine months of 2013 included Non-cash Compensation Expense of $143.2 million and depreciation and amortization of $29.9 million. In addition, deferred tax assets at September 30, 2013 decreased by $82.9 million, compared to end-of-year 2012, primarily due to utilization of these assets to offset income taxes payable for the first nine months of 2013.</w:t>
      </w:r>
    </w:p>
    <w:p>
      <w:pPr>
        <w:spacing w:after="0" w:line="24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At September 30, 2013, Sanofi, Bayer HealthCare, and trade accounts receivable increased by $350.8 million, compared to end-of-year 2012, primarily due to higher trade accounts receivable in connection with EYLEA product sales and a higher receivable balance due from Bayer HealthCare in connection with the launch of EYLEA outside the United States. Inventories increased by $36.7 million, compared to end-of-year 2012, primarily in connection with production of EYLEA commercial supplies. Our deferred revenue at September 30, 2013 decreased by $20.8 million, compared to end-of-year 2012, primarily due to amortization of a previously deferred $165.0 million payment under our license agreement with Astellas and amortization of previously deferred payments under our Sanofi and Bayer HealthCare collaborations, partly offset by costs of product manufactured and shipped to Sanofi and Bayer HealthCare for which recognition of revenue has been deferred. Accounts payable, accrued expenses, and other liabilities increased by $94.9 million at September 30, 2013, compared to end-of-year 2012, primarily due to higher sales-related charges, deductions, and royalties related to EYLEA, higher payroll-related liabilities, and higher liabilities for capital expenditures.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Net cash used in investing activities was $477.4 million and $245.5 million in the first nine months of 2014 and 2013, respectively. In the first nine months of 2014 and 2013, purchases of marketable securities exceeded sales or maturities by $262.0 million and $158.2 million, respectively. Capital expenditures of $215.5 million and $87.3 million, in the first nine months of 2014 and 2013, respectively, included costs in connection with expanding our Rensselaer, New York manufacturing facilities and tenant improvement and associated costs related to our leased facilities in Tarrytown, New York. In addition, capital expenditures in the first nine months of 2014 included costs in connection with the acquisition and renovations of our Limerick, Ireland manufacturing facility.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27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Net cash provided by financing activities was $43.5 million in the first nine months of 2014, and net cash used in financing activities was $28.4 million in the first nine months of 2013. In the second quarter of 2014, $61.1 million principal amount of our 1.875% convertible senior notes was surrendered for conversion. In accordance with the terms of the notes, we elected to settle these conversion obligations through a combination of cash, in an amount equal to the principal amount of the converted notes, and shares of our Common Stock in respect of any amounts due in excess thereof. Also during the second quarter of 2014, we entered into agreements to reduce the number of warrants held by each of the warrant holders in proportion to the amount of notes converted. Pursuant to the agreements, we paid an aggregate amount of $143.0 million to the warrant holders to reduce the maximum number of shares of Common Stock issuable upon exercise of the warrants from 4,760,840 to 4,033,324 (subject to adjustment from time to time as provided in the applicable warrant agreements). Proceeds from issuances of Common Stock, in connection with exercises of employee stock options, were $80.8 million in the first nine months of 2014 compared to $41.7 million in the first nine months of 2013. In addition, payments for employee tax obligations in connection with stock option exercises were $175.9 million in the first nine months of 2014 compared to $166.4 million in the first nine months of 2013. Cash flows from financing activities also increased by $343.5 million and $97.8 million in the first nine months of 2014 and 2013, respectively, due to utilization of excess tax benefits in connection with stock option exercises, which offset cash tax obligations.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Marketable Securities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At September 30, 2014 and December 31, 2013, we held $849.1 million and $548.3 million, respectively, of marketable securities which consisted of debt securities issued by investment grade institutions as well as equity securities. Marketable securities as of September 30, 2014 included restricted marketable securities related to our investment in Avalanche common shares, which are subject to customary transfer restrictions until January 2015 under a lock-up agreement with the underwriters of Avalanche's IPO (described above under "Collaboration Agreements - Collaboration with Avalanche Biotechnologies, Inc.").</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composition of our portfolio of marketable securities on these dates was as follows:</w:t>
      </w:r>
    </w:p>
    <w:p>
      <w:pPr>
        <w:spacing w:after="0" w:line="302"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4"/>
          </w:tcPr>
          <w:p>
            <w:pPr>
              <w:ind w:left="280"/>
              <w:spacing w:after="0"/>
              <w:rPr>
                <w:sz w:val="20"/>
                <w:szCs w:val="20"/>
                <w:color w:val="auto"/>
              </w:rPr>
            </w:pPr>
            <w:r>
              <w:rPr>
                <w:rFonts w:ascii="Arial" w:cs="Arial" w:eastAsia="Arial" w:hAnsi="Arial"/>
                <w:sz w:val="18"/>
                <w:szCs w:val="18"/>
                <w:b w:val="1"/>
                <w:bCs w:val="1"/>
                <w:color w:val="auto"/>
              </w:rPr>
              <w:t>September 30, 2014</w:t>
            </w:r>
          </w:p>
        </w:tc>
        <w:tc>
          <w:tcPr>
            <w:tcW w:w="160" w:type="dxa"/>
            <w:vAlign w:val="bottom"/>
          </w:tcPr>
          <w:p>
            <w:pPr>
              <w:spacing w:after="0"/>
              <w:rPr>
                <w:sz w:val="20"/>
                <w:szCs w:val="20"/>
                <w:color w:val="auto"/>
              </w:rPr>
            </w:pPr>
          </w:p>
        </w:tc>
        <w:tc>
          <w:tcPr>
            <w:tcW w:w="22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December 31, 2013</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1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Investment type</w:t>
            </w:r>
          </w:p>
        </w:tc>
        <w:tc>
          <w:tcPr>
            <w:tcW w:w="160" w:type="dxa"/>
            <w:vAlign w:val="bottom"/>
          </w:tcPr>
          <w:p>
            <w:pPr>
              <w:spacing w:after="0"/>
              <w:rPr>
                <w:sz w:val="17"/>
                <w:szCs w:val="17"/>
                <w:color w:val="auto"/>
              </w:rPr>
            </w:pPr>
          </w:p>
        </w:tc>
        <w:tc>
          <w:tcPr>
            <w:tcW w:w="116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Fair Value</w:t>
            </w:r>
          </w:p>
        </w:tc>
        <w:tc>
          <w:tcPr>
            <w:tcW w:w="1160" w:type="dxa"/>
            <w:vAlign w:val="bottom"/>
            <w:gridSpan w:val="2"/>
          </w:tcPr>
          <w:p>
            <w:pPr>
              <w:ind w:left="220"/>
              <w:spacing w:after="0" w:line="196"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c>
          <w:tcPr>
            <w:tcW w:w="116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Fair Value</w:t>
            </w:r>
          </w:p>
        </w:tc>
        <w:tc>
          <w:tcPr>
            <w:tcW w:w="112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Percent</w:t>
            </w:r>
          </w:p>
        </w:tc>
      </w:tr>
      <w:tr>
        <w:trPr>
          <w:trHeight w:val="48"/>
        </w:trPr>
        <w:tc>
          <w:tcPr>
            <w:tcW w:w="2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w w:val="94"/>
              </w:rPr>
              <w:t>U.S. government and government agency</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2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International government agency</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2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unrestricted marketable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securities</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115"/>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849.1</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addition, at September 30, 2014 and December 31, 2013, we had $646.6 million and $535.6 million, respectively, of cash and cash equivalents, primarily held in bank deposits and money market funds.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Settlement Agreements with Genentech - EYLEA</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December 2011, we entered into a Non-Exclusive License and Partial Settlement Agreement with Genentech (the Original Genentech Agreement) that covered making, using, and selling EYLEA in the United States for the prevention and treatment of human eye diseases and disorders in the United States, and ended the litigation relating to those matters. The Original Genentech Agreement provided for us to make payments to Genentech based on U.S. sales of EYLEA through May 7, 2016, the date the Davis-Smyth patents expire. Under the Original Genentech Agreement, we made a $60.0 million milestone payment when cumulative U.S. sales reached $400 million and are obligated to pay royalties of 4.75% on cumulative relevant sales of EYLEA between $400 million and $3 billion and 5.5% on cumulative relevant sales of EYLEA over $3 billion.</w:t>
      </w:r>
    </w:p>
    <w:p>
      <w:pPr>
        <w:spacing w:after="0" w:line="23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May 2013, we entered into an Amended and Restated Non-Exclusive License and Settlement Agreement with Genentech (the Amended Genentech Agreement), which amended the Original Genentech Agreement to include all sales of EYLEA worldwide and ended the litigation relating to those matters. Under the Amended Genentech Agreement, we received a worldwide non-exclusive license to the Davis-Smyth patents, and certain other patents, owned or co-owned by Genentech for the prevention or treatment of human eye diseases and eye disorders through administration of EYLEA to the eye. Under the Amended Genentech Agreement, we are obligated to make payments to Genentech based on sales of EYLEA in the United States and EYLEA manufactured in the United States and sold outside the United States through May 7, 2016 using the same milestone and royalty rates as in the Original Genentech Agreement. EYLEA is sold outside the United States by affiliates of Bayer HealthCare under our license and collaboration agreement. All payments to Genentech under the Original Genentech Agreement and the Amended Genentech Agreement have been or will be made by Regeneron. Bayer HealthCare will share in all such payments based on the proportion of EYLEA sales outside the United States to worldwide EYLEA sales and determined consistent with the license and collaboration agreement.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April 2013, we entered into a new lease agreement for approximately 297,000 square feet of additional new laboratory and office space to be constructed in two new buildings (the Buildings), which are expected to be completed in the second half of 2015, at our current Tarrytown, New York location. The term of the lease, which is commencing in the second half of 2014, is approximately 15 years and contains three renewal options to extend the term of the lease by five years each. The lease provides for (i) monthly payments over its term, which will commence in the second half of 2015 and will be based on the landlord's costs of construction and tenant allowances, and (ii) additional charges for utilities, taxes, and operating expenses. Based upon various factors, including our involvement in the Buildings' construction and our responsibility for directly paying for a substantial portion of tenant improvements, we are deemed, in substance, to be the owner of the landlord's Buildings in accordance with the application of FASB authoritative guidance. Consequently, in addition to capitalizing the tenant improvements, we capitalize the landlord's costs of constructing these new facilities, offset by a corresponding facility lease obligation. We will allocate a portion of our future lease payments to the Buildings and the land on which the Buildings are being constructed. The land element of the lease is treated for accounting purposes as an operating lease.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cash expenditures for property, plant, and equipment totaled $215.5 million in the first nine months of 2014 and $87.3 million in the first nine months of 2013 (as described above under "</w:t>
      </w:r>
      <w:r>
        <w:rPr>
          <w:rFonts w:ascii="Arial" w:cs="Arial" w:eastAsia="Arial" w:hAnsi="Arial"/>
          <w:sz w:val="18"/>
          <w:szCs w:val="18"/>
          <w:i w:val="1"/>
          <w:iCs w:val="1"/>
          <w:color w:val="auto"/>
        </w:rPr>
        <w:t>Sources and Uses of Cash for the Nine Months Ended September 30, 2014 and 2013 - Cash Provided by 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Activities</w:t>
      </w:r>
      <w:r>
        <w:rPr>
          <w:rFonts w:ascii="Arial" w:cs="Arial" w:eastAsia="Arial" w:hAnsi="Arial"/>
          <w:sz w:val="18"/>
          <w:szCs w:val="18"/>
          <w:color w:val="auto"/>
        </w:rPr>
        <w:t>").</w:t>
      </w:r>
    </w:p>
    <w:p>
      <w:pPr>
        <w:spacing w:after="0" w:line="23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In May 2014, we entered into an agreement to acquire a 400,000 square foot facility in Limerick, Ireland for $5.1 million. We are renovating this facility to accommodate and support our growth, primarily in connection with expanding our manufacturing capacity to support our global supply chain.</w:t>
      </w:r>
    </w:p>
    <w:p>
      <w:pPr>
        <w:spacing w:after="0" w:line="20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expect to incur capital expenditures of approximately $85 to $135 million in the fourth quarter of 2014 primarily in connection with renovating our new Limerick facility, tenant improvements primarily related to the two new buildings under construction at our leased Tarrytown facilities, expanding, and renovating a portion of, our manufacturing facilities at our Rensselaer facility, and purchases of equipment.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expect continued increases in our expenditures, particularly in connection with our research and development activities (including preclinical and clinical testing), capital expenditures, commercialization of EYLEA, and pre-commercialization costs related to our late-stage antibody product candidates. We believe that our existing capital resources, funds generated by anticipated EYLEA product sales, and funding for reimbursement of development costs that we are entitled to receive under our collaboration agreements will enable us to meet our projected operating needs for the foreseeable future. As described above, research and development expenses that we incur in connection with our antibodies collaboration are generally funded by Sanofi, except that following receipt of the first positive Phase 3 trial results for a co-developed antibody drug candidate, subsequent Phase 3 trial-related costs for that drug candidate are shared 80% by Sanofi and 20% by us. In addition, as described above, we and Bayer HealthCare share (i) agreed-upon development expenses that both companies incur in connection with our EYLEA collaboration, and (ii) development costs under the initial development plan in connection with our PDGFR-beta antibody collaboration.</w:t>
      </w:r>
    </w:p>
    <w:p>
      <w:pPr>
        <w:spacing w:after="0" w:line="25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Under our collaboration agreements with Sanofi and Bayer HealthCare, we and our collaborator will share profits and losses in connection with commercialization of drug products. Profits or losses under each collaboration are measured by calculating net sales less cost of goods sold and shared commercialization and other expenses. If the applicable collaboration becomes profitable, we have contingent contractual obligations to reimburse Sanofi and, in connection with EYLEA outside the United States, Bayer HealthCare for a defined percentage (generally 50%) of agreed-upon development expenses incurred by Sanofi and Bayer HealthCare, respectively. These reimbursements would be deducted each quarter, in accordance with a formula, from our share of the collaboration profits (and, for our ZALTRAP collaboration with Sanofi and our EYLEA collaboration with Bayer HealthCare, our percentage on product sales in Japan) otherwise payable to us, unless, in some cases, we elect to reimburse these expenses at a faster rate. In particular, as of December 31, 2013, our contingent reimbursement obligation to Sanofi for ZALTRAP was approximately $443 million, while our contingent reimbursement obligation to Bayer HealthCare for EYLEA was approximately $272 million. Therefore, we expect that, for the foreseeable future, our share of profits from sales of ZALTRAP, and a portion of our share of profits from sales of EYLEA outside the United States, will be used to reimburse our collaborators for these obligations.</w:t>
      </w:r>
    </w:p>
    <w:p>
      <w:pPr>
        <w:spacing w:after="0" w:line="2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May 2013, we acquired from Sanofi full exclusive rights to antibodies targeting the PDGF family of receptors and ligands in ophthalmology and all other indications. With respect to PDGF antibodies, we made two $5.0 million development milestone payments in the first quarter of 2014, and are obligated to pay up to $30.0 million in potential additional development milestones as well as royalties on any future sales.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amount we need to fund operations will depend on various factors, including revenues from net product sales, the potential regulatory approval and commercialization of our product candidates and new indications for our marketed products, and the timing thereof, the status of competitive products, the success of our research and development programs, the potential future need to expand our professional and support staff and facilities, the status of patents and other intellectual property rights (and future litigation related thereto), the delay or failure of a clinical trial of any of our potential drug candidates, and the continuation, extent, and success of our collaborations with Sanofi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w:t>
      </w:r>
    </w:p>
    <w:p>
      <w:pPr>
        <w:spacing w:after="0" w:line="221"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Our commercialization costs over the next few years will depend on, among other things, whether or not new indications for our marketed products or our antibody product candidates in later stage clinical development receive regulatory approval, the market potential for such new indications or product candidates, and the commercialization terms of our collaboration agreements, if applicable (whereby some or all commercialization costs may be shared with our collaborators). Currently, we are required to pay royalties on sales of commercial products. In the future, if we are able to successfully develop, market, and sell EYLEA for other indications, or certain of our product candidates, we may be required to pay additional royalties or share the profits from such sales pursuant to our license or collaboration agreements. In addition, under the provisions of the PPACA and the Health Care and Education Reconciliation Act of 2010, the Branded Prescription Drug Fee is imposed on pharmaceutical manufacturers that sell branded prescription drugs to specified government programs. This fee is allocated to companies, including Regeneron, based on their market share of total branded prescription drug sales into these government programs.</w:t>
      </w:r>
    </w:p>
    <w:p>
      <w:pPr>
        <w:spacing w:after="0" w:line="22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described above, in the first nine months of 2014 and 2013, we made cash payments of $175.9 million and $166.4 million, respectively, for employee tax obligations in connection with stock option exercises. Future cash requirements for such payments will depend on various factors, including the level of stock option grants and exercises and the sales prices of our Common Stock, and may continue to be substantial.</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expect that expenses related to the filing, prosecution, defense, and enforcement of patents and other intellectual property will be substantial.</w:t>
      </w:r>
    </w:p>
    <w:p>
      <w:pPr>
        <w:spacing w:after="0" w:line="291"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As described above, in the second quarter of 2014, $61.1 million principal amount of our 1.875% convertible senior notes were surrendered for conversion. In accordance with the terms of the notes, we elected to settle these conversion obligations through a combination of cash, in an amount equal to the principal amount of the converted notes, and shares of our Common Stock in respect of any amounts due in excess thereof. In addition, in October 2014, we received notification that an additional $160.8 million principal amount of our convertible senior notes were surrendered for conversion, and settlement is anticipated during the fourth quarter of 2014. We elected to settle these conversion obligations through a combination of cash and shares (total payment will be based on the average of the volume-weighted-average prices of the Common Stock during the 40 trading-day cash settlement averaging period specified in the indenture governing the Notes). In connection with these note conversions, we exercised a proportionate amount of our convertible note hedges, for which we expect to receive shares of Common Stock equivalent to the number of shares we will be required to issue to settle the non-cash portion of the related note conversions. In future periods, other holders of these debt securities may surrender their notes for conversion.</w:t>
      </w:r>
    </w:p>
    <w:p>
      <w:pPr>
        <w:spacing w:after="0" w:line="22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may also from time to time seek to repurchase or retire our outstanding convertible senior notes, or other outstanding securities, through cash purchases or exchanges for other securities, in open market purchases, privately negotiated transactions, or otherwise.</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Due to the amounts of our net operating loss and tax credit carry-forwards available for tax purposes, which totaled $450.4 million and $120.1 million, respectively, at December 31, 2013, we expect to make payments of alternative minimum tax for which we will receive a credit against income taxes subsequent to 2014; however, we do not anticipate making significant payments for other cash income taxes in 2014.</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connection with our EYLEA collaboration with Bayer HealthCare, we are entitled to receive an additional $15.0 million sales milestone based on total twelve-month sales of EYLEA outside the United States exceeding $1 billion. In addition, in connection with a November 2013 agreement under which Bayer HealthCare obtained rights to use certain of our EYLEA clinical data for a regulatory filing, we are eligible to receive up to $30.0 million in additional sales milestone payments if twelve-month sales of specific commercial supplies of EYLEA outside the United States achieve certain specified levels up to $200 million.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connection with our PDGFR-beta antibody agreement with Bayer HealthCare, we are eligible to receive up to $15.0 million in future development milestone payments from Bayer HealthCare (representing 50% of the development milestone payments potentially due to Sanofi as described above), although certain of these development milestone payments could be reduced by half if Bayer HealthCare does not opt-in to the collaboration. Furthermore, if Bayer HealthCare exercises their right to opt-in to the collaboration, they will be obligated to pay a $20.0 million opt-in payment to us, and pay a $20.0 million development milestone to us upon receipt of the first marketing approval in the EU or Japan.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83"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 xml:space="preserve">In May 2014, the Financial Accounting Standards Board (FASB) issued a new standard related to revenue recognition,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which will replace existing revenue recognition guidance. The new standard requires an entity to recognize the amount of revenue to which it</w:t>
      </w:r>
      <w:r>
        <w:rPr>
          <w:rFonts w:ascii="Arial" w:cs="Arial" w:eastAsia="Arial" w:hAnsi="Arial"/>
          <w:sz w:val="16"/>
          <w:szCs w:val="16"/>
          <w:i w:val="1"/>
          <w:iCs w:val="1"/>
          <w:color w:val="auto"/>
        </w:rPr>
        <w:t xml:space="preserve"> </w:t>
      </w:r>
      <w:r>
        <w:rPr>
          <w:rFonts w:ascii="Arial" w:cs="Arial" w:eastAsia="Arial" w:hAnsi="Arial"/>
          <w:sz w:val="16"/>
          <w:szCs w:val="16"/>
          <w:color w:val="auto"/>
        </w:rPr>
        <w:t>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The new standard will be effective for interim and annual reporting periods beginning after December 15, 2016, and early adoption is not permitted. The standard allows for two transition methods - retrospectively to each prior reporting period presented or retrospectively with the cumulative effect of initially applying the standard recognized at the date of initial adoption. We have not yet determined our method of transition and are evaluating the impact that this guidance will have on our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market risks, and the way we manage them, are summarized in Part II, Item 7A, "Quantitative and Qualitative Disclosures Around Market Risk" of our Annual Report on Form 10-K for the fiscal year ended December 31, 2013 (filed February 13, 2014). There have been no material changes to our market risks or to our management of such risks as of September 30, 2014.</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September 30, 2014 that has materially affected, or is reasonably likely to materially affect, our internal control over financial reporting.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From time to time, we are a party to legal proceedings in the course of our business, including those described in our Annual Report on Form 10-K for the year ended December 31, 2013 (filed February 13, 2014), our Quarterly Report on Form 10-Q for the quarterly period ended March 31, 2014 (filed May 8, 2014), and those described below. The outcome of any such proceedings, regardless of the merits, is inherently uncertain. For a description of risks relating to these and other legal proceedings we face, see Part II, Item 1A. Risk Factors, including the discussion under the headings entitled "Risks Related to Intellectual Property and Market Exclusivity," "Regulatory and Litigation Risks," and "Risks Related to Our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'287 Patent and '018 Patent</w:t>
      </w:r>
    </w:p>
    <w:p>
      <w:pPr>
        <w:spacing w:after="0" w:line="29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8"/>
          <w:szCs w:val="18"/>
          <w:color w:val="auto"/>
        </w:rPr>
        <w:t>Our European Patent No. 1,360,287 (the ‘287 Patent), which concerns genetically altered mice capable of producing chimeric antibodies that are part human and part mouse, is the subject of opposition proceedings in the European Patent Office (EPO) initiated by Kymab Ltd and Merus B.V. alleging lack of novelty, lack of inventive step, and insufficiency. As previously reported, we had sued Kymab and Merus for infringement of the ‘287 Patent in the English High Court of Justice, Chancery Division, Patents Court, in London and in the District Court of The Hague, respectively, and these proceedings are ongoing. On September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17, 2014, following an oral hearing held to evaluate the validity of the ‘287 Patent, the Opposition Division of the EPO revoked the ‘287 Patent in its entirety. The Opposition Division of the EPO has not yet issued its written decision setting forth the grounds for revocation. We filed an appeal with the EPO on September 18, 2014, which had the effect of reinstating the ‘287 Patent.</w:t>
      </w:r>
    </w:p>
    <w:p>
      <w:pPr>
        <w:spacing w:after="0" w:line="10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previously reported, we had sued Ablexis, LLC for infringement of our U.S. Patent No. 8,502,018 (the '018 Patent) in the United States District Court for the Southern District of New York. The '018 Patent also concerns genetically altered mice capable of producing chimeric antibodies that are part human and part mouse. On October 31, 2014, we and Ablexis reached a confidential settlement and filed a joint stipulation dismissing the action with prejudice.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PCSK9 Antibody (Alirocumab)</w:t>
      </w:r>
    </w:p>
    <w:p>
      <w:pPr>
        <w:spacing w:after="0" w:line="14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October 17, 2014 and October 28, 2014, Amgen Inc. filed lawsuits against Regeneron, Sanofi, Aventisub LLC, and Aventis Pharmaceuticals, Inc. in the United States District Court for the District of Delaware seeking an injunction to prevent us and the other defendants from manufacturing, using, offering to sell, or selling within the United States (as well as importing into the United States) alirocumab, the antibody to PCSK9 for LDL cholesterol reduction we are jointly developing with Sanofi. In the complaints, Amgen asserts U.S. Patent Nos. 8,563,698, 8,829,165, and 8,859,741 and U.S. Patent Nos. 8,871,913 and 8,871,914, respectively. Amgen also seeks a judgment of patent infringement of the asserted patents, monetary damages (together with interest), costs and expenses of the lawsuits, and attorneys’ fees.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EYLEA</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EYLEA. If we or Bayer HealthCare are unable to continue to commercialize EYLEA, our business, prospects, operating results, and financial condition will be materially harmed.</w:t>
      </w:r>
    </w:p>
    <w:p>
      <w:pPr>
        <w:spacing w:after="0" w:line="22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EYLEA net sales represent a substantial portion of our revenues and this concentration of our net sales in a single product makes us substantially dependent on that product. For the nine months ended September 30, 2014 and 2013, EYLEA net sales in the United States represented 60% and 67% of our total revenues, respectively. If we were to experience difficulty with the commercialization of EYLEA in the United States, if Bayer HealthCare were to experience any difficulty with the commercialization of EYLEA outside the United States, or if we and Bayer HealthCare are unable to maintain current marketing approvals of EYLEA, we may experience a reduction in revenue and may not be able to sustain profitability, and our business, prospects, operating results, and financial condition would be materially harmed. In addition, if Bayer HealthCare is unable to obtain approval of EYLEA in additional countries or in additional indications, our prospects would be materially harmed.</w:t>
      </w:r>
    </w:p>
    <w:p>
      <w:pPr>
        <w:spacing w:after="0" w:line="232"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We are subject to significant ongoing regulatory obligations and oversight with respect to EYLEA. If we fail to maintain regulatory compliance for EYLEA, we may lose marketing approval, which would materially harm our business, prospects, operating results, and financial condition.</w:t>
      </w:r>
    </w:p>
    <w:p>
      <w:pPr>
        <w:spacing w:after="0" w:line="178"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EYLEA is currently available in the United States, EU, Japan, and certain other countries outside of the United States for treatment of wet AMD and macular edema following CRVO, and has been approved in the United States and the EU for the treatment of DME, and in the United States for the treatment of macular edema following RVO. We are subject to significant ongoing regulatory obligations and oversight with respect to EYLEA for its currently approved indications in the United States, EU, and other countries where the product is approved. If we fail to maintain regulatory compliance for EYLEA for its currently approved indications, we may lose marketing approval, which would materially harm our business, prospects, operating results, and financial condition. Failure to comply may also subject us to sanctions, product recalls, or withdrawals of previously approved marketing applications. See also "Risks Related to Manufacturing and Supply—</w:t>
      </w:r>
      <w:r>
        <w:rPr>
          <w:rFonts w:ascii="Arial" w:cs="Arial" w:eastAsia="Arial" w:hAnsi="Arial"/>
          <w:sz w:val="16"/>
          <w:szCs w:val="16"/>
          <w:i w:val="1"/>
          <w:iCs w:val="1"/>
          <w:color w:val="auto"/>
        </w:rPr>
        <w:t>If we fail to meet the stringent requirements of governmental regulation in the manufacture of drug products or</w:t>
      </w:r>
      <w:r>
        <w:rPr>
          <w:rFonts w:ascii="Arial" w:cs="Arial" w:eastAsia="Arial" w:hAnsi="Arial"/>
          <w:sz w:val="16"/>
          <w:szCs w:val="16"/>
          <w:color w:val="auto"/>
        </w:rPr>
        <w:t xml:space="preserve"> </w:t>
      </w:r>
      <w:r>
        <w:rPr>
          <w:rFonts w:ascii="Arial" w:cs="Arial" w:eastAsia="Arial" w:hAnsi="Arial"/>
          <w:sz w:val="16"/>
          <w:szCs w:val="16"/>
          <w:i w:val="1"/>
          <w:iCs w:val="1"/>
          <w:color w:val="auto"/>
        </w:rPr>
        <w:t>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6"/>
          <w:szCs w:val="16"/>
          <w:color w:val="auto"/>
        </w:rPr>
        <w:t>" below.</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There are risks inherent in intravitreal injections, including intravitreal injections with EYLEA, such as intraocular inflammation, sterile and culture positive endophthalmitis, corneal decomposition, retinal detachment, retinal tear, and other side effects, all of which are reported from time to time to the FDA. Serious complications or serious, unexpected side effects in connection with the use of EYLEA could materially harm our business, prospects, operating results, and financial condition.</w:t>
      </w:r>
    </w:p>
    <w:p>
      <w:pPr>
        <w:spacing w:after="0" w:line="24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regulatory approval for sales of EYLEA is limited to the treatment of wet AMD, macular edema following CRVO and RVO, and DME and is limited geographically. If approvals are not obtained for sales in other countries, sales and profits will be limited.</w:t>
      </w:r>
    </w:p>
    <w:p>
      <w:pPr>
        <w:spacing w:after="0" w:line="224"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We and Bayer HealthCare have received regulatory approvals for sale of EYLEA for the treatment of wet AMD, macular edema following CRVO and RVO, and DME in certain countries throughout the world. If approvals for sales in other countries are not obtained, sales will be limited and our potential for profits will be limited. As a result, our business, prospects, operating results, and financial condition would be materially impacted.</w:t>
      </w:r>
    </w:p>
    <w:p>
      <w:pPr>
        <w:spacing w:after="0" w:line="220"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sales of EYLEA are dependent on the availability and extent of reimbursement from third-party payers, and changes to such reimbursement may materially harm our business, prospects, operating results, and financial condition.</w:t>
      </w:r>
    </w:p>
    <w:p>
      <w:pPr>
        <w:spacing w:after="0" w:line="2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Our sales in the United States of EYLEA are dependent, in part, on the availability and extent of reimbursement from third-party payers, including private payer healthcare and insurance programs and government programs such as Medicare and Medicaid. Sales of EYLEA in other countries are dependent, in part, on similar programs in those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EYLEA.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"Risks Related to Commercialization of Products—</w:t>
      </w:r>
      <w:r>
        <w:rPr>
          <w:rFonts w:ascii="Arial" w:cs="Arial" w:eastAsia="Arial" w:hAnsi="Arial"/>
          <w:sz w:val="16"/>
          <w:szCs w:val="16"/>
          <w:i w:val="1"/>
          <w:iCs w:val="1"/>
          <w:color w:val="auto"/>
        </w:rPr>
        <w:t>The successful</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commercialization of our marketed products,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6"/>
          <w:szCs w:val="16"/>
          <w:color w:val="auto"/>
        </w:rPr>
        <w:t>" below.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EYLEA is subject to strong competition.</w:t>
      </w:r>
    </w:p>
    <w:p>
      <w:pPr>
        <w:spacing w:after="0" w:line="279" w:lineRule="exact"/>
        <w:rPr>
          <w:sz w:val="20"/>
          <w:szCs w:val="20"/>
          <w:color w:val="auto"/>
        </w:rPr>
      </w:pPr>
    </w:p>
    <w:p>
      <w:pPr>
        <w:jc w:val="both"/>
        <w:ind w:firstLine="216"/>
        <w:spacing w:after="0" w:line="224" w:lineRule="auto"/>
        <w:rPr>
          <w:sz w:val="20"/>
          <w:szCs w:val="20"/>
          <w:color w:val="auto"/>
        </w:rPr>
      </w:pPr>
      <w:r>
        <w:rPr>
          <w:rFonts w:ascii="Arial" w:cs="Arial" w:eastAsia="Arial" w:hAnsi="Arial"/>
          <w:sz w:val="17"/>
          <w:szCs w:val="17"/>
          <w:color w:val="auto"/>
        </w:rPr>
        <w:t>The market for eye disease products is very competitive. Novartis and Genentech are collaborating on the commercialization and further development of a VEGF antibody fragment,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(ranibizumab injection), for the treatment of wet AMD, macular edema following CRVO, DME, visual impairment due to mCNV, and other eye indications.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was approved by the FDA in June 2006 for the treatment of wet AMD, in June 2010 for the treatment of macular edema following RVO (including CRVO and BRVO), and in August 2012 for the treatment of DME. Lucentis</w:t>
      </w:r>
      <w:r>
        <w:rPr>
          <w:rFonts w:ascii="Arial" w:cs="Arial" w:eastAsia="Arial" w:hAnsi="Arial"/>
          <w:sz w:val="17"/>
          <w:szCs w:val="17"/>
          <w:color w:val="auto"/>
          <w:vertAlign w:val="superscript"/>
        </w:rPr>
        <w:t>®</w:t>
      </w:r>
      <w:r>
        <w:rPr>
          <w:rFonts w:ascii="Arial" w:cs="Arial" w:eastAsia="Arial" w:hAnsi="Arial"/>
          <w:sz w:val="17"/>
          <w:szCs w:val="17"/>
          <w:color w:val="auto"/>
        </w:rPr>
        <w:t xml:space="preserve"> was also approved by the European Medicines Agency for wet AMD in January 2007, for DME in January 2011, for the treatment of macular edema following RVO (including CRVO and BRVO) in June 2011, and for mCNV in July 2013. Competitors are also exploring the development of a biosimilar version of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in particular, Pfenex Inc. is developing PF582, which is currently in a Phase 1b/2a trial in patients with wet AMD. Other competitive or potentially competitive products include Allergan’s Ozurdex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(dexamethasone intravitreal implant) (approved by the FDA in June 2009 for the treatment of macular edema following RVO and in September 2014 for the treatment of DME) and Alimera Sciences’ Iluvien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(luocinolone acetonide intravitreal implant) (approved by the FDA in September 2014 for the treatment of DME in patients who have been previously treated with a course of corticosteroids and did not have a clinically significant rise in intraocular pressure), both of which are intravitreal implants of corticosteroids.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16"/>
        <w:spacing w:after="0" w:line="229" w:lineRule="auto"/>
        <w:rPr>
          <w:sz w:val="20"/>
          <w:szCs w:val="20"/>
          <w:color w:val="auto"/>
        </w:rPr>
      </w:pPr>
      <w:r>
        <w:rPr>
          <w:rFonts w:ascii="Arial" w:cs="Arial" w:eastAsia="Arial" w:hAnsi="Arial"/>
          <w:sz w:val="17"/>
          <w:szCs w:val="17"/>
          <w:color w:val="auto"/>
        </w:rPr>
        <w:t>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in January 2012, Genentech submitted an IND for such an extended delivery device. Novartis is developing ESBA1008 (RTH258), a humanized monoclonal single-chain FV (scFv) antibody fragment targeting VEGF-A for wet AMD, and initiated Phase 2 trials comparing ESBA1008 and EYLEA in 2013. Allergan is developing an anti-VEGF-A DARPin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wet AMD and related conditions and a Phase 2 trial has been completed. Additionally, companies are developing products (or combinations of products) to treat wet AMD that act by blocking VEGF and VEGF receptors, as well as other targets (for example, PDGF). Ophthotech Corporation is developing Fovista</w:t>
      </w:r>
      <w:r>
        <w:rPr>
          <w:rFonts w:ascii="Arial" w:cs="Arial" w:eastAsia="Arial" w:hAnsi="Arial"/>
          <w:sz w:val="24"/>
          <w:szCs w:val="24"/>
          <w:color w:val="auto"/>
          <w:vertAlign w:val="superscript"/>
        </w:rPr>
        <w:t>™</w:t>
      </w:r>
      <w:r>
        <w:rPr>
          <w:rFonts w:ascii="Arial" w:cs="Arial" w:eastAsia="Arial" w:hAnsi="Arial"/>
          <w:sz w:val="17"/>
          <w:szCs w:val="17"/>
          <w:color w:val="auto"/>
        </w:rPr>
        <w:t>, an aptamer directed against platelet-derived growth factor subunit B (PDGF-B), as a product candidate intended to be used in combination with an anti-VEGF therapy in wet AMD. In 2013, Ophthotech initiated Phase 3 trials in AMD evaluating multiple combinations of Fovista</w:t>
      </w:r>
      <w:r>
        <w:rPr>
          <w:rFonts w:ascii="Arial" w:cs="Arial" w:eastAsia="Arial" w:hAnsi="Arial"/>
          <w:sz w:val="24"/>
          <w:szCs w:val="24"/>
          <w:color w:val="auto"/>
          <w:vertAlign w:val="superscript"/>
        </w:rPr>
        <w:t>™</w:t>
      </w:r>
      <w:r>
        <w:rPr>
          <w:rFonts w:ascii="Arial" w:cs="Arial" w:eastAsia="Arial" w:hAnsi="Arial"/>
          <w:sz w:val="17"/>
          <w:szCs w:val="17"/>
          <w:color w:val="auto"/>
        </w:rPr>
        <w:t>, including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Fovista</w:t>
      </w:r>
      <w:r>
        <w:rPr>
          <w:rFonts w:ascii="Arial" w:cs="Arial" w:eastAsia="Arial" w:hAnsi="Arial"/>
          <w:sz w:val="24"/>
          <w:szCs w:val="24"/>
          <w:color w:val="auto"/>
          <w:vertAlign w:val="superscript"/>
        </w:rPr>
        <w:t>™</w:t>
      </w:r>
      <w:r>
        <w:rPr>
          <w:rFonts w:ascii="Arial" w:cs="Arial" w:eastAsia="Arial" w:hAnsi="Arial"/>
          <w:sz w:val="17"/>
          <w:szCs w:val="17"/>
          <w:color w:val="auto"/>
        </w:rPr>
        <w:t>,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(bevacizumab) + Fovista</w:t>
      </w:r>
      <w:r>
        <w:rPr>
          <w:rFonts w:ascii="Arial" w:cs="Arial" w:eastAsia="Arial" w:hAnsi="Arial"/>
          <w:sz w:val="24"/>
          <w:szCs w:val="24"/>
          <w:color w:val="auto"/>
          <w:vertAlign w:val="superscript"/>
        </w:rPr>
        <w:t>™</w:t>
      </w:r>
      <w:r>
        <w:rPr>
          <w:rFonts w:ascii="Arial" w:cs="Arial" w:eastAsia="Arial" w:hAnsi="Arial"/>
          <w:sz w:val="17"/>
          <w:szCs w:val="17"/>
          <w:color w:val="auto"/>
        </w:rPr>
        <w:t>, and EYLEA + Fovista</w:t>
      </w:r>
      <w:r>
        <w:rPr>
          <w:rFonts w:ascii="Arial" w:cs="Arial" w:eastAsia="Arial" w:hAnsi="Arial"/>
          <w:sz w:val="24"/>
          <w:szCs w:val="24"/>
          <w:color w:val="auto"/>
          <w:vertAlign w:val="superscript"/>
        </w:rPr>
        <w:t>™</w:t>
      </w:r>
      <w:r>
        <w:rPr>
          <w:rFonts w:ascii="Arial" w:cs="Arial" w:eastAsia="Arial" w:hAnsi="Arial"/>
          <w:sz w:val="17"/>
          <w:szCs w:val="17"/>
          <w:color w:val="auto"/>
        </w:rPr>
        <w:t>. Genentech initiated a Phase 1 trial of a bi-specific antibody targeting both VEGF and Ang2 for wet AMD.</w:t>
      </w:r>
    </w:p>
    <w:p>
      <w:pPr>
        <w:spacing w:after="0" w:line="259" w:lineRule="exact"/>
        <w:rPr>
          <w:sz w:val="20"/>
          <w:szCs w:val="20"/>
          <w:color w:val="auto"/>
        </w:rPr>
      </w:pPr>
    </w:p>
    <w:p>
      <w:pPr>
        <w:jc w:val="both"/>
        <w:ind w:firstLine="243"/>
        <w:spacing w:after="0" w:line="218" w:lineRule="auto"/>
        <w:rPr>
          <w:sz w:val="20"/>
          <w:szCs w:val="20"/>
          <w:color w:val="auto"/>
        </w:rPr>
      </w:pPr>
      <w:r>
        <w:rPr>
          <w:rFonts w:ascii="Arial" w:cs="Arial" w:eastAsia="Arial" w:hAnsi="Arial"/>
          <w:sz w:val="17"/>
          <w:szCs w:val="17"/>
          <w:color w:val="auto"/>
        </w:rPr>
        <w:t>In addition, ophthalmologists are using with success off-label, third-party repackaged versions of Genentech's approved VEGF antagonist, Avastin</w:t>
      </w:r>
      <w:r>
        <w:rPr>
          <w:rFonts w:ascii="Arial" w:cs="Arial" w:eastAsia="Arial" w:hAnsi="Arial"/>
          <w:sz w:val="24"/>
          <w:szCs w:val="24"/>
          <w:color w:val="auto"/>
          <w:vertAlign w:val="superscript"/>
        </w:rPr>
        <w:t>®</w:t>
      </w:r>
      <w:r>
        <w:rPr>
          <w:rFonts w:ascii="Arial" w:cs="Arial" w:eastAsia="Arial" w:hAnsi="Arial"/>
          <w:sz w:val="17"/>
          <w:szCs w:val="17"/>
          <w:color w:val="auto"/>
        </w:rPr>
        <w:t>, for the treatment of wet AMD, DME, and RVO. The relatively low cost of therapy with repackaged Avastin</w:t>
      </w:r>
      <w:r>
        <w:rPr>
          <w:rFonts w:ascii="Arial" w:cs="Arial" w:eastAsia="Arial" w:hAnsi="Arial"/>
          <w:sz w:val="17"/>
          <w:szCs w:val="17"/>
          <w:color w:val="auto"/>
          <w:vertAlign w:val="superscript"/>
        </w:rPr>
        <w:t>®</w:t>
      </w:r>
      <w:r>
        <w:rPr>
          <w:rFonts w:ascii="Arial" w:cs="Arial" w:eastAsia="Arial" w:hAnsi="Arial"/>
          <w:sz w:val="17"/>
          <w:szCs w:val="17"/>
          <w:color w:val="auto"/>
        </w:rPr>
        <w:t xml:space="preserve"> in patients with wet AMD presents a significant competitive challenge in this indication. Competitors (including Amgen) are also developing a biosimilar version of Avastin</w:t>
      </w:r>
      <w:r>
        <w:rPr>
          <w:rFonts w:ascii="Arial" w:cs="Arial" w:eastAsia="Arial" w:hAnsi="Arial"/>
          <w:sz w:val="24"/>
          <w:szCs w:val="24"/>
          <w:color w:val="auto"/>
          <w:vertAlign w:val="superscript"/>
        </w:rPr>
        <w:t>®</w:t>
      </w:r>
      <w:r>
        <w:rPr>
          <w:rFonts w:ascii="Arial" w:cs="Arial" w:eastAsia="Arial" w:hAnsi="Arial"/>
          <w:sz w:val="17"/>
          <w:szCs w:val="17"/>
          <w:color w:val="auto"/>
        </w:rPr>
        <w:t>. Long-term, controlled clinical trials comparing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the treatment of wet AMD are being conducted. One-year data from the Comparison of Age-Related Macular Degeneration Treatments Trial (CATT) were reported in April 2011 and indicated that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dosed monthly was non-inferior to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dosed monthly in the primary efficacy endpoint of mean visual acuity gain at 52 weeks. Two-year data from CATT were reported in April 2012 and indicated that monthly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was non-inferior to monthly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mean visual acuity gain; as-needed dosing was </w:t>
      </w:r>
      <w:r>
        <w:rPr>
          <w:rFonts w:ascii="Arial" w:cs="Arial" w:eastAsia="Arial" w:hAnsi="Arial"/>
          <w:sz w:val="17"/>
          <w:szCs w:val="17"/>
          <w:i w:val="1"/>
          <w:iCs w:val="1"/>
          <w:color w:val="auto"/>
        </w:rPr>
        <w:t>not</w:t>
      </w:r>
      <w:r>
        <w:rPr>
          <w:rFonts w:ascii="Arial" w:cs="Arial" w:eastAsia="Arial" w:hAnsi="Arial"/>
          <w:sz w:val="17"/>
          <w:szCs w:val="17"/>
          <w:color w:val="auto"/>
        </w:rPr>
        <w:t xml:space="preserve"> non-inferior to monthly dosing.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also being evaluated in eye diseases in trials that have been initiated in the United Kingdom, Canada, Brazil, Mexico, Germany, Israel, and other countries. Furthermore,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off-label use of repackaged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present significant competitive challenges as doctors and patients have had significant experience using these medicines. Moreover, the reported results of the CATT study, combined with the relatively low cost of repackaged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treating patients with wet AMD, may well exacerbate the competitive challenge which EYLEA faces in this or other eye indications for which it may be approved. Finally, ZALTRAP has not been manufactured and formulated for use in intravitreal injections, and while we believe that ZALTRAP would not be well tolerated if administered directly to the eye, there is a risk that third parties may attempt to repackage ZALTRAP for off-label use and sale for the treatment of wet AMD and other diseases of the eye, which would present a potential low-cost competitive threat to EYLEA for its approved indications. See also "Risks Related to Commercialization of Products—</w:t>
      </w:r>
      <w:r>
        <w:rPr>
          <w:rFonts w:ascii="Arial" w:cs="Arial" w:eastAsia="Arial" w:hAnsi="Arial"/>
          <w:sz w:val="17"/>
          <w:szCs w:val="17"/>
          <w:i w:val="1"/>
          <w:iCs w:val="1"/>
          <w:color w:val="auto"/>
        </w:rPr>
        <w:t>We may be unsuccessful in continuing the commercialization of our marketed products or in commercializing our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candidates or new indications for our marketed products, if approved, which would materially and adversely affect our business, profitability, and future prospects</w:t>
      </w:r>
      <w:r>
        <w:rPr>
          <w:rFonts w:ascii="Arial" w:cs="Arial" w:eastAsia="Arial" w:hAnsi="Arial"/>
          <w:sz w:val="17"/>
          <w:szCs w:val="17"/>
          <w:color w:val="auto"/>
        </w:rPr>
        <w:t>" below.</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product sales could be reduced by imports from countries where our products are available at lower prices.</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Our sales of products in the United States may be reduced if our products are imported into the United States from lower priced markets, whether legally or illegally. Under our arrangement with Bayer HealthCare, pricing and reimbursement for EYLEA outside the United States is the responsibility of Bayer HealthCare. Prices for EYLEA in territories outside the United States will be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is marketed in those nations and imported into the United States. In addition, there have been proposals to legalize the import of pharmaceuticals from outside the United States. If such legislation were enacted, our future revenues could be reduced.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Approval of Our Product Candidates and New Indications for Our Marketed Products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we do not obtain and maintain regulatory approval for our products and product candidates or new indications for our marketed products, we will not be able to market or sell them, which would materially and negatively impact our business, prospects, operating results, and financial condition.</w:t>
      </w:r>
    </w:p>
    <w:p>
      <w:pPr>
        <w:spacing w:after="0" w:line="178"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We cannot sell or market products without regulatory approval. If we do not maintain regulatory approval for our marketed products, and obtain regulatory approval for our product candidates, or new indications of our marketed products, including EYLEA for the treatment of ophthalmologic diseases other than those covered by its currently approved indications, the value of our company and our business, prospects, operating results, and financial condition will be materially harmed. Our product candidates may not receive regulatory approval. If we are unable to obtain regulatory approval for our product candidates, or if we are materially delayed in doing so, our business, prospects, operating results, and financial condition may be materially harmed. In addition, if we fail to maintain regulatory approval for EYLEA's currently approved indications, we may lose marketing approval and the ability to generate EYLEA product sales revenue, which would materially and negatively impact our business, prospects, operating results, and financial condition.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227"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84"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According to the FDA policies under the Prescription Drug User Fee Act, the FDA system of review times for new drugs includes standard review and priority review. Standard review can be accomplished in a ten-month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6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(including based on the rare pediatric disease priority review voucher, which we and Sanofi plan to use in connection with the contemplated BLA submission for alirocumab),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9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Foreign governments also regulate the manufacturing, marketing and selling of drugs distributed in their country and approval in any country is similarly likely to be a lengthy and expensive process, and approval is highly uncertain. Foreign regulatory authorities often also have the authority to require post-approval studies, which involve various risks similar to those described above.</w:t>
      </w:r>
    </w:p>
    <w:p>
      <w:pPr>
        <w:spacing w:after="0" w:line="2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 prospects, operating results, and financial condition.</w:t>
      </w:r>
    </w:p>
    <w:p>
      <w:pPr>
        <w:spacing w:after="0" w:line="247"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prospects, operating results, and financial condition may be materially harmed.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and requirements include all of the risks associated with FDA approval as well as country specific regulations, and actions by a regulatory agency in a country or region with respect to a product candidate may have an impact on the approval process for that product candidate in another country or region.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24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2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For example, a randomized, double-blind Phase 3 trial (VENICE) that evaluated ZALTRAP as a first-line treatment for metastatic androgen-independent prostate cancer in combination with docetaxel/prednisone did not meet the pre-specified criterion of improvement in overall survival in April 2011. Moreover, even if we obtain positive results from preclinical testing or clinical trials, we may not achieve the same success in future trials, or the FDA and analogous foreign regulatory authorities may deem the results insufficient for an approval. For instance, 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4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prospects, operating results, and financial condition may be materially harmed.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16"/>
        <w:spacing w:after="0" w:line="302" w:lineRule="auto"/>
        <w:rPr>
          <w:sz w:val="20"/>
          <w:szCs w:val="20"/>
          <w:color w:val="auto"/>
        </w:rPr>
      </w:pPr>
      <w:r>
        <w:rPr>
          <w:rFonts w:ascii="Arial" w:cs="Arial" w:eastAsia="Arial" w:hAnsi="Arial"/>
          <w:sz w:val="16"/>
          <w:szCs w:val="16"/>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208" w:lineRule="exact"/>
        <w:rPr>
          <w:sz w:val="20"/>
          <w:szCs w:val="20"/>
          <w:color w:val="auto"/>
        </w:rPr>
      </w:pPr>
    </w:p>
    <w:p>
      <w:pPr>
        <w:jc w:val="both"/>
        <w:ind w:right="20" w:firstLine="135"/>
        <w:spacing w:after="0" w:line="340"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3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EYLEA is being studied in diseases of the eye in addition to those covered by its currently approved indications. There are many potential safety concerns associated with significant blockade of VEGF that may limit our ability to further successfully develop and/or commercialize EYLEA and ZALTRAP.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 ZALTRAP delivered through intravenous administration, may develop severe hypersensitivity reactions or infusion reactions. Other VEGF blockers have reported side effects that became evident only after large-scale trials or after marketing approval when large numbers of patients were treated. There are risks inherent in the intravitreal administration of drugs like EYLEA, which can cause injury to the eye and other complications. For example, in our Phase 3 trials of EYLEA in wet AMD, the most frequent ocular adverse events were conjunctival hemorrhage, macular degeneration, eye pain, retinal hemorrhage, and vitreous floaters. These and other complications or side effects could harm the development and/or commercialization of EYLEA or ZALTRAP.</w:t>
      </w:r>
    </w:p>
    <w:p>
      <w:pPr>
        <w:spacing w:after="0" w:line="22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We and Sanofi are conducting a global development program, currently in Phase 3, studying alirocumab, our PCSK9 antibody for the reduction of LDL cholesterol, as discussed above in Part I, Item 2. "Management’s Discussion and Analysis of Financial Condition and Results of Operations - Late-Stage Antibody-based Clinical Programs." As part of this development program, we and Sanofi collect adverse events and report them to the FDA and foreign regulatory authorities. As recently reported, in nine Phase 3 ODYSSEY studies, the most common adverse events were nasopharyngitis and upper respiratory tract infection, which were generally balanced between treatment groups. Injection site reactions were more frequent in the alirocumab group compared to placebo. Serious adverse events and deaths were generally balanced between treatment groups as were other key adverse events, including musculoskeletal, neurocognitive, and liver-related events. We and Sanofi were advised by the FDA that it had become aware of neurocognitive adverse events in the PCSK9 inhibitor class. Neurocognitive adverse events have also been associated with the use of statins for lowering LDL cholesterol. The FDA had requested that we and Sanofi make an assessment of potential neurocognitive adverse events across the global development program for alirocumab, especially in the longer-term studies. Additionally, the FDA requested that we address the feasibility of incorporating neurocognitive testing into at least a subset of patients in our ODYSSEY OUTCOMES trial or other long-term Phase 3 trial(s). While we have reported, based on analyses conducted to date, that neurocognitive adverse events were generally balanced between treatment groups in our Phase 3 studies, if this or another adverse event signal is detected in future analyses or in subsequent data, the possible approval of alirocumab may be delayed or fail, or its commercial value diminished, which could severely harm our future prospects.</w:t>
      </w:r>
    </w:p>
    <w:p>
      <w:pPr>
        <w:spacing w:after="0" w:line="23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have studied fasinumab in a variety of pain indications, including osteoarthritis of the knee. In December 2010, the FDA placed fasinumab on clinical hold after a case of rapidly progressive osteoarthritis leading to joint replacement was seen in another company's anti-NGF program due to the FDA's concern that this case was suggestive of a class effect. In December 2012, the FDA removed the clinical hold on fasinumab after reviewing our proposed Phase 3 program in osteoarthritis. However, shortly thereafter, fasinumab was placed on partial clinical hold as a result of preclinical data from other investigational agents targeting NGF in development. There are currently no trials with fasinumab that are either enrolling or treating patients. Discussions with the FDA about fasinumab are expected to continue.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247"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own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an opposition. Such opposition proceedings are increasingly common in the EU and are costly to defend. For example, our European Patent No. 1,360,287 has been the subject of opposition proceedings in the European Patent Office, as described in Part II, Item 1. "Legal Proceedings" of this report. We have pending patent applications in the United States Patent and Trademark Office, the European Patent Office, and the patent offices of other foreign jurisdictions, and it is likely that we will need to defend patents from challenges by others from time to time in the future. Certain of our U.S. patents may also be challenged by parties who file a request for post-grant review under the America Invents Act of 2011. We expect that post-grant review proceedings will become common in the United States and will be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26"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24" w:lineRule="exact"/>
        <w:rPr>
          <w:sz w:val="20"/>
          <w:szCs w:val="20"/>
          <w:color w:val="auto"/>
        </w:rPr>
      </w:pPr>
    </w:p>
    <w:p>
      <w:pPr>
        <w:jc w:val="both"/>
        <w:ind w:firstLine="216"/>
        <w:spacing w:after="0" w:line="297" w:lineRule="auto"/>
        <w:rPr>
          <w:sz w:val="20"/>
          <w:szCs w:val="20"/>
          <w:color w:val="auto"/>
        </w:rPr>
      </w:pPr>
      <w:r>
        <w:rPr>
          <w:rFonts w:ascii="Arial" w:cs="Arial" w:eastAsia="Arial" w:hAnsi="Arial"/>
          <w:sz w:val="16"/>
          <w:szCs w:val="16"/>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 products made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either because of the way the antibodies are discovered or produced or because of a proprietary composition covering an antibody or the antibody's target.</w:t>
      </w:r>
    </w:p>
    <w:p>
      <w:pPr>
        <w:spacing w:after="0" w:line="21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have been in the past, are currently, and may in the future be involved in patent litigation and other proceedings involving our patents. For example, we are currently parties to patent infringement proceedings relating to our European Patent No. 1,360,287 and our U.S. Patent No. 8,502,018, both of which concern genetically altered mice capable of producing chimeric antibodies that are part human and part mouse, as described in Part I, Item 3. "Legal Proceedings" of our Annual Report on Form 10-K for the year ended December 31, 2013, Part II, Item 1. "Legal Proceedings" of our Quarterly Report on Form 10-Q for the quarterly period ended March 31, 2014, and Part II, Item 1. "Legal Proceedings" of this report. In addition, we are currently parties to patent infringement proceedings initiated by Amgen against us and Sanofi relating to alirocumab, the antibody to PCSK9 for LDL cholesterol reduction we are jointly developing with Sanofi, as described in Part II, Item 1. "Legal Proceedings" of this report. We</w:t>
      </w:r>
    </w:p>
    <w:p>
      <w:pPr>
        <w:sectPr>
          <w:pgSz w:w="11900" w:h="16838" w:orient="portrait"/>
          <w:cols w:equalWidth="0" w:num="1">
            <w:col w:w="11420"/>
          </w:cols>
          <w:pgMar w:left="240" w:top="130"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30" w:right="239" w:bottom="1440" w:gutter="0" w:footer="0" w:header="0"/>
          <w:type w:val="continuous"/>
        </w:sectPr>
      </w:pPr>
    </w:p>
    <w:bookmarkStart w:id="64" w:name="page65"/>
    <w:bookmarkEnd w:id="6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are aware of additional patents and pending applications owned by others that claim antibodies to PCSK9 and methods of treating hypercholesterolemia with such antibodies. We are also aware of patents and pending applications owned by others that respectively claim antibodies to IL-6R and IL-4R and methods of treating rheumatoid arthritis and uveitis and atopic dermatitis and asthma with such antibodies. In addition to alirocumab, our late-stage antibody-based pipeline includes sarilumab, an antibody to IL-6R, for the treatment of rheumatoid arthritis and non-infectious uveitis; and dupilumab, an antibody to IL-4R, for the treatment of atopic dermatitis, asthma, and nasal polyposis. Although we do not believe that any of our late-stage antibody product candidates infringes any valid claim in these patents or patent applications, these other parties could initiate a lawsuit for patent infringement and assert their patents are valid and cover our late-stage antibody product candidates, similar to the patent infringement proceedings initiated by Amgen referred to above. We are also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None of ARCALYST, ZALTRAP, or EYLEA is a recombinant antibody.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make recombinant antibodies in, or to import them into, the United States. Further, we are aware of a number of patent applications of others that, if granted with claims as currently drafted, may cover our current or planned activities. It could be determined that our products and/or actions in manufacturing or selling our product candidates infringe such patents.</w:t>
      </w:r>
    </w:p>
    <w:p>
      <w:pPr>
        <w:spacing w:after="0" w:line="22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Patent holders could assert claims against us for damages and seek to prevent us from manufacturing, selling, or developing our drug candidates, and a court may find that we are infringing validly issued patents of others. In the event that the manufacture, use, or sale of any of our drug candidates, or our other late-stage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235"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7"/>
          <w:szCs w:val="17"/>
          <w:i w:val="1"/>
          <w:iCs w:val="1"/>
          <w:color w:val="auto"/>
        </w:rPr>
        <w:t>If we cannot protect the</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of our trade secrets or our patents are insufficient to protect our proprietary rights, our business and competitive position will be harmed,</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and enforceability 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federal Patient Protection and Affordable Care Act, or PPACA, enacted in 2010, there is now a new, abbreviated path in the United States for regulatory approval of biosimilar versions of biological products. The PPACA provides a regulatory mechanism that allows for FDA approval of biologic drugs that are similar to (but not generic copies of) innovative drugs on the basis of less extensive data than is required by a full BLA. Under this new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4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marketing, it is not possible to predict the length of market exclusivity for a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to commercialize our other product candidates or other indications for our marketed products if they receive regulatory approval, and to advance our clinical pipeline.</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Our manufacturing facility would be inadequate to produce the active pharmaceutical ingredients of (a) EYLEA, ZALTRAP, and ARCALYST, and (b) our antibody product candidates in sufficient clinical quantities if our clinical pipeline advances as planned. In addition to expanding our internal capacity, we intend to rely on our corporate collaborators, as well as contract manufacturers, to produce commercial quantities of drug material needed for commercialization of our products to the extent such quantities are not manufactured at our own facility. As we increase our production in anticipation of potential regulatory approval for our late-stage antibody product candidates, our current manufacturing capacity will likely not be sufficient, and we may depend on our collaborators or contract manufacturers,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corporate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229" w:lineRule="exact"/>
        <w:rPr>
          <w:sz w:val="20"/>
          <w:szCs w:val="20"/>
          <w:color w:val="auto"/>
        </w:rPr>
      </w:pPr>
    </w:p>
    <w:p>
      <w:pPr>
        <w:jc w:val="both"/>
        <w:ind w:firstLine="135"/>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0"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have commenced construction of additional manufacturing space at our Rensselaer, New York site to increase our manufacturing capacity. In addition, we have acquired and are renovating a 400,000 square foot facility in Limerick, Ireland to expand our manufacturing capacity to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the Limerick, Ireland facility remains subject to securing certain permits from the local government, and there is no guarantee that we will be able to obtain the remaining required permits in the contemplated timeframe, or at all.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 ZALTRAP, and ARCALYST and could also delay or require us to discontinue one or more of our clinical development programs. As a result, our business, prospects, operating results, and financial condition could be materially harmed.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our products may be impaired if any of our manufacturing activities, or the activities of third parties involved in our manufacture and supply chain, are found to infringe patents of others.</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ability to continue to manufacture EYLEA, ZALTRAP, and ARCALYST in our Rensselaer, New York facilities and, in the future, our ability to manufacture our marketed products at additional facilities,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infringe patents or other intellectual property rights. A judicial decision in favor of one or more parties making such allegations could preclude the manufacture of our products to which those intellectual property rights apply, which could materially harm our business, prospects, operating results, and financial condition.</w:t>
      </w:r>
    </w:p>
    <w:p>
      <w:pPr>
        <w:spacing w:after="0" w:line="24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sales of EYLEA and ZALTRAP do not meet the levels currently expected, or if the launch of new indications for EYLEA or of any of our product candidates is delayed or unsuccessful, we may face costs related to excess inventory or unused capacity at our manufacturing facilities and at the facilities of third parties.</w:t>
      </w:r>
    </w:p>
    <w:p>
      <w:pPr>
        <w:spacing w:after="0" w:line="23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have large-scale manufacturing operations in Rensselaer, New York. We use our facilities to produce bulk product of EYLEA for its currently approved indications, bulk product of ZALTRAP for the treatment of patients with mCRC that is resistant to or has progressed following an oxaliplatin-containing regimen, bulk product of ARCALYST for the treatment of CAPS,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experience excess inventory, it may be necessary to write down or even write off such excess inventory, which could adversely affect our operating results.</w:t>
      </w:r>
    </w:p>
    <w:p>
      <w:pPr>
        <w:spacing w:after="0" w:line="236"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Third-party service or supply failures, or other failures, business interruptions, or other disasters affecting our manufacturing facilities in Rensselaer, New York or the facilities of any other party participating in the supply chain, would adversely affect our ability to supply our products.</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actions, business interruptions, labor shortages or disputes, contaminations, fire, natural disasters, acts of war or terrorism, or other problems.</w:t>
      </w:r>
    </w:p>
    <w:p>
      <w:pPr>
        <w:spacing w:after="0" w:line="10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corporate collaborators or contract manufacturers.</w:t>
      </w:r>
    </w:p>
    <w:p>
      <w:pPr>
        <w:spacing w:after="0" w:line="9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Also, certain raw materials or other products necessary for the manufacture and formulation of EYLEA, ZALTRAP, ARCALYST, and our product candidates, some of which are difficult to source, are provided by single-source unaffiliated third-party suppliers. In addition, we rely on certain third parties to perform filling, finishing, distribution, laboratory testing, and other services related to the manufacture of EYLEA, ZALTRAP, ARCALYST, and our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 business interruptions, or labor shortages or disputes. In any such circumstances, we may not be able to engage a backup or alternative supplier or service provider in a timely manner or at all. This, in turn, could materially and adversely affect our ability to manufacture or supply EYLEA, ZALTRAP, ARCALYST, and our product candidates, which could materially and adversely affect our business and future prospects.</w:t>
      </w:r>
    </w:p>
    <w:p>
      <w:pPr>
        <w:spacing w:after="0" w:line="23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restrictions on using these biological source materials. If we are required to substitute for these sources to comply with European regulatory requirements, our clinical development activities may be delayed or interrupted.</w:t>
      </w:r>
    </w:p>
    <w:p>
      <w:pPr>
        <w:spacing w:after="0" w:line="224"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8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20"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firstLine="243"/>
        <w:spacing w:after="0" w:line="230" w:lineRule="auto"/>
        <w:rPr>
          <w:sz w:val="20"/>
          <w:szCs w:val="20"/>
          <w:color w:val="auto"/>
        </w:rPr>
      </w:pPr>
      <w:r>
        <w:rPr>
          <w:rFonts w:ascii="Arial" w:cs="Arial" w:eastAsia="Arial" w:hAnsi="Arial"/>
          <w:sz w:val="17"/>
          <w:szCs w:val="17"/>
          <w:color w:val="auto"/>
        </w:rPr>
        <w:t>Currently, we have three marketed products, EYLEA, ZALTRAP, and ARCALYST. While we have established our own sales and marketing organization for EYLEA in the United States for its currently approved indications, we have limited commercialization experience and we have no sales, marketing, commercial, or distribution capabilities outside the United States. In addition, EYLEA faces intense competition from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from off-label use of repackaged Avastin</w:t>
      </w:r>
      <w:r>
        <w:rPr>
          <w:rFonts w:ascii="Arial" w:cs="Arial" w:eastAsia="Arial" w:hAnsi="Arial"/>
          <w:sz w:val="24"/>
          <w:szCs w:val="24"/>
          <w:color w:val="auto"/>
          <w:vertAlign w:val="superscript"/>
        </w:rPr>
        <w:t>®</w:t>
      </w:r>
      <w:r>
        <w:rPr>
          <w:rFonts w:ascii="Arial" w:cs="Arial" w:eastAsia="Arial" w:hAnsi="Arial"/>
          <w:sz w:val="17"/>
          <w:szCs w:val="17"/>
          <w:color w:val="auto"/>
        </w:rPr>
        <w:t>, both of which have been on the market for a number of years and, potentially, from new competitive products currently in clinical development. We expect that the continued commercial success of EYLEA will depend on many factors, including the following:</w:t>
      </w:r>
    </w:p>
    <w:p>
      <w:pPr>
        <w:spacing w:after="0" w:line="125"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EYLEA, including pricing strategy and the continued effectiveness of efforts to obtain, and the timing of obtaining, adequate third-party reimbursements;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left="66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EYLEA;</w:t>
      </w:r>
    </w:p>
    <w:p>
      <w:pPr>
        <w:spacing w:after="0" w:line="9" w:lineRule="exact"/>
        <w:rPr>
          <w:rFonts w:ascii="Arial" w:cs="Arial" w:eastAsia="Arial" w:hAnsi="Arial"/>
          <w:sz w:val="18"/>
          <w:szCs w:val="18"/>
          <w:color w:val="auto"/>
        </w:rPr>
      </w:pPr>
    </w:p>
    <w:p>
      <w:pPr>
        <w:ind w:left="660" w:right="20" w:hanging="328"/>
        <w:spacing w:after="0" w:line="220"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effectively communicate to the marketplace the benefits of the dosing regimen of EYLEA as compared to the dosing regimen of Lucentis</w:t>
      </w:r>
      <w:r>
        <w:rPr>
          <w:rFonts w:ascii="Arial" w:cs="Arial" w:eastAsia="Arial" w:hAnsi="Arial"/>
          <w:sz w:val="24"/>
          <w:szCs w:val="24"/>
          <w:color w:val="auto"/>
          <w:vertAlign w:val="superscript"/>
        </w:rPr>
        <w:t>®</w:t>
      </w:r>
      <w:r>
        <w:rPr>
          <w:rFonts w:ascii="Arial" w:cs="Arial" w:eastAsia="Arial" w:hAnsi="Arial"/>
          <w:sz w:val="17"/>
          <w:szCs w:val="17"/>
          <w:color w:val="auto"/>
        </w:rPr>
        <w:t>, and the willingness of retinal specialists and patients to switch from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 off-label use of repackaged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EYLEA;</w:t>
      </w:r>
    </w:p>
    <w:p>
      <w:pPr>
        <w:spacing w:after="0" w:line="1" w:lineRule="exact"/>
        <w:rPr>
          <w:rFonts w:ascii="Arial" w:cs="Arial" w:eastAsia="Arial" w:hAnsi="Arial"/>
          <w:sz w:val="17"/>
          <w:szCs w:val="17"/>
          <w:color w:val="auto"/>
        </w:rPr>
      </w:pPr>
    </w:p>
    <w:p>
      <w:pPr>
        <w:ind w:left="660" w:hanging="328"/>
        <w:spacing w:after="0" w:line="280"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ability of patients, retinal specialists, and other providers to obtain and maintain sufficient coverage and reimbursement from third-party payers, including Medicare and Medicaid in the United States and other government and private payers in the United States and foreign jurisdictions;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sales of EYLEA in the face of competitive products, including those currently in clinical development; and</w:t>
      </w:r>
    </w:p>
    <w:p>
      <w:pPr>
        <w:spacing w:after="0" w:line="9"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effect of existing and new health care laws and regulations currently being implemented in the United States, including reporting and disclosure requirements of such laws and regulations and the potential impact of such requirements on physician prescription practices.</w:t>
      </w:r>
    </w:p>
    <w:p>
      <w:pPr>
        <w:spacing w:after="0" w:line="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our license and collaboration agreement with Bayer HealthCare, we rely on Bayer HealthCare for sales, marketing, and distribution of EYLEA in countries outside the United States. If we and Bayer HealthCare are unsuccessful in continuing to commercialize EYLEA, our ability to sustain profitability would be materially impaired. In addition, if we or our collaborators are unable to successfully commercialize new product candidates or new indications for our marketed product, our future prospects would be materially impaired.</w:t>
      </w:r>
    </w:p>
    <w:p>
      <w:pPr>
        <w:spacing w:after="0" w:line="24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marketed products are subject to significant competition, and our product candidates or new indications for our marketed products, if any are approved for marketing, may face significant competition.</w:t>
      </w:r>
    </w:p>
    <w:p>
      <w:pPr>
        <w:spacing w:after="0" w:line="2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12"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7"/>
          <w:szCs w:val="17"/>
          <w:color w:val="auto"/>
        </w:rPr>
        <w:t>As previously noted, Genentech has an approved VEGF antagonist, Avastin</w:t>
      </w:r>
      <w:r>
        <w:rPr>
          <w:rFonts w:ascii="Arial" w:cs="Arial" w:eastAsia="Arial" w:hAnsi="Arial"/>
          <w:sz w:val="17"/>
          <w:szCs w:val="17"/>
          <w:color w:val="auto"/>
          <w:vertAlign w:val="superscript"/>
        </w:rPr>
        <w:t>®</w:t>
      </w:r>
      <w:r>
        <w:rPr>
          <w:rFonts w:ascii="Arial" w:cs="Arial" w:eastAsia="Arial" w:hAnsi="Arial"/>
          <w:sz w:val="17"/>
          <w:szCs w:val="17"/>
          <w:color w:val="auto"/>
        </w:rPr>
        <w:t>, on the market for treating certain cancers, and many different pharmaceutical and biotechnology companies are working to develop competing VEGF antagonists, including Novartis, Amgen Inc., Imclone LLC/Eli Lilly, Pfizer Inc., AstraZeneca, and GlaxoSmithKline. Some of these molecules may offer competitive advantages over our molecule. Each of Pfizer, Onyx Pharmaceuticals (a subsidiary of Amgen), together with its partner Bayer HealthCare, and GlaxoSmithKline are marketing and selling oral medications that target tumor cell growth and new vasculature formation that fuels the growth of tumors. In January 2012, Roche announced that a Phase 3 trial of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(bevacizumab) had met the primary endpoint of overall survival in mCRC in patients who had previously received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with standard chemotherapy. The positive results of this trial in a similar patient population could impact the potential commercial opportunity for ZALTRAP in mCRC. It will be difficult for ZALTRAP to compete against Avastin</w:t>
      </w:r>
      <w:r>
        <w:rPr>
          <w:rFonts w:ascii="Arial" w:cs="Arial" w:eastAsia="Arial" w:hAnsi="Arial"/>
          <w:sz w:val="17"/>
          <w:szCs w:val="17"/>
          <w:color w:val="auto"/>
          <w:vertAlign w:val="superscript"/>
        </w:rPr>
        <w:t>®</w:t>
      </w:r>
      <w:r>
        <w:rPr>
          <w:rFonts w:ascii="Arial" w:cs="Arial" w:eastAsia="Arial" w:hAnsi="Arial"/>
          <w:sz w:val="17"/>
          <w:szCs w:val="17"/>
          <w:color w:val="auto"/>
        </w:rPr>
        <w:t xml:space="preserve"> and the FDA-approved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24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market for eye disease products is very competitive, as described in greater detail above under "Risks Related to Commercialization of EYLEA-</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 success of EYLEA is subject to strong competition</w:t>
      </w:r>
      <w:r>
        <w:rPr>
          <w:rFonts w:ascii="Arial" w:cs="Arial" w:eastAsia="Arial" w:hAnsi="Arial"/>
          <w:sz w:val="18"/>
          <w:szCs w:val="18"/>
          <w:color w:val="auto"/>
        </w:rPr>
        <w:t>."</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earlier stage clinical candidates in development are all fully human monoclonal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are aware of several pharmaceutical and biotechnology companies actively engaged in the research and development of antibody products against targets that are also the targets of our early- and late-stage product candidates. For example, Pfizer (in partnership with Eli Lilly), Johnson &amp; Johnson, and AbbVie are developing antibody product candidates against NGF. Genentech/Roche is marketing an antibody against IL-6R (tocilizumab) for the treatment of rheumatoid arthritis, and several other companies, including Johnson &amp; Johnson (in partnership with GlaxoSmithKline), Alder Biopharmaceuticals, Ablynx (in partnership with AbbVie), and Pfizer have antibodies against IL-6 or IL-6R in clinical development. Several companies, including Amgen, Pfizer, and Eli Lilly, have development programs for antibodies against PCSK9. Amgen's PCSK9 program appears to be the most advanced of the competitors, having already submitted a BLA with the FDA and a marketing authorization application with the EMA,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may obtain marketing approval in one or more countries before our PCSK9 antibody is approved. Alnylam, in partnership with The Medicines Company, has a clinical program underway with an RNAi molecule against PCSK9. In addition, there are therapeutic products targeting PCSK9 operating through other mechanisms of action in development, including an oral product. Oral products that lower LDL-C, if approved, may also be competitive with PCSK9 inhibitors, including alirocumab (if approved). Certain late-stage inhibitors of cholesterylester transfer protein (CETP), such as Merck's anacetrapib and Eli Lilly's evacetrapib, lower LDL-C and may be launched with supporting data from outcomes trials prior to the completion of our own outcomes trial for alirocumab. Another oral agent that lowers LDL-C and that may potentially compete with alirocumab, if approved, is Esperion's ETC-1002. A number of companies are developing antibodies that, if approved, may compete with dupilumab, our IL-4R antibody, if it is approved, including Roche (an antibody against IL-13), Teva (an antibody against IL-5), AstraZeneca (antibodies against IL-5R and IL-13), Novartis (a combination antibody against IL-4 and IL-13), and Amgen (in partnership with AstraZeneca) (an antibody against thymic stromal lymphopoietin, or TSLP). Further, Amgen, Genentech, and AstraZeneca have development programs underway for antibodies against Ang2 for indications in oncology. Celgene (in partnership with OncoMed Pharmaceuticals, Inc.) and AstraZeneca have antibodies that target Dll4 in clinical development. For muscle-wasting conditions, Pfizer, Eli Lilly, Bristol-Myers Squibb, and Atara Biotherapeutics have anti-GDF8 monoclonal antibodies in development, and Novartis has a competing antibody targeting ActRIIB.</w:t>
      </w:r>
    </w:p>
    <w:p>
      <w:pPr>
        <w:spacing w:after="0" w:line="22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21" w:lineRule="exact"/>
        <w:rPr>
          <w:sz w:val="20"/>
          <w:szCs w:val="20"/>
          <w:color w:val="auto"/>
        </w:rPr>
      </w:pPr>
    </w:p>
    <w:p>
      <w:pPr>
        <w:jc w:val="both"/>
        <w:ind w:firstLine="135"/>
        <w:spacing w:after="0" w:line="327" w:lineRule="auto"/>
        <w:rPr>
          <w:sz w:val="20"/>
          <w:szCs w:val="20"/>
          <w:color w:val="auto"/>
        </w:rPr>
      </w:pPr>
      <w:r>
        <w:rPr>
          <w:rFonts w:ascii="Arial" w:cs="Arial" w:eastAsia="Arial" w:hAnsi="Arial"/>
          <w:sz w:val="15"/>
          <w:szCs w:val="15"/>
          <w:b w:val="1"/>
          <w:bCs w:val="1"/>
          <w:i w:val="1"/>
          <w:iCs w:val="1"/>
          <w:color w:val="auto"/>
        </w:rPr>
        <w:t>The successful commercialization of our marketed products,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p>
    <w:p>
      <w:pPr>
        <w:spacing w:after="0" w:line="19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Our future revenues and profitability will be adversely affected in a material manner if United States and foreign governmental payers, private third-party insurers and payers, and other third-party payers, including Medicare and Medicaid, do not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payers more expensive for patients, and require prior authorization or failure on another type of treatment before covering a particular drug. In particular, payers may impose these obstacles to coverage on higher-priced drugs, as our product candidates are likely to be.</w:t>
      </w:r>
    </w:p>
    <w:p>
      <w:pPr>
        <w:spacing w:after="0" w:line="21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Government and other third-party payers are challenging the prices charged for healthcare products and increasingly limiting, and attempting to limit, both coverage and level of reimbursement for prescription drugs. In March 2010, the PPACA and a related reconciliation bill were enacted in the United States. This legislation imposes cost containment measures that are likely to adversely affect the amount of reimbursement for our future products. The full effects of this legislation are unknown at this time and will not be known until regulations and guidance are issued by CMS and other federal and state agencies. Further,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repackaged Avastin</w:t>
      </w:r>
      <w:r>
        <w:rPr>
          <w:rFonts w:ascii="Arial" w:cs="Arial" w:eastAsia="Arial" w:hAnsi="Arial"/>
          <w:sz w:val="16"/>
          <w:szCs w:val="16"/>
          <w:color w:val="auto"/>
          <w:vertAlign w:val="superscript"/>
        </w:rPr>
        <w:t>®</w:t>
      </w:r>
      <w:r>
        <w:rPr>
          <w:rFonts w:ascii="Arial" w:cs="Arial" w:eastAsia="Arial" w:hAnsi="Arial"/>
          <w:sz w:val="16"/>
          <w:szCs w:val="16"/>
          <w:color w:val="auto"/>
        </w:rPr>
        <w:t xml:space="preserve"> rather than Lucentis</w:t>
      </w:r>
      <w:r>
        <w:rPr>
          <w:rFonts w:ascii="Arial" w:cs="Arial" w:eastAsia="Arial" w:hAnsi="Arial"/>
          <w:sz w:val="16"/>
          <w:szCs w:val="16"/>
          <w:color w:val="auto"/>
          <w:vertAlign w:val="superscript"/>
        </w:rPr>
        <w:t>®</w:t>
      </w:r>
      <w:r>
        <w:rPr>
          <w:rFonts w:ascii="Arial" w:cs="Arial" w:eastAsia="Arial" w:hAnsi="Arial"/>
          <w:sz w:val="16"/>
          <w:szCs w:val="16"/>
          <w:color w:val="auto"/>
        </w:rPr>
        <w:t xml:space="preserve"> for the treatment of wet AMD.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2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Since EYLEA for its currently approved indications, and ZALTRAP for the treatment of patients with mCRC that is resistant to or has progressed following an oxaliplatin-containing regimen, will likely continue to be too expensive for most patients to afford without health insurance coverage, if these products are unable to obtain adequate coverage and reimbursement by third-party payers, including Medicare and Medicaid in the United States, our ability to successfully commercialize these products would be materially adversely impacted. Third-party payers, including Medicare and Medicaid in the United States, may not cover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and/or reimburse for these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sell EYLEA in the United States to three distributors and several specialty pharmacies. Under this distribution model, the distributors and specialty pharmacies generally take physical delivery of product and generally sell the product directly to healthcare providers. For the nine months ended September 30, 2014 and 2013, we recorded 75% and 76%, respectively, of our total gross product revenue from sales to a single distributor, Besse Medical, a subsidiary of AmerisourceBergen Corporation.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20"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23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recent years, several states and localities, including California, the District of Columbia, Massachusetts, Minnesota, Nevada, New Mexico, Vermont, and West Virginia, have enacted legislation requiring pharmaceutical companies to establish marketing compliance programs, file periodic reports with the state or make periodic public disclosures on sales, marketing, pricing, clinical trials, and other activities. Similar requirements are being considered in other states. In addition, as part of the PPACA, the federal government recently enacted provisions imposing reporting and disclosure requirements on pharmaceutical manufacturers for any "transfers of value" made or distributed to prescribers and other healthcare providers. These statutory provisions and related regulations (commonly known as the "Sunshine Act") require pharmaceutical manufacturers to report annually to the Secretary of the U.S. Department of Health and Human Services payments or other transfers of value made to physicians or teaching hospitals. In February 2013, regulations were released that contain detailed guidance regarding the information that must be collected and reported. We started to be required to collect information regarding such payments in August 2013 and submitted our 2013 Reporting Entity and Payment Aggregate Data in June 2014, as required by the Sunshine Act. Over the next several years, we will need to dedicate significant resources to enhance our systems and processes in order to comply with these regulations. The PPACA also includes various provisions designed to strengthen significantly fraud and 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Many of these requirements and standards are new and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w:t>
      </w:r>
    </w:p>
    <w:p>
      <w:pPr>
        <w:spacing w:after="0" w:line="235"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4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1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 and the cost of currency exchange;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deploy overseas funds in an efficient manner;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30" w:right="239" w:bottom="1440" w:gutter="0" w:footer="0" w:header="0"/>
          <w:type w:val="continuous"/>
        </w:sectPr>
      </w:pPr>
    </w:p>
    <w:bookmarkStart w:id="73" w:name="page74"/>
    <w:bookmarkEnd w:id="7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2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IRS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the availability of the U.S. research and development tax credit, and changes in tax laws and regulations.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research institutions and our collaborators.</w:t>
      </w:r>
    </w:p>
    <w:p>
      <w:pPr>
        <w:spacing w:after="0" w:line="18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Most health care providers, including research institutions from which we or our collaborators obtain patient information, are subject to privacy and security regulations promulgated under the Health Insurance Portability and Accountability Act of 1996 (HIPAA), as amended by the Health Information Technology for Economic and Clinical Health Act. For example, as part of our human genetics initiative, our wholly-owned subsidiary, Regeneron Genetics Center LLC, is collaborating with the Geisinger Health System, which is subject to such regulations, and may enter into collaboration arrangements with additional institutions in the future. Regeneron is not a HIPAA-covered entity and our clinical research efforts are not directly regulated by HIPAA, so we are not subject to civil penalties under HIPAA.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international data protection laws, including the EU Data Protection Directive and member state implementing legislation, may apply to some or all of the clinical data obtained from our collaborators outside of the U.S. Failure by those collaborators to comply with the strict rules on the transfer of personal data outside of the EU into the U.S.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information, as well as the providers who share this information with us, may have statutory or contractual rights that limit our ability to use and disclose the information.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or prevent sales of any affected products that we are able to commercialize,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3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our antibody collaboration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178"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We rely heavily on funding from Sanofi to support our target discovery and antibody research and development programs. Sanofi has committed to pay up to $160 million per year, or a total of $1.28 billion, between 2010 and 2017 to fund our efforts to identify and validate drug discovery targets and pre-clinically develop fully human monoclonal antibodies against such targets. Sanofi also initially funds almost all of the development expenses incurred by both companies in connection with the clinical development of antibodies that Sanofi elects to co-develop with us. We rely on Sanofi to fund these activities. In addition, with respect to those antibodies that Sanofi elects to co-develop with us, such as sarilumab, alirocumab, dupilumab, nesvacumab, REGN1033, and REGN2222, we rely on Sanofi to lead much of the clinical development efforts and assist with obtaining regulatory approval, particularly outside the United States. We also rely on Sanofi to lead the commercialization efforts to support all of the antibody products that are co-developed by Sanofi and us if they receive regulatory approval. If Sanofi does not elect to co-develop the antibodies that we discover or opts out of their development, unless we enter into a partnership agreement with another party, we would be required to fund and oversee on our own the clinical trials, any regulatory responsibilities, and the ensuing commercialization efforts to support those antibody products. For example, Sanofi has elected not to continue co-development of fasinumab and enoticumab, and decided not to opt in to the REGN1154, REGN 1193, REGN1500, and other programs. If Sanofi terminates the antibody collaboration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Even though none of the antibodies from this collaboration may ever be successfully developed and commercialized, if Sanofi does not perform its obligations with respect to antibodies that it elects to co-develop, our ability to develop, manufacture, and commercialize these antibody product candidates will be significantly adversely affected.</w:t>
      </w:r>
    </w:p>
    <w:p>
      <w:pPr>
        <w:spacing w:after="0" w:line="247" w:lineRule="exact"/>
        <w:rPr>
          <w:sz w:val="20"/>
          <w:szCs w:val="20"/>
          <w:color w:val="auto"/>
        </w:rPr>
      </w:pPr>
    </w:p>
    <w:p>
      <w:pPr>
        <w:jc w:val="both"/>
        <w:ind w:firstLine="135"/>
        <w:spacing w:after="0" w:line="308" w:lineRule="auto"/>
        <w:rPr>
          <w:sz w:val="20"/>
          <w:szCs w:val="20"/>
          <w:color w:val="auto"/>
        </w:rPr>
      </w:pPr>
      <w:r>
        <w:rPr>
          <w:rFonts w:ascii="Arial" w:cs="Arial" w:eastAsia="Arial" w:hAnsi="Arial"/>
          <w:sz w:val="17"/>
          <w:szCs w:val="17"/>
          <w:b w:val="1"/>
          <w:bCs w:val="1"/>
          <w:i w:val="1"/>
          <w:iCs w:val="1"/>
          <w:color w:val="auto"/>
        </w:rPr>
        <w:t>If our collaboration with Sanofi for ZALTRAP is terminated, or Sanofi materially breaches its obligations thereunder, our business, prospects, operating results, and financial condition, and our ability to develop and commercialize ZALTRAP, would be materially harmed.</w:t>
      </w:r>
    </w:p>
    <w:p>
      <w:pPr>
        <w:spacing w:after="0" w:line="20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rely heavily on Sanofi to lead much of the development of ZALTRAP and the commercialization of ZALTRAP. If Sanofi fails to perform its obligations in a timely manner, or at all, our ability to develop and commercialize ZALTRAP in previously-treated mCRC will be significantly adversely affected. Sanofi has the right to terminate its collaboration agreement with us at any time upon twelve months' advance notice. If Sanofi were to terminate its collaboration agreement with us, we would not have the resources or skills to replace those of our collaborator, which we would have to develop or outsource at substantial additional costs to us. In particular, we have limited commercial capabilities outside the United States and would have to develop or outsource these capabilities. Termination of the Sanofi collaboration agreement for ZALTRAP would create substantial new and additional risks to the successful development and commercialization of ZALTRAP.</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our collaboration with Bayer HealthCare for EYLEA is terminated, or Bayer HealthCare materially breaches its obligations thereunder, our business, prospects, operating results, and financial condition, and our ability to continue to develop EYLEA and commercialize EYLEA outside the United States in the time expected, or at all, would be materially harmed.</w:t>
      </w:r>
    </w:p>
    <w:p>
      <w:pPr>
        <w:spacing w:after="0" w:line="23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rely heavily on Bayer HealthCare to assist with the development, and the commercialization outside the United States, of EYLEA. Under our agreement with them, Bayer HealthCare is required to fund approximately half of the development expenses incurred by both companies in connection with the global EYLEA development program. As the EYLEA program continues, we will continue to rely on Bayer HealthCare to assist with funding the EYLEA development program, continue to lead the development of EYLEA outside the United States, obtain regulatory approval outside the United States, and provide all sales, marketing, and commercial support for the product outside the United States. In particular, Bayer HealthCare has responsibility for selling EYLEA outside the United States using its sales force and, in Japan, in cooperation with Santen Pharmaceuticals Co. Ltd. pursuant to a Co-Promotion and Distribution Agreement with Bayer HealthCare's Japanese affiliate. EYLEA is currently available in the United States, EU, and certain other countries outside of the United States for treatment of wet AMD, macular edema following CRVO (RVO in the United States), and DME. We cannot assure you that additional regulatory approvals will be received for EYLEA outside the United States or that EYLEA will be successfully commercialized outside the United States. If Bayer HealthCare and, in Japan, Santen do not perform their obligations in a timely manner, or at all, our ability to develop, manufacture, and commercialize EYLEA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Termination of the Bayer HealthCare collaboration agreement would create substantial new and additional risks to the successful development and commercialization of EYLEA, particularly outside the United States.</w:t>
      </w:r>
    </w:p>
    <w:p>
      <w:pPr>
        <w:spacing w:after="0" w:line="229"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depend upon third-party collaborators, including Sanofi, Bayer HealthCare,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EYLEA for its currently approved indications, ZALTRAP for the treatment of patients with mCRC, ARCALYST for the treatment of CAPS,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2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rely on third-party service providers to support the distribution of EYLEA in the United States and for many other related activities in connection with the commercialization of this marketed product. Despite our arrangements with them, these third parties may not perform adequately. If these service providers do not perform their services adequately, our sales of EYLEA will suffer.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George D. Yancopoulos, M.D., Ph.D., President, Regeneron Laboratories and our Chief Scientific Officer; and Neil Stahl, Ph.D., our Senior Vice President, Research and Development Sciences. As we continue to commercialize EYLEA,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malicious intrusion, and computer viruses, which may result in the impairment of production and key business processes.</w:t>
      </w:r>
    </w:p>
    <w:p>
      <w:pPr>
        <w:spacing w:after="0" w:line="20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addition, our systems are potentially vulnerable to data security breaches—whether by employees or others—which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22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and have only recently achieved profitability. If we cannot sustain profitability, our business, prospects, operating results, and financial condition would be materially harmed.</w:t>
      </w:r>
    </w:p>
    <w:p>
      <w:pPr>
        <w:spacing w:after="0" w:line="2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Beginning in the first quarter of 2012, we reported profitability; prior to that, we generally incurred net losses. If we cannot sustain profitability, we may be unable to continue our operations. In the absence of substantial revenue from the sale of products on an ongoing basis, including our sales of EYLEA, and our share of the profits from Bayer HealthCare's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1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ongoing marketing of EYLEA and the potential commercial launches of our late-stage product candidates and new indications for our marketed products, manufacturing scale-up, expenses related to clinical trials testing of antibody product candidates we are developing on our own (without Sanofi), and expenses related to the requirement, following receipt of the first positive Phase 3 trial results for a co-developed drug candidate, for us to fund 20% of Phase 3 clinical trial costs for any of our antibody product candidates being developed in collaboration with Sanofi.</w:t>
      </w:r>
    </w:p>
    <w:p>
      <w:pPr>
        <w:spacing w:after="0" w:line="232"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Our ability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are able to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EYLEA, we may face delay, reduction, or elimination of our research and development or preclinical or clinical programs and our commercialization activities, which would significantly limit our potential to generate revenue.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0"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As of September 30, 2014, we had $646.6 million in cash and cash equivalents and $849.1 million in marketable securities. Our investments consist primarily of fixed-income securities, including investment-grade corporate bonds, direct obligations of the U.S. government and its agencies, and other debt securities guaranteed by the U.S. government. These investments are subject to external factors that may adversely affect their market value or liquidity, such as interest rate, liquidity, market, and issuer credit risks, including actual or anticipated changes in credit ratings. If our investments suffer market price declines that are other than temporary, their value could be impaired, which may have an adverse effect on our financial condition and operating results.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our operating results, in particular net product sales of EYLEA and, to a lesser degree, sales of ZALTRAP;</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acceptance of, and fluctuations in market share for, our marketed products, especially EYLEA;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our net products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by others to our patents in the European Patent Office and in the U.S. Patent and Trademark Office;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or reimbursement actions, decisions, or recommendations by government authorities, insurers, or other organizations affecting the coverage, reimbursement, or use of any of our marketed products or competitors’ products;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in our relationships with collaborative partners or key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market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13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8"/>
          <w:szCs w:val="18"/>
          <w:i w:val="1"/>
          <w:iCs w:val="1"/>
          <w:color w:val="auto"/>
        </w:rPr>
        <w:t>Future sales of our Common Stock by</w:t>
      </w:r>
      <w:r>
        <w:rPr>
          <w:rFonts w:ascii="Arial" w:cs="Arial" w:eastAsia="Arial" w:hAnsi="Arial"/>
          <w:sz w:val="18"/>
          <w:szCs w:val="18"/>
          <w:color w:val="auto"/>
        </w:rPr>
        <w:t xml:space="preserve"> </w:t>
      </w:r>
      <w:r>
        <w:rPr>
          <w:rFonts w:ascii="Arial" w:cs="Arial" w:eastAsia="Arial" w:hAnsi="Arial"/>
          <w:sz w:val="18"/>
          <w:szCs w:val="18"/>
          <w:i w:val="1"/>
          <w:iCs w:val="1"/>
          <w:color w:val="auto"/>
        </w:rPr>
        <w:t>our significant shareholders or us may depress our stock price and impair our ability to raise funds in new share offerings</w:t>
      </w:r>
      <w:r>
        <w:rPr>
          <w:rFonts w:ascii="Arial" w:cs="Arial" w:eastAsia="Arial" w:hAnsi="Arial"/>
          <w:sz w:val="18"/>
          <w:szCs w:val="18"/>
          <w:color w:val="auto"/>
        </w:rPr>
        <w:t>" below, a large percentage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is owned by a small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30"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number of our principal shareholders, and our largest shareholder, Sanofi, has been increasing its ownership of our Common Stock. As a result, the public float of our Common Stock (i.e.,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236"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October 16, 2014, our five largest shareholders plus Dr. Schleifer, our Chief Executive Officer, beneficially owned approximately 48.0% of our outstanding shares of Common Stock, assuming, in the case of our Chief Executive Officer, the conversion of his Class A Stock into Common Stock and the exercise of all options held by him which are exercisable within 60 days of October 16, 2014. As of October 16, 2014, Sanofi beneficially owned 22,657,685 shares of our Common Stock, representing approximately 22.7%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the later of (i) December 20, 2020 and (ii) the expiration of our discovery and preclinical development agreement with Sanofi relating to our antibody collaboration (as amended) if the agreement is extended beyond December 20, 2020. These restrictions on dispositions are subject to earlier termination upon the occurrence of certain events, such as the consummation of a change-of-control transaction involving us or a dissolution or liquidation of our company. In February 2013, we received from Sanofi a notification under the Hart-Scott-Rodino Antitrust Improvements Act of 1976 that it intends to acquire additional Common Stock through open market purchases and direct purchases from shareholders. In July 2014, Sanofi disclosed in an amendment to its Schedule 13D filed with the SEC its intention to purchase additional shares of our Common Stock to progressively increase its beneficial ownership in 2014 and 2015 up to the maximum allowed under the “standstill” provisions of our amended and restated investor agreement with Sanofi, or 30% of our Class A Stock and Common Stock (taken together). If Sanofi, our other significant shareholders, or we sell substantial amounts of our Common Stock in the public market,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 and over our management.</w:t>
      </w:r>
    </w:p>
    <w:p>
      <w:pPr>
        <w:spacing w:after="0" w:line="30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October 16, 2014, holders of Class A Stock held 16.5%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October 16, 2014:</w:t>
      </w:r>
    </w:p>
    <w:p>
      <w:pPr>
        <w:spacing w:after="0" w:line="232" w:lineRule="exact"/>
        <w:rPr>
          <w:sz w:val="20"/>
          <w:szCs w:val="20"/>
          <w:color w:val="auto"/>
        </w:rPr>
      </w:pPr>
    </w:p>
    <w:p>
      <w:pPr>
        <w:jc w:val="both"/>
        <w:ind w:left="660" w:hanging="328"/>
        <w:spacing w:after="0" w:line="25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10.2% of our outstanding shares of Common Stock, assuming conversion of their Class A Stock into Common Stock and the exercise of all options held by such persons which are exercisable within 60 days of October 16, 2014, and 22.1% of the combined voting power of our outstanding shares of Common Stock and Class A Stock, assuming the exercise of all options held by such persons which are exercisable within 60 days of October 16, 2014; and</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five largest shareholders plus Dr. Schleifer, our Chief Executive Officer, beneficially owned approximately 48.0% of our outstanding shares of Common Stock, assuming, in the case of our Chief Executive Officer, the conversion of his Class A Stock into Common Stock and the exercise of all options held by him which are exercisable within 60 days of October 16, 2014. In addition, these five shareholders plus our Chief Executive Officer held approximately 53.7% of the combined voting power of our outstanding shares of Common Stock and Class A Stock, assuming the exercise of all options held by our Chief Executive Officer which are exercisable within 60 days of October 16, 2014.</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30"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then outstanding shares or voting rights of Common Stock and Class A Stock (taken together), and new equity compensation plans or amendments if not materially consistent with our historical equity compensation practices.</w:t>
      </w:r>
    </w:p>
    <w:p>
      <w:pPr>
        <w:spacing w:after="0" w:line="24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In addition, upon Sanofi reaching 20% ownership of our then outstanding shares of Class A Stock and Common Stock (taken together),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Sanofi maintains an equity interest in us that is the lower of (i) the highest percentage ownership Sanofi attains following its acquisition of 20% of our then outstanding shares of Class A Stock and Common Stock (taken together) and (ii) 25% of our then outstanding shares of Class A Stock and Common Stock (taken together). This designee is required to be "independent" of our company, as determined under NASDAQ rules, and not to be a current or former officer, director, employee, or paid consultant of Sanofi. In April 2014, Sanofi notified us that it had reached the 20% ownership threshold and designated Robert A. Ingram as its designee. On April 4, 2014, following recommendation of the Corporate Governance and Compliance Committee, the board of directors elected Mr. Ingram as a director and a member of the Compensation Committee.</w:t>
      </w:r>
    </w:p>
    <w:p>
      <w:pPr>
        <w:spacing w:after="0" w:line="22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The convertible note hedges and warrant transactions we entered into in connection with our convertible senior notes issuance may affect the trading price of our Common Stock.</w:t>
      </w:r>
    </w:p>
    <w:p>
      <w:pPr>
        <w:spacing w:after="0" w:line="22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connection with our offering of our 1.875% convertible senior notes due October 1, 2016, we entered into convertible note hedge transactions with four financial institutions (the hedge counterparties), the purpose of which was to reduce the potential dilution to our Common Stock and/or offset potential cash payments in excess of the principal amount of the notes (as applicable) upon conversion of the notes. In the event that the hedge counterparties fail to deliver shares to us or potential cash payments (as applicable) as required under the convertible note hedge documents, we would not receive the benefit of such transactions. Separately, we also entered into warrant transactions with the hedge counterparties. The warrant transactions could separately have a dilutive effect from the issuance of Common Stock pursuant to the warrants.</w:t>
      </w:r>
    </w:p>
    <w:p>
      <w:pPr>
        <w:spacing w:after="0" w:line="23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hedging these transactions, the hedge counterparties and/or their affiliates may enter into various derivative transactions with respect to our Common Stock, and may enter into, or may unwind, various derivative transactions and/or purchase or sell our Common Stock or other securities of ours in secondary market transactions prior to maturity of the notes (and are likely to do so during any conversion period related to any conversion of the notes). These activities could have the effect of increasing or preventing a decline in, or could have a negative effect on, the value of our Common Stock and could have the effect of increasing or preventing a decline in the value of our Common Stock during any cash settlement averaging period related to a conversion of the notes.</w:t>
      </w:r>
    </w:p>
    <w:p>
      <w:pPr>
        <w:spacing w:after="0" w:line="24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we intend to exercise options under the convertible note hedge transactions whenever notes are converted. In order to unwind their hedge position with respect to the options we exercise, the hedge counterparties and/or their affiliates may sell shares of our Common Stock or other securities in secondary market transactions or unwind various derivative transactions with respect to our Common Stock during the cash settlement averaging period for the converted notes. The effect, if any, of any of these transactions and activities on the trading price of our Common Stock or the notes will depend in part on market conditions and cannot be ascertained at this time, but any of these activities could adversely affect the value of our Common Stock and the value of the notes. The derivative transactions that the hedge counterparties and/or their affiliates expect to enter into to hedge these transactions may include cash-settled equity swaps referenced to our Common Stock. In certain circumstances, the hedge counterparties and/or their affiliates may have derivative positions that, when combined with the hedge counterparties' and their affiliates' ownership of our Common Stock, if any, would give them economic exposure to the return on a significant number of shares of our Common Stock.</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30"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59"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and our convertible senior notes and related warrant and hedge transactions, could deter, delay, or prevent an acquisition or other "change in control" of us and could adversely affect the price of our Common Stock.</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r>
        <w:rPr>
          <w:rFonts w:ascii="Arial" w:cs="Arial" w:eastAsia="Arial" w:hAnsi="Arial"/>
          <w:sz w:val="18"/>
          <w:szCs w:val="18"/>
          <w:color w:val="auto"/>
        </w:rPr>
        <w:t>"</w:t>
      </w:r>
    </w:p>
    <w:p>
      <w:pPr>
        <w:spacing w:after="0" w:line="109"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spacing w:after="0" w:line="5" w:lineRule="exact"/>
        <w:rPr>
          <w:sz w:val="20"/>
          <w:szCs w:val="20"/>
          <w:color w:val="auto"/>
        </w:rPr>
      </w:pPr>
    </w:p>
    <w:p>
      <w:pPr>
        <w:jc w:val="both"/>
        <w:ind w:firstLine="8"/>
        <w:spacing w:after="0" w:line="277" w:lineRule="auto"/>
        <w:tabs>
          <w:tab w:leader="none" w:pos="31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date of any issuance of shares of Common Stock by us that would result in another party’s having more than 10% of the voting power of our then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2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Similarly, under our 2014 PDGFR-beta license and collaboration agreement with Bayer HealthCare, Bayer HealthCare is prohibited from seeking to influence the control of our company or acquiring more than 20% of our then outstanding Class A Stock and Common Stock (taken together). This prohibition will remain in place until the earliest of (i) the fifth anniversary of the expiration or earlier termination of the agreement; (ii) the public announcement of a tender offer, exchange offer, or other proposal that would constitute a change of control of our company; (iii) the acquisition (other than by Dr. Schleifer or his affiliates) of more than 20% of the voting power of our then outstanding Class A Stock and Common Stock (taken together); (iv) the issuance of shares of capital stock to another party (other than to an underwriter in a public offering) that would result in such party's having more than 7% of the voting power of our then outstanding Class A Stock and Common Stock (taken together) unless such third party enters into a standstill agreement containing terms substantially similar to the standstill obligations of Bayer HealthCare; (v) other specified events, such as a liquidation or dissolution of our company.</w:t>
      </w:r>
    </w:p>
    <w:p>
      <w:pPr>
        <w:spacing w:after="0" w:line="2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holders of our convertible senior notes have fundamental change purchase rights, which require us to purchase all or a portion of their notes upon the occurrence of a fundamental change, as defined in the indenture governing the notes. In addition, the indenture contains provisions requiring an increase to the conversion rate for conversions in connection with make-whole fundamental changes. These rights and provisions may in certain circumstances delay or prevent a takeover of us and the removal of incumbent management that might otherwise be beneficial to investors. In addition, upon the occurrence of certain extraordinary events, the hedge transactions would be exercised upon the conversion of notes, and the warrant transactions may be terminated. It is possible that the proceeds we receive upon the exercise of the convertible note hedge transactions would be significantly lower than the amounts we would be required to pay upon termination of the warrant transactions. Such differences may result in the acquisition of us being on terms less favorable to our shareholders than it would otherwise be.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30"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provide for severance benefits in the event of termination as a result of a change in control of our company. Also, stock options issued under our Second Amended and Restated 2000 Long-Term Incentive Plan and our 2014 Long-Term Incentive Plan may become fully vested in connection with a "change in control" of our company, as defined in the plans. Further, under the amended and restated investor agreement between us and Sanofi, we are required under certain circumstances to appoint an individual agreed upon by us and Sanofi to our board of directors, as described above under "</w:t>
      </w:r>
      <w:r>
        <w:rPr>
          <w:rFonts w:ascii="Arial" w:cs="Arial" w:eastAsia="Arial" w:hAnsi="Arial"/>
          <w:sz w:val="17"/>
          <w:szCs w:val="17"/>
          <w:i w:val="1"/>
          <w:iCs w:val="1"/>
          <w:color w:val="auto"/>
        </w:rPr>
        <w:t>Our existing shareholders may be able to exert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influence over matters requiring shareholder approval and over our management</w:t>
      </w:r>
      <w:r>
        <w:rPr>
          <w:rFonts w:ascii="Arial" w:cs="Arial" w:eastAsia="Arial" w:hAnsi="Arial"/>
          <w:sz w:val="17"/>
          <w:szCs w:val="17"/>
          <w:color w:val="auto"/>
        </w:rPr>
        <w:t>." These contractual provisions may also have the effect of deterring,</w:t>
      </w:r>
      <w:r>
        <w:rPr>
          <w:rFonts w:ascii="Arial" w:cs="Arial" w:eastAsia="Arial" w:hAnsi="Arial"/>
          <w:sz w:val="17"/>
          <w:szCs w:val="17"/>
          <w:i w:val="1"/>
          <w:iCs w:val="1"/>
          <w:color w:val="auto"/>
        </w:rPr>
        <w:t xml:space="preserve"> </w:t>
      </w:r>
      <w:r>
        <w:rPr>
          <w:rFonts w:ascii="Arial" w:cs="Arial" w:eastAsia="Arial" w:hAnsi="Arial"/>
          <w:sz w:val="17"/>
          <w:szCs w:val="17"/>
          <w:color w:val="auto"/>
        </w:rPr>
        <w:t>delaying, or preventing an acquisition or other change in control.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August 2014, we settled the conversion of $0.002 million principal amount of our 1.875% convertible senior notes through the payment of $0.002 million in cash (equal to the principal amount of the converted notes) and issuance of 17 shares of our Common Stock to the holder(s) of the notes surrendered for conversion. We had issued and sold the notes in October 2011 in a private placement in reliance on the exemption from registration provided by Section 4(2) of the Securities Act of 1933, as amended. In connection with this conversion, we exercised a proportionate amount of our convertible note hedges, as a result of which we received from our hedge counterparties 16 shares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Exhibits</w:t>
      </w:r>
    </w:p>
    <w:p>
      <w:pPr>
        <w:spacing w:after="0" w:line="28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9260" w:type="dxa"/>
            <w:vAlign w:val="bottom"/>
            <w:gridSpan w:val="3"/>
          </w:tcPr>
          <w:p>
            <w:pPr>
              <w:ind w:left="160"/>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8200" w:type="dxa"/>
            <w:vAlign w:val="bottom"/>
          </w:tcPr>
          <w:p>
            <w:pPr>
              <w:spacing w:after="0"/>
              <w:rPr>
                <w:sz w:val="4"/>
                <w:szCs w:val="4"/>
                <w:color w:val="auto"/>
              </w:rPr>
            </w:pPr>
          </w:p>
        </w:tc>
      </w:tr>
      <w:tr>
        <w:trPr>
          <w:trHeight w:val="250"/>
        </w:trPr>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31.1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w w:val="93"/>
              </w:rPr>
              <w:t>Certification of Principal Executive Officer pursuant to Rule 13a-14(a) under the Securities Exchange Act of 1934.</w:t>
            </w:r>
          </w:p>
        </w:tc>
      </w:tr>
      <w:tr>
        <w:trPr>
          <w:trHeight w:val="243"/>
        </w:trPr>
        <w:tc>
          <w:tcPr>
            <w:tcW w:w="58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100" w:type="dxa"/>
            <w:vAlign w:val="bottom"/>
            <w:gridSpan w:val="2"/>
          </w:tcPr>
          <w:p>
            <w:pPr>
              <w:ind w:left="620"/>
              <w:spacing w:after="0"/>
              <w:rPr>
                <w:sz w:val="20"/>
                <w:szCs w:val="20"/>
                <w:color w:val="auto"/>
              </w:rPr>
            </w:pPr>
            <w:r>
              <w:rPr>
                <w:rFonts w:ascii="Arial" w:cs="Arial" w:eastAsia="Arial" w:hAnsi="Arial"/>
                <w:sz w:val="18"/>
                <w:szCs w:val="18"/>
                <w:color w:val="auto"/>
                <w:w w:val="94"/>
              </w:rPr>
              <w:t>Certification of Principal Financial Officer pursuant to Rule 13a-14(a) under the Securities Exchange Act of 1934.</w:t>
            </w: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w w:val="97"/>
              </w:rPr>
              <w:t>Certification of Principal Executive Officer and Principal Financial Officer pursuant to 18 U.S.C. Section 1350.</w:t>
            </w:r>
          </w:p>
        </w:tc>
      </w:tr>
      <w:tr>
        <w:trPr>
          <w:trHeight w:val="243"/>
        </w:trPr>
        <w:tc>
          <w:tcPr>
            <w:tcW w:w="58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100" w:type="dxa"/>
            <w:vAlign w:val="bottom"/>
            <w:gridSpan w:val="2"/>
          </w:tcPr>
          <w:p>
            <w:pPr>
              <w:ind w:left="620"/>
              <w:spacing w:after="0"/>
              <w:rPr>
                <w:sz w:val="20"/>
                <w:szCs w:val="20"/>
                <w:color w:val="auto"/>
              </w:rPr>
            </w:pPr>
            <w:r>
              <w:rPr>
                <w:rFonts w:ascii="Arial" w:cs="Arial" w:eastAsia="Arial" w:hAnsi="Arial"/>
                <w:sz w:val="18"/>
                <w:szCs w:val="18"/>
                <w:color w:val="auto"/>
              </w:rPr>
              <w:t>Interactive Data File</w:t>
            </w: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6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XBRL Instance Document</w:t>
            </w:r>
          </w:p>
        </w:tc>
      </w:tr>
      <w:tr>
        <w:trPr>
          <w:trHeight w:val="243"/>
        </w:trPr>
        <w:tc>
          <w:tcPr>
            <w:tcW w:w="2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1"/>
                <w:szCs w:val="21"/>
                <w:color w:val="auto"/>
              </w:rPr>
            </w:pPr>
          </w:p>
        </w:tc>
        <w:tc>
          <w:tcPr>
            <w:tcW w:w="9100" w:type="dxa"/>
            <w:vAlign w:val="bottom"/>
            <w:gridSpan w:val="2"/>
          </w:tcPr>
          <w:p>
            <w:pPr>
              <w:ind w:left="620"/>
              <w:spacing w:after="0"/>
              <w:rPr>
                <w:sz w:val="20"/>
                <w:szCs w:val="20"/>
                <w:color w:val="auto"/>
              </w:rPr>
            </w:pPr>
            <w:r>
              <w:rPr>
                <w:rFonts w:ascii="Arial" w:cs="Arial" w:eastAsia="Arial" w:hAnsi="Arial"/>
                <w:sz w:val="18"/>
                <w:szCs w:val="18"/>
                <w:color w:val="auto"/>
              </w:rPr>
              <w:t>XBRL Taxonomy Extension Schema</w:t>
            </w: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6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XBRL Taxonomy Extension Calculation Linkbase</w:t>
            </w:r>
          </w:p>
        </w:tc>
      </w:tr>
      <w:tr>
        <w:trPr>
          <w:trHeight w:val="243"/>
        </w:trPr>
        <w:tc>
          <w:tcPr>
            <w:tcW w:w="2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1"/>
                <w:szCs w:val="21"/>
                <w:color w:val="auto"/>
              </w:rPr>
            </w:pPr>
          </w:p>
        </w:tc>
        <w:tc>
          <w:tcPr>
            <w:tcW w:w="9100" w:type="dxa"/>
            <w:vAlign w:val="bottom"/>
            <w:gridSpan w:val="2"/>
          </w:tcPr>
          <w:p>
            <w:pPr>
              <w:ind w:left="620"/>
              <w:spacing w:after="0"/>
              <w:rPr>
                <w:sz w:val="20"/>
                <w:szCs w:val="20"/>
                <w:color w:val="auto"/>
              </w:rPr>
            </w:pPr>
            <w:r>
              <w:rPr>
                <w:rFonts w:ascii="Arial" w:cs="Arial" w:eastAsia="Arial" w:hAnsi="Arial"/>
                <w:sz w:val="18"/>
                <w:szCs w:val="18"/>
                <w:color w:val="auto"/>
              </w:rPr>
              <w:t>XBRL Taxonomy Extension Definition Document</w:t>
            </w: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6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XBRL Taxonomy Extension Label Linkbase</w:t>
            </w:r>
          </w:p>
        </w:tc>
      </w:tr>
      <w:tr>
        <w:trPr>
          <w:trHeight w:val="243"/>
        </w:trPr>
        <w:tc>
          <w:tcPr>
            <w:tcW w:w="2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1"/>
                <w:szCs w:val="21"/>
                <w:color w:val="auto"/>
              </w:rPr>
            </w:pPr>
          </w:p>
        </w:tc>
        <w:tc>
          <w:tcPr>
            <w:tcW w:w="9100" w:type="dxa"/>
            <w:vAlign w:val="bottom"/>
            <w:gridSpan w:val="2"/>
          </w:tcPr>
          <w:p>
            <w:pPr>
              <w:ind w:left="6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30"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REGENERON PHARMACEUTICALS, INC.</w:t>
      </w:r>
    </w:p>
    <w:p>
      <w:pPr>
        <w:spacing w:after="0" w:line="387" w:lineRule="exact"/>
        <w:rPr>
          <w:sz w:val="20"/>
          <w:szCs w:val="20"/>
          <w:color w:val="auto"/>
        </w:rPr>
      </w:pPr>
    </w:p>
    <w:p>
      <w:pPr>
        <w:ind w:left="40"/>
        <w:spacing w:after="0"/>
        <w:tabs>
          <w:tab w:leader="none" w:pos="700" w:val="left"/>
          <w:tab w:leader="none" w:pos="426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Robert E. Landry</w:t>
      </w:r>
    </w:p>
    <w:p>
      <w:pPr>
        <w:spacing w:after="0" w:line="19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Senior Vice President, Finance and</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3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7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8"/>
          <w:szCs w:val="18"/>
          <w:color w:val="auto"/>
        </w:rPr>
        <w:t>Date: November 4, 2014</w:t>
      </w:r>
      <w:r>
        <w:rPr>
          <w:sz w:val="20"/>
          <w:szCs w:val="20"/>
          <w:color w:val="auto"/>
        </w:rPr>
        <w:tab/>
      </w:r>
      <w:r>
        <w:rPr>
          <w:rFonts w:ascii="Arial" w:cs="Arial" w:eastAsia="Arial" w:hAnsi="Arial"/>
          <w:sz w:val="16"/>
          <w:szCs w:val="16"/>
          <w:u w:val="single" w:color="auto"/>
          <w:color w:val="auto"/>
        </w:rPr>
        <w:t>/s/ Leonard S. Schleifer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17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8"/>
          <w:szCs w:val="18"/>
          <w:color w:val="auto"/>
        </w:rPr>
        <w:t>Date: November 4, 2014</w:t>
      </w:r>
      <w:r>
        <w:rPr>
          <w:sz w:val="20"/>
          <w:szCs w:val="20"/>
          <w:color w:val="auto"/>
        </w:rPr>
        <w:tab/>
      </w:r>
      <w:r>
        <w:rPr>
          <w:rFonts w:ascii="Arial" w:cs="Arial" w:eastAsia="Arial" w:hAnsi="Arial"/>
          <w:sz w:val="16"/>
          <w:szCs w:val="16"/>
          <w:u w:val="single" w:color="auto"/>
          <w:color w:val="auto"/>
        </w:rPr>
        <w:t>/s/ 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connection with the Quarterly Report of Regeneron Pharmaceuticals, Inc. (the "Company") on Form 10-Q for the quarterly period ended September 30, 2014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1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Leonard S. Schleifer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4, 2014</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4, 2014</w:t>
      </w:r>
    </w:p>
    <w:sectPr>
      <w:pgSz w:w="11900" w:h="16838" w:orient="portrait"/>
      <w:cols w:equalWidth="0" w:num="1">
        <w:col w:w="11420"/>
      </w:cols>
      <w:pgMar w:left="240" w:top="6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upperLetter"/>
      <w:start w:val="24"/>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3"/>
    </w:lvl>
  </w:abstractNum>
  <w:abstractNum w:abstractNumId="3">
    <w:nsid w:val="6B68079A"/>
    <w:multiLevelType w:val="hybridMultilevel"/>
    <w:lvl w:ilvl="0">
      <w:lvlJc w:val="left"/>
      <w:lvlText w:val="%1."/>
      <w:numFmt w:val="decimal"/>
      <w:start w:val="1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Ÿ"/>
      <w:numFmt w:val="bullet"/>
      <w:start w:val="1"/>
    </w:lvl>
  </w:abstractNum>
  <w:abstractNum w:abstractNumId="10">
    <w:nsid w:val="257130A3"/>
    <w:multiLevelType w:val="hybridMultilevel"/>
    <w:lvl w:ilvl="0">
      <w:lvlJc w:val="left"/>
      <w:lvlText w:val="Ÿ"/>
      <w:numFmt w:val="bullet"/>
      <w:start w:val="1"/>
    </w:lvl>
  </w:abstractNum>
  <w:abstractNum w:abstractNumId="11">
    <w:nsid w:val="62BBD95A"/>
    <w:multiLevelType w:val="hybridMultilevel"/>
    <w:lvl w:ilvl="0">
      <w:lvlJc w:val="left"/>
      <w:lvlText w:val="Ÿ"/>
      <w:numFmt w:val="bullet"/>
      <w:start w:val="1"/>
    </w:lvl>
  </w:abstractNum>
  <w:abstractNum w:abstractNumId="12">
    <w:nsid w:val="436C6125"/>
    <w:multiLevelType w:val="hybridMultilevel"/>
    <w:lvl w:ilvl="0">
      <w:lvlJc w:val="left"/>
      <w:lvlText w:val="Ÿ"/>
      <w:numFmt w:val="bullet"/>
      <w:start w:val="1"/>
    </w:lvl>
  </w:abstractNum>
  <w:abstractNum w:abstractNumId="13">
    <w:nsid w:val="628C895D"/>
    <w:multiLevelType w:val="hybridMultilevel"/>
    <w:lvl w:ilvl="0">
      <w:lvlJc w:val="left"/>
      <w:lvlText w:val="Ÿ"/>
      <w:numFmt w:val="bullet"/>
      <w:start w:val="1"/>
    </w:lvl>
  </w:abstractNum>
  <w:abstractNum w:abstractNumId="14">
    <w:nsid w:val="333AB105"/>
    <w:multiLevelType w:val="hybridMultilevel"/>
    <w:lvl w:ilvl="0">
      <w:lvlJc w:val="left"/>
      <w:lvlText w:val="(%1)"/>
      <w:numFmt w:val="decimal"/>
    </w:lvl>
    <w:lvl w:ilvl="1">
      <w:lvlJc w:val="left"/>
      <w:lvlText w:val="*"/>
      <w:numFmt w:val="bullet"/>
      <w:start w:val="1"/>
    </w:lvl>
  </w:abstractNum>
  <w:abstractNum w:abstractNumId="15">
    <w:nsid w:val="721DA317"/>
    <w:multiLevelType w:val="hybridMultilevel"/>
    <w:lvl w:ilvl="0">
      <w:lvlJc w:val="left"/>
      <w:lvlText w:val="(%1)"/>
      <w:numFmt w:val="decimal"/>
    </w:lvl>
    <w:lvl w:ilvl="1">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lowerRoman"/>
      <w:start w:val="4"/>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2019-12-06T03:50:39Z</dcterms:created>
  <dcterms:modified xsi:type="dcterms:W3CDTF">2019-12-06T03:50:39Z</dcterms:modified>
</cp:coreProperties>
</file>