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2025</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15, 2025:</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106,148,351</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1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w:t>
      </w:r>
    </w:p>
    <w:p>
      <w:pPr>
        <w:jc w:val="both"/>
        <w:ind w:right="20"/>
        <w:spacing w:after="0" w:line="188" w:lineRule="auto"/>
        <w:rPr>
          <w:sz w:val="20"/>
          <w:szCs w:val="20"/>
          <w:color w:val="auto"/>
        </w:rPr>
      </w:pPr>
      <w:r>
        <w:rPr>
          <w:rFonts w:ascii="Times New Roman" w:cs="Times New Roman" w:eastAsia="Times New Roman" w:hAnsi="Times New Roman"/>
          <w:sz w:val="17"/>
          <w:szCs w:val="17"/>
          <w:color w:val="auto"/>
        </w:rPr>
        <w:t>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1333500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0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71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Borders>
              <w:bottom w:val="single" w:sz="8" w:color="CCEEFF"/>
            </w:tcBorders>
          </w:tcPr>
          <w:p>
            <w:pPr>
              <w:spacing w:after="0"/>
              <w:rPr>
                <w:sz w:val="20"/>
                <w:szCs w:val="20"/>
                <w:color w:val="auto"/>
              </w:rPr>
            </w:pPr>
          </w:p>
        </w:tc>
        <w:tc>
          <w:tcPr>
            <w:tcW w:w="7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160" w:type="dxa"/>
            <w:vAlign w:val="bottom"/>
            <w:shd w:val="clear" w:color="auto" w:fill="CCEEFF"/>
          </w:tcPr>
          <w:p>
            <w:pPr>
              <w:spacing w:after="0"/>
              <w:rPr>
                <w:sz w:val="18"/>
                <w:szCs w:val="18"/>
                <w:color w:val="auto"/>
              </w:rPr>
            </w:pPr>
          </w:p>
        </w:tc>
        <w:tc>
          <w:tcPr>
            <w:tcW w:w="71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r>
      <w:tr>
        <w:trPr>
          <w:trHeight w:val="203"/>
        </w:trPr>
        <w:tc>
          <w:tcPr>
            <w:tcW w:w="82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8,900.1</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116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203"/>
        </w:trPr>
        <w:tc>
          <w:tcPr>
            <w:tcW w:w="82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8,405.8</w:t>
            </w:r>
          </w:p>
        </w:tc>
      </w:tr>
      <w:tr>
        <w:trPr>
          <w:trHeight w:val="142"/>
        </w:trPr>
        <w:tc>
          <w:tcPr>
            <w:tcW w:w="1160" w:type="dxa"/>
            <w:vAlign w:val="bottom"/>
            <w:shd w:val="clear" w:color="auto" w:fill="CCEEFF"/>
          </w:tcPr>
          <w:p>
            <w:pPr>
              <w:spacing w:after="0"/>
              <w:rPr>
                <w:sz w:val="12"/>
                <w:szCs w:val="12"/>
                <w:color w:val="auto"/>
              </w:rPr>
            </w:pPr>
          </w:p>
        </w:tc>
        <w:tc>
          <w:tcPr>
            <w:tcW w:w="7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 in 2025 and 2024</w:t>
            </w: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- 136.1 in 2025 and 136.0 in</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29.7 shares in 2025 and 28.2 shares in 2024</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114"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69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3,145.0</w:t>
            </w:r>
          </w:p>
        </w:tc>
      </w:tr>
      <w:tr>
        <w:trPr>
          <w:trHeight w:val="196"/>
        </w:trPr>
        <w:tc>
          <w:tcPr>
            <w:tcW w:w="6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69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w:t>
            </w:r>
          </w:p>
        </w:tc>
      </w:tr>
      <w:tr>
        <w:trPr>
          <w:trHeight w:val="196"/>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r>
      <w:tr>
        <w:trPr>
          <w:trHeight w:val="216"/>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196"/>
        </w:trPr>
        <w:tc>
          <w:tcPr>
            <w:tcW w:w="6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r>
      <w:tr>
        <w:trPr>
          <w:trHeight w:val="216"/>
        </w:trPr>
        <w:tc>
          <w:tcPr>
            <w:tcW w:w="6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196"/>
        </w:trPr>
        <w:tc>
          <w:tcPr>
            <w:tcW w:w="6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6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(Loss) gain on foreign currency translation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45720</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369" w:right="10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$12,855.9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$31,672.9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$(15,167.4)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13,192.1</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32,384.4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(16,218.1)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$11,354.0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11,942.6</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27,982.3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(12,856.7)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(5,657.5)</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4,132.2</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19685</wp:posOffset>
            </wp:positionV>
            <wp:extent cx="7029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76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Standard/Description</w:t>
            </w:r>
          </w:p>
        </w:tc>
        <w:tc>
          <w:tcPr>
            <w:tcW w:w="23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38"/>
        </w:trPr>
        <w:tc>
          <w:tcPr>
            <w:tcW w:w="5760" w:type="dxa"/>
            <w:vAlign w:val="bottom"/>
            <w:gridSpan w:val="2"/>
            <w:vMerge w:val="continue"/>
          </w:tcPr>
          <w:p>
            <w:pPr>
              <w:spacing w:after="0"/>
              <w:rPr>
                <w:sz w:val="20"/>
                <w:szCs w:val="20"/>
                <w:color w:val="auto"/>
              </w:rPr>
            </w:pPr>
          </w:p>
        </w:tc>
        <w:tc>
          <w:tcPr>
            <w:tcW w:w="23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174"/>
        </w:trPr>
        <w:tc>
          <w:tcPr>
            <w:tcW w:w="56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ASU 2023-09: In December 2023, the FASB issued amended guidance</w:t>
            </w: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January 1, 2025</w:t>
            </w:r>
          </w:p>
        </w:tc>
        <w:tc>
          <w:tcPr>
            <w:tcW w:w="100" w:type="dxa"/>
            <w:vAlign w:val="bottom"/>
            <w:tcBorders>
              <w:top w:val="single" w:sz="8" w:color="CCEEFF"/>
            </w:tcBorders>
            <w:shd w:val="clear" w:color="auto" w:fill="CCEEFF"/>
          </w:tcPr>
          <w:p>
            <w:pPr>
              <w:spacing w:after="0"/>
              <w:rPr>
                <w:sz w:val="15"/>
                <w:szCs w:val="15"/>
                <w:color w:val="auto"/>
              </w:rPr>
            </w:pPr>
          </w:p>
        </w:tc>
        <w:tc>
          <w:tcPr>
            <w:tcW w:w="31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 significant impact expected</w:t>
            </w:r>
          </w:p>
        </w:tc>
        <w:tc>
          <w:tcPr>
            <w:tcW w:w="0" w:type="dxa"/>
            <w:vAlign w:val="bottom"/>
          </w:tcPr>
          <w:p>
            <w:pPr>
              <w:spacing w:after="0"/>
              <w:rPr>
                <w:sz w:val="1"/>
                <w:szCs w:val="1"/>
                <w:color w:val="auto"/>
              </w:rPr>
            </w:pPr>
          </w:p>
        </w:tc>
      </w:tr>
      <w:tr>
        <w:trPr>
          <w:trHeight w:val="184"/>
        </w:trPr>
        <w:tc>
          <w:tcPr>
            <w:tcW w:w="57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 xml:space="preserve">related to improvements to </w:t>
            </w:r>
            <w:r>
              <w:rPr>
                <w:rFonts w:ascii="Times New Roman" w:cs="Times New Roman" w:eastAsia="Times New Roman" w:hAnsi="Times New Roman"/>
                <w:sz w:val="18"/>
                <w:szCs w:val="18"/>
                <w:b w:val="1"/>
                <w:bCs w:val="1"/>
                <w:color w:val="auto"/>
              </w:rPr>
              <w:t>income tax disclosures</w:t>
            </w:r>
            <w:r>
              <w:rPr>
                <w:rFonts w:ascii="Times New Roman" w:cs="Times New Roman" w:eastAsia="Times New Roman" w:hAnsi="Times New Roman"/>
                <w:sz w:val="18"/>
                <w:szCs w:val="18"/>
                <w:color w:val="auto"/>
              </w:rPr>
              <w:t>. The amendments</w:t>
            </w: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require annually (i) enhanced disclosures in connection with an entity's</w:t>
            </w: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effective tax rate reconciliation and (ii) income taxes paid disaggregated by</w:t>
            </w: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jurisdiction.</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8"/>
          <w:szCs w:val="18"/>
          <w:color w:val="auto"/>
        </w:rPr>
        <w:t>ASU 2024-03: In November 2024, the FASB issued new guidance which</w:t>
      </w:r>
    </w:p>
    <w:p>
      <w:pPr>
        <w:spacing w:after="0" w:line="1" w:lineRule="exact"/>
        <w:rPr>
          <w:sz w:val="20"/>
          <w:szCs w:val="20"/>
          <w:color w:val="auto"/>
        </w:rPr>
      </w:pPr>
    </w:p>
    <w:p>
      <w:pPr>
        <w:ind w:left="180"/>
        <w:spacing w:after="0" w:line="208" w:lineRule="auto"/>
        <w:rPr>
          <w:sz w:val="20"/>
          <w:szCs w:val="20"/>
          <w:color w:val="auto"/>
        </w:rPr>
      </w:pPr>
      <w:r>
        <w:rPr>
          <w:rFonts w:ascii="Times New Roman" w:cs="Times New Roman" w:eastAsia="Times New Roman" w:hAnsi="Times New Roman"/>
          <w:sz w:val="18"/>
          <w:szCs w:val="18"/>
          <w:color w:val="auto"/>
        </w:rPr>
        <w:t xml:space="preserve">requires disclosure of </w:t>
      </w:r>
      <w:r>
        <w:rPr>
          <w:rFonts w:ascii="Times New Roman" w:cs="Times New Roman" w:eastAsia="Times New Roman" w:hAnsi="Times New Roman"/>
          <w:sz w:val="18"/>
          <w:szCs w:val="18"/>
          <w:b w:val="1"/>
          <w:bCs w:val="1"/>
          <w:color w:val="auto"/>
        </w:rPr>
        <w:t>disaggregated income statement expense</w:t>
      </w:r>
      <w:r>
        <w:rPr>
          <w:rFonts w:ascii="Times New Roman" w:cs="Times New Roman" w:eastAsia="Times New Roman" w:hAnsi="Times New Roman"/>
          <w:sz w:val="18"/>
          <w:szCs w:val="18"/>
          <w:color w:val="auto"/>
        </w:rPr>
        <w:t xml:space="preserve"> information about specific categories (including purchases of inventory, employee compensation, depreciation, and intangible asset amortization) in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notes to financial statements.</w:t>
      </w:r>
    </w:p>
    <w:p>
      <w:pPr>
        <w:spacing w:after="0" w:line="20" w:lineRule="exact"/>
        <w:rPr>
          <w:sz w:val="20"/>
          <w:szCs w:val="20"/>
          <w:color w:val="auto"/>
        </w:rPr>
      </w:pPr>
      <w:r>
        <w:rPr>
          <w:sz w:val="20"/>
          <w:szCs w:val="20"/>
          <w:color w:val="auto"/>
        </w:rPr>
        <w:br w:type="column"/>
      </w: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January 1, 2027 for annual</w:t>
      </w:r>
      <w:r>
        <w:rPr>
          <w:sz w:val="20"/>
          <w:szCs w:val="20"/>
          <w:color w:val="auto"/>
        </w:rPr>
        <w:tab/>
      </w:r>
      <w:r>
        <w:rPr>
          <w:rFonts w:ascii="Times New Roman" w:cs="Times New Roman" w:eastAsia="Times New Roman" w:hAnsi="Times New Roman"/>
          <w:sz w:val="17"/>
          <w:szCs w:val="17"/>
          <w:color w:val="auto"/>
        </w:rPr>
        <w:t>Currently evaluating impact</w:t>
      </w:r>
    </w:p>
    <w:p>
      <w:pPr>
        <w:spacing w:after="0" w:line="204" w:lineRule="auto"/>
        <w:rPr>
          <w:sz w:val="20"/>
          <w:szCs w:val="20"/>
          <w:color w:val="auto"/>
        </w:rPr>
      </w:pPr>
      <w:r>
        <w:rPr>
          <w:rFonts w:ascii="Times New Roman" w:cs="Times New Roman" w:eastAsia="Times New Roman" w:hAnsi="Times New Roman"/>
          <w:sz w:val="18"/>
          <w:szCs w:val="18"/>
          <w:color w:val="auto"/>
        </w:rPr>
        <w:t>reporting periods and January</w:t>
      </w:r>
    </w:p>
    <w:p>
      <w:pPr>
        <w:spacing w:after="0" w:line="203" w:lineRule="auto"/>
        <w:rPr>
          <w:sz w:val="20"/>
          <w:szCs w:val="20"/>
          <w:color w:val="auto"/>
        </w:rPr>
      </w:pPr>
      <w:r>
        <w:rPr>
          <w:rFonts w:ascii="Times New Roman" w:cs="Times New Roman" w:eastAsia="Times New Roman" w:hAnsi="Times New Roman"/>
          <w:sz w:val="18"/>
          <w:szCs w:val="18"/>
          <w:color w:val="auto"/>
        </w:rPr>
        <w:t>1, 2028 for interim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389" w:lineRule="exact"/>
        <w:rPr>
          <w:sz w:val="20"/>
          <w:szCs w:val="20"/>
          <w:color w:val="auto"/>
        </w:rPr>
      </w:pPr>
    </w:p>
    <w:p>
      <w:pPr>
        <w:sectPr>
          <w:pgSz w:w="11900" w:h="16838" w:orient="portrait"/>
          <w:cols w:equalWidth="0" w:num="2">
            <w:col w:w="5620" w:space="160"/>
            <w:col w:w="5460"/>
          </w:cols>
          <w:pgMar w:left="320" w:top="369" w:right="33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2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9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r>
      <w:tr>
        <w:trPr>
          <w:trHeight w:val="22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Global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1,761.3</w:t>
            </w:r>
          </w:p>
        </w:tc>
      </w:tr>
      <w:tr>
        <w:trPr>
          <w:trHeight w:val="21"/>
        </w:trPr>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$3.760 billion and $4.278 billion, respectively, of trade accounts receivable that were recorded within 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Sales to each of these customers as a percentage of the Company's total gross product revenue are as follows:</w:t>
      </w:r>
    </w:p>
    <w:p>
      <w:pPr>
        <w:spacing w:after="0" w:line="249"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49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3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March 31, 2025, the Company's contingent reimbursement obligation to Sanofi in connection with the development balance was approximately $1.453 billion.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The parties equally share profits from sales within the United States. The parties share profits outside the United States on a sliding scale based on sales starting at 65% (Sanofi)/35% (Regeneron) and ending at 55% (Sanofi)/45% (Regeneron).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r>
      <w:tr>
        <w:trPr>
          <w:trHeight w:val="25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18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105.8</w:t>
            </w:r>
          </w:p>
        </w:tc>
      </w:tr>
      <w:tr>
        <w:trPr>
          <w:trHeight w:val="176"/>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 R&amp;D expenses,</w:t>
            </w:r>
          </w:p>
        </w:tc>
        <w:tc>
          <w:tcPr>
            <w:tcW w:w="3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reimbursement of R&amp;D expenses</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commercialization-related expenses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SG&amp;A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139.5</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6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0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 R&amp;D expenses,</w:t>
            </w:r>
          </w:p>
        </w:tc>
        <w:tc>
          <w:tcPr>
            <w:tcW w:w="3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reimbursement of R&amp;D expenses</w:t>
            </w:r>
          </w:p>
        </w:tc>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various other collaboration and license agreements that are not individually significant to its operating results or financial condition at this time. Pursuant to the terms of those agreements, the Company may (i) incur, and/or get reimbursed for, research and development costs, and/or (ii) be required to pay, and/or may receive, additional amounts contingent upon the occurrence of various future events (e.g., upon the achievement of various development and commercial milestones), which in the aggregate could be significant.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p>
      <w:pPr>
        <w:spacing w:after="0" w:line="225"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8"/>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70"/>
        </w:trPr>
        <w:tc>
          <w:tcPr>
            <w:tcW w:w="4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46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28"/>
        </w:trPr>
        <w:tc>
          <w:tcPr>
            <w:tcW w:w="228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6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60" w:type="dxa"/>
            <w:vAlign w:val="bottom"/>
          </w:tcPr>
          <w:p>
            <w:pPr>
              <w:spacing w:after="0"/>
              <w:rPr>
                <w:sz w:val="19"/>
                <w:szCs w:val="19"/>
                <w:color w:val="auto"/>
              </w:rPr>
            </w:pPr>
          </w:p>
        </w:tc>
      </w:tr>
      <w:tr>
        <w:trPr>
          <w:trHeight w:val="234"/>
        </w:trPr>
        <w:tc>
          <w:tcPr>
            <w:tcW w:w="22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0"/>
                <w:szCs w:val="20"/>
                <w:color w:val="auto"/>
              </w:rPr>
            </w:pPr>
          </w:p>
        </w:tc>
      </w:tr>
      <w:tr>
        <w:trPr>
          <w:trHeight w:val="792"/>
        </w:trPr>
        <w:tc>
          <w:tcPr>
            <w:tcW w:w="67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March 31, 2025 and December 31, 2024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2025</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8,575.6</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3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March 31, 2025 mature at various dates through January 2030.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7,804.8</w:t>
            </w:r>
          </w:p>
        </w:tc>
      </w:tr>
      <w:tr>
        <w:trPr>
          <w:trHeight w:val="248"/>
        </w:trPr>
        <w:tc>
          <w:tcPr>
            <w:tcW w:w="4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by category and disaggregated by the length of time that the Company's available-for-sale debt securities have been in a continuous unrealized loss position.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8"/>
        </w:trPr>
        <w:tc>
          <w:tcPr>
            <w:tcW w:w="350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2025</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84"/>
        </w:trPr>
        <w:tc>
          <w:tcPr>
            <w:tcW w:w="35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4"/>
        </w:trPr>
        <w:tc>
          <w:tcPr>
            <w:tcW w:w="350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months ended March 31, 2025 and 2024, amounts reclassified from Accumulated other comprehensive income (loss) into Other income (expense), net were related to realized gains/losses on sales of available-for-sale debt securities. For the three months ended March 31, 2025 and 2024, realized gains/losses on sales of marketable securities were not material.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2025</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1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89"/>
        </w:trPr>
        <w:tc>
          <w:tcPr>
            <w:tcW w:w="42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9"/>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49" w:lineRule="exact"/>
        <w:rPr>
          <w:sz w:val="20"/>
          <w:szCs w:val="20"/>
          <w:color w:val="auto"/>
        </w:rPr>
      </w:pPr>
    </w:p>
    <w:p>
      <w:pPr>
        <w:ind w:left="200" w:right="580" w:hanging="5"/>
        <w:spacing w:after="0" w:line="204" w:lineRule="auto"/>
        <w:tabs>
          <w:tab w:leader="none" w:pos="359"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equity securities of $26.3 million and $43.2 million as of March 31, 2025 and December 31, 2024, respectively, that are subject to transfer restrictions expiring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classified the following investments within Other noncurrent assets:</w:t>
      </w:r>
    </w:p>
    <w:p>
      <w:pPr>
        <w:spacing w:after="0" w:line="144"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the Company had $316.8 million and $159.8 million, respectively, in equity securities that do not have a readily determinable fair value. The change in carrying value of such investments was a result of additional purchases.</w:t>
      </w: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the Company had equity securities held through ownership interest in an investment fund of $72.3 million and $52.0 million, respectively, which are measured at fair value based on Level 3 inputs.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$139.7 million of net unrealized gains and $196.2 million of net unrealized losses, respectively, on equity securities in Other income (expense),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$1.511 billion and $1.484 billion as of March 31, 2025 and December 31, 2024, respectively.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6"/>
        </w:trPr>
        <w:tc>
          <w:tcPr>
            <w:tcW w:w="2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80" w:type="dxa"/>
            <w:vAlign w:val="bottom"/>
          </w:tcPr>
          <w:p>
            <w:pPr>
              <w:spacing w:after="0"/>
              <w:rPr>
                <w:sz w:val="20"/>
                <w:szCs w:val="20"/>
                <w:color w:val="auto"/>
              </w:rPr>
            </w:pP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28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r>
      <w:tr>
        <w:trPr>
          <w:trHeight w:val="229"/>
        </w:trPr>
        <w:tc>
          <w:tcPr>
            <w:tcW w:w="228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228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2280" w:type="dxa"/>
            <w:vAlign w:val="bottom"/>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48"/>
        </w:trPr>
        <w:tc>
          <w:tcPr>
            <w:tcW w:w="22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0"/>
        </w:trPr>
        <w:tc>
          <w:tcPr>
            <w:tcW w:w="228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10.6% and (3.0%) for the three months ended March 31, 2025 and 2024, respectively. The Company's effective tax rate for the three months ended March 31, 2025 and 2024 was positively impacted, compared to the U.S. federal statutory rate, primarily by income earned in foreign jurisdictions with tax rates lower than the U.S. federal statutory rate and federal tax credits for research activities. The Company's effective tax rate for the three months ended March 31, 2024 was also positively impacted by stock-based compensation.</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2017 and 2018 federal income tax returns are currently under audit by the IRS, and the Company expects to be effectively settled with the IRS during the second quarter of 2025. The unrecognized tax benefits for the years under examination exceed the expected payment amount; therefore, the Company expects to recognize a net tax benefit upon conclusion of such examinations.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for up to $3.0 billion of the Company's Common Stock. In each of April 2024 and February 2025, the Company's board of directors authorized share repurchase programs for up to an additional $3.0 billion (up to $6.0 billion in the aggregate). The programs have no time limit and can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and the cost of such shares, which were recorded as Treasury Stock.</w:t>
      </w:r>
    </w:p>
    <w:p>
      <w:pPr>
        <w:spacing w:after="0" w:line="99"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8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tcBorders>
              <w:bottom w:val="single" w:sz="8" w:color="auto"/>
            </w:tcBorders>
          </w:tcPr>
          <w:p>
            <w:pPr>
              <w:spacing w:after="0"/>
              <w:rPr>
                <w:sz w:val="20"/>
                <w:szCs w:val="20"/>
                <w:color w:val="auto"/>
              </w:rPr>
            </w:pPr>
          </w:p>
        </w:tc>
      </w:tr>
      <w:tr>
        <w:trPr>
          <w:trHeight w:val="22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 aggregate of $3.874 billion remained available for share repurchases under the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Dividends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February 2025, the Company's board of directors declared the Company's first quarterly cash dividend. In March 2025, the Company paid a dividend of $0.88 per share on its Common Stock and Class A Stock to its shareholders.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in April 2025, the Company's board of directors declared a cash dividend of $0.88 per share on its Common Stock and Class A Stock. The dividend will be payable to shareholders in June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55"/>
        </w:trPr>
        <w:tc>
          <w:tcPr>
            <w:tcW w:w="64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2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21"/>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40"/>
        <w:spacing w:after="0" w:line="435" w:lineRule="auto"/>
        <w:rPr>
          <w:sz w:val="20"/>
          <w:szCs w:val="20"/>
          <w:color w:val="auto"/>
        </w:rPr>
      </w:pPr>
      <w:r>
        <w:rPr>
          <w:rFonts w:ascii="Times New Roman" w:cs="Times New Roman" w:eastAsia="Times New Roman" w:hAnsi="Times New Roman"/>
          <w:sz w:val="18"/>
          <w:szCs w:val="18"/>
          <w:color w:val="auto"/>
        </w:rPr>
        <w:t xml:space="preserve">Restricted cash consists of amounts held pursuant to contractual arrangements and for dividends payable on certain equity awards. </w:t>
      </w: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r>
      <w:tr>
        <w:trPr>
          <w:trHeight w:val="184"/>
        </w:trPr>
        <w:tc>
          <w:tcPr>
            <w:tcW w:w="3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r>
      <w:tr>
        <w:trPr>
          <w:trHeight w:val="810"/>
        </w:trPr>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Condensed Consolidated Statements of Operations, see below for disaggregated amounts that comprise research and development expenses:</w:t>
      </w:r>
    </w:p>
    <w:p>
      <w:pPr>
        <w:spacing w:after="0" w:line="108"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8"/>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70"/>
        </w:trPr>
        <w:tc>
          <w:tcPr>
            <w:tcW w:w="3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175"/>
        </w:trPr>
        <w:tc>
          <w:tcPr>
            <w:tcW w:w="38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Lab supplies and other research and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50"/>
        </w:trPr>
        <w:tc>
          <w:tcPr>
            <w:tcW w:w="3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70"/>
        </w:trPr>
        <w:tc>
          <w:tcPr>
            <w:tcW w:w="3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by collaborators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38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180" w:right="2080" w:firstLine="6"/>
        <w:spacing w:after="0" w:line="206" w:lineRule="auto"/>
        <w:tabs>
          <w:tab w:leader="none" w:pos="235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March 31, 2025 and December 31, 2024, the Company's accruals for loss contingencies were not material. There are certain loss contingencies that the Company deems reasonably possible for which the possible loss or range of possible loss is not estimable at this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the European Patent Office (the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Pharmaceuticals Inc. ("Mylan"), a wholly-owned subsidiary of Viatris Inc., in the United States District Court for the Northern District of West Virginia alleging that Mylan's filing for U.S. Food and Drug Administration ("FDA") approval of an aflibercept 2 mg biosimilar infringes certain Company patents. On June 5, 2023, Biocon Biologics Inc. ("Biocon"), as successor-in-interest to the aflibercept 2 mg biosimilar, was joined as a defendant to the lawsuit. A trial was held from June 12, 2023 through June 23, 2023 concerning certain claims of the '601 Patent, the '572 Patent, and the Company's U.S. Patent No. 11,084,865 (the "'865 Patent"). On December 27, 2023, the court issued a decision finding that (i) the asserted claims of the '865 Patent were valid and infringed by Mylan and Biocon and (ii) the asserted claims of the '601 and '572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June 21, 2024, Mylan and Biocon filed a notice of appeal of the court's December 27, 2023 and June 11, 2024 decisions to the Federal Circuit. An oral hearing concerning Mylan and Biocon's appeal was held on February 7, 2025. On April 14, 2025, the parties entered into a settlement agreement, pursuant to which Mylan and Biocon's appeal to the Federal Circuit and all related litigation have been dismissed and Biocon will be precluded from launching its aflibercept 2 mg biosimilar until the second half of 2026.</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Inc. ("Celltrion"), Samsung Bioepis Co., Ltd. ("Samsung Bioepis"), and Formycon AG ("Formycon")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 Bioepis's filing for FDA approval of an aflibercept 2 mg biosimilar infringes certain Company patents. On June 14, June 21, and June 28, 2024, respectively, the court granted the Company's motions for preliminary injunctions against Samsung Bioepis, Formycon, and Celltrion. On June 14, June 25, and July 8, 2024, respectively, Samsung Bioepis, Formycon, and Celltrion filed notices of appeal of the court's preliminary injunction decisions to the Federal Circuit. On January 29, 2025, the Federal Circuit affirmed the lower court's preliminary injunction decisions against Samsung Bioepis and Formycon; and on March 5, 2025, the Federal Circuit affirmed the lower court's preliminary injunction decision against Celltrion.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Inc. ("Amgen") in the United States District Court for the Central District of California alleging that Amgen's filing for FDA approval of an aflibercept 2 mg biosimilar infringes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June 7, 2024, the Company filed a motion for a preliminary injunction against Amgen. On September 23, 2024, the court denied the Company's motion for a preliminary injunction, and the Company filed (i) a notice of appeal of such decision to the Federal Circuit, (ii) a motion for an immediate administrative stay, and (iii) a motion for a temporary injunction preventing Amgen from launching its aflibercept 2 mg biosimilar during the pendency of such appeal. On September 25, 2024, the Federal Circuit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issued an administrative stay pending its review of the Company's temporary injunction motion. On October 22, 2024, the Federal Circuit denied the Company's temporary injunction motion and lifted the administrative stay. An expedited oral hearing concerning the Company's appeal of the court's preliminary injunction decision was held on January 14, 2025. On March 14, 2025, the Federal Circuit affirmed the lower court's preliminary injunction decision.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filed a patent infringement lawsuit against Sandoz Inc. ("Sandoz") in the United States District Court for the District of New Jersey alleging that Sandoz's filing for FDA approval of an aflibercept 2 mg biosimilar infringes certain Company patents. On September 12,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the USPTO</w:t>
      </w:r>
    </w:p>
    <w:p>
      <w:pPr>
        <w:spacing w:after="0" w:line="14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 xml:space="preserve">On November 20, 2024, November 29, 2024, and January 15, 2025, Samsung Bioepis, Formycon, and Celltrion, respectively,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'865 Patent, each seeking a declaration that the '865 Patent is invalid.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Post-Grant Proceedings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of the EPO. On November 26, 2024, following an oral hearing, the Opposition Division ("OD") of the EPO announced its decision to revoke the '306 Patent. On March 11, 2025, the Company appealed the OD's decision. An oral hearing concerning the '992 Patent has been scheduled for October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Country-Specific Proceedings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parties, including Samsung Bioepis and Formycon and/or their affiliated entities, are seeking revocation of the '306 Patent, the '992 Patent, and the Company's European Patent No. 2,364,691 (the "'691 Patent") and/or a declaration that its aflibercept 2 mg biosimilar would not infringe these patents in several European national courts (including those in Belgium, France, Germany, Italy, the Netherlands, and the United Kingdom). In the United Kingdom, the Company has filed a preemptive counterclaim against Formycon, Klinge Biopharma GmbH, and Samsung Bioepis UK Limited for infringement of the '306 Patent and the '691 Patent. In April 2025, the Company and Amgen entered into a settlement agreement, pursuant to which Amgen is no longer party to the United Kingdom proceedings. In Germany, a trial concerning the '691 Patent has been scheduled to begin in June 2025. In the United Kingdom, trials concerning the '691 and '306 Patents have been scheduled to begin in June 2025, and the '992 Patent proceedings are stayed pending resolution of the EPO proceedings concerning this patent. In the Netherlands, a trial concerning the '691 and '306 Patents has been scheduled to begin in July 2025.</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commenced proceedings in Belgium against various parties, including Amgen, Celltrion, Sterigenics (Petit-Rechain) NV, and Sandoz GmbH, for infringement of the Company's European Patent No. 1,183,353 (as extended by Supplementary Protection Certificate 2013C/029).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On May 7, 2024 and June 28, 2024, respectively, Amgen Canada filed a summary trial motion with respect to the '510 Patent and a motion to delist the '276 Patent from the Canada Patent Register. 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November 20, 2024, the court granted Amgen Canada's motion to delist the '276 Patent from the Canada Patent Register, which decision has been appealed by the Company and Bayer. A trial for the lawsuits concerning the '510 Patent and the '276 Patent has been scheduled for May–June 2025; and a trial for the lawsuits concerning the '315 Patent and the '193 Patent has been scheduled for August–September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Sandoz</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24, 2025, the Company, Bayer Inc., and Bayer Healthcare LLC filed patent infringement lawsuits against Sandoz Canada Inc. in the Federal Court of Canada seeking a declaration that the making, constructing, using, or selling of an aflibercept 2 mg biosimilar would directly or indirectly infringe one or more claims of the '510 Patent, the '276 Patent, the '495 Patent, the '768 Patent, the '193 Patent, the '315 Patent, and Canadian Patent No. 3,137,326 (the "'326 Patent"). A trial for the lawsuits concerning the '510 Patent, the '276 Patent, the '315 Patent, and the '326 Patent has been scheduled for October– November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2022, Samsung Bioepis initiated invalidation proceedings before the Intellectual Property Trial and Appeal Board of the Korean Intellectual Property Office ("KIPO") against the Company's Korean Patent No. 1406811 (the "'811 Patent"), seeking revocation of the '811 Patent in its entirety. On October 23, 2024, the KIPO maintained the '811 Patent as valid, and Samsung Bioepis appealed this decision on November 6, 2024.</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as applicable, Bayer Consumer Care AG, have also filed patent infringement lawsuits in the Seoul Central District Court against various parties including Samsung Bioepis and its parent company Samsung Biologics Co., Ltd. (collectively, "Samsung"), Sam Chun Dang Pharm. Co., Ltd. and OPTUS Pharmaceutical Co., Ltd, and Celltrion.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 On February 7, 2025, the Seoul Central District Court granted the Company's preliminary injunction request against Samsung on the basis of the '811 Patent; Samsung has appealed that decision. The preliminary injunction against Samsung prohibits Samsung from manufacturing and selling its aflibercept 2 mg biosimilar in South Korea. Also on February 7, 2025, the Seoul Central District Court denied Regeneron's preliminary injunction request against Celltrion; Regeneron has appealed that decision.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seeking a judgment that the defendants' conduct relating to Novartis's attempt to assert its U.S. Patent No. 9,220,631 against Regeneron in 2020 violated Sections 1 and 2 of the Sherman Antitrust Act of 1890, as amended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February 10, 2023, the court denied Amgen's motion to stay these proceedings; and on March 21, 2023, the court denied Amgen's motion to dismiss the complaint. On August 28, 2023, the Company filed an amended complaint in this matter; and, as part of its response, on September 20, 2023, Amgen filed a counterclaim alleging that the Company engaged in unfair business practices in violation of state law. On April 10, 2025, the court denied Amgen's motion for summary judgment. A trial has been scheduled to begin in May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the Technical Board of Appeal of the EPO. On July 16, 2024, following a trial, the Munich Central Division of the UPC issued a decision revoking the '797 Patent in its entirety. On September 16, 2024, Amgen appealed the decision of the Munich Central Division of the UPC to the Court of Appeal of the UPC. An oral hearing before the Court of Appeal of the UPC, originally scheduled for May 2025, has been postponed.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Sanofi are also seeking revocation of the '797 Patent at the EPO. On April 3, 2025, the Opposition Division of the EPO upheld the '797 Patent as valid. The Company and Sanofi have appealed this decision to the Technical Board of Appeal of the EPO.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 laws. On July 18, 2024, the Company filed a motion to dismiss the March 2024 Civil Complaint and the June 2024 Civil Complaint. An oral hearing on the Company's motion to dismiss was held on December 16,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 parties jointly filed a stipulation to stay the action pending resolution of the proceedings before the same court concerning the allegations in the June 2020 Civil Complaint.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Shareholder Derivative Complaint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Civil Complaint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complaint asserts violations of federal securities laws in connection with statements or disclosures purportedly related to the conduct alleged in the March 2024 Civil Complaint discussed under "Department of Justice Matters"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Shareholder Derivative Complaints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16 and January 22, 2025, purported shareholders filed two separate shareholder derivative complaints in the U.S. District Court for the Southern District of New York against members of the Company's board of directors and certain current and former executive officers of the Company as defendants and Regeneron as a nominal defendant. The complaints each allege that the individual defendants, among other things, breached their fiduciary duties to the Company by failing to properly manage and oversee the Company in connection with the conduct alleged in the March 2024 Civil Complaint discussed under "Department of Justice Matters" above. The complaints also each allege that the individual defendants breached the federal securities laws, wasted corporate assets, and unjustly enriched themselves at the expense of the Company. The complaints each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On February 11, 2025, the parties filed a joint stipulation to consolidate the two separate shareholder derivative complaints.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Litigation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regulations, and policies affecting the healthcare industry;</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spacing w:after="0" w:line="7"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12 to our Condensed Consolidated Financial Statements included in this report), risks associated with intellectual property of other parties and pending or future litigation relating thereto (including without limitation the patent litigation and other related proceedings described further in Note 12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42"/>
        </w:trPr>
        <w:tc>
          <w:tcPr>
            <w:tcW w:w="2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r>
      <w:tr>
        <w:trPr>
          <w:trHeight w:val="229"/>
        </w:trPr>
        <w:tc>
          <w:tcPr>
            <w:tcW w:w="25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30"/>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-2540</wp:posOffset>
            </wp:positionV>
            <wp:extent cx="45605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Macular edema following retinal vein occlusion</w:t>
      </w:r>
    </w:p>
    <w:p>
      <w:pPr>
        <w:ind w:left="4020"/>
        <w:spacing w:after="0" w:line="205" w:lineRule="auto"/>
        <w:rPr>
          <w:sz w:val="20"/>
          <w:szCs w:val="20"/>
          <w:color w:val="auto"/>
        </w:rPr>
      </w:pPr>
      <w:r>
        <w:rPr>
          <w:rFonts w:ascii="Times New Roman" w:cs="Times New Roman" w:eastAsia="Times New Roman" w:hAnsi="Times New Roman"/>
          <w:sz w:val="18"/>
          <w:szCs w:val="18"/>
          <w:color w:val="auto"/>
        </w:rPr>
        <w:t>("RVO"), which includes macular edema following</w:t>
      </w:r>
    </w:p>
    <w:p>
      <w:pPr>
        <w:ind w:left="4020"/>
        <w:spacing w:after="0" w:line="216" w:lineRule="auto"/>
        <w:rPr>
          <w:sz w:val="20"/>
          <w:szCs w:val="20"/>
          <w:color w:val="auto"/>
        </w:rPr>
      </w:pPr>
      <w:r>
        <w:rPr>
          <w:rFonts w:ascii="Times New Roman" w:cs="Times New Roman" w:eastAsia="Times New Roman" w:hAnsi="Times New Roman"/>
          <w:sz w:val="17"/>
          <w:szCs w:val="17"/>
          <w:color w:val="auto"/>
        </w:rPr>
        <w:t>central retinal vein occlusion ("CRVO") and macular</w:t>
      </w:r>
    </w:p>
    <w:p>
      <w:pPr>
        <w:ind w:left="4020"/>
        <w:spacing w:after="0" w:line="219" w:lineRule="auto"/>
        <w:rPr>
          <w:sz w:val="20"/>
          <w:szCs w:val="20"/>
          <w:color w:val="auto"/>
        </w:rPr>
      </w:pPr>
      <w:r>
        <w:rPr>
          <w:rFonts w:ascii="Times New Roman" w:cs="Times New Roman" w:eastAsia="Times New Roman" w:hAnsi="Times New Roman"/>
          <w:sz w:val="18"/>
          <w:szCs w:val="18"/>
          <w:color w:val="auto"/>
        </w:rPr>
        <w:t>edema following branch retinal vein occlusion</w:t>
      </w:r>
    </w:p>
    <w:p>
      <w:pPr>
        <w:ind w:left="4020"/>
        <w:spacing w:after="0"/>
        <w:rPr>
          <w:sz w:val="20"/>
          <w:szCs w:val="20"/>
          <w:color w:val="auto"/>
        </w:rPr>
      </w:pPr>
      <w:r>
        <w:rPr>
          <w:rFonts w:ascii="Times New Roman" w:cs="Times New Roman" w:eastAsia="Times New Roman" w:hAnsi="Times New Roman"/>
          <w:sz w:val="18"/>
          <w:szCs w:val="18"/>
          <w:color w:val="auto"/>
        </w:rPr>
        <w:t>("BRVO")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4445</wp:posOffset>
            </wp:positionV>
            <wp:extent cx="24771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8"/>
          <w:szCs w:val="18"/>
          <w:color w:val="auto"/>
        </w:rPr>
        <w:t>Myopic choroidal neovascularization ("mCNV")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17145</wp:posOffset>
            </wp:positionV>
            <wp:extent cx="24771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Neovascular glaucoma ("NVG")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43180</wp:posOffset>
            </wp:positionV>
            <wp:extent cx="24771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Retinopathy of prematurity ("ROP")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4989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483870</wp:posOffset>
            </wp:positionV>
            <wp:extent cx="2014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100"/>
        <w:spacing w:after="0"/>
        <w:tabs>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20955</wp:posOffset>
            </wp:positionV>
            <wp:extent cx="2014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45" w:lineRule="exact"/>
        <w:rPr>
          <w:sz w:val="20"/>
          <w:szCs w:val="20"/>
          <w:color w:val="auto"/>
        </w:rPr>
      </w:pPr>
    </w:p>
    <w:p>
      <w:pPr>
        <w:ind w:left="2200"/>
        <w:spacing w:after="0"/>
        <w:rPr>
          <w:sz w:val="20"/>
          <w:szCs w:val="20"/>
          <w:color w:val="auto"/>
        </w:rPr>
      </w:pP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58420</wp:posOffset>
            </wp:positionV>
            <wp:extent cx="20142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01"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46990</wp:posOffset>
            </wp:positionV>
            <wp:extent cx="2014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7840" w:space="580"/>
            <w:col w:w="2820"/>
          </w:cols>
          <w:pgMar w:left="320" w:top="369"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 and pediatrics aged 1 year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NSCLC (in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60" w:type="dxa"/>
            <w:vAlign w:val="bottom"/>
          </w:tcPr>
          <w:p>
            <w:pPr>
              <w:spacing w:after="0"/>
              <w:rPr>
                <w:sz w:val="22"/>
                <w:szCs w:val="22"/>
                <w:color w:val="auto"/>
              </w:rPr>
            </w:pPr>
          </w:p>
        </w:tc>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3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20" w:type="dxa"/>
            <w:vAlign w:val="bottom"/>
            <w:tcBorders>
              <w:bottom w:val="single" w:sz="8" w:color="CCEEFF"/>
            </w:tcBorders>
          </w:tcPr>
          <w:p>
            <w:pPr>
              <w:spacing w:after="0"/>
              <w:rPr>
                <w:sz w:val="22"/>
                <w:szCs w:val="22"/>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 pediatrics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aged 1 year and older)</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952"/>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(f)</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8"/>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4"/>
        </w:trPr>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23"/>
        </w:trPr>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4"/>
        </w:trPr>
        <w:tc>
          <w:tcPr>
            <w:tcW w:w="38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tcPr>
          <w:p>
            <w:pPr>
              <w:spacing w:after="0"/>
              <w:rPr>
                <w:sz w:val="15"/>
                <w:szCs w:val="15"/>
                <w:color w:val="auto"/>
              </w:rPr>
            </w:pPr>
          </w:p>
        </w:tc>
        <w:tc>
          <w:tcPr>
            <w:tcW w:w="3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bl>
    <w:p>
      <w:pPr>
        <w:spacing w:after="0" w:line="81"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300" w:hanging="5"/>
        <w:spacing w:after="0" w:line="189" w:lineRule="auto"/>
        <w:tabs>
          <w:tab w:leader="none" w:pos="41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responsible for the development and commercialization of Praluent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217" w:lineRule="auto"/>
        <w:tabs>
          <w:tab w:leader="none" w:pos="4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Roche. Product is known as REGEN-COV in the United States and Ronapreve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other countries.</w:t>
      </w:r>
    </w:p>
    <w:p>
      <w:pPr>
        <w:ind w:left="240" w:right="260" w:hanging="5"/>
        <w:spacing w:after="0" w:line="189" w:lineRule="auto"/>
        <w:tabs>
          <w:tab w:leader="none" w:pos="41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00" w:hanging="165"/>
        <w:spacing w:after="0" w:line="208" w:lineRule="auto"/>
        <w:tabs>
          <w:tab w:leader="none" w:pos="4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solely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ROW</w:t>
            </w:r>
            <w:r>
              <w:rPr>
                <w:rFonts w:ascii="Times New Roman" w:cs="Times New Roman" w:eastAsia="Times New Roman" w:hAnsi="Times New Roman"/>
                <w:sz w:val="10"/>
                <w:szCs w:val="10"/>
                <w:b w:val="1"/>
                <w:bCs w:val="1"/>
                <w:color w:val="auto"/>
              </w:rPr>
              <w:t>(f)</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Sales)</w:t>
            </w: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9"/>
        </w:trPr>
        <w:tc>
          <w:tcPr>
            <w:tcW w:w="29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8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ind w:left="180" w:right="40" w:firstLine="8"/>
        <w:spacing w:after="0"/>
        <w:tabs>
          <w:tab w:leader="none" w:pos="35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1" w:lineRule="exact"/>
        <w:rPr>
          <w:rFonts w:ascii="Times New Roman" w:cs="Times New Roman" w:eastAsia="Times New Roman" w:hAnsi="Times New Roman"/>
          <w:sz w:val="21"/>
          <w:szCs w:val="21"/>
          <w:color w:val="auto"/>
          <w:vertAlign w:val="superscript"/>
        </w:rPr>
      </w:pPr>
    </w:p>
    <w:p>
      <w:pPr>
        <w:ind w:left="180" w:right="800" w:firstLine="8"/>
        <w:spacing w:after="0" w:line="215" w:lineRule="auto"/>
        <w:tabs>
          <w:tab w:leader="none" w:pos="35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1" w:lineRule="exact"/>
        <w:rPr>
          <w:rFonts w:ascii="Times New Roman" w:cs="Times New Roman" w:eastAsia="Times New Roman" w:hAnsi="Times New Roman"/>
          <w:sz w:val="21"/>
          <w:szCs w:val="21"/>
          <w:color w:val="auto"/>
          <w:vertAlign w:val="superscript"/>
        </w:rPr>
      </w:pPr>
    </w:p>
    <w:p>
      <w:pPr>
        <w:ind w:left="360" w:hanging="172"/>
        <w:spacing w:after="0" w:line="208" w:lineRule="auto"/>
        <w:tabs>
          <w:tab w:leader="none" w:pos="3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37" w:lineRule="exact"/>
        <w:rPr>
          <w:rFonts w:ascii="Times New Roman" w:cs="Times New Roman" w:eastAsia="Times New Roman" w:hAnsi="Times New Roman"/>
          <w:sz w:val="23"/>
          <w:szCs w:val="23"/>
          <w:color w:val="auto"/>
          <w:vertAlign w:val="superscript"/>
        </w:rPr>
      </w:pPr>
    </w:p>
    <w:p>
      <w:pPr>
        <w:ind w:left="180" w:right="100" w:firstLine="8"/>
        <w:spacing w:after="0" w:line="202" w:lineRule="auto"/>
        <w:tabs>
          <w:tab w:leader="none" w:pos="36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5" w:lineRule="exact"/>
        <w:rPr>
          <w:rFonts w:ascii="Times New Roman" w:cs="Times New Roman" w:eastAsia="Times New Roman" w:hAnsi="Times New Roman"/>
          <w:sz w:val="22"/>
          <w:szCs w:val="22"/>
          <w:color w:val="auto"/>
          <w:vertAlign w:val="superscript"/>
        </w:rPr>
      </w:pPr>
    </w:p>
    <w:p>
      <w:pPr>
        <w:ind w:left="180" w:right="220" w:firstLine="8"/>
        <w:spacing w:after="0" w:line="211" w:lineRule="auto"/>
        <w:tabs>
          <w:tab w:leader="none" w:pos="354"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complete listing of net product sales recorded by us. Not included in this line item are net product sales of ARCALYST, which are recorded by Kiniksa.</w:t>
      </w:r>
    </w:p>
    <w:p>
      <w:pPr>
        <w:spacing w:after="0" w:line="1" w:lineRule="exact"/>
        <w:rPr>
          <w:rFonts w:ascii="Times New Roman" w:cs="Times New Roman" w:eastAsia="Times New Roman" w:hAnsi="Times New Roman"/>
          <w:sz w:val="22"/>
          <w:szCs w:val="22"/>
          <w:color w:val="auto"/>
          <w:vertAlign w:val="superscript"/>
        </w:rPr>
      </w:pPr>
    </w:p>
    <w:p>
      <w:pPr>
        <w:ind w:left="340" w:hanging="152"/>
        <w:spacing w:after="0" w:line="192" w:lineRule="auto"/>
        <w:tabs>
          <w:tab w:leader="none" w:pos="3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bl>
    <w:p>
      <w:pPr>
        <w:spacing w:after="0" w:line="310" w:lineRule="exact"/>
        <w:rPr>
          <w:sz w:val="20"/>
          <w:szCs w:val="20"/>
          <w:color w:val="auto"/>
        </w:rPr>
      </w:pPr>
    </w:p>
    <w:p>
      <w:pPr>
        <w:sectPr>
          <w:pgSz w:w="11900" w:h="16838" w:orient="portrait"/>
          <w:cols w:equalWidth="0" w:num="2">
            <w:col w:w="7080" w:space="80"/>
            <w:col w:w="4080"/>
          </w:cols>
          <w:pgMar w:left="320" w:top="369"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EYLEA HD (aflibercept)</w:t>
            </w:r>
          </w:p>
        </w:tc>
        <w:tc>
          <w:tcPr>
            <w:tcW w:w="2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–RVO</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–Pre-filled syringe</w:t>
            </w:r>
          </w:p>
        </w:tc>
      </w:tr>
      <w:tr>
        <w:trPr>
          <w:trHeight w:val="30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mg</w:t>
            </w:r>
            <w:r>
              <w:rPr>
                <w:rFonts w:ascii="Times New Roman" w:cs="Times New Roman" w:eastAsia="Times New Roman" w:hAnsi="Times New Roman"/>
                <w:sz w:val="23"/>
                <w:szCs w:val="23"/>
                <w:b w:val="1"/>
                <w:bCs w:val="1"/>
                <w:color w:val="auto"/>
                <w:vertAlign w:val="superscript"/>
              </w:rPr>
              <w:t>(a)</w:t>
            </w:r>
          </w:p>
        </w:tc>
        <w:tc>
          <w:tcPr>
            <w:tcW w:w="200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w:t>
            </w:r>
          </w:p>
        </w:tc>
      </w:tr>
      <w:tr>
        <w:trPr>
          <w:trHeight w:val="404"/>
        </w:trPr>
        <w:tc>
          <w:tcPr>
            <w:tcW w:w="2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–RVO (U.S.)</w:t>
            </w:r>
            <w:r>
              <w:rPr>
                <w:rFonts w:ascii="Times New Roman" w:cs="Times New Roman" w:eastAsia="Times New Roman" w:hAnsi="Times New Roman"/>
                <w:sz w:val="23"/>
                <w:szCs w:val="23"/>
                <w:color w:val="auto"/>
                <w:vertAlign w:val="superscript"/>
              </w:rPr>
              <w:t>(p)</w:t>
            </w:r>
          </w:p>
        </w:tc>
      </w:tr>
      <w:tr>
        <w:trPr>
          <w:trHeight w:val="304"/>
        </w:trPr>
        <w:tc>
          <w:tcPr>
            <w:tcW w:w="2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–Every 4-week</w:t>
            </w:r>
          </w:p>
        </w:tc>
      </w:tr>
      <w:tr>
        <w:trPr>
          <w:trHeight w:val="180"/>
        </w:trPr>
        <w:tc>
          <w:tcPr>
            <w:tcW w:w="2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4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dosing regimen for</w:t>
            </w:r>
          </w:p>
        </w:tc>
      </w:tr>
      <w:tr>
        <w:trPr>
          <w:trHeight w:val="176"/>
        </w:trPr>
        <w:tc>
          <w:tcPr>
            <w:tcW w:w="2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4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w w:val="98"/>
              </w:rPr>
              <w:t>approved indications</w:t>
            </w:r>
          </w:p>
        </w:tc>
      </w:tr>
      <w:tr>
        <w:trPr>
          <w:trHeight w:val="312"/>
        </w:trPr>
        <w:tc>
          <w:tcPr>
            <w:tcW w:w="2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23"/>
                <w:szCs w:val="23"/>
                <w:color w:val="auto"/>
                <w:vertAlign w:val="superscript"/>
              </w:rPr>
              <w:t>(p)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-1191895</wp:posOffset>
            </wp:positionV>
            <wp:extent cx="7132320" cy="2631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–Geographic atrophy,</w:t>
            </w:r>
          </w:p>
        </w:tc>
      </w:tr>
      <w:tr>
        <w:trPr>
          <w:trHeight w:val="181"/>
        </w:trPr>
        <w:tc>
          <w:tcPr>
            <w:tcW w:w="286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3880" w:type="dxa"/>
            <w:vAlign w:val="bottom"/>
          </w:tcPr>
          <w:p>
            <w:pPr>
              <w:ind w:left="920"/>
              <w:spacing w:after="0" w:line="181" w:lineRule="exact"/>
              <w:rPr>
                <w:sz w:val="20"/>
                <w:szCs w:val="20"/>
                <w:color w:val="auto"/>
              </w:rPr>
            </w:pPr>
            <w:r>
              <w:rPr>
                <w:rFonts w:ascii="Times New Roman" w:cs="Times New Roman" w:eastAsia="Times New Roman" w:hAnsi="Times New Roman"/>
                <w:sz w:val="18"/>
                <w:szCs w:val="18"/>
                <w:color w:val="auto"/>
              </w:rPr>
              <w:t>cemdisiran</w:t>
            </w:r>
          </w:p>
        </w:tc>
      </w:tr>
      <w:tr>
        <w:trPr>
          <w:trHeight w:val="283"/>
        </w:trPr>
        <w:tc>
          <w:tcPr>
            <w:tcW w:w="2860" w:type="dxa"/>
            <w:vAlign w:val="bottom"/>
          </w:tcPr>
          <w:p>
            <w:pPr>
              <w:spacing w:after="0"/>
              <w:rPr>
                <w:sz w:val="24"/>
                <w:szCs w:val="24"/>
                <w:color w:val="auto"/>
              </w:rPr>
            </w:pP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(l)</w:t>
            </w:r>
          </w:p>
        </w:tc>
      </w:tr>
      <w:tr>
        <w:trPr>
          <w:trHeight w:val="238"/>
        </w:trPr>
        <w:tc>
          <w:tcPr>
            <w:tcW w:w="2860" w:type="dxa"/>
            <w:vAlign w:val="bottom"/>
          </w:tcPr>
          <w:p>
            <w:pPr>
              <w:spacing w:after="0"/>
              <w:rPr>
                <w:sz w:val="20"/>
                <w:szCs w:val="20"/>
                <w:color w:val="auto"/>
              </w:rPr>
            </w:pPr>
          </w:p>
        </w:tc>
        <w:tc>
          <w:tcPr>
            <w:tcW w:w="38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Immunology &amp; Inflammation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–Presented positive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three-year data from extension study of Phase 3 wAMD trial at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Angiogenesis, Exudation, and Degeneration ("Angiogenesis")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–Presented positive data from Phase 3 QUASAR</w:t>
      </w:r>
    </w:p>
    <w:p>
      <w:pPr>
        <w:ind w:right="480"/>
        <w:spacing w:after="0" w:line="231" w:lineRule="auto"/>
        <w:rPr>
          <w:sz w:val="20"/>
          <w:szCs w:val="20"/>
          <w:color w:val="auto"/>
        </w:rPr>
      </w:pPr>
      <w:r>
        <w:rPr>
          <w:rFonts w:ascii="Times New Roman" w:cs="Times New Roman" w:eastAsia="Times New Roman" w:hAnsi="Times New Roman"/>
          <w:sz w:val="17"/>
          <w:szCs w:val="17"/>
          <w:color w:val="auto"/>
        </w:rPr>
        <w:t>trial in RVO at Angiogenesis 2025 annual meeting</w:t>
      </w:r>
    </w:p>
    <w:p>
      <w:pPr>
        <w:spacing w:after="0" w:line="199"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–FDA issued Complete Response Letters ("CRLs") for sBLA for</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addition of extended dosing intervals and for regulatory application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pre-filled syringe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Food and Drug</w:t>
      </w:r>
    </w:p>
    <w:p>
      <w:pPr>
        <w:spacing w:after="0" w:line="2"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Administration ("FDA") decision for pre-filled syringe</w:t>
      </w:r>
    </w:p>
    <w:p>
      <w:pPr>
        <w:spacing w:after="0" w:line="199"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7"/>
          <w:szCs w:val="17"/>
          <w:color w:val="auto"/>
        </w:rPr>
        <w:t>–FDA decision on supplemental Biologics License Application</w:t>
      </w:r>
    </w:p>
    <w:p>
      <w:pPr>
        <w:jc w:val="both"/>
        <w:ind w:right="220"/>
        <w:spacing w:after="0" w:line="218" w:lineRule="auto"/>
        <w:rPr>
          <w:sz w:val="20"/>
          <w:szCs w:val="20"/>
          <w:color w:val="auto"/>
        </w:rPr>
      </w:pPr>
      <w:r>
        <w:rPr>
          <w:rFonts w:ascii="Times New Roman" w:cs="Times New Roman" w:eastAsia="Times New Roman" w:hAnsi="Times New Roman"/>
          <w:sz w:val="18"/>
          <w:szCs w:val="18"/>
          <w:color w:val="auto"/>
        </w:rPr>
        <w:t>("sBLA") for RVO (target action date of August 19, 2025)</w:t>
      </w:r>
    </w:p>
    <w:p>
      <w:pPr>
        <w:spacing w:after="0" w:line="199"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–FDA decision on sBLA for every 4-week dosing regimen (target action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August 19, 2025)</w:t>
      </w:r>
    </w:p>
    <w:p>
      <w:pPr>
        <w:spacing w:after="0" w:line="2006" w:lineRule="exact"/>
        <w:rPr>
          <w:sz w:val="20"/>
          <w:szCs w:val="20"/>
          <w:color w:val="auto"/>
        </w:rPr>
      </w:pPr>
    </w:p>
    <w:p>
      <w:pPr>
        <w:sectPr>
          <w:pgSz w:w="11900" w:h="16838" w:orient="portrait"/>
          <w:cols w:equalWidth="0" w:num="3">
            <w:col w:w="7020" w:space="160"/>
            <w:col w:w="1860" w:space="12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6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–Ulcerative colitis</w:t>
            </w:r>
          </w:p>
        </w:tc>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–Asthma in pediatrics</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–Asthma in</w:t>
            </w: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–Approved by Japan's</w:t>
            </w: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80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6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(6–11</w:t>
            </w:r>
          </w:p>
        </w:tc>
        <w:tc>
          <w:tcPr>
            <w:tcW w:w="19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Ministry of Health,</w:t>
            </w:r>
          </w:p>
        </w:tc>
        <w:tc>
          <w:tcPr>
            <w:tcW w:w="218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subunit</w:t>
            </w:r>
          </w:p>
        </w:tc>
        <w:tc>
          <w:tcPr>
            <w:tcW w:w="1800" w:type="dxa"/>
            <w:vAlign w:val="bottom"/>
            <w:shd w:val="clear" w:color="auto" w:fill="CCEEFF"/>
          </w:tcPr>
          <w:p>
            <w:pPr>
              <w:spacing w:after="0"/>
              <w:rPr>
                <w:sz w:val="15"/>
                <w:szCs w:val="15"/>
                <w:color w:val="auto"/>
              </w:rPr>
            </w:pP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years of age) (Japan)</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Labour and Welfare</w:t>
            </w:r>
          </w:p>
        </w:tc>
        <w:tc>
          <w:tcPr>
            <w:tcW w:w="2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–Bullous</w:t>
            </w:r>
          </w:p>
        </w:tc>
        <w:tc>
          <w:tcPr>
            <w:tcW w:w="166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("MHLW") for COPD</w:t>
            </w:r>
          </w:p>
        </w:tc>
        <w:tc>
          <w:tcPr>
            <w:tcW w:w="21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CSU in adults and</w:t>
            </w:r>
          </w:p>
        </w:tc>
        <w:tc>
          <w:tcPr>
            <w:tcW w:w="0" w:type="dxa"/>
            <w:vAlign w:val="bottom"/>
          </w:tcPr>
          <w:p>
            <w:pPr>
              <w:spacing w:after="0"/>
              <w:rPr>
                <w:sz w:val="1"/>
                <w:szCs w:val="1"/>
                <w:color w:val="auto"/>
              </w:rPr>
            </w:pPr>
          </w:p>
        </w:tc>
      </w:tr>
      <w:tr>
        <w:trPr>
          <w:trHeight w:val="59"/>
        </w:trPr>
        <w:tc>
          <w:tcPr>
            <w:tcW w:w="364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–CSU in adults and</w:t>
            </w:r>
          </w:p>
        </w:tc>
        <w:tc>
          <w:tcPr>
            <w:tcW w:w="1960" w:type="dxa"/>
            <w:vAlign w:val="bottom"/>
            <w:shd w:val="clear" w:color="auto" w:fill="CCEEFF"/>
          </w:tcPr>
          <w:p>
            <w:pPr>
              <w:spacing w:after="0"/>
              <w:rPr>
                <w:sz w:val="5"/>
                <w:szCs w:val="5"/>
                <w:color w:val="auto"/>
              </w:rPr>
            </w:pP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adolescents (second half</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6"/>
                <w:szCs w:val="16"/>
                <w:color w:val="auto"/>
              </w:rPr>
              <w:t>pemphigoid</w:t>
            </w:r>
            <w:r>
              <w:rPr>
                <w:rFonts w:ascii="Times New Roman" w:cs="Times New Roman" w:eastAsia="Times New Roman" w:hAnsi="Times New Roman"/>
                <w:sz w:val="20"/>
                <w:szCs w:val="20"/>
                <w:color w:val="auto"/>
                <w:vertAlign w:val="superscript"/>
              </w:rPr>
              <w:t>(c)</w:t>
            </w:r>
          </w:p>
        </w:tc>
        <w:tc>
          <w:tcPr>
            <w:tcW w:w="166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adolescents (EU)</w:t>
            </w:r>
          </w:p>
        </w:tc>
        <w:tc>
          <w:tcPr>
            <w:tcW w:w="19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–Approved by FDA for</w:t>
            </w:r>
          </w:p>
        </w:tc>
        <w:tc>
          <w:tcPr>
            <w:tcW w:w="21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–CSU</w:t>
            </w:r>
          </w:p>
        </w:tc>
        <w:tc>
          <w:tcPr>
            <w:tcW w:w="166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CSU in adults and</w:t>
            </w:r>
          </w:p>
        </w:tc>
        <w:tc>
          <w:tcPr>
            <w:tcW w:w="2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4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–Bullous</w:t>
            </w:r>
          </w:p>
        </w:tc>
        <w:tc>
          <w:tcPr>
            <w:tcW w:w="1960" w:type="dxa"/>
            <w:vAlign w:val="bottom"/>
            <w:vMerge w:val="restart"/>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adolescents</w:t>
            </w:r>
          </w:p>
        </w:tc>
        <w:tc>
          <w:tcPr>
            <w:tcW w:w="2180" w:type="dxa"/>
            <w:vAlign w:val="bottom"/>
            <w:vMerge w:val="restart"/>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63"/>
        </w:trPr>
        <w:tc>
          <w:tcPr>
            <w:tcW w:w="36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960" w:type="dxa"/>
            <w:vAlign w:val="bottom"/>
            <w:vMerge w:val="continue"/>
            <w:shd w:val="clear" w:color="auto" w:fill="CCEEFF"/>
          </w:tcPr>
          <w:p>
            <w:pPr>
              <w:spacing w:after="0"/>
              <w:rPr>
                <w:sz w:val="5"/>
                <w:szCs w:val="5"/>
                <w:color w:val="auto"/>
              </w:rPr>
            </w:pPr>
          </w:p>
        </w:tc>
        <w:tc>
          <w:tcPr>
            <w:tcW w:w="2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36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(target action date of June</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–Chronic pruritus of</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pemphigoid (U.S.</w:t>
            </w:r>
          </w:p>
        </w:tc>
        <w:tc>
          <w:tcPr>
            <w:tcW w:w="1960" w:type="dxa"/>
            <w:vAlign w:val="bottom"/>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4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EU)</w:t>
            </w: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–Resubmitted regulatory</w:t>
            </w:r>
          </w:p>
        </w:tc>
        <w:tc>
          <w:tcPr>
            <w:tcW w:w="21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20, 2025) and EC decision</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unknown origin</w:t>
            </w:r>
          </w:p>
        </w:tc>
        <w:tc>
          <w:tcPr>
            <w:tcW w:w="1660" w:type="dxa"/>
            <w:vAlign w:val="bottom"/>
            <w:vMerge w:val="continue"/>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2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on regulatory submission</w:t>
            </w:r>
          </w:p>
        </w:tc>
        <w:tc>
          <w:tcPr>
            <w:tcW w:w="0" w:type="dxa"/>
            <w:vAlign w:val="bottom"/>
          </w:tcPr>
          <w:p>
            <w:pPr>
              <w:spacing w:after="0"/>
              <w:rPr>
                <w:sz w:val="1"/>
                <w:szCs w:val="1"/>
                <w:color w:val="auto"/>
              </w:rPr>
            </w:pPr>
          </w:p>
        </w:tc>
      </w:tr>
      <w:tr>
        <w:trPr>
          <w:trHeight w:val="68"/>
        </w:trPr>
        <w:tc>
          <w:tcPr>
            <w:tcW w:w="3640" w:type="dxa"/>
            <w:vAlign w:val="bottom"/>
            <w:shd w:val="clear" w:color="auto" w:fill="CCEEFF"/>
          </w:tcPr>
          <w:p>
            <w:pPr>
              <w:spacing w:after="0"/>
              <w:rPr>
                <w:sz w:val="5"/>
                <w:szCs w:val="5"/>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("CPUO")</w:t>
            </w:r>
          </w:p>
        </w:tc>
        <w:tc>
          <w:tcPr>
            <w:tcW w:w="1660" w:type="dxa"/>
            <w:vAlign w:val="bottom"/>
            <w:shd w:val="clear" w:color="auto" w:fill="CCEEFF"/>
          </w:tcPr>
          <w:p>
            <w:pPr>
              <w:spacing w:after="0"/>
              <w:rPr>
                <w:sz w:val="5"/>
                <w:szCs w:val="5"/>
                <w:color w:val="auto"/>
              </w:rPr>
            </w:pPr>
          </w:p>
        </w:tc>
        <w:tc>
          <w:tcPr>
            <w:tcW w:w="1960" w:type="dxa"/>
            <w:vAlign w:val="bottom"/>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application for CSU in</w:t>
            </w: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(first half 2026) for bullous</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vMerge w:val="continue"/>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adults and adolescents in</w:t>
            </w: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–Lichen simplex</w:t>
            </w:r>
          </w:p>
        </w:tc>
        <w:tc>
          <w:tcPr>
            <w:tcW w:w="166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EU</w:t>
            </w:r>
          </w:p>
        </w:tc>
        <w:tc>
          <w:tcPr>
            <w:tcW w:w="21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pemphigoid</w:t>
            </w:r>
          </w:p>
        </w:tc>
        <w:tc>
          <w:tcPr>
            <w:tcW w:w="0" w:type="dxa"/>
            <w:vAlign w:val="bottom"/>
          </w:tcPr>
          <w:p>
            <w:pPr>
              <w:spacing w:after="0"/>
              <w:rPr>
                <w:sz w:val="1"/>
                <w:szCs w:val="1"/>
                <w:color w:val="auto"/>
              </w:rPr>
            </w:pPr>
          </w:p>
        </w:tc>
      </w:tr>
      <w:tr>
        <w:trPr>
          <w:trHeight w:val="54"/>
        </w:trPr>
        <w:tc>
          <w:tcPr>
            <w:tcW w:w="3640" w:type="dxa"/>
            <w:vAlign w:val="bottom"/>
            <w:shd w:val="clear" w:color="auto" w:fill="CCEEFF"/>
          </w:tcPr>
          <w:p>
            <w:pPr>
              <w:spacing w:after="0"/>
              <w:rPr>
                <w:sz w:val="4"/>
                <w:szCs w:val="4"/>
                <w:color w:val="auto"/>
              </w:rPr>
            </w:pPr>
          </w:p>
        </w:tc>
        <w:tc>
          <w:tcPr>
            <w:tcW w:w="1800" w:type="dxa"/>
            <w:vAlign w:val="bottom"/>
            <w:vMerge w:val="continue"/>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960" w:type="dxa"/>
            <w:vAlign w:val="bottom"/>
            <w:vMerge w:val="continue"/>
            <w:shd w:val="clear" w:color="auto" w:fill="CCEEFF"/>
          </w:tcPr>
          <w:p>
            <w:pPr>
              <w:spacing w:after="0"/>
              <w:rPr>
                <w:sz w:val="4"/>
                <w:szCs w:val="4"/>
                <w:color w:val="auto"/>
              </w:rPr>
            </w:pPr>
          </w:p>
        </w:tc>
        <w:tc>
          <w:tcPr>
            <w:tcW w:w="2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64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spacing w:after="0"/>
              <w:rPr>
                <w:sz w:val="19"/>
                <w:szCs w:val="19"/>
                <w:color w:val="auto"/>
              </w:rPr>
            </w:pPr>
          </w:p>
        </w:tc>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chronicus</w:t>
            </w:r>
          </w:p>
        </w:tc>
        <w:tc>
          <w:tcPr>
            <w:tcW w:w="16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20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–Presented positive data</w:t>
            </w: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from Phase 2/3 bullous</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pemphigoid trial at 2025</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American Academy of</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Dermatology ("AAD")</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idiopathic arthritis</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pJIA</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("sJIA") (pivotal</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–Non-cystic fibrosis</w:t>
            </w:r>
          </w:p>
        </w:tc>
        <w:tc>
          <w:tcPr>
            <w:tcW w:w="1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3 AERIFY-1 and AERIFY-2</w:t>
            </w:r>
          </w:p>
        </w:tc>
        <w:tc>
          <w:tcPr>
            <w:tcW w:w="0" w:type="dxa"/>
            <w:vAlign w:val="bottom"/>
          </w:tcPr>
          <w:p>
            <w:pPr>
              <w:spacing w:after="0"/>
              <w:rPr>
                <w:sz w:val="1"/>
                <w:szCs w:val="1"/>
                <w:color w:val="auto"/>
              </w:rPr>
            </w:pPr>
          </w:p>
        </w:tc>
      </w:tr>
      <w:tr>
        <w:trPr>
          <w:trHeight w:val="27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trials in COPD (mid-2025)</w:t>
            </w:r>
          </w:p>
        </w:tc>
        <w:tc>
          <w:tcPr>
            <w:tcW w:w="0" w:type="dxa"/>
            <w:vAlign w:val="bottom"/>
          </w:tcPr>
          <w:p>
            <w:pPr>
              <w:spacing w:after="0"/>
              <w:rPr>
                <w:sz w:val="1"/>
                <w:szCs w:val="1"/>
                <w:color w:val="auto"/>
              </w:rPr>
            </w:pPr>
          </w:p>
        </w:tc>
      </w:tr>
      <w:tr>
        <w:trPr>
          <w:trHeight w:val="306"/>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w:t>
            </w: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rhinosinusitis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("CRSsNP")</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REGN1908-1909</w:t>
            </w:r>
            <w:r>
              <w:rPr>
                <w:rFonts w:ascii="Times New Roman" w:cs="Times New Roman" w:eastAsia="Times New Roman" w:hAnsi="Times New Roman"/>
                <w:sz w:val="21"/>
                <w:szCs w:val="21"/>
                <w:b w:val="1"/>
                <w:bCs w:val="1"/>
                <w:color w:val="auto"/>
                <w:vertAlign w:val="superscript"/>
              </w:rPr>
              <w:t>(f)</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Fel d 1</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00" w:type="dxa"/>
            <w:vAlign w:val="bottom"/>
            <w:gridSpan w:val="4"/>
            <w:shd w:val="clear" w:color="auto" w:fill="ACACAC"/>
          </w:tcPr>
          <w:p>
            <w:pPr>
              <w:ind w:left="98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 CSCC</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positive</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–MHLW decision on</w:t>
            </w: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monotherapy and</w:t>
            </w: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interim data from Phase</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–Early-stage CSCC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study in adjuvant</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NSCLC, monotherapy and</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(intralesional)</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 (Japan)</w:t>
            </w: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CSCC</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chemotherapy combination</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(U.S. and EU)</w:t>
            </w: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and EC decision on</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0" w:type="dxa"/>
            <w:vAlign w:val="bottom"/>
          </w:tcPr>
          <w:p>
            <w:pPr>
              <w:spacing w:after="0"/>
              <w:rPr>
                <w:sz w:val="1"/>
                <w:szCs w:val="1"/>
                <w:color w:val="auto"/>
              </w:rPr>
            </w:pPr>
          </w:p>
        </w:tc>
      </w:tr>
      <w:tr>
        <w:trPr>
          <w:trHeight w:val="71"/>
        </w:trPr>
        <w:tc>
          <w:tcPr>
            <w:tcW w:w="2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hepatocellular</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carcinoma ("HCC")</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20" w:type="dxa"/>
            <w:vAlign w:val="bottom"/>
            <w:gridSpan w:val="2"/>
            <w:vMerge w:val="continue"/>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advanced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metastatic</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–Based on pre-planned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 Phase 2 study (in</w:t>
            </w: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 (Phase 2/3)</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melanoma</w:t>
            </w:r>
            <w:r>
              <w:rPr>
                <w:rFonts w:ascii="Times New Roman" w:cs="Times New Roman" w:eastAsia="Times New Roman" w:hAnsi="Times New Roman"/>
                <w:sz w:val="20"/>
                <w:szCs w:val="20"/>
                <w:color w:val="auto"/>
                <w:vertAlign w:val="superscript"/>
              </w:rPr>
              <w:t>(e)</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interim analysis of two</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 with Libtayo)</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Phase 2/3 studies in first-</w:t>
            </w:r>
          </w:p>
        </w:tc>
        <w:tc>
          <w:tcPr>
            <w:tcW w:w="2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 first-line metastatic head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–Perioperative</w:t>
            </w:r>
          </w:p>
        </w:tc>
        <w:tc>
          <w:tcPr>
            <w:tcW w:w="1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–Adjuvant melanoma</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line advanced NSCLC,</w:t>
            </w:r>
          </w:p>
        </w:tc>
        <w:tc>
          <w:tcPr>
            <w:tcW w:w="2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and neck squamous cell</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2 portion of the</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carcinoma (2025)</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studies will continue</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–Perioperative</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unchanged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32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422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melanoma</w:t>
            </w:r>
          </w:p>
        </w:tc>
        <w:tc>
          <w:tcPr>
            <w:tcW w:w="7020" w:type="dxa"/>
            <w:vAlign w:val="bottom"/>
          </w:tcPr>
          <w:p>
            <w:pPr>
              <w:ind w:left="4940"/>
              <w:spacing w:after="0" w:line="169" w:lineRule="exact"/>
              <w:rPr>
                <w:sz w:val="20"/>
                <w:szCs w:val="20"/>
                <w:color w:val="auto"/>
              </w:rPr>
            </w:pPr>
            <w:r>
              <w:rPr>
                <w:rFonts w:ascii="Times New Roman" w:cs="Times New Roman" w:eastAsia="Times New Roman" w:hAnsi="Times New Roman"/>
                <w:sz w:val="18"/>
                <w:szCs w:val="18"/>
                <w:color w:val="auto"/>
              </w:rPr>
              <w:t>3 study versus</w:t>
            </w:r>
          </w:p>
        </w:tc>
        <w:tc>
          <w:tcPr>
            <w:tcW w:w="0" w:type="dxa"/>
            <w:vAlign w:val="bottom"/>
          </w:tcPr>
          <w:p>
            <w:pPr>
              <w:spacing w:after="0"/>
              <w:rPr>
                <w:sz w:val="1"/>
                <w:szCs w:val="1"/>
                <w:color w:val="auto"/>
              </w:rPr>
            </w:pPr>
          </w:p>
        </w:tc>
      </w:tr>
      <w:tr>
        <w:trPr>
          <w:trHeight w:val="113"/>
        </w:trPr>
        <w:tc>
          <w:tcPr>
            <w:tcW w:w="4220" w:type="dxa"/>
            <w:vAlign w:val="bottom"/>
            <w:vMerge w:val="continue"/>
          </w:tcPr>
          <w:p>
            <w:pPr>
              <w:spacing w:after="0"/>
              <w:rPr>
                <w:sz w:val="9"/>
                <w:szCs w:val="9"/>
                <w:color w:val="auto"/>
              </w:rPr>
            </w:pPr>
          </w:p>
        </w:tc>
        <w:tc>
          <w:tcPr>
            <w:tcW w:w="7020" w:type="dxa"/>
            <w:vAlign w:val="bottom"/>
            <w:vMerge w:val="restart"/>
          </w:tcPr>
          <w:p>
            <w:pPr>
              <w:ind w:left="4940"/>
              <w:spacing w:after="0" w:line="181" w:lineRule="exact"/>
              <w:rPr>
                <w:sz w:val="20"/>
                <w:szCs w:val="20"/>
                <w:color w:val="auto"/>
              </w:rPr>
            </w:pPr>
            <w:r>
              <w:rPr>
                <w:rFonts w:ascii="Times New Roman" w:cs="Times New Roman" w:eastAsia="Times New Roman" w:hAnsi="Times New Roman"/>
                <w:sz w:val="18"/>
                <w:szCs w:val="18"/>
                <w:color w:val="auto"/>
              </w:rPr>
              <w:t>pembrolizumab in first-line</w:t>
            </w: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7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7020" w:type="dxa"/>
            <w:vAlign w:val="bottom"/>
          </w:tcPr>
          <w:p>
            <w:pPr>
              <w:ind w:left="4940"/>
              <w:spacing w:after="0" w:line="176" w:lineRule="exact"/>
              <w:rPr>
                <w:sz w:val="20"/>
                <w:szCs w:val="20"/>
                <w:color w:val="auto"/>
              </w:rPr>
            </w:pPr>
            <w:r>
              <w:rPr>
                <w:rFonts w:ascii="Times New Roman" w:cs="Times New Roman" w:eastAsia="Times New Roman" w:hAnsi="Times New Roman"/>
                <w:sz w:val="18"/>
                <w:szCs w:val="18"/>
                <w:color w:val="auto"/>
              </w:rPr>
              <w:t>metastatic melanoma</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702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711"/>
        </w:trPr>
        <w:tc>
          <w:tcPr>
            <w:tcW w:w="4220" w:type="dxa"/>
            <w:vAlign w:val="bottom"/>
          </w:tcPr>
          <w:p>
            <w:pPr>
              <w:spacing w:after="0"/>
              <w:rPr>
                <w:sz w:val="24"/>
                <w:szCs w:val="24"/>
                <w:color w:val="auto"/>
              </w:rPr>
            </w:pPr>
          </w:p>
        </w:tc>
        <w:tc>
          <w:tcPr>
            <w:tcW w:w="70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58"/>
        </w:trPr>
        <w:tc>
          <w:tcPr>
            <w:tcW w:w="42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data from Phase 2/3</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studies in first-line advanced</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NSCLC (first quarter 2026)</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 targeting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TLR9</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–Platinum-resistant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–Report additional data from</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study in platinum-resistant</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ovarian cancer (second half</w:t>
            </w: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Nezastomig (REGN5678)</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additional</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study in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prostate cancer at</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Association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for Cancer Research</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("AACR") Annual</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REGN7075</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tumors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–Report additional data from</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in solid tumors</w:t>
            </w: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–MET-altered</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advanced NSCLC</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 MET</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380" w:type="dxa"/>
            <w:vAlign w:val="bottom"/>
            <w:gridSpan w:val="4"/>
            <w:shd w:val="clear" w:color="auto" w:fill="ACACAC"/>
          </w:tcPr>
          <w:p>
            <w:pPr>
              <w:ind w:left="138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–Myasthenia gravis,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cemdisiran</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cemdisiran combination</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combination</w:t>
            </w:r>
            <w:r>
              <w:rPr>
                <w:rFonts w:ascii="Times New Roman" w:cs="Times New Roman" w:eastAsia="Times New Roman" w:hAnsi="Times New Roman"/>
                <w:sz w:val="21"/>
                <w:szCs w:val="21"/>
                <w:color w:val="auto"/>
                <w:vertAlign w:val="superscript"/>
              </w:rPr>
              <w:t>(c)(l)</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study in myasthenia gravis</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152"/>
        </w:trPr>
        <w:tc>
          <w:tcPr>
            <w:tcW w:w="2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gridSpan w:val="2"/>
            <w:vMerge w:val="continue"/>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nocturnal</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("PNH"), cemdisiran</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–B-cell non-</w:t>
            </w:r>
          </w:p>
        </w:tc>
        <w:tc>
          <w:tcPr>
            <w:tcW w:w="1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bscript"/>
              </w:rPr>
              <w:t>–FL</w:t>
            </w:r>
            <w:r>
              <w:rPr>
                <w:rFonts w:ascii="Times New Roman" w:cs="Times New Roman" w:eastAsia="Times New Roman" w:hAnsi="Times New Roman"/>
                <w:sz w:val="10"/>
                <w:szCs w:val="10"/>
                <w:color w:val="auto"/>
              </w:rPr>
              <w:t>(c)(e)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 (U.S.)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 decision on BLA for</w:t>
            </w: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Hodgkin lymphoma</w:t>
            </w: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–DLBCL</w:t>
            </w:r>
            <w:r>
              <w:rPr>
                <w:rFonts w:ascii="Times New Roman" w:cs="Times New Roman" w:eastAsia="Times New Roman" w:hAnsi="Times New Roman"/>
                <w:sz w:val="23"/>
                <w:szCs w:val="23"/>
                <w:color w:val="auto"/>
                <w:vertAlign w:val="superscript"/>
              </w:rPr>
              <w:t>(c)(e)</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 FL</w:t>
            </w:r>
          </w:p>
        </w:tc>
        <w:tc>
          <w:tcPr>
            <w:tcW w:w="0" w:type="dxa"/>
            <w:vAlign w:val="bottom"/>
          </w:tcPr>
          <w:p>
            <w:pPr>
              <w:spacing w:after="0"/>
              <w:rPr>
                <w:sz w:val="1"/>
                <w:szCs w:val="1"/>
                <w:color w:val="auto"/>
              </w:rPr>
            </w:pPr>
          </w:p>
        </w:tc>
      </w:tr>
      <w:tr>
        <w:trPr>
          <w:trHeight w:val="189"/>
        </w:trPr>
        <w:tc>
          <w:tcPr>
            <w:tcW w:w="21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("B-NHL") (pivotal</w:t>
            </w:r>
          </w:p>
        </w:tc>
        <w:tc>
          <w:tcPr>
            <w:tcW w:w="172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(target action date of July</w:t>
            </w: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–Multiple myeloma</w:t>
            </w:r>
            <w:r>
              <w:rPr>
                <w:rFonts w:ascii="Times New Roman" w:cs="Times New Roman" w:eastAsia="Times New Roman" w:hAnsi="Times New Roman"/>
                <w:sz w:val="23"/>
                <w:szCs w:val="23"/>
                <w:color w:val="auto"/>
                <w:vertAlign w:val="superscript"/>
              </w:rPr>
              <w:t>(c)</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 BLA for</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perscript"/>
              </w:rPr>
              <w:t>(f)</w:t>
            </w:r>
            <w:r>
              <w:rPr>
                <w:rFonts w:ascii="Times New Roman" w:cs="Times New Roman" w:eastAsia="Times New Roman" w:hAnsi="Times New Roman"/>
                <w:sz w:val="16"/>
                <w:szCs w:val="16"/>
                <w:b w:val="1"/>
                <w:bCs w:val="1"/>
                <w:color w:val="auto"/>
              </w:rPr>
              <w:t xml:space="preserve"> (REGN5458)</w:t>
            </w: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(pivotal study)</w:t>
            </w:r>
            <w:r>
              <w:rPr>
                <w:rFonts w:ascii="Times New Roman" w:cs="Times New Roman" w:eastAsia="Times New Roman" w:hAnsi="Times New Roman"/>
                <w:sz w:val="20"/>
                <w:szCs w:val="20"/>
                <w:color w:val="auto"/>
                <w:vertAlign w:val="superscript"/>
              </w:rPr>
              <w:t>(c)(e)</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 multiple</w:t>
            </w: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multiple myeloma</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myeloma (target action date</w:t>
            </w: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BCMA and CD3</w:t>
            </w:r>
          </w:p>
        </w:tc>
        <w:tc>
          <w:tcPr>
            <w:tcW w:w="1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–Earlier (pre-</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enrollment</w:t>
            </w:r>
          </w:p>
        </w:tc>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of July 10, 2025)</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malignant) multiple</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vMerge w:val="continue"/>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myeloma</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 Phase 3 confirmatory</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(LINKER-MM3) in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relapsed/refractory</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4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2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gammopathy of</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vMerge w:val="continue"/>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undetermined</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significance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("MGUS")</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chain</w:t>
            </w: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amyloidosis</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 (Phase 1/2)</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179"/>
        </w:trPr>
        <w:tc>
          <w:tcPr>
            <w:tcW w:w="1980" w:type="dxa"/>
            <w:vAlign w:val="bottom"/>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Nexiguran ziclumeran</w:t>
            </w:r>
          </w:p>
        </w:tc>
        <w:tc>
          <w:tcPr>
            <w:tcW w:w="3180" w:type="dxa"/>
            <w:vAlign w:val="bottom"/>
          </w:tcPr>
          <w:p>
            <w:pPr>
              <w:ind w:left="1780"/>
              <w:spacing w:after="0" w:line="179" w:lineRule="exact"/>
              <w:rPr>
                <w:sz w:val="20"/>
                <w:szCs w:val="20"/>
                <w:color w:val="auto"/>
              </w:rPr>
            </w:pPr>
            <w:r>
              <w:rPr>
                <w:rFonts w:ascii="Times New Roman" w:cs="Times New Roman" w:eastAsia="Times New Roman" w:hAnsi="Times New Roman"/>
                <w:sz w:val="18"/>
                <w:szCs w:val="18"/>
                <w:color w:val="auto"/>
              </w:rPr>
              <w:t>–Transthyretin</w:t>
            </w:r>
          </w:p>
        </w:tc>
        <w:tc>
          <w:tcPr>
            <w:tcW w:w="0" w:type="dxa"/>
            <w:vAlign w:val="bottom"/>
          </w:tcPr>
          <w:p>
            <w:pPr>
              <w:spacing w:after="0"/>
              <w:rPr>
                <w:sz w:val="1"/>
                <w:szCs w:val="1"/>
                <w:color w:val="auto"/>
              </w:rPr>
            </w:pPr>
          </w:p>
        </w:tc>
      </w:tr>
      <w:tr>
        <w:trPr>
          <w:trHeight w:val="186"/>
        </w:trPr>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(Nex-z, NTLA-2001)</w:t>
            </w:r>
            <w:r>
              <w:rPr>
                <w:rFonts w:ascii="Times New Roman" w:cs="Times New Roman" w:eastAsia="Times New Roman" w:hAnsi="Times New Roman"/>
                <w:sz w:val="21"/>
                <w:szCs w:val="21"/>
                <w:b w:val="1"/>
                <w:bCs w:val="1"/>
                <w:color w:val="auto"/>
                <w:vertAlign w:val="superscript"/>
              </w:rPr>
              <w:t>(j)</w:t>
            </w:r>
          </w:p>
        </w:tc>
        <w:tc>
          <w:tcPr>
            <w:tcW w:w="3180" w:type="dxa"/>
            <w:vAlign w:val="bottom"/>
          </w:tcPr>
          <w:p>
            <w:pPr>
              <w:ind w:left="1780"/>
              <w:spacing w:after="0" w:line="186" w:lineRule="exact"/>
              <w:rPr>
                <w:sz w:val="20"/>
                <w:szCs w:val="20"/>
                <w:color w:val="auto"/>
              </w:rPr>
            </w:pPr>
            <w:r>
              <w:rPr>
                <w:rFonts w:ascii="Times New Roman" w:cs="Times New Roman" w:eastAsia="Times New Roman" w:hAnsi="Times New Roman"/>
                <w:sz w:val="18"/>
                <w:szCs w:val="18"/>
                <w:color w:val="auto"/>
              </w:rPr>
              <w:t>amyloidosis with</w:t>
            </w:r>
          </w:p>
        </w:tc>
        <w:tc>
          <w:tcPr>
            <w:tcW w:w="0" w:type="dxa"/>
            <w:vAlign w:val="bottom"/>
          </w:tcPr>
          <w:p>
            <w:pPr>
              <w:spacing w:after="0"/>
              <w:rPr>
                <w:sz w:val="1"/>
                <w:szCs w:val="1"/>
                <w:color w:val="auto"/>
              </w:rPr>
            </w:pP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3180" w:type="dxa"/>
            <w:vAlign w:val="bottom"/>
          </w:tcPr>
          <w:p>
            <w:pPr>
              <w:ind w:left="1780"/>
              <w:spacing w:after="0" w:line="176" w:lineRule="exact"/>
              <w:rPr>
                <w:sz w:val="20"/>
                <w:szCs w:val="20"/>
                <w:color w:val="auto"/>
              </w:rPr>
            </w:pPr>
            <w:r>
              <w:rPr>
                <w:rFonts w:ascii="Times New Roman" w:cs="Times New Roman" w:eastAsia="Times New Roman" w:hAnsi="Times New Roman"/>
                <w:sz w:val="18"/>
                <w:szCs w:val="18"/>
                <w:color w:val="auto"/>
              </w:rPr>
              <w:t>cardiomyopathy</w:t>
            </w:r>
          </w:p>
        </w:tc>
        <w:tc>
          <w:tcPr>
            <w:tcW w:w="0" w:type="dxa"/>
            <w:vAlign w:val="bottom"/>
          </w:tcPr>
          <w:p>
            <w:pPr>
              <w:spacing w:after="0"/>
              <w:rPr>
                <w:sz w:val="1"/>
                <w:szCs w:val="1"/>
                <w:color w:val="auto"/>
              </w:rPr>
            </w:pPr>
          </w:p>
        </w:tc>
      </w:tr>
      <w:tr>
        <w:trPr>
          <w:trHeight w:val="312"/>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3"/>
              </w:rPr>
              <w:t>("ATTR-CM")</w:t>
            </w:r>
            <w:r>
              <w:rPr>
                <w:rFonts w:ascii="Times New Roman" w:cs="Times New Roman" w:eastAsia="Times New Roman" w:hAnsi="Times New Roman"/>
                <w:sz w:val="23"/>
                <w:szCs w:val="23"/>
                <w:color w:val="auto"/>
                <w:w w:val="93"/>
                <w:vertAlign w:val="superscript"/>
              </w:rPr>
              <w:t>(c)(m)</w:t>
            </w:r>
          </w:p>
        </w:tc>
        <w:tc>
          <w:tcPr>
            <w:tcW w:w="0" w:type="dxa"/>
            <w:vAlign w:val="bottom"/>
          </w:tcPr>
          <w:p>
            <w:pPr>
              <w:spacing w:after="0"/>
              <w:rPr>
                <w:sz w:val="1"/>
                <w:szCs w:val="1"/>
                <w:color w:val="auto"/>
              </w:rPr>
            </w:pPr>
          </w:p>
        </w:tc>
      </w:tr>
      <w:tr>
        <w:trPr>
          <w:trHeight w:val="296"/>
        </w:trPr>
        <w:tc>
          <w:tcPr>
            <w:tcW w:w="1980" w:type="dxa"/>
            <w:vAlign w:val="bottom"/>
          </w:tcPr>
          <w:p>
            <w:pPr>
              <w:spacing w:after="0"/>
              <w:rPr>
                <w:sz w:val="24"/>
                <w:szCs w:val="24"/>
                <w:color w:val="auto"/>
              </w:rPr>
            </w:pPr>
          </w:p>
        </w:tc>
        <w:tc>
          <w:tcPr>
            <w:tcW w:w="31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–Hereditary</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3180" w:type="dxa"/>
            <w:vAlign w:val="bottom"/>
          </w:tcPr>
          <w:p>
            <w:pPr>
              <w:ind w:left="1780"/>
              <w:spacing w:after="0" w:line="176" w:lineRule="exact"/>
              <w:rPr>
                <w:sz w:val="20"/>
                <w:szCs w:val="20"/>
                <w:color w:val="auto"/>
              </w:rPr>
            </w:pPr>
            <w:r>
              <w:rPr>
                <w:rFonts w:ascii="Times New Roman" w:cs="Times New Roman" w:eastAsia="Times New Roman" w:hAnsi="Times New Roman"/>
                <w:sz w:val="18"/>
                <w:szCs w:val="18"/>
                <w:color w:val="auto"/>
              </w:rPr>
              <w:t>transthyretin</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3180" w:type="dxa"/>
            <w:vAlign w:val="bottom"/>
          </w:tcPr>
          <w:p>
            <w:pPr>
              <w:ind w:left="178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318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polyneuropathy</w:t>
            </w:r>
          </w:p>
        </w:tc>
        <w:tc>
          <w:tcPr>
            <w:tcW w:w="0" w:type="dxa"/>
            <w:vAlign w:val="bottom"/>
          </w:tcPr>
          <w:p>
            <w:pPr>
              <w:spacing w:after="0"/>
              <w:rPr>
                <w:sz w:val="1"/>
                <w:szCs w:val="1"/>
                <w:color w:val="auto"/>
              </w:rPr>
            </w:pPr>
          </w:p>
        </w:tc>
      </w:tr>
      <w:tr>
        <w:trPr>
          <w:trHeight w:val="225"/>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3180" w:type="dxa"/>
            <w:vAlign w:val="bottom"/>
          </w:tcPr>
          <w:p>
            <w:pPr>
              <w:ind w:left="1780"/>
              <w:spacing w:after="0" w:line="224" w:lineRule="exact"/>
              <w:rPr>
                <w:sz w:val="20"/>
                <w:szCs w:val="20"/>
                <w:color w:val="auto"/>
              </w:rPr>
            </w:pPr>
            <w:r>
              <w:rPr>
                <w:rFonts w:ascii="Times New Roman" w:cs="Times New Roman" w:eastAsia="Times New Roman" w:hAnsi="Times New Roman"/>
                <w:sz w:val="18"/>
                <w:szCs w:val="18"/>
                <w:color w:val="auto"/>
                <w:w w:val="91"/>
              </w:rPr>
              <w:t>("ATTRv-PN")</w:t>
            </w:r>
            <w:r>
              <w:rPr>
                <w:rFonts w:ascii="Times New Roman" w:cs="Times New Roman" w:eastAsia="Times New Roman" w:hAnsi="Times New Roman"/>
                <w:sz w:val="23"/>
                <w:szCs w:val="23"/>
                <w:color w:val="auto"/>
                <w:w w:val="91"/>
                <w:vertAlign w:val="superscript"/>
              </w:rPr>
              <w:t>(c)(m)</w:t>
            </w:r>
          </w:p>
        </w:tc>
        <w:tc>
          <w:tcPr>
            <w:tcW w:w="0" w:type="dxa"/>
            <w:vAlign w:val="bottom"/>
          </w:tcPr>
          <w:p>
            <w:pPr>
              <w:spacing w:after="0"/>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318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–Thrombosis</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–Thrombosis</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REGN7257</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–Aplastic anemia</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–Initiate Phase 3 program</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–Initiate Phase 3 program</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426" w:lineRule="exact"/>
        <w:rPr>
          <w:sz w:val="20"/>
          <w:szCs w:val="20"/>
          <w:color w:val="auto"/>
        </w:rPr>
      </w:pPr>
    </w:p>
    <w:p>
      <w:pPr>
        <w:sectPr>
          <w:pgSz w:w="11900" w:h="16838" w:orient="portrait"/>
          <w:cols w:equalWidth="0" w:num="2">
            <w:col w:w="8440" w:space="72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62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3140" w:type="dxa"/>
            <w:vAlign w:val="bottom"/>
          </w:tcPr>
          <w:p>
            <w:pPr>
              <w:spacing w:after="0"/>
              <w:rPr>
                <w:sz w:val="15"/>
                <w:szCs w:val="15"/>
                <w:color w:val="auto"/>
              </w:rPr>
            </w:pPr>
          </w:p>
        </w:tc>
      </w:tr>
      <w:tr>
        <w:trPr>
          <w:trHeight w:val="23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beta-thalassemia</w:t>
            </w:r>
          </w:p>
        </w:tc>
        <w:tc>
          <w:tcPr>
            <w:tcW w:w="3140" w:type="dxa"/>
            <w:vAlign w:val="bottom"/>
          </w:tcPr>
          <w:p>
            <w:pPr>
              <w:spacing w:after="0"/>
              <w:rPr>
                <w:sz w:val="20"/>
                <w:szCs w:val="20"/>
                <w:color w:val="auto"/>
              </w:rPr>
            </w:pPr>
          </w:p>
        </w:tc>
      </w:tr>
      <w:tr>
        <w:trPr>
          <w:trHeight w:val="54"/>
        </w:trPr>
        <w:tc>
          <w:tcPr>
            <w:tcW w:w="1880" w:type="dxa"/>
            <w:vAlign w:val="bottom"/>
          </w:tcPr>
          <w:p>
            <w:pPr>
              <w:spacing w:after="0"/>
              <w:rPr>
                <w:sz w:val="4"/>
                <w:szCs w:val="4"/>
                <w:color w:val="auto"/>
              </w:rPr>
            </w:pPr>
          </w:p>
        </w:tc>
        <w:tc>
          <w:tcPr>
            <w:tcW w:w="6220" w:type="dxa"/>
            <w:vAlign w:val="bottom"/>
          </w:tcPr>
          <w:p>
            <w:pPr>
              <w:spacing w:after="0"/>
              <w:rPr>
                <w:sz w:val="4"/>
                <w:szCs w:val="4"/>
                <w:color w:val="auto"/>
              </w:rPr>
            </w:pPr>
          </w:p>
        </w:tc>
        <w:tc>
          <w:tcPr>
            <w:tcW w:w="3140" w:type="dxa"/>
            <w:vAlign w:val="bottom"/>
          </w:tcPr>
          <w:p>
            <w:pPr>
              <w:spacing w:after="0"/>
              <w:rPr>
                <w:sz w:val="4"/>
                <w:szCs w:val="4"/>
                <w:color w:val="auto"/>
              </w:rPr>
            </w:pPr>
          </w:p>
        </w:tc>
      </w:tr>
      <w:tr>
        <w:trPr>
          <w:trHeight w:val="230"/>
        </w:trPr>
        <w:tc>
          <w:tcPr>
            <w:tcW w:w="1880" w:type="dxa"/>
            <w:vAlign w:val="bottom"/>
            <w:shd w:val="clear" w:color="auto" w:fill="ACACAC"/>
          </w:tcPr>
          <w:p>
            <w:pPr>
              <w:spacing w:after="0"/>
              <w:rPr>
                <w:sz w:val="19"/>
                <w:szCs w:val="19"/>
                <w:color w:val="auto"/>
              </w:rPr>
            </w:pPr>
          </w:p>
        </w:tc>
        <w:tc>
          <w:tcPr>
            <w:tcW w:w="6220" w:type="dxa"/>
            <w:vAlign w:val="bottom"/>
            <w:shd w:val="clear" w:color="auto" w:fill="ACACAC"/>
          </w:tcPr>
          <w:p>
            <w:pPr>
              <w:ind w:left="2320"/>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3140" w:type="dxa"/>
            <w:vAlign w:val="bottom"/>
            <w:shd w:val="clear" w:color="auto" w:fill="ACACAC"/>
          </w:tcPr>
          <w:p>
            <w:pPr>
              <w:spacing w:after="0"/>
              <w:rPr>
                <w:sz w:val="19"/>
                <w:szCs w:val="19"/>
                <w:color w:val="auto"/>
              </w:rPr>
            </w:pPr>
          </w:p>
        </w:tc>
      </w:tr>
      <w:tr>
        <w:trPr>
          <w:trHeight w:val="54"/>
        </w:trPr>
        <w:tc>
          <w:tcPr>
            <w:tcW w:w="1880" w:type="dxa"/>
            <w:vAlign w:val="bottom"/>
          </w:tcPr>
          <w:p>
            <w:pPr>
              <w:spacing w:after="0"/>
              <w:rPr>
                <w:sz w:val="4"/>
                <w:szCs w:val="4"/>
                <w:color w:val="auto"/>
              </w:rPr>
            </w:pPr>
          </w:p>
        </w:tc>
        <w:tc>
          <w:tcPr>
            <w:tcW w:w="6220" w:type="dxa"/>
            <w:vAlign w:val="bottom"/>
          </w:tcPr>
          <w:p>
            <w:pPr>
              <w:spacing w:after="0"/>
              <w:rPr>
                <w:sz w:val="4"/>
                <w:szCs w:val="4"/>
                <w:color w:val="auto"/>
              </w:rPr>
            </w:pPr>
          </w:p>
        </w:tc>
        <w:tc>
          <w:tcPr>
            <w:tcW w:w="3140" w:type="dxa"/>
            <w:vAlign w:val="bottom"/>
          </w:tcPr>
          <w:p>
            <w:pPr>
              <w:spacing w:after="0"/>
              <w:rPr>
                <w:sz w:val="4"/>
                <w:szCs w:val="4"/>
                <w:color w:val="auto"/>
              </w:rPr>
            </w:pPr>
          </w:p>
        </w:tc>
      </w:tr>
      <w:tr>
        <w:trPr>
          <w:trHeight w:val="216"/>
        </w:trPr>
        <w:tc>
          <w:tcPr>
            <w:tcW w:w="1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62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–Fibrodysplasia</w:t>
            </w:r>
          </w:p>
        </w:tc>
        <w:tc>
          <w:tcPr>
            <w:tcW w:w="31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–Report results from Phase</w:t>
            </w: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6220" w:type="dxa"/>
            <w:vAlign w:val="bottom"/>
            <w:shd w:val="clear" w:color="auto" w:fill="CCEEFF"/>
          </w:tcPr>
          <w:p>
            <w:pPr>
              <w:ind w:left="1900"/>
              <w:spacing w:after="0" w:line="176" w:lineRule="exact"/>
              <w:rPr>
                <w:sz w:val="20"/>
                <w:szCs w:val="20"/>
                <w:color w:val="auto"/>
              </w:rPr>
            </w:pPr>
            <w:r>
              <w:rPr>
                <w:rFonts w:ascii="Times New Roman" w:cs="Times New Roman" w:eastAsia="Times New Roman" w:hAnsi="Times New Roman"/>
                <w:sz w:val="18"/>
                <w:szCs w:val="18"/>
                <w:color w:val="auto"/>
              </w:rPr>
              <w:t>ossificans progressiva</w:t>
            </w:r>
          </w:p>
        </w:tc>
        <w:tc>
          <w:tcPr>
            <w:tcW w:w="3140" w:type="dxa"/>
            <w:vAlign w:val="bottom"/>
            <w:shd w:val="clear" w:color="auto" w:fill="CCEEFF"/>
          </w:tcPr>
          <w:p>
            <w:pPr>
              <w:ind w:left="1060"/>
              <w:spacing w:after="0" w:line="176" w:lineRule="exact"/>
              <w:rPr>
                <w:sz w:val="20"/>
                <w:szCs w:val="20"/>
                <w:color w:val="auto"/>
              </w:rPr>
            </w:pPr>
            <w:r>
              <w:rPr>
                <w:rFonts w:ascii="Times New Roman" w:cs="Times New Roman" w:eastAsia="Times New Roman" w:hAnsi="Times New Roman"/>
                <w:sz w:val="18"/>
                <w:szCs w:val="18"/>
                <w:color w:val="auto"/>
              </w:rPr>
              <w:t>3 study in FOP (second half</w:t>
            </w: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6220" w:type="dxa"/>
            <w:vAlign w:val="bottom"/>
            <w:shd w:val="clear" w:color="auto" w:fill="CCEEFF"/>
          </w:tcPr>
          <w:p>
            <w:pPr>
              <w:ind w:left="1900"/>
              <w:spacing w:after="0" w:line="243" w:lineRule="exact"/>
              <w:rPr>
                <w:sz w:val="20"/>
                <w:szCs w:val="20"/>
                <w:color w:val="auto"/>
              </w:rPr>
            </w:pPr>
            <w:r>
              <w:rPr>
                <w:rFonts w:ascii="Times New Roman" w:cs="Times New Roman" w:eastAsia="Times New Roman" w:hAnsi="Times New Roman"/>
                <w:sz w:val="28"/>
                <w:szCs w:val="28"/>
                <w:color w:val="auto"/>
                <w:vertAlign w:val="subscript"/>
              </w:rPr>
              <w:t>("FOP")</w:t>
            </w:r>
            <w:r>
              <w:rPr>
                <w:rFonts w:ascii="Times New Roman" w:cs="Times New Roman" w:eastAsia="Times New Roman" w:hAnsi="Times New Roman"/>
                <w:sz w:val="11"/>
                <w:szCs w:val="11"/>
                <w:color w:val="auto"/>
              </w:rPr>
              <w:t>(c)(d)(e)</w:t>
            </w:r>
          </w:p>
        </w:tc>
        <w:tc>
          <w:tcPr>
            <w:tcW w:w="31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18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6220" w:type="dxa"/>
            <w:vAlign w:val="bottom"/>
          </w:tcPr>
          <w:p>
            <w:pPr>
              <w:ind w:left="26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3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–Report results from Phase</w:t>
            </w:r>
          </w:p>
        </w:tc>
      </w:tr>
      <w:tr>
        <w:trPr>
          <w:trHeight w:val="176"/>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6220" w:type="dxa"/>
            <w:vAlign w:val="bottom"/>
          </w:tcPr>
          <w:p>
            <w:pPr>
              <w:spacing w:after="0"/>
              <w:rPr>
                <w:sz w:val="15"/>
                <w:szCs w:val="15"/>
                <w:color w:val="auto"/>
              </w:rPr>
            </w:pPr>
          </w:p>
        </w:tc>
        <w:tc>
          <w:tcPr>
            <w:tcW w:w="3140" w:type="dxa"/>
            <w:vAlign w:val="bottom"/>
          </w:tcPr>
          <w:p>
            <w:pPr>
              <w:ind w:left="1060"/>
              <w:spacing w:after="0" w:line="176" w:lineRule="exact"/>
              <w:rPr>
                <w:sz w:val="20"/>
                <w:szCs w:val="20"/>
                <w:color w:val="auto"/>
              </w:rPr>
            </w:pPr>
            <w:r>
              <w:rPr>
                <w:rFonts w:ascii="Times New Roman" w:cs="Times New Roman" w:eastAsia="Times New Roman" w:hAnsi="Times New Roman"/>
                <w:sz w:val="18"/>
                <w:szCs w:val="18"/>
                <w:color w:val="auto"/>
              </w:rPr>
              <w:t>2 study in obesity (second</w:t>
            </w:r>
          </w:p>
        </w:tc>
      </w:tr>
      <w:tr>
        <w:trPr>
          <w:trHeight w:val="189"/>
        </w:trPr>
        <w:tc>
          <w:tcPr>
            <w:tcW w:w="1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6220" w:type="dxa"/>
            <w:vAlign w:val="bottom"/>
          </w:tcPr>
          <w:p>
            <w:pPr>
              <w:spacing w:after="0"/>
              <w:rPr>
                <w:sz w:val="16"/>
                <w:szCs w:val="16"/>
                <w:color w:val="auto"/>
              </w:rPr>
            </w:pPr>
          </w:p>
        </w:tc>
        <w:tc>
          <w:tcPr>
            <w:tcW w:w="3140" w:type="dxa"/>
            <w:vAlign w:val="bottom"/>
          </w:tcPr>
          <w:p>
            <w:pPr>
              <w:ind w:left="1060"/>
              <w:spacing w:after="0" w:line="189" w:lineRule="exact"/>
              <w:rPr>
                <w:sz w:val="20"/>
                <w:szCs w:val="20"/>
                <w:color w:val="auto"/>
              </w:rPr>
            </w:pPr>
            <w:r>
              <w:rPr>
                <w:rFonts w:ascii="Times New Roman" w:cs="Times New Roman" w:eastAsia="Times New Roman" w:hAnsi="Times New Roman"/>
                <w:sz w:val="18"/>
                <w:szCs w:val="18"/>
                <w:color w:val="auto"/>
              </w:rPr>
              <w:t>half 2025)</w:t>
            </w:r>
          </w:p>
        </w:tc>
      </w:tr>
      <w:tr>
        <w:trPr>
          <w:trHeight w:val="23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(GDF8)</w:t>
            </w:r>
          </w:p>
        </w:tc>
        <w:tc>
          <w:tcPr>
            <w:tcW w:w="622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tcPr>
          <w:p>
            <w:pPr>
              <w:spacing w:after="0"/>
              <w:rPr>
                <w:sz w:val="17"/>
                <w:szCs w:val="17"/>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6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80" w:type="dxa"/>
            <w:vAlign w:val="bottom"/>
            <w:gridSpan w:val="2"/>
            <w:vMerge w:val="continue"/>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4"/>
        </w:trPr>
        <w:tc>
          <w:tcPr>
            <w:tcW w:w="20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–Generalized</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(c)(d)(e)</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Agonist antibody to NPR1</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–Uncontrolled</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hypertension</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–Postural orthostatic</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("POTS")</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–Sepsis-induced</w:t>
            </w: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hypotension</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Rapirosiran (ALN-HSD)</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–Metabolic</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12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(k)</w:t>
            </w:r>
          </w:p>
        </w:tc>
        <w:tc>
          <w:tcPr>
            <w:tcW w:w="170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dysfunction-</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HSD17B13</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steatohepatitis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("MASH")</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DB-OTO</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deficit due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updated data</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variants of the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trial at</w:t>
            </w: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study (mid-</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otoferlin gene</w:t>
            </w:r>
            <w:r>
              <w:rPr>
                <w:rFonts w:ascii="Times New Roman" w:cs="Times New Roman" w:eastAsia="Times New Roman" w:hAnsi="Times New Roman"/>
                <w:sz w:val="21"/>
                <w:szCs w:val="21"/>
                <w:color w:val="auto"/>
                <w:vertAlign w:val="superscript"/>
              </w:rPr>
              <w:t>(c)(e)(m)</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Association for Research</w:t>
            </w:r>
          </w:p>
        </w:tc>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1/2)</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Otolaryngology’s</w:t>
            </w: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Annual MidWinter</w:t>
            </w: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66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240" w:right="260" w:hanging="5"/>
        <w:spacing w:after="0" w:line="189" w:lineRule="auto"/>
        <w:tabs>
          <w:tab w:leader="none" w:pos="39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6" w:lineRule="exact"/>
        <w:rPr>
          <w:rFonts w:ascii="Times New Roman" w:cs="Times New Roman" w:eastAsia="Times New Roman" w:hAnsi="Times New Roman"/>
          <w:sz w:val="23"/>
          <w:szCs w:val="23"/>
          <w:color w:val="auto"/>
          <w:vertAlign w:val="superscript"/>
        </w:rPr>
      </w:pPr>
    </w:p>
    <w:p>
      <w:pPr>
        <w:ind w:left="420" w:hanging="185"/>
        <w:spacing w:after="0"/>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sales milestones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196" w:lineRule="auto"/>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Used priority review voucher in connection with this regulatory review</w:t>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2025, the FDA issued a CRL regarding the sBLA for the addition of extended dosing intervals. The FDA indicated that the submitted data did not support extended dosing intervals greater than every 16 weeks. The Company is evaluating the FDA's decision.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issued a CRL for the EYLEA HD pre-filled syringe on April 23, 2025. The Company held several teleconferences with the FDA to better understand the contents of the CRL, and believes the key outstanding issue relates to a question posed by the FDA to a third-party component supplier. This component supplier has expeditiously responded to FDA requests for information. The CRL did not identify any issues with the safety or efficacy of EYLEA HD, the usability of the device, proposed labelling, or pre-approval inspection findings.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a pre-planned interim analysis was conducted on two ongoing Phase 2/3 studies evaluating the combination of fianlimab and cemiplimab in first-line advanced NSCLC. Due to limited follow-up, the Phase 2 portion of the studies will continue unchanged until additional data are available. The next analyses for these studies are expected in the first quarter of 2026, at which time a decision whether to advance to Phase 3 is expected to be made. No new safety signals were observed in either study.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Collaboration, Sanofi is generally responsible for funding 80% to 100% of agreed-upon development costs. We are obligated to reimburse Sanofi for 30% to 50% of development expenses that were funded by Sanofi based on our share of collaboration profits; however, we are only required to apply 20% of our share of profits from the collaboration each calendar quarter to reimburse Sanofi for these development expenses. As of March 31, 2025, the total amount of our contingent reimbursement obligation to Sanofi (i.e., "development balance") in connection with such development expenses was approximately $1.453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 and co-commercialization agreement or a license agreement. The initial target nomination and discovery period of five years has been automatically extended until the earlier of seven years from the effective date of the collaboration or the achievement of certain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milestones (the "Research Term"). In addition, we have an option to extend the Research Term for an additional five-year period for a research extension fee of $300.0 million.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 small interfering RNA ("siRNA") therapeutic targeting the C5 component of the human complement pathway) as a monotherapy and for a combination consisting of cemdisiran and pozelimab.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including therapies focused on neurological and muscular diseases. We have the right to select targets under the license and collaboration agreement until April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equally.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be entitled to 25% of any profits.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480" w:type="dxa"/>
            <w:vAlign w:val="bottom"/>
          </w:tcPr>
          <w:p>
            <w:pPr>
              <w:spacing w:after="0"/>
              <w:rPr>
                <w:sz w:val="20"/>
                <w:szCs w:val="20"/>
                <w:color w:val="auto"/>
              </w:rPr>
            </w:pPr>
          </w:p>
        </w:tc>
      </w:tr>
      <w:tr>
        <w:trPr>
          <w:trHeight w:val="228"/>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480" w:type="dxa"/>
            <w:vAlign w:val="bottom"/>
          </w:tcPr>
          <w:p>
            <w:pPr>
              <w:spacing w:after="0"/>
              <w:rPr>
                <w:sz w:val="19"/>
                <w:szCs w:val="19"/>
                <w:color w:val="auto"/>
              </w:rPr>
            </w:pPr>
          </w:p>
        </w:tc>
      </w:tr>
      <w:tr>
        <w:trPr>
          <w:trHeight w:val="229"/>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8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80" w:type="dxa"/>
            <w:vAlign w:val="bottom"/>
          </w:tcPr>
          <w:p>
            <w:pPr>
              <w:spacing w:after="0"/>
              <w:rPr>
                <w:sz w:val="19"/>
                <w:szCs w:val="19"/>
                <w:color w:val="auto"/>
              </w:rPr>
            </w:pPr>
          </w:p>
        </w:tc>
      </w:tr>
      <w:tr>
        <w:trPr>
          <w:trHeight w:val="248"/>
        </w:trPr>
        <w:tc>
          <w:tcPr>
            <w:tcW w:w="250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480" w:type="dxa"/>
            <w:vAlign w:val="bottom"/>
          </w:tcPr>
          <w:p>
            <w:pPr>
              <w:spacing w:after="0"/>
              <w:rPr>
                <w:sz w:val="21"/>
                <w:szCs w:val="21"/>
                <w:color w:val="auto"/>
              </w:rPr>
            </w:pPr>
          </w:p>
        </w:tc>
      </w:tr>
      <w:tr>
        <w:trPr>
          <w:trHeight w:val="20"/>
        </w:trPr>
        <w:tc>
          <w:tcPr>
            <w:tcW w:w="250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7"/>
        </w:trPr>
        <w:tc>
          <w:tcPr>
            <w:tcW w:w="2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50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80" w:type="dxa"/>
            <w:vAlign w:val="bottom"/>
          </w:tcPr>
          <w:p>
            <w:pPr>
              <w:spacing w:after="0"/>
              <w:rPr>
                <w:sz w:val="19"/>
                <w:szCs w:val="19"/>
                <w:color w:val="auto"/>
              </w:rPr>
            </w:pPr>
          </w:p>
        </w:tc>
      </w:tr>
      <w:tr>
        <w:trPr>
          <w:trHeight w:val="796"/>
        </w:trPr>
        <w:tc>
          <w:tcPr>
            <w:tcW w:w="2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8"/>
        </w:trPr>
        <w:tc>
          <w:tcPr>
            <w:tcW w:w="25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3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 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23"/>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Praluent - U.S.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Inmazeb - ROW</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108"/>
        </w:trPr>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1"/>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of EYLEA HD increased for the three months ended March 31, 2025, compared to the same period in 2024, primarily due to higher sales volumes.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product sales of EYLEA for the three months ended March 31, 2025, compared to the same period in 2024, were negatively impacted by (i) lower volume as a result of continued competitive pressures (as described below), loss in market share to compounded bevacizumab due to patient affordability constraints, and the continued transition of patients to EYLEA HD, and (ii) a lower net selling price. In addition, total EYLEA and EYLEA HD net product sales were negatively impacted by lower wholesaler inventory levels at the end of the first quarter of 2025 compared to the end of the fourth quarter of 2024.</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We are substantially dependent on the success of EYLEA, EYLEA HD, and Dupixent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In addition, if independent not-for-profit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funds that provide copay assistance are unable to support eligible patients, this will likely have a continued negative impact on patient affordability resulting in lower utilization of higher-cost anti-VEGF agents.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15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156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r>
      <w:tr>
        <w:trPr>
          <w:trHeight w:val="20"/>
        </w:trPr>
        <w:tc>
          <w:tcPr>
            <w:tcW w:w="156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740" w:right="2000" w:hanging="6"/>
        <w:spacing w:after="0" w:line="199" w:lineRule="auto"/>
        <w:tabs>
          <w:tab w:leader="none" w:pos="191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0" w:type="dxa"/>
            <w:vAlign w:val="bottom"/>
          </w:tcPr>
          <w:p>
            <w:pPr>
              <w:spacing w:after="0"/>
              <w:rPr>
                <w:sz w:val="1"/>
                <w:szCs w:val="1"/>
                <w:color w:val="auto"/>
              </w:rPr>
            </w:pPr>
          </w:p>
        </w:tc>
      </w:tr>
      <w:tr>
        <w:trPr>
          <w:trHeight w:val="181"/>
        </w:trPr>
        <w:tc>
          <w:tcPr>
            <w:tcW w:w="5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40" w:right="2400" w:hanging="160"/>
        <w:spacing w:after="0" w:line="204" w:lineRule="auto"/>
        <w:tabs>
          <w:tab w:leader="none" w:pos="184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See "Collaboration, License, and Other Agreements - Sanofi" above for additional details on our contingent reimbursement obligation</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months ended March 31, 2025, compared to the same period in 2024, was driven by higher profits associated with Dupixent sales.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63"/>
        </w:trPr>
        <w:tc>
          <w:tcPr>
            <w:tcW w:w="1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156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30"/>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0"/>
        </w:trPr>
        <w:tc>
          <w:tcPr>
            <w:tcW w:w="156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740" w:right="2020" w:hanging="6"/>
        <w:spacing w:after="0" w:line="199" w:lineRule="auto"/>
        <w:tabs>
          <w:tab w:leader="none" w:pos="191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89"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176"/>
        </w:trPr>
        <w:tc>
          <w:tcPr>
            <w:tcW w:w="5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Regeneron's share of profits as a percentage of EYLEA 8 mg and EYLEA net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740" w:right="2400" w:hanging="6"/>
        <w:spacing w:after="0" w:line="199" w:lineRule="auto"/>
        <w:tabs>
          <w:tab w:leader="none" w:pos="191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Bayer" above for additional details on our contingent reimbursement obligation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decreased for the three months ended March 31, 2025, compared to the same period in 2024, primarily due to lower reimbursements for manufacturing commercial supplies as a result of timing of shipments, partially offset by higher royalties and share of profits earned in connection with license agreements. Other revenue for the three months ended March 31, 2025 and 2024 included $69.9 million and $47.4 million, respectively, of royalties and share of profits earned in connection with license agreements.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3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bl>
    <w:p>
      <w:pPr>
        <w:spacing w:after="0" w:line="40" w:lineRule="exact"/>
        <w:rPr>
          <w:sz w:val="20"/>
          <w:szCs w:val="20"/>
          <w:color w:val="auto"/>
        </w:rPr>
      </w:pPr>
    </w:p>
    <w:p>
      <w:pPr>
        <w:ind w:left="2080" w:hanging="171"/>
        <w:spacing w:after="0"/>
        <w:tabs>
          <w:tab w:leader="none" w:pos="20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3"/>
          <w:szCs w:val="23"/>
          <w:color w:val="auto"/>
          <w:vertAlign w:val="superscript"/>
        </w:rPr>
      </w:pPr>
    </w:p>
    <w:p>
      <w:pPr>
        <w:ind w:left="2080" w:hanging="171"/>
        <w:spacing w:after="0" w:line="191" w:lineRule="auto"/>
        <w:tabs>
          <w:tab w:leader="none" w:pos="20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in connection with manufacturing drug supplies for collaborators and others</w:t>
      </w:r>
    </w:p>
    <w:p>
      <w:pPr>
        <w:spacing w:after="0" w:line="1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for the three months ended March 31, 2025 and 2024 included $255.7 million and $230.1 million, respectively, of stock-based compensation expense related to equity awards granted under our long-term incentive plans.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line="228"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Trevogrumab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75"/>
        </w:trPr>
        <w:tc>
          <w:tcPr>
            <w:tcW w:w="46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142"/>
        </w:trPr>
        <w:tc>
          <w:tcPr>
            <w:tcW w:w="4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142"/>
        </w:trPr>
        <w:tc>
          <w:tcPr>
            <w:tcW w:w="4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162"/>
        </w:trPr>
        <w:tc>
          <w:tcPr>
            <w:tcW w:w="4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5"/>
        </w:trPr>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62"/>
        </w:trPr>
        <w:tc>
          <w:tcPr>
            <w:tcW w:w="46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1900" w:hanging="99"/>
        <w:spacing w:after="0"/>
        <w:tabs>
          <w:tab w:leader="none" w:pos="19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$141.0 million and $123.0 million for the three months ended March 31, 2025 and 2024, respectively.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months ended March 31, 2025, compared to the same period in 2024, due to lower charitable contributions to an independent not-for-profit patient assistance organization and lower costs associated with the estimated amount payable for the Branded Prescription Drug Fee. Selling, general, and administrative expenses also included stock-based compensation expense of $95.2 million and $86.2 million for the three months ended March 31, 2025 and 2024,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5" w:lineRule="exact"/>
        <w:rPr>
          <w:sz w:val="20"/>
          <w:szCs w:val="20"/>
          <w:color w:val="auto"/>
        </w:rPr>
      </w:pPr>
    </w:p>
    <w:tbl>
      <w:tblPr>
        <w:tblLayout w:type="fixed"/>
        <w:tblInd w:w="242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240.4</w:t>
            </w:r>
          </w:p>
        </w:tc>
      </w:tr>
      <w:tr>
        <w:trPr>
          <w:trHeight w:val="30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bl>
    <w:p>
      <w:pPr>
        <w:jc w:val="both"/>
        <w:ind w:left="2600" w:right="2540" w:hanging="9"/>
        <w:spacing w:after="0" w:line="206" w:lineRule="auto"/>
        <w:tabs>
          <w:tab w:leader="none" w:pos="2774"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margin on net product sales decreased for the three months ended March 31, 2025, compared to the same period in 2024, primarily due to higher inventory write-offs and reserves.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operating expense (income), net, for the three months ended March 31, 2024 reflected a charge of $15.3 million related to the increase in the estimated fair value of the contingent consideration liability recognized in connection with our 2023 acquisition of Decibel Therapeutics,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40" w:type="dxa"/>
            <w:vAlign w:val="bottom"/>
            <w:gridSpan w:val="2"/>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1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(21.3)</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(3.0 %)</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positively impacted, compared to the U.S. federal statutory rate, primarily by income earned in foreign jurisdictions with tax rates lower than the U.S. federal statutory rate and federal tax credits for research activities. Our effective tax rate increased for the three months ended March 31, 2025, compared to the same period in 2024, due to lower tax benefits from less stock option exercises.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2017 and 2018 federal income tax returns are currently under audit by the IRS, and we expect to be effectively settled with the IRS during the second quarter of 2025. The unrecognized tax benefits for the years under examination exceed the expected payment amount; therefore, we expect to recognize a net tax benefit upon conclusion of such examinations.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230"/>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3"/>
        </w:trPr>
        <w:tc>
          <w:tcPr>
            <w:tcW w:w="37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162"/>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3"/>
        </w:trPr>
        <w:tc>
          <w:tcPr>
            <w:tcW w:w="3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also had borrowing availability of $750.0 million under a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Three Months Ended March 31, 2025 and 2024</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2025 included costs incurred in connection with the expansion of our research, preclinical manufacturing, and support facilities at our Tarrytown, New York corporate headquarters. We expect to incur capital expenditures of $850 million to $950 million for the full year of 2025, including in connection with the continued expansion of our facilities in Tarrytown, New York.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April 2024 and February 2025, our board of directors authorized an additional share repurchase program for up to $3.0 billion of our Common Stock (up to $6.0 billion in the aggregate). The programs have no time limit and can be discontinued at any time. As of March 31, 2025, an aggregate of $3.874 billion remained available for share repurchases under the programs.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our board of directors declared our first quarterly cash dividend. In March 2025, we paid a dividend of $0.88 per share on our Common Stock and Class A Stock to our shareholders.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April 2025, our board of directors declared a cash dividend of $0.88 per share on our Common Stock and Class A Stock. The dividend will be payable on June 6, 2025 to shareholders of record as of May 20,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2024 (filed February 5, 2025). There have been no material changes to critical accounting estimates during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this report for a description of recently issued accounting standards.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2024 (filed February 5, 2025). There have been no material changes to our market risks or to our management of such risks as of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March 31,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Securities and Exchange Commission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48" w:lineRule="exact"/>
        <w:rPr>
          <w:sz w:val="20"/>
          <w:szCs w:val="20"/>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62"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62"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48"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Marketed Products, Product Candidates, and New Indications for Our Marketed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the success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three months ended March 31, 2025 and 2024, our aggregate EYLEA HD and EYLEA net product sales in the United States represented 34% and 45% of our total revenues, respectively. For the three months ended March 31, 2025, EYLEA HD U.S. net product sales represented 29% of our aggregate EYLEA HD and EYLEA U.S. net product sales.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three months ended March 31, 2025, EYLEA U.S. net product sales declined by 39% compared to the same period in 2024 as a result of competitive pressures and other factors described under Part I, Item 2. "Management's Discussion and Analysis of Financial Condition and Results of Operations – Results of Operations." Following the expiration of the U.S. regulatory exclusivity period for EYLEA (i.e., the period during which no biosimilar product can be approved by the FDA) in May 2024, several biosimilar versions of EYLEA have been approved by the FDA, and one such product has launched in the United States. EYLEA and/or EYLEA HD net product sales recorded by us are likely to be negatively impacted by biosimilar competition in the United States, which may have a material adverse impact on our results of operations. In addition, we expect that competition for EYLEA outside the United States will increase in the future when biosimilar versions of EYLEA (including those already approved but not yet launched) are brought to market in additional countries, which may negatively impact the amount of collaboration revenue we earn from Bayer. While we anticipate several regulatory decisions relevant to further commercialization of EYLEA HD as shown in the table under Part I, Item 2. "Management's Discussion and Analysis of Financial Condition and Results of Operations - Overview - Programs in Clinical Development," there can be no assurance that any such milestones will be achieved or, if achieved, that they will enable us and Bayer to accelerate the ongoing launch and further commercialization of EYLEA HD. The degree to which EYLEA HD net product sales may offset further potential decreases in EYLEA net product sales, resulting from the factors discussed above or otherwise, is uncertain.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Antibody Collaboration with Sanofi. For the three months ended March 31, 2025 and 2024, Sanofi collaboration revenue (most of which is attributable to our share of profits from the commercialization of Dupixent) represented 39% and 29%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jc w:val="center"/>
        <w:ind w:left="5540" w:right="920" w:hanging="5208"/>
        <w:spacing w:after="0" w:line="689"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and EYLEA HD)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three months ended March 31, 2025, as further described under Part I, Item 2. "Management's Discussion and Analysis of Financial Condition and Results of Operations – Results of Operations."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reimbursement (including relevant formulary coverage, as discussed further below) of our current and future marketed products, which may have a material adverse effect on our business.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these and other commercialization-related risks in order for us to successfully maintain and/or further develop sufficient commercial capabilities outside the United States (including those necessary for our successful commercialization and co-commercialization of Libtayo and Dupixent, respectively).</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87" w:lineRule="exact"/>
        <w:rPr>
          <w:sz w:val="20"/>
          <w:szCs w:val="20"/>
          <w:color w:val="auto"/>
        </w:rPr>
      </w:pPr>
    </w:p>
    <w:p>
      <w:pPr>
        <w:jc w:val="both"/>
        <w:ind w:left="660" w:hanging="328"/>
        <w:spacing w:after="0" w:line="24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extent to which the policy changes described above will ultimately impact reimbursement levels of our marketed products, including those covered under Medicare Part B (such as EYLEA and EYLEA HD), or our product candidates that may be covered under Medicare Part B or Medicare Part D in the future, is currently unclear. In addition, the current U.S. administration is pursuing other measures to reduce the cost of drugs in the United States. For example, a recent executive order has directed the Secretary of the U.S. Department of Health and Human Services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It is currently unclear whether and to what extent these measures will be implemented and what impact any such implementation would have on our Company. Further, there can be no assurance that the U.S. administration will not pursue different or additional measures, such as those intended to more closely align U.S. drug prices with international drug prices (often referred to as "reference" or "international price index" drug pricing).</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biosimilar versions of Lucentis commercialized in the United States by Biogen Inc. and Sandoz Group AG. In addition, biosimilar versions of EYLEA have been approved both in and outside the United States. These include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which launched in the United States in the fourth quarter of 2024. We expect that biosimilar competition for EYLEA will increase in the future when additional biosimilar versions of EYLEA are launched in the United States and other countries, the timing of which will depend on, among other factors, the outcome of the pending patent litigation proceedings described in Note 12 to our Condensed Consolidated Financial Statements included in this report and the expiration of the patents protecting EYLEA (including those set forth under Part I -</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Item 1. "Business - Patents, Trademarks, and Trade Secrets" of our Annual Report on Form 10-K for the fiscal year ended December 31, 2024 (filed February 5, 2025)).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EYLEA HD, and/or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and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asthma, COPD, and potential future indications, including antibodies against the IL-33 ligand or receptor. Dupixent also faces competition from inhaled products in asthma, COPD, and potential future indications.</w:t>
      </w:r>
    </w:p>
    <w:p>
      <w:pPr>
        <w:spacing w:after="0" w:line="12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Checkpoint Therapeutics' Unloxcyt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treat the same conditions as Praluent, Evkeeza, and Kevzara,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 As described in Note 12 to our Condensed Consolidated Financial Statements included in this report,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Changes to product reimbursement and coverage policies and practices may materially harm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prospects, operating results, and financial condition,</w:t>
      </w:r>
      <w:r>
        <w:rPr>
          <w:rFonts w:ascii="Times New Roman" w:cs="Times New Roman" w:eastAsia="Times New Roman" w:hAnsi="Times New Roman"/>
          <w:sz w:val="18"/>
          <w:szCs w:val="18"/>
          <w:color w:val="auto"/>
        </w:rPr>
        <w:t>" a recent executive order has directed the Secretary of the HHS to take appropriate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facilitate such 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three months ended March 31, 2025 and 2024, our product sales to two distributor customers accounted on a combined basis for 76% and 75%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and product candidates is subject to significant competition - </w:t>
      </w:r>
      <w:r>
        <w:rPr>
          <w:rFonts w:ascii="Times New Roman" w:cs="Times New Roman" w:eastAsia="Times New Roman" w:hAnsi="Times New Roman"/>
          <w:sz w:val="18"/>
          <w:szCs w:val="18"/>
          <w:color w:val="auto"/>
        </w:rPr>
        <w:t>Marketed Products" above.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connection with our acquisition of the exclusive right to develop, commercialize, and manufacture Libtayo worldwide pursuant to the 2022 Amended and Restated Immuno-oncology License and Collaboration Agreement with Sanofi (the "A&amp;R IO LCA")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Dupixent in CSU stating that additional efficacy data are required to support an approval, which delayed by nearly 18 months the FDA's April 2025 approval of Dupixent in this indication.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REMS.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recently announced and any future reductions of staffing or other resources at the FDA, as discussed further below).</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has been in the past and may in the future be affected by a variety of factors, such as government budget and funding levels, authorization and payment of user fees, the ability to hire and retain key personnel, as well as other statutory, regulatory, and policy changes impacting HHS, the FDA, or other HHS agencies. Such factors may impact the FDA directly or impact other government agencies that support research and development activities pertaining to FDA review, such as research to understand new technologies or establish new standards. Policy shifts, including, for example, the recent efforts to downsize the federal workforce by restructuring the HHS and eliminating positions at the FDA and other federal agencies, may affect the timeliness, completeness, and/or duration of the FDA review process (including related interactions between us and the FDA). As a result, average review times at the FDA (including those for our pending regulatory submissions) may fluctuate, and the outcome of any such review process may be impacted. A prolonged government shutdown or a widespread freeze on federal funding could also significantly impact the ability of the FDA to timely review and process our regulatory submissions, or cause other agencies that support the FDA to slow their work. In the past, the U.S. government has shut down multiple times and certain regulatory agencies, such as the FDA, have had to furlough employees and stop some of their activities. In addition, if legislation or administrative action or changes in FDA policy prevent the FDA or other regulatory authorities from conducting routine inspections, reviews, or other regulatory activities, it could significantly impact the ability of the FDA to review and process our regulatory submissions in a timely manner, which could have a material adverse effect on our business.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While 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odronextamab BLA for FL has recently been resubmitted to the FDA, this has resulted in a delay of any potential FDA approval of this product candidate.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August 2024, the FDA issued a CRL concerning the Company's BLA for linvoseltamab in relapsed/refractory multiple myeloma due to findings from a pre-approval inspection at a third-party fill/finish provider for another company's product candidate. While the linvoseltamab BLA has been resubmitted to the FDA, this has resulted in a delay of any potential FDA approval of this product candidate.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harmed as a result of noncompliance with the requirements and regulations described in this paragraph.</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for example, this is now the case for Libtayo in many jurisdictions outside the United States (including Europe and Japan) due to the transition under the A&amp;R IO LCA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 a clinical study, including Phase 3 clinical trials required to submit a Marketing Authorization Application ("MAA") in the EU. In addition, such authorities often have the authority to require post-approval studies, such as a post-authorization safety study ("PASS") and/or a post-authorization efficacy study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combined administration, any of which may materially adversely impact clinical development of these product candidates and our ability to obtain regulatory approval.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the safety data from these trials will be consistent with the known Dupixent and Libtayo safety profiles (as applicable) or that regulatory approval of Dupixent or Libtayo (as applicable) in any of these indications will be successfully obtained. The side effects previously reported for Dupixent include severe allergic reactions, eye problems (including eye pain or changes in vision), joint aches and pain, parasitic (helminth) infections, facial rash or redness, and inflammation of blood vessels in the skin;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 may form the opinion after review of an application that the application is insufficient to allow approval of a drug-delivery device. For example, in April 2025, the FDA issued a CRL for the EYLEA HD 8 mg pre-filled syringe, which has resulted in a delay of any potential FDA approval.</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further described in Note 12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(as further described in Note 12 to our Condensed Consolidated Financial Statements included in this report) and Dupixent, are subject to opposition proceedings before the European Patent Office (the "EPO") and/or patent offices of various European countries. We have pending patent applications in the United States Patent and Trademark Office (the "USPTO"), the EPO,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12 to our Condensed Consolidated Financial Statements included in this report.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above. As an EYLEA biosimilar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launched in the United States following the expiration of the U.S. regulatory exclusivity period for EYLEA (i.e., the period during which no biosimilar product could be approved by the FDA) in May 2024, EYLEA no longer has U.S. market exclusivity. In addition, as EYLEA HD does not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 confidentiality of our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 affect revenues from product sales of that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thus our financial results and condition and could have a material negative impact on our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conducted by us, our collaborators, or our contract manufacturers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 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insufficient inventory. Also, the complexity of our manufacturing process may make it difficult, time-consuming, and expensive to transfer our technology to our collaborators or contract manufacturers.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See also "Other Regulatory and Litigation Risks - </w:t>
      </w:r>
      <w:r>
        <w:rPr>
          <w:rFonts w:ascii="Times New Roman" w:cs="Times New Roman" w:eastAsia="Times New Roman" w:hAnsi="Times New Roman"/>
          <w:sz w:val="18"/>
          <w:szCs w:val="18"/>
          <w:i w:val="1"/>
          <w:iCs w:val="1"/>
          <w:color w:val="auto"/>
        </w:rPr>
        <w:t>We face risks associated with tariffs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trade restrictions, which may have a material adverse impact on our results of operations and financial condition</w:t>
      </w:r>
      <w:r>
        <w:rPr>
          <w:rFonts w:ascii="Times New Roman" w:cs="Times New Roman" w:eastAsia="Times New Roman" w:hAnsi="Times New Roman"/>
          <w:sz w:val="18"/>
          <w:szCs w:val="18"/>
          <w:color w:val="auto"/>
        </w:rPr>
        <w:t>" below. In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Recently, the FDA issued CRLs to multiple companies (including us, as further discussed below)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could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w:t>
      </w:r>
    </w:p>
    <w:p>
      <w:pPr>
        <w:spacing w:after="0" w:line="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which could be seriously detrimental to our business, prospects, operating results, and financial condition. For example, in August 2024, the FDA issued a CRL concerning the Company's BLA for linvoseltamab in relapsed/refractory multiple myeloma due to findings from a pre-approval inspection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 third-party fill/finish provider for another company's product candidate. While the linvoseltamab BLA has recently been resubmitted to the FDA, this has resulted in a delay of any potential FDA approval of this product candidate. Significant noncompliance with the requirements discussed in this paragraph could also result in the imposition of monetary penalties or other civil or criminal sanctions and damage our reputation.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have previously been subject to, and may in the future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of Regeneron's Annual Report on Form 10-K for the fiscal year ended December 31, 2024 (filed February 5, 2025) for additional information on these programs.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restrict the number of third-party contract pharmacies that can dispense drugs that manufacturers sell to 340B covered entities. The outcome of this litigation may change the scope of the 340B program in the coming years. Any charge by HRSA that we have violated the requirements of the program or the regulation could negatively impact our operating results. Moreover,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5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 practices may materially harm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prospects, operating results, and financial condition</w:t>
      </w:r>
      <w:r>
        <w:rPr>
          <w:rFonts w:ascii="Times New Roman" w:cs="Times New Roman" w:eastAsia="Times New Roman" w:hAnsi="Times New Roman"/>
          <w:sz w:val="18"/>
          <w:szCs w:val="18"/>
          <w:color w:val="auto"/>
        </w:rPr>
        <w:t>," the current U.S. administration is pursuing various measures to reduce the cost of drugs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downsize the federal workforce,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certain jurisdictions outside the United States in connection with our acquisition of the exclusive right to develop, commercialize, and manufacture Libtayo worldwide pursuant 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1" w:lineRule="exact"/>
        <w:rPr>
          <w:sz w:val="20"/>
          <w:szCs w:val="20"/>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barriers (including further legislation or actions taken by the United States or other countries that restrict trade), and protectionist or retaliatory measures taken by the United States or other countries.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has recently imposed significant tariffs on imports from other countries, including a baseline tariff of 10% on imports into the United States and higher tariffs on multiple designated countries (including the EU Member States, China, Canada, and Mexico), such as "reciprocal" tariffs at varying rates. Such tariffs have prompted retaliatory measures from several countries, which may further escalate. On April 9, 2025, the United States announced that the imposition of most "reciprocal" tariffs would be paused for 90 days pending negotiations with the relevant countries.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could materially adversely impact our effective tax rate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12 to our Condensed Consolidated Financial Statements included in this report, we have commenced the Antibody Collaboration Ligation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the products and product candidates subject to such collaborations, particularly outside the United States.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collaborators' arrangements with them, these third parties may not perform adequately. If these service providers do not perform their services adequately, sales of our marketed products will suffer.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March 31, 2025, we had an aggregate of $2.705 billion of outstanding indebtedness under our senior unsecured notes and the lease financing facility. We may also incur additional debt in the future. Any such indebtedness could:</w:t>
      </w:r>
    </w:p>
    <w:p>
      <w:pPr>
        <w:spacing w:after="0" w:line="9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we had $3.090 billion in cash and cash equivalents and $14.536 billion in marketable securities (including $1.235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a putative class action civil complaint was recently filed against the Company and certain current and former executive officers of the Company asserting violations of federal securities laws, as further described in Note 12 to our Condensed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15, 2025, our five largest shareholders plus Dr. Schleifer, our Chief Executive Officer, beneficially owned approximately 37.9% of our outstanding shares of Common Stock, assuming, in the case of our Chief Executive Officer, the conversion of his Class A Stock into Common Stock and the exercise of all options held by him which are exercisable within 60 days of April 15, 2025.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$3.0 billion of our Common Stock and, in February 2025, authorized an additional $3.0 billion for share repurchases (of which $3.874 billion remained available in the aggregate as of March 31, 2025). In February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15, 2025, holders of Class A Stock held 14.6%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15, 2025:</w:t>
      </w:r>
    </w:p>
    <w:p>
      <w:pPr>
        <w:spacing w:after="0" w:line="120" w:lineRule="exact"/>
        <w:rPr>
          <w:sz w:val="20"/>
          <w:szCs w:val="20"/>
          <w:color w:val="auto"/>
        </w:rPr>
      </w:pPr>
    </w:p>
    <w:p>
      <w:pPr>
        <w:jc w:val="both"/>
        <w:ind w:left="660" w:hanging="328"/>
        <w:spacing w:after="0" w:line="25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5.3% of our outstanding shares of Common Stock, assuming conversion of their Class A Stock into Common Stock and the exercise of all options and release of all restricted stock units held by such persons which are exercisable or releasable within 60 days of April 15, 2025, and 17.2% of the combined voting power of our outstanding shares of Common Stock and Class A Stock, assuming the exercise of all options and release of all restricted stock units held by such persons which are exercisable or releasable within 60 days of April 15, 2025;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37.9% of our outstanding shares of Common Stock, assuming, in the case of our Chief Executive Officer, the conversion of his Class A Stock into Common Stock and the exercise of all options held by him which are exercisable within 60 days of April 15, 2025. In addition, these five shareholders plus our Chief Executive Officer held approximately 45.3% of the combined voting power of our outstanding shares of Common Stock and Class A Stock, assuming the exercise of all options held by our Chief Executive Officer which are exercisable within 60 days of April 15, 2025.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March 31, 2025.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1/1/2025–1/31/2025</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512,869</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507,134</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2/1/2025–2/28/2025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445,519</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696.88</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445,519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4,252.1</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3/1/2025–3/31/2025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562,944</w:t>
            </w:r>
          </w:p>
        </w:tc>
        <w:tc>
          <w:tcPr>
            <w:tcW w:w="7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672.42</w:t>
            </w:r>
          </w:p>
        </w:tc>
        <w:tc>
          <w:tcPr>
            <w:tcW w:w="3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562,944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1,521,332</w:t>
            </w:r>
          </w:p>
        </w:tc>
        <w:tc>
          <w:tcPr>
            <w:tcW w:w="760" w:type="dxa"/>
            <w:vAlign w:val="bottom"/>
            <w:gridSpan w:val="2"/>
          </w:tcPr>
          <w:p>
            <w:pPr>
              <w:jc w:val="right"/>
              <w:ind w:right="53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1,515,597</w:t>
            </w:r>
          </w:p>
        </w:tc>
        <w:tc>
          <w:tcPr>
            <w:tcW w:w="540" w:type="dxa"/>
            <w:vAlign w:val="bottom"/>
            <w:gridSpan w:val="2"/>
          </w:tcPr>
          <w:p>
            <w:pPr>
              <w:jc w:val="right"/>
              <w:ind w:right="29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80" w:right="20" w:firstLine="8"/>
        <w:spacing w:after="0" w:line="367" w:lineRule="auto"/>
        <w:tabs>
          <w:tab w:leader="none" w:pos="354"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March 31, 2025, certain of our directors and/or executive officers adopted plans for trading arrangements intended to satisfy the affirmative defense conditions of Rule 10b5-1(c) of the Exchange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Plan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84"/>
        </w:trPr>
        <w:tc>
          <w:tcPr>
            <w:tcW w:w="2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2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of Trading</w:t>
            </w:r>
          </w:p>
        </w:tc>
        <w:tc>
          <w:tcPr>
            <w:tcW w:w="20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29"/>
        </w:trPr>
        <w:tc>
          <w:tcPr>
            <w:tcW w:w="2540" w:type="dxa"/>
            <w:vAlign w:val="bottom"/>
            <w:gridSpan w:val="2"/>
            <w:vMerge w:val="continue"/>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5"/>
              </w:rPr>
              <w:t>Arrangement</w:t>
            </w:r>
            <w:r>
              <w:rPr>
                <w:rFonts w:ascii="Times New Roman" w:cs="Times New Roman" w:eastAsia="Times New Roman" w:hAnsi="Times New Roman"/>
                <w:sz w:val="23"/>
                <w:szCs w:val="23"/>
                <w:b w:val="1"/>
                <w:bCs w:val="1"/>
                <w:color w:val="auto"/>
                <w:w w:val="95"/>
                <w:vertAlign w:val="superscript"/>
              </w:rPr>
              <w:t>(a)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L. Goldstein, M.D.</w:t>
            </w:r>
          </w:p>
        </w:tc>
        <w:tc>
          <w:tcPr>
            <w:tcW w:w="1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11/30/2025</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172"/>
        <w:spacing w:after="0"/>
        <w:tabs>
          <w:tab w:leader="none" w:pos="3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0000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under the Securities Exchange Act of 1934.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920" w:hanging="1071"/>
        <w:spacing w:after="0"/>
        <w:tabs>
          <w:tab w:leader="none" w:pos="1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-127635</wp:posOffset>
            </wp:positionV>
            <wp:extent cx="60864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spacing w:after="0" w:line="7" w:lineRule="exact"/>
        <w:rPr>
          <w:sz w:val="20"/>
          <w:szCs w:val="20"/>
          <w:color w:val="auto"/>
        </w:rPr>
      </w:pPr>
    </w:p>
    <w:p>
      <w:pPr>
        <w:ind w:left="1920" w:right="860" w:hanging="1071"/>
        <w:spacing w:after="0" w:line="216" w:lineRule="auto"/>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March 31, 2025 and December 31, 2024; (ii) the registrant's Condensed Consolidated Statements of Operations and Comprehensive Income for the three months ended March 31, 2025 and 2024; (iii) the registrant's Condensed Consolidated Statements of Stockholders’ Equity for the three months ended March 31, 2025 and 2024; (iv) the registrant's Condensed Consolidated Statements of Cash Flows for the three months ended March 31, 2025 and 2024;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608647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ind w:left="5540" w:right="2740" w:hanging="4691"/>
        <w:spacing w:after="0" w:line="902" w:lineRule="auto"/>
        <w:tabs>
          <w:tab w:leader="none" w:pos="19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36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April 29, 2025</w:t>
            </w:r>
          </w:p>
        </w:tc>
        <w:tc>
          <w:tcPr>
            <w:tcW w:w="12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00" w:type="dxa"/>
            <w:vAlign w:val="bottom"/>
            <w:vMerge w:val="continue"/>
          </w:tcPr>
          <w:p>
            <w:pPr>
              <w:spacing w:after="0"/>
              <w:rPr>
                <w:sz w:val="7"/>
                <w:szCs w:val="7"/>
                <w:color w:val="auto"/>
              </w:rPr>
            </w:pPr>
          </w:p>
        </w:tc>
        <w:tc>
          <w:tcPr>
            <w:tcW w:w="12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000" w:type="dxa"/>
            <w:vAlign w:val="bottom"/>
            <w:tcBorders>
              <w:bottom w:val="single" w:sz="8" w:color="666666"/>
            </w:tcBorders>
          </w:tcPr>
          <w:p>
            <w:pPr>
              <w:spacing w:after="0"/>
              <w:rPr>
                <w:sz w:val="24"/>
                <w:szCs w:val="24"/>
                <w:color w:val="auto"/>
              </w:rPr>
            </w:pPr>
          </w:p>
        </w:tc>
        <w:tc>
          <w:tcPr>
            <w:tcW w:w="12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April 29, 2025</w:t>
            </w:r>
          </w:p>
        </w:tc>
        <w:tc>
          <w:tcPr>
            <w:tcW w:w="12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000" w:type="dxa"/>
            <w:vAlign w:val="bottom"/>
            <w:vMerge w:val="continue"/>
          </w:tcPr>
          <w:p>
            <w:pPr>
              <w:spacing w:after="0"/>
              <w:rPr>
                <w:sz w:val="7"/>
                <w:szCs w:val="7"/>
                <w:color w:val="auto"/>
              </w:rPr>
            </w:pPr>
          </w:p>
        </w:tc>
        <w:tc>
          <w:tcPr>
            <w:tcW w:w="12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200" w:type="dxa"/>
            <w:vAlign w:val="bottom"/>
            <w:gridSpan w:val="3"/>
          </w:tcPr>
          <w:p>
            <w:pPr>
              <w:ind w:left="12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000" w:type="dxa"/>
            <w:vAlign w:val="bottom"/>
            <w:tcBorders>
              <w:bottom w:val="single" w:sz="8" w:color="666666"/>
            </w:tcBorders>
          </w:tcPr>
          <w:p>
            <w:pPr>
              <w:spacing w:after="0"/>
              <w:rPr>
                <w:sz w:val="24"/>
                <w:szCs w:val="24"/>
                <w:color w:val="auto"/>
              </w:rPr>
            </w:pPr>
          </w:p>
        </w:tc>
        <w:tc>
          <w:tcPr>
            <w:tcW w:w="12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2025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2025</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2025</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32"/>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2025-04-29T06:14:40Z</dcterms:created>
  <dcterms:modified xsi:type="dcterms:W3CDTF">2025-04-29T06:14:40Z</dcterms:modified>
</cp:coreProperties>
</file>