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6" w:lineRule="exact"/>
        <w:rPr>
          <w:sz w:val="24"/>
          <w:szCs w:val="24"/>
          <w:color w:val="auto"/>
        </w:rPr>
      </w:pPr>
    </w:p>
    <w:p>
      <w:pPr>
        <w:ind w:left="360" w:right="2300" w:hanging="336"/>
        <w:spacing w:after="0" w:line="265"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ind w:left="166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360" w:right="2280" w:hanging="336"/>
        <w:spacing w:after="0" w:line="290" w:lineRule="auto"/>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0-19034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REGENERON PHARMACEUTICALS, INC.</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40"/>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2980" w:type="dxa"/>
            <w:vAlign w:val="bottom"/>
            <w:gridSpan w:val="2"/>
          </w:tcPr>
          <w:p>
            <w:pPr>
              <w:jc w:val="center"/>
              <w:ind w:right="1511"/>
              <w:spacing w:after="0"/>
              <w:rPr>
                <w:sz w:val="20"/>
                <w:szCs w:val="20"/>
                <w:color w:val="auto"/>
              </w:rPr>
            </w:pPr>
            <w:r>
              <w:rPr>
                <w:rFonts w:ascii="Arial" w:cs="Arial" w:eastAsia="Arial" w:hAnsi="Arial"/>
                <w:sz w:val="18"/>
                <w:szCs w:val="18"/>
                <w:b w:val="1"/>
                <w:bCs w:val="1"/>
                <w:color w:val="auto"/>
                <w:w w:val="90"/>
              </w:rPr>
              <w:t>New York</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20" w:type="dxa"/>
            <w:vAlign w:val="bottom"/>
          </w:tcPr>
          <w:p>
            <w:pPr>
              <w:jc w:val="right"/>
              <w:ind w:right="1100"/>
              <w:spacing w:after="0"/>
              <w:rPr>
                <w:sz w:val="20"/>
                <w:szCs w:val="20"/>
                <w:color w:val="auto"/>
              </w:rPr>
            </w:pPr>
            <w:r>
              <w:rPr>
                <w:rFonts w:ascii="Arial" w:cs="Arial" w:eastAsia="Arial" w:hAnsi="Arial"/>
                <w:sz w:val="18"/>
                <w:szCs w:val="18"/>
                <w:b w:val="1"/>
                <w:bCs w:val="1"/>
                <w:color w:val="auto"/>
              </w:rPr>
              <w:t>13-3444607</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gridSpan w:val="3"/>
          </w:tcPr>
          <w:p>
            <w:pPr>
              <w:jc w:val="center"/>
              <w:ind w:left="378"/>
              <w:spacing w:after="0"/>
              <w:rPr>
                <w:sz w:val="20"/>
                <w:szCs w:val="20"/>
                <w:color w:val="auto"/>
              </w:rPr>
            </w:pPr>
            <w:r>
              <w:rPr>
                <w:rFonts w:ascii="Arial" w:cs="Arial" w:eastAsia="Arial" w:hAnsi="Arial"/>
                <w:sz w:val="18"/>
                <w:szCs w:val="18"/>
                <w:i w:val="1"/>
                <w:iCs w:val="1"/>
                <w:color w:val="auto"/>
                <w:w w:val="93"/>
              </w:rPr>
              <w:t>(State or other jurisdiction of incorporation or organization)</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1"/>
              </w:rPr>
              <w:t>(I.R.S. Employer Identification No.)</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60" w:type="dxa"/>
            <w:vAlign w:val="bottom"/>
          </w:tcPr>
          <w:p>
            <w:pPr>
              <w:spacing w:after="0"/>
              <w:rPr>
                <w:sz w:val="24"/>
                <w:szCs w:val="24"/>
                <w:color w:val="auto"/>
              </w:rPr>
            </w:pPr>
          </w:p>
        </w:tc>
        <w:tc>
          <w:tcPr>
            <w:tcW w:w="814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1"/>
              </w:rPr>
              <w:t>777 Old Saw Mill River Road, Tarrytown, New York 10591-6707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40"/>
              <w:spacing w:after="0"/>
              <w:rPr>
                <w:sz w:val="20"/>
                <w:szCs w:val="20"/>
                <w:color w:val="auto"/>
              </w:rPr>
            </w:pPr>
            <w:r>
              <w:rPr>
                <w:rFonts w:ascii="Arial" w:cs="Arial" w:eastAsia="Arial" w:hAnsi="Arial"/>
                <w:sz w:val="18"/>
                <w:szCs w:val="18"/>
                <w:i w:val="1"/>
                <w:iCs w:val="1"/>
                <w:color w:val="auto"/>
                <w:w w:val="90"/>
              </w:rPr>
              <w:t>(Address of principal executive offices, including zip code)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20"/>
              <w:spacing w:after="0"/>
              <w:rPr>
                <w:sz w:val="20"/>
                <w:szCs w:val="20"/>
                <w:color w:val="auto"/>
              </w:rPr>
            </w:pPr>
            <w:r>
              <w:rPr>
                <w:rFonts w:ascii="Arial" w:cs="Arial" w:eastAsia="Arial" w:hAnsi="Arial"/>
                <w:sz w:val="18"/>
                <w:szCs w:val="18"/>
                <w:i w:val="1"/>
                <w:iCs w:val="1"/>
                <w:color w:val="auto"/>
                <w:w w:val="89"/>
              </w:rPr>
              <w:t>(Registrant's telephone number, including area code)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gridSpan w:val="5"/>
          </w:tcPr>
          <w:p>
            <w:pPr>
              <w:jc w:val="center"/>
              <w:ind w:right="2320"/>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60" w:type="dxa"/>
            <w:vAlign w:val="bottom"/>
          </w:tcPr>
          <w:p>
            <w:pPr>
              <w:spacing w:after="0"/>
              <w:rPr>
                <w:sz w:val="24"/>
                <w:szCs w:val="24"/>
                <w:color w:val="auto"/>
              </w:rPr>
            </w:pPr>
          </w:p>
        </w:tc>
        <w:tc>
          <w:tcPr>
            <w:tcW w:w="2980" w:type="dxa"/>
            <w:vAlign w:val="bottom"/>
            <w:gridSpan w:val="2"/>
          </w:tcPr>
          <w:p>
            <w:pPr>
              <w:jc w:val="center"/>
              <w:ind w:right="1611"/>
              <w:spacing w:after="0"/>
              <w:rPr>
                <w:sz w:val="20"/>
                <w:szCs w:val="20"/>
                <w:color w:val="auto"/>
              </w:rPr>
            </w:pPr>
            <w:r>
              <w:rPr>
                <w:rFonts w:ascii="Arial" w:cs="Arial" w:eastAsia="Arial" w:hAnsi="Arial"/>
                <w:sz w:val="18"/>
                <w:szCs w:val="18"/>
                <w:i w:val="1"/>
                <w:iCs w:val="1"/>
                <w:color w:val="auto"/>
                <w:w w:val="88"/>
              </w:rPr>
              <w:t>Title of each class</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i w:val="1"/>
                <w:iCs w:val="1"/>
                <w:color w:val="auto"/>
                <w:w w:val="88"/>
              </w:rPr>
              <w:t>Trading Symbol</w:t>
            </w:r>
          </w:p>
        </w:tc>
        <w:tc>
          <w:tcPr>
            <w:tcW w:w="32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7"/>
              </w:rPr>
              <w:t>Name of each exchange on which registered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gridSpan w:val="3"/>
          </w:tcPr>
          <w:p>
            <w:pPr>
              <w:jc w:val="center"/>
              <w:ind w:left="278"/>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9"/>
              </w:rPr>
              <w:t>REGN</w:t>
            </w:r>
          </w:p>
        </w:tc>
        <w:tc>
          <w:tcPr>
            <w:tcW w:w="3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NASDAQ Global Select Market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0200" w:type="dxa"/>
            <w:vAlign w:val="bottom"/>
            <w:gridSpan w:val="7"/>
          </w:tcPr>
          <w:p>
            <w:pPr>
              <w:spacing w:after="0"/>
              <w:rPr>
                <w:sz w:val="20"/>
                <w:szCs w:val="20"/>
                <w:color w:val="auto"/>
              </w:rPr>
            </w:pPr>
            <w:r>
              <w:rPr>
                <w:rFonts w:ascii="Arial" w:cs="Arial" w:eastAsia="Arial" w:hAnsi="Arial"/>
                <w:sz w:val="16"/>
                <w:szCs w:val="16"/>
                <w:color w:val="auto"/>
                <w:w w:val="99"/>
              </w:rPr>
              <w:t>Indicate by check mark whether the registrant (1) has filed all reports required to be filed by Section 13 or 15(d) of the Securities Exchange Act of</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0" w:type="dxa"/>
            <w:vAlign w:val="bottom"/>
            <w:gridSpan w:val="7"/>
          </w:tcPr>
          <w:p>
            <w:pPr>
              <w:spacing w:after="0" w:line="157" w:lineRule="exact"/>
              <w:rPr>
                <w:sz w:val="20"/>
                <w:szCs w:val="20"/>
                <w:color w:val="auto"/>
              </w:rPr>
            </w:pPr>
            <w:r>
              <w:rPr>
                <w:rFonts w:ascii="Arial" w:cs="Arial" w:eastAsia="Arial" w:hAnsi="Arial"/>
                <w:sz w:val="16"/>
                <w:szCs w:val="16"/>
                <w:color w:val="auto"/>
                <w:w w:val="99"/>
              </w:rPr>
              <w:t>1934 during the preceding 12 months (or for such shorter period that the registrant was required to file such reports), and (2) has been subject to</w:t>
            </w:r>
          </w:p>
        </w:tc>
        <w:tc>
          <w:tcPr>
            <w:tcW w:w="500" w:type="dxa"/>
            <w:vAlign w:val="bottom"/>
            <w:vMerge w:val="restart"/>
          </w:tcPr>
          <w:p>
            <w:pPr>
              <w:ind w:left="14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6"/>
                <w:szCs w:val="16"/>
                <w:color w:val="auto"/>
              </w:rPr>
              <w:t>such filing requirements for the past 90 days.</w:t>
            </w: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60" w:type="dxa"/>
            <w:vAlign w:val="bottom"/>
            <w:gridSpan w:val="2"/>
          </w:tcPr>
          <w:p>
            <w:pPr>
              <w:ind w:left="2740"/>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0200" w:type="dxa"/>
            <w:vAlign w:val="bottom"/>
            <w:gridSpan w:val="7"/>
          </w:tcPr>
          <w:p>
            <w:pPr>
              <w:spacing w:after="0" w:line="160" w:lineRule="exact"/>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0" w:type="dxa"/>
            <w:vAlign w:val="bottom"/>
            <w:gridSpan w:val="7"/>
          </w:tcPr>
          <w:p>
            <w:pPr>
              <w:spacing w:after="0" w:line="157"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500" w:type="dxa"/>
            <w:vAlign w:val="bottom"/>
            <w:vMerge w:val="restart"/>
          </w:tcPr>
          <w:p>
            <w:pPr>
              <w:ind w:left="14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r>
        <w:trPr>
          <w:trHeight w:val="279"/>
        </w:trPr>
        <w:tc>
          <w:tcPr>
            <w:tcW w:w="504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gridSpan w:val="2"/>
          </w:tcPr>
          <w:p>
            <w:pPr>
              <w:ind w:left="2740"/>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ind w:left="20" w:right="280"/>
        <w:spacing w:after="0" w:line="22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300"/>
              <w:spacing w:after="0"/>
              <w:rPr>
                <w:sz w:val="20"/>
                <w:szCs w:val="20"/>
                <w:color w:val="auto"/>
              </w:rPr>
            </w:pPr>
            <w:r>
              <w:rPr>
                <w:rFonts w:ascii="Arial" w:cs="Arial" w:eastAsia="Arial" w:hAnsi="Arial"/>
                <w:sz w:val="16"/>
                <w:szCs w:val="16"/>
                <w:color w:val="auto"/>
              </w:rPr>
              <w:t>Large accelerated</w:t>
            </w:r>
          </w:p>
        </w:tc>
        <w:tc>
          <w:tcPr>
            <w:tcW w:w="1700" w:type="dxa"/>
            <w:vAlign w:val="bottom"/>
            <w:vMerge w:val="restart"/>
          </w:tcPr>
          <w:p>
            <w:pPr>
              <w:ind w:left="18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c>
          <w:tcPr>
            <w:tcW w:w="1960" w:type="dxa"/>
            <w:vAlign w:val="bottom"/>
            <w:vMerge w:val="restart"/>
          </w:tcPr>
          <w:p>
            <w:pPr>
              <w:ind w:left="280"/>
              <w:spacing w:after="0" w:line="196" w:lineRule="exact"/>
              <w:rPr>
                <w:sz w:val="20"/>
                <w:szCs w:val="20"/>
                <w:color w:val="auto"/>
              </w:rPr>
            </w:pPr>
            <w:r>
              <w:rPr>
                <w:rFonts w:ascii="Arial" w:cs="Arial" w:eastAsia="Arial" w:hAnsi="Arial"/>
                <w:sz w:val="16"/>
                <w:szCs w:val="16"/>
                <w:color w:val="auto"/>
                <w:w w:val="98"/>
              </w:rPr>
              <w:t xml:space="preserve">Non-accelerated filer </w:t>
            </w:r>
            <w:r>
              <w:rPr>
                <w:rFonts w:ascii="MS PGothic" w:cs="MS PGothic" w:eastAsia="MS PGothic" w:hAnsi="MS PGothic"/>
                <w:sz w:val="17"/>
                <w:szCs w:val="17"/>
                <w:color w:val="auto"/>
                <w:w w:val="98"/>
              </w:rPr>
              <w:t>☐</w:t>
            </w:r>
          </w:p>
        </w:tc>
        <w:tc>
          <w:tcPr>
            <w:tcW w:w="2260" w:type="dxa"/>
            <w:vAlign w:val="bottom"/>
            <w:vMerge w:val="restart"/>
          </w:tcPr>
          <w:p>
            <w:pPr>
              <w:ind w:left="160"/>
              <w:spacing w:after="0" w:line="196" w:lineRule="exact"/>
              <w:rPr>
                <w:sz w:val="20"/>
                <w:szCs w:val="20"/>
                <w:color w:val="auto"/>
              </w:rPr>
            </w:pPr>
            <w:r>
              <w:rPr>
                <w:rFonts w:ascii="Arial" w:cs="Arial" w:eastAsia="Arial" w:hAnsi="Arial"/>
                <w:sz w:val="16"/>
                <w:szCs w:val="16"/>
                <w:color w:val="auto"/>
                <w:w w:val="97"/>
              </w:rPr>
              <w:t xml:space="preserve">Smaller reporting company </w:t>
            </w:r>
            <w:r>
              <w:rPr>
                <w:rFonts w:ascii="MS PGothic" w:cs="MS PGothic" w:eastAsia="MS PGothic" w:hAnsi="MS PGothic"/>
                <w:sz w:val="17"/>
                <w:szCs w:val="17"/>
                <w:color w:val="auto"/>
                <w:w w:val="97"/>
              </w:rPr>
              <w:t>☐</w:t>
            </w:r>
          </w:p>
        </w:tc>
        <w:tc>
          <w:tcPr>
            <w:tcW w:w="2480" w:type="dxa"/>
            <w:vAlign w:val="bottom"/>
            <w:vMerge w:val="restart"/>
          </w:tcPr>
          <w:p>
            <w:pPr>
              <w:jc w:val="right"/>
              <w:ind w:right="303"/>
              <w:spacing w:after="0" w:line="196" w:lineRule="exact"/>
              <w:rPr>
                <w:sz w:val="20"/>
                <w:szCs w:val="20"/>
                <w:color w:val="auto"/>
              </w:rPr>
            </w:pPr>
            <w:r>
              <w:rPr>
                <w:rFonts w:ascii="Arial" w:cs="Arial" w:eastAsia="Arial" w:hAnsi="Arial"/>
                <w:sz w:val="16"/>
                <w:szCs w:val="16"/>
                <w:color w:val="auto"/>
                <w:w w:val="98"/>
              </w:rPr>
              <w:t xml:space="preserve">Emerging growth company </w:t>
            </w:r>
            <w:r>
              <w:rPr>
                <w:rFonts w:ascii="MS PGothic" w:cs="MS PGothic" w:eastAsia="MS PGothic" w:hAnsi="MS PGothic"/>
                <w:sz w:val="17"/>
                <w:szCs w:val="17"/>
                <w:color w:val="auto"/>
                <w:w w:val="9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780" w:type="dxa"/>
            <w:vAlign w:val="bottom"/>
          </w:tcPr>
          <w:p>
            <w:pPr>
              <w:ind w:left="1160"/>
              <w:spacing w:after="0" w:line="196"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18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00" w:type="dxa"/>
            <w:vAlign w:val="bottom"/>
            <w:gridSpan w:val="4"/>
          </w:tcPr>
          <w:p>
            <w:pPr>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2480" w:type="dxa"/>
            <w:vAlign w:val="bottom"/>
          </w:tcPr>
          <w:p>
            <w:pPr>
              <w:jc w:val="right"/>
              <w:ind w:right="103"/>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700" w:type="dxa"/>
            <w:vAlign w:val="bottom"/>
            <w:gridSpan w:val="4"/>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2480" w:type="dxa"/>
            <w:vAlign w:val="bottom"/>
          </w:tcPr>
          <w:p>
            <w:pPr>
              <w:jc w:val="right"/>
              <w:ind w:right="103"/>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20" w:type="dxa"/>
            <w:vAlign w:val="bottom"/>
          </w:tcPr>
          <w:p>
            <w:pPr>
              <w:ind w:left="16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22, 2021:</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Class of Common Stock</w:t>
            </w:r>
          </w:p>
        </w:tc>
        <w:tc>
          <w:tcPr>
            <w:tcW w:w="320" w:type="dxa"/>
            <w:vAlign w:val="bottom"/>
          </w:tcPr>
          <w:p>
            <w:pPr>
              <w:spacing w:after="0"/>
              <w:rPr>
                <w:sz w:val="18"/>
                <w:szCs w:val="18"/>
                <w:color w:val="auto"/>
              </w:rPr>
            </w:pPr>
          </w:p>
        </w:tc>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Number of Shares</w:t>
            </w:r>
          </w:p>
        </w:tc>
        <w:tc>
          <w:tcPr>
            <w:tcW w:w="2220" w:type="dxa"/>
            <w:vAlign w:val="bottom"/>
          </w:tcPr>
          <w:p>
            <w:pPr>
              <w:spacing w:after="0"/>
              <w:rPr>
                <w:sz w:val="18"/>
                <w:szCs w:val="18"/>
                <w:color w:val="auto"/>
              </w:rPr>
            </w:pPr>
          </w:p>
        </w:tc>
      </w:tr>
      <w:tr>
        <w:trPr>
          <w:trHeight w:val="204"/>
        </w:trPr>
        <w:tc>
          <w:tcPr>
            <w:tcW w:w="2240" w:type="dxa"/>
            <w:vAlign w:val="bottom"/>
          </w:tcPr>
          <w:p>
            <w:pPr>
              <w:spacing w:after="0"/>
              <w:rPr>
                <w:sz w:val="17"/>
                <w:szCs w:val="17"/>
                <w:color w:val="auto"/>
              </w:rPr>
            </w:pPr>
          </w:p>
        </w:tc>
        <w:tc>
          <w:tcPr>
            <w:tcW w:w="358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Class A Stock, $.001 par value</w:t>
            </w:r>
          </w:p>
        </w:tc>
        <w:tc>
          <w:tcPr>
            <w:tcW w:w="3200" w:type="dxa"/>
            <w:vAlign w:val="bottom"/>
          </w:tcPr>
          <w:p>
            <w:pPr>
              <w:jc w:val="right"/>
              <w:ind w:right="1200"/>
              <w:spacing w:after="0"/>
              <w:rPr>
                <w:sz w:val="20"/>
                <w:szCs w:val="20"/>
                <w:color w:val="auto"/>
              </w:rPr>
            </w:pPr>
            <w:r>
              <w:rPr>
                <w:rFonts w:ascii="Arial" w:cs="Arial" w:eastAsia="Arial" w:hAnsi="Arial"/>
                <w:sz w:val="16"/>
                <w:szCs w:val="16"/>
                <w:color w:val="auto"/>
              </w:rPr>
              <w:t>1,823,283</w:t>
            </w:r>
          </w:p>
        </w:tc>
        <w:tc>
          <w:tcPr>
            <w:tcW w:w="2220" w:type="dxa"/>
            <w:vAlign w:val="bottom"/>
          </w:tcPr>
          <w:p>
            <w:pPr>
              <w:spacing w:after="0"/>
              <w:rPr>
                <w:sz w:val="17"/>
                <w:szCs w:val="17"/>
                <w:color w:val="auto"/>
              </w:rPr>
            </w:pPr>
          </w:p>
        </w:tc>
      </w:t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Common Stock, $.001 par value</w:t>
            </w:r>
          </w:p>
        </w:tc>
        <w:tc>
          <w:tcPr>
            <w:tcW w:w="3200" w:type="dxa"/>
            <w:vAlign w:val="bottom"/>
          </w:tcPr>
          <w:p>
            <w:pPr>
              <w:jc w:val="right"/>
              <w:ind w:right="1120"/>
              <w:spacing w:after="0"/>
              <w:rPr>
                <w:sz w:val="20"/>
                <w:szCs w:val="20"/>
                <w:color w:val="auto"/>
              </w:rPr>
            </w:pPr>
            <w:r>
              <w:rPr>
                <w:rFonts w:ascii="Arial" w:cs="Arial" w:eastAsia="Arial" w:hAnsi="Arial"/>
                <w:sz w:val="16"/>
                <w:szCs w:val="16"/>
                <w:color w:val="auto"/>
              </w:rPr>
              <w:t>105,719,735</w:t>
            </w:r>
          </w:p>
        </w:tc>
        <w:tc>
          <w:tcPr>
            <w:tcW w:w="2220" w:type="dxa"/>
            <w:vAlign w:val="bottom"/>
          </w:tcPr>
          <w:p>
            <w:pPr>
              <w:spacing w:after="0"/>
              <w:rPr>
                <w:sz w:val="18"/>
                <w:szCs w:val="18"/>
                <w:color w:val="auto"/>
              </w:rPr>
            </w:pPr>
          </w:p>
        </w:tc>
      </w:tr>
      <w:tr>
        <w:trPr>
          <w:trHeight w:val="1013"/>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7"/>
          </w:tcPr>
          <w:p>
            <w:pPr>
              <w:ind w:left="400"/>
              <w:spacing w:after="0"/>
              <w:rPr>
                <w:sz w:val="20"/>
                <w:szCs w:val="20"/>
                <w:color w:val="auto"/>
              </w:rPr>
            </w:pPr>
            <w:r>
              <w:rPr>
                <w:rFonts w:ascii="Arial" w:cs="Arial" w:eastAsia="Arial" w:hAnsi="Arial"/>
                <w:sz w:val="18"/>
                <w:szCs w:val="18"/>
                <w:b w:val="1"/>
                <w:bCs w:val="1"/>
                <w:color w:val="auto"/>
              </w:rPr>
              <w:t>Page Numbers</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7300" w:type="dxa"/>
            <w:vAlign w:val="bottom"/>
            <w:gridSpan w:val="20"/>
            <w:shd w:val="clear" w:color="auto" w:fill="CCEEFF"/>
          </w:tcPr>
          <w:p>
            <w:pPr>
              <w:spacing w:after="0" w:line="187"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300" w:type="dxa"/>
            <w:vAlign w:val="bottom"/>
            <w:gridSpan w:val="20"/>
            <w:shd w:val="clear" w:color="auto" w:fill="CCEEFF"/>
          </w:tcPr>
          <w:p>
            <w:pPr>
              <w:spacing w:after="0" w:line="187"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Condensed Consolidated Balance Sheets as of September 30, 2021 and December 31, 2020</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00" w:type="dxa"/>
            <w:vAlign w:val="bottom"/>
            <w:gridSpan w:val="20"/>
            <w:shd w:val="clear" w:color="auto" w:fill="CCEEFF"/>
          </w:tcPr>
          <w:p>
            <w:pPr>
              <w:spacing w:after="0" w:line="187"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Operations and Comprehensive Income for the Three and</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920" w:type="dxa"/>
            <w:vAlign w:val="bottom"/>
            <w:tcBorders>
              <w:top w:val="single" w:sz="8" w:color="0000FF"/>
            </w:tcBorders>
            <w:gridSpan w:val="19"/>
            <w:shd w:val="clear" w:color="auto" w:fill="CCEEFF"/>
          </w:tcPr>
          <w:p>
            <w:pPr>
              <w:spacing w:after="0" w:line="154" w:lineRule="exact"/>
              <w:rPr>
                <w:rFonts w:ascii="Arial" w:cs="Arial" w:eastAsia="Arial" w:hAnsi="Arial"/>
                <w:sz w:val="17"/>
                <w:szCs w:val="17"/>
                <w:color w:val="0000FF"/>
              </w:rPr>
            </w:pPr>
            <w:hyperlink w:anchor="page3">
              <w:r>
                <w:rPr>
                  <w:rFonts w:ascii="Arial" w:cs="Arial" w:eastAsia="Arial" w:hAnsi="Arial"/>
                  <w:sz w:val="17"/>
                  <w:szCs w:val="17"/>
                  <w:color w:val="0000FF"/>
                </w:rPr>
                <w:t>Nine Months Ended September 30, 2021 and 2020</w:t>
              </w:r>
            </w:hyperlink>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00" w:type="dxa"/>
            <w:vAlign w:val="bottom"/>
            <w:gridSpan w:val="20"/>
            <w:shd w:val="clear" w:color="auto" w:fill="CCEEFF"/>
          </w:tcPr>
          <w:p>
            <w:pPr>
              <w:spacing w:after="0" w:line="187"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Stockholders' Equity for the Three and Nine Months</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560" w:type="dxa"/>
            <w:vAlign w:val="bottom"/>
            <w:tcBorders>
              <w:top w:val="single" w:sz="8" w:color="0000FF"/>
            </w:tcBorders>
            <w:gridSpan w:val="17"/>
            <w:shd w:val="clear" w:color="auto" w:fill="CCEEFF"/>
          </w:tcPr>
          <w:p>
            <w:pPr>
              <w:spacing w:after="0" w:line="154" w:lineRule="exact"/>
              <w:rPr>
                <w:rFonts w:ascii="Arial" w:cs="Arial" w:eastAsia="Arial" w:hAnsi="Arial"/>
                <w:sz w:val="17"/>
                <w:szCs w:val="17"/>
                <w:color w:val="0000FF"/>
              </w:rPr>
            </w:pPr>
            <w:hyperlink w:anchor="page4">
              <w:r>
                <w:rPr>
                  <w:rFonts w:ascii="Arial" w:cs="Arial" w:eastAsia="Arial" w:hAnsi="Arial"/>
                  <w:sz w:val="17"/>
                  <w:szCs w:val="17"/>
                  <w:color w:val="0000FF"/>
                </w:rPr>
                <w:t>Ended September 30, 2021 and 2020</w:t>
              </w:r>
            </w:hyperlink>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00" w:type="dxa"/>
            <w:vAlign w:val="bottom"/>
            <w:gridSpan w:val="20"/>
            <w:shd w:val="clear" w:color="auto" w:fill="CCEEFF"/>
          </w:tcPr>
          <w:p>
            <w:pPr>
              <w:spacing w:after="0" w:line="187" w:lineRule="exact"/>
              <w:rPr>
                <w:rFonts w:ascii="Arial" w:cs="Arial" w:eastAsia="Arial" w:hAnsi="Arial"/>
                <w:sz w:val="18"/>
                <w:szCs w:val="18"/>
                <w:color w:val="0000FF"/>
                <w:w w:val="95"/>
              </w:rPr>
            </w:pPr>
            <w:hyperlink w:anchor="page6">
              <w:r>
                <w:rPr>
                  <w:rFonts w:ascii="Arial" w:cs="Arial" w:eastAsia="Arial" w:hAnsi="Arial"/>
                  <w:sz w:val="18"/>
                  <w:szCs w:val="18"/>
                  <w:color w:val="0000FF"/>
                  <w:w w:val="95"/>
                </w:rPr>
                <w:t>Condensed Consolidated Statements of Cash Flows for the Nine Months Ended September 30,</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720" w:type="dxa"/>
            <w:vAlign w:val="bottom"/>
            <w:tcBorders>
              <w:top w:val="single" w:sz="8" w:color="0000FF"/>
            </w:tcBorders>
            <w:gridSpan w:val="18"/>
            <w:shd w:val="clear" w:color="auto" w:fill="CCEEFF"/>
          </w:tcPr>
          <w:p>
            <w:pPr>
              <w:spacing w:after="0" w:line="154" w:lineRule="exact"/>
              <w:rPr>
                <w:rFonts w:ascii="Arial" w:cs="Arial" w:eastAsia="Arial" w:hAnsi="Arial"/>
                <w:sz w:val="17"/>
                <w:szCs w:val="17"/>
                <w:color w:val="0000FF"/>
              </w:rPr>
            </w:pPr>
            <w:hyperlink w:anchor="page6">
              <w:r>
                <w:rPr>
                  <w:rFonts w:ascii="Arial" w:cs="Arial" w:eastAsia="Arial" w:hAnsi="Arial"/>
                  <w:sz w:val="17"/>
                  <w:szCs w:val="17"/>
                  <w:color w:val="0000FF"/>
                </w:rPr>
                <w:t>2021 and 2020</w:t>
              </w:r>
            </w:hyperlink>
          </w:p>
        </w:tc>
        <w:tc>
          <w:tcPr>
            <w:tcW w:w="580" w:type="dxa"/>
            <w:vAlign w:val="bottom"/>
            <w:tcBorders>
              <w:top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040" w:type="dxa"/>
            <w:vAlign w:val="bottom"/>
            <w:gridSpan w:val="5"/>
            <w:shd w:val="clear" w:color="auto" w:fill="CCEEFF"/>
          </w:tcPr>
          <w:p>
            <w:pPr>
              <w:jc w:val="center"/>
              <w:ind w:left="771"/>
              <w:spacing w:after="0" w:line="187"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2">
              <w:r>
                <w:rPr>
                  <w:rFonts w:ascii="Arial" w:cs="Arial" w:eastAsia="Arial" w:hAnsi="Arial"/>
                  <w:sz w:val="18"/>
                  <w:szCs w:val="18"/>
                  <w:color w:val="0000FF"/>
                </w:rPr>
                <w:t>Item 3.</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2">
              <w:r>
                <w:rPr>
                  <w:rFonts w:ascii="Arial" w:cs="Arial" w:eastAsia="Arial" w:hAnsi="Arial"/>
                  <w:sz w:val="18"/>
                  <w:szCs w:val="18"/>
                  <w:color w:val="0000FF"/>
                </w:rPr>
                <w:t>Item 4.</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w:t>
              </w:r>
            </w:hyperlink>
          </w:p>
        </w:tc>
        <w:tc>
          <w:tcPr>
            <w:tcW w:w="7300" w:type="dxa"/>
            <w:vAlign w:val="bottom"/>
            <w:gridSpan w:val="20"/>
            <w:shd w:val="clear" w:color="auto" w:fill="CCEEFF"/>
          </w:tcPr>
          <w:p>
            <w:pPr>
              <w:spacing w:after="0" w:line="187"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OTHER INFORMATION</w:t>
              </w:r>
            </w:hyperlink>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3">
              <w:r>
                <w:rPr>
                  <w:rFonts w:ascii="Arial" w:cs="Arial" w:eastAsia="Arial" w:hAnsi="Arial"/>
                  <w:sz w:val="18"/>
                  <w:szCs w:val="18"/>
                  <w:color w:val="0000FF"/>
                </w:rPr>
                <w:t>Item 1.</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3">
              <w:r>
                <w:rPr>
                  <w:rFonts w:ascii="Arial" w:cs="Arial" w:eastAsia="Arial" w:hAnsi="Arial"/>
                  <w:sz w:val="18"/>
                  <w:szCs w:val="18"/>
                  <w:color w:val="0000FF"/>
                </w:rPr>
                <w:t>Item 1A.</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87">
              <w:r>
                <w:rPr>
                  <w:rFonts w:ascii="Arial" w:cs="Arial" w:eastAsia="Arial" w:hAnsi="Arial"/>
                  <w:sz w:val="18"/>
                  <w:szCs w:val="18"/>
                  <w:color w:val="0000FF"/>
                </w:rPr>
                <w:t>Item 2.</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87">
              <w:r>
                <w:rPr>
                  <w:rFonts w:ascii="Arial" w:cs="Arial" w:eastAsia="Arial" w:hAnsi="Arial"/>
                  <w:sz w:val="18"/>
                  <w:szCs w:val="18"/>
                  <w:color w:val="0000FF"/>
                </w:rPr>
                <w:t>Unregistered Sales of Equity Securities and Use of Proceeds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87</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88">
              <w:r>
                <w:rPr>
                  <w:rFonts w:ascii="Arial" w:cs="Arial" w:eastAsia="Arial" w:hAnsi="Arial"/>
                  <w:sz w:val="18"/>
                  <w:szCs w:val="18"/>
                  <w:color w:val="0000FF"/>
                </w:rPr>
                <w:t>Item 6.</w:t>
              </w:r>
            </w:hyperlink>
          </w:p>
        </w:tc>
        <w:tc>
          <w:tcPr>
            <w:tcW w:w="7300" w:type="dxa"/>
            <w:vAlign w:val="bottom"/>
            <w:gridSpan w:val="20"/>
            <w:shd w:val="clear" w:color="auto" w:fill="CCEEFF"/>
          </w:tcPr>
          <w:p>
            <w:pPr>
              <w:spacing w:after="0" w:line="187" w:lineRule="exact"/>
              <w:rPr>
                <w:rFonts w:ascii="Arial" w:cs="Arial" w:eastAsia="Arial" w:hAnsi="Arial"/>
                <w:sz w:val="18"/>
                <w:szCs w:val="18"/>
                <w:color w:val="0000FF"/>
              </w:rPr>
            </w:pPr>
            <w:hyperlink w:anchor="page88">
              <w:r>
                <w:rPr>
                  <w:rFonts w:ascii="Arial" w:cs="Arial" w:eastAsia="Arial" w:hAnsi="Arial"/>
                  <w:sz w:val="18"/>
                  <w:szCs w:val="18"/>
                  <w:color w:val="0000FF"/>
                </w:rPr>
                <w:t>Exhibits</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8480" w:type="dxa"/>
            <w:vAlign w:val="bottom"/>
            <w:gridSpan w:val="26"/>
            <w:shd w:val="clear" w:color="auto" w:fill="CCEEFF"/>
          </w:tcPr>
          <w:p>
            <w:pPr>
              <w:ind w:left="20"/>
              <w:spacing w:after="0" w:line="187" w:lineRule="exact"/>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SIGNATURE PAGE</w:t>
              </w:r>
            </w:hyperlink>
          </w:p>
        </w:tc>
        <w:tc>
          <w:tcPr>
            <w:tcW w:w="1500" w:type="dxa"/>
            <w:vAlign w:val="bottom"/>
            <w:gridSpan w:val="6"/>
            <w:shd w:val="clear" w:color="auto" w:fill="CCEEFF"/>
          </w:tcPr>
          <w:p>
            <w:pPr>
              <w:jc w:val="center"/>
              <w:ind w:left="311"/>
              <w:spacing w:after="0" w:line="187"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02" w:lineRule="auto"/>
        <w:rPr>
          <w:sz w:val="20"/>
          <w:szCs w:val="20"/>
          <w:color w:val="auto"/>
        </w:rPr>
      </w:pPr>
      <w:r>
        <w:rPr>
          <w:rFonts w:ascii="Arial" w:cs="Arial" w:eastAsia="Arial" w:hAnsi="Arial"/>
          <w:sz w:val="16"/>
          <w:szCs w:val="16"/>
          <w:color w:val="auto"/>
        </w:rPr>
        <w:t>"ARCALYST</w:t>
      </w:r>
      <w:r>
        <w:rPr>
          <w:rFonts w:ascii="Arial" w:cs="Arial" w:eastAsia="Arial" w:hAnsi="Arial"/>
          <w:sz w:val="21"/>
          <w:szCs w:val="21"/>
          <w:color w:val="auto"/>
          <w:vertAlign w:val="superscript"/>
        </w:rPr>
        <w:t>®</w:t>
      </w:r>
      <w:r>
        <w:rPr>
          <w:rFonts w:ascii="Arial" w:cs="Arial" w:eastAsia="Arial" w:hAnsi="Arial"/>
          <w:sz w:val="16"/>
          <w:szCs w:val="16"/>
          <w:color w:val="auto"/>
        </w:rPr>
        <w:t>," "Evkeeza</w:t>
      </w:r>
      <w:r>
        <w:rPr>
          <w:rFonts w:ascii="Arial" w:cs="Arial" w:eastAsia="Arial" w:hAnsi="Arial"/>
          <w:sz w:val="21"/>
          <w:szCs w:val="21"/>
          <w:color w:val="auto"/>
          <w:vertAlign w:val="superscript"/>
        </w:rPr>
        <w:t>®</w:t>
      </w:r>
      <w:r>
        <w:rPr>
          <w:rFonts w:ascii="Arial" w:cs="Arial" w:eastAsia="Arial" w:hAnsi="Arial"/>
          <w:sz w:val="16"/>
          <w:szCs w:val="16"/>
          <w:color w:val="auto"/>
        </w:rPr>
        <w:t>," "EYLEA</w:t>
      </w:r>
      <w:r>
        <w:rPr>
          <w:rFonts w:ascii="Arial" w:cs="Arial" w:eastAsia="Arial" w:hAnsi="Arial"/>
          <w:sz w:val="21"/>
          <w:szCs w:val="21"/>
          <w:color w:val="auto"/>
          <w:vertAlign w:val="superscript"/>
        </w:rPr>
        <w:t>®</w:t>
      </w:r>
      <w:r>
        <w:rPr>
          <w:rFonts w:ascii="Arial" w:cs="Arial" w:eastAsia="Arial" w:hAnsi="Arial"/>
          <w:sz w:val="16"/>
          <w:szCs w:val="16"/>
          <w:color w:val="auto"/>
        </w:rPr>
        <w:t>," "Inmazeb</w:t>
      </w:r>
      <w:r>
        <w:rPr>
          <w:rFonts w:ascii="Arial" w:cs="Arial" w:eastAsia="Arial" w:hAnsi="Arial"/>
          <w:sz w:val="21"/>
          <w:szCs w:val="21"/>
          <w:color w:val="auto"/>
          <w:vertAlign w:val="superscript"/>
        </w:rPr>
        <w:t>®</w:t>
      </w:r>
      <w:r>
        <w:rPr>
          <w:rFonts w:ascii="Arial" w:cs="Arial" w:eastAsia="Arial" w:hAnsi="Arial"/>
          <w:sz w:val="16"/>
          <w:szCs w:val="16"/>
          <w:color w:val="auto"/>
        </w:rPr>
        <w:t>," "Libtayo</w:t>
      </w:r>
      <w:r>
        <w:rPr>
          <w:rFonts w:ascii="Arial" w:cs="Arial" w:eastAsia="Arial" w:hAnsi="Arial"/>
          <w:sz w:val="21"/>
          <w:szCs w:val="21"/>
          <w:color w:val="auto"/>
          <w:vertAlign w:val="superscript"/>
        </w:rPr>
        <w:t>®</w:t>
      </w:r>
      <w:r>
        <w:rPr>
          <w:rFonts w:ascii="Arial" w:cs="Arial" w:eastAsia="Arial" w:hAnsi="Arial"/>
          <w:sz w:val="16"/>
          <w:szCs w:val="16"/>
          <w:color w:val="auto"/>
        </w:rPr>
        <w:t>" (in the United States), "Praluent</w:t>
      </w:r>
      <w:r>
        <w:rPr>
          <w:rFonts w:ascii="Arial" w:cs="Arial" w:eastAsia="Arial" w:hAnsi="Arial"/>
          <w:sz w:val="21"/>
          <w:szCs w:val="21"/>
          <w:color w:val="auto"/>
          <w:vertAlign w:val="superscript"/>
        </w:rPr>
        <w:t>®</w:t>
      </w:r>
      <w:r>
        <w:rPr>
          <w:rFonts w:ascii="Arial" w:cs="Arial" w:eastAsia="Arial" w:hAnsi="Arial"/>
          <w:sz w:val="16"/>
          <w:szCs w:val="16"/>
          <w:color w:val="auto"/>
        </w:rPr>
        <w:t>" (in the United States), "REGEN-COV</w:t>
      </w:r>
      <w:r>
        <w:rPr>
          <w:rFonts w:ascii="Arial" w:cs="Arial" w:eastAsia="Arial" w:hAnsi="Arial"/>
          <w:sz w:val="21"/>
          <w:szCs w:val="21"/>
          <w:color w:val="auto"/>
          <w:vertAlign w:val="superscript"/>
        </w:rPr>
        <w:t>®</w:t>
      </w:r>
      <w:r>
        <w:rPr>
          <w:rFonts w:ascii="Arial" w:cs="Arial" w:eastAsia="Arial" w:hAnsi="Arial"/>
          <w:sz w:val="16"/>
          <w:szCs w:val="16"/>
          <w:color w:val="auto"/>
        </w:rPr>
        <w:t>," "Regeneron</w:t>
      </w:r>
      <w:r>
        <w:rPr>
          <w:rFonts w:ascii="Arial" w:cs="Arial" w:eastAsia="Arial" w:hAnsi="Arial"/>
          <w:sz w:val="21"/>
          <w:szCs w:val="21"/>
          <w:color w:val="auto"/>
          <w:vertAlign w:val="superscript"/>
        </w:rPr>
        <w:t>®</w:t>
      </w:r>
      <w:r>
        <w:rPr>
          <w:rFonts w:ascii="Arial" w:cs="Arial" w:eastAsia="Arial" w:hAnsi="Arial"/>
          <w:sz w:val="16"/>
          <w:szCs w:val="16"/>
          <w:color w:val="auto"/>
        </w:rPr>
        <w:t>," "Regeneron Genetics Center</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Veloci-Bi</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VelociGene</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VelociHum</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VelociSuite</w:t>
      </w:r>
      <w:r>
        <w:rPr>
          <w:rFonts w:ascii="Arial" w:cs="Arial" w:eastAsia="Arial" w:hAnsi="Arial"/>
          <w:sz w:val="21"/>
          <w:szCs w:val="21"/>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VelociT</w:t>
      </w:r>
      <w:r>
        <w:rPr>
          <w:rFonts w:ascii="Arial" w:cs="Arial" w:eastAsia="Arial" w:hAnsi="Arial"/>
          <w:sz w:val="21"/>
          <w:szCs w:val="21"/>
          <w:color w:val="auto"/>
          <w:vertAlign w:val="superscript"/>
        </w:rPr>
        <w:t>®</w:t>
      </w:r>
      <w:r>
        <w:rPr>
          <w:rFonts w:ascii="Arial" w:cs="Arial" w:eastAsia="Arial" w:hAnsi="Arial"/>
          <w:sz w:val="16"/>
          <w:szCs w:val="16"/>
          <w:color w:val="auto"/>
        </w:rPr>
        <w:t>," and "ZALTRAP</w:t>
      </w:r>
      <w:r>
        <w:rPr>
          <w:rFonts w:ascii="Arial" w:cs="Arial" w:eastAsia="Arial" w:hAnsi="Arial"/>
          <w:sz w:val="21"/>
          <w:szCs w:val="21"/>
          <w:color w:val="auto"/>
          <w:vertAlign w:val="superscript"/>
        </w:rPr>
        <w:t>®</w:t>
      </w:r>
      <w:r>
        <w:rPr>
          <w:rFonts w:ascii="Arial" w:cs="Arial" w:eastAsia="Arial" w:hAnsi="Arial"/>
          <w:sz w:val="16"/>
          <w:szCs w:val="16"/>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708660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2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1"/>
        </w:trPr>
        <w:tc>
          <w:tcPr>
            <w:tcW w:w="8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9,779.1</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2,697.4</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w:t>
            </w: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260" w:type="dxa"/>
            <w:vAlign w:val="bottom"/>
          </w:tcPr>
          <w:p>
            <w:pPr>
              <w:ind w:left="220"/>
              <w:spacing w:after="0" w:line="174" w:lineRule="exact"/>
              <w:rPr>
                <w:sz w:val="20"/>
                <w:szCs w:val="20"/>
                <w:color w:val="auto"/>
              </w:rPr>
            </w:pPr>
            <w:r>
              <w:rPr>
                <w:rFonts w:ascii="Arial" w:cs="Arial" w:eastAsia="Arial" w:hAnsi="Arial"/>
                <w:sz w:val="18"/>
                <w:szCs w:val="18"/>
                <w:color w:val="auto"/>
                <w:w w:val="93"/>
              </w:rPr>
              <w:t>Class A Stock, convertible, $.001 par value; 40,000,000 shares authorized; shares issued and outstanding -</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60" w:type="dxa"/>
            <w:vAlign w:val="bottom"/>
          </w:tcPr>
          <w:p>
            <w:pPr>
              <w:ind w:left="380"/>
              <w:spacing w:after="0"/>
              <w:rPr>
                <w:sz w:val="20"/>
                <w:szCs w:val="20"/>
                <w:color w:val="auto"/>
              </w:rPr>
            </w:pPr>
            <w:r>
              <w:rPr>
                <w:rFonts w:ascii="Arial" w:cs="Arial" w:eastAsia="Arial" w:hAnsi="Arial"/>
                <w:sz w:val="18"/>
                <w:szCs w:val="18"/>
                <w:color w:val="auto"/>
              </w:rPr>
              <w:t>1,848,970 in 2021 and 2020</w:t>
            </w: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4"/>
              </w:rPr>
              <w:t>Common Stock, $.001 par value; 320,000,000 shares authorized; shares issued - 124,608,241 in 2021 and</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121,533,460 in 2020</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6,716.2</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10,893.0</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17,930,390 shares in 2021 and 16,431,520 shares in 2020</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(6,613.3)</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75"/>
        </w:trPr>
        <w:tc>
          <w:tcPr>
            <w:tcW w:w="114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REGENERON PHARMACEUTICALS,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10300" w:type="dxa"/>
            <w:vAlign w:val="bottom"/>
            <w:gridSpan w:val="13"/>
          </w:tcPr>
          <w:p>
            <w:pPr>
              <w:jc w:val="center"/>
              <w:ind w:left="871"/>
              <w:spacing w:after="0"/>
              <w:rPr>
                <w:sz w:val="20"/>
                <w:szCs w:val="20"/>
                <w:color w:val="auto"/>
              </w:rPr>
            </w:pPr>
            <w:r>
              <w:rPr>
                <w:rFonts w:ascii="Arial" w:cs="Arial" w:eastAsia="Arial" w:hAnsi="Arial"/>
                <w:sz w:val="18"/>
                <w:szCs w:val="18"/>
                <w:b w:val="1"/>
                <w:bCs w:val="1"/>
                <w:color w:val="auto"/>
                <w:w w:val="97"/>
              </w:rPr>
              <w:t>CONDENSED CONSOLIDATED STATEMENTS OF OPERATIONS AND COMPREHENSIVE INCOME (Unaudited)</w:t>
            </w:r>
          </w:p>
        </w:tc>
        <w:tc>
          <w:tcPr>
            <w:tcW w:w="940" w:type="dxa"/>
            <w:vAlign w:val="bottom"/>
          </w:tcPr>
          <w:p>
            <w:pPr>
              <w:spacing w:after="0"/>
              <w:rPr>
                <w:sz w:val="18"/>
                <w:szCs w:val="18"/>
                <w:color w:val="auto"/>
              </w:rPr>
            </w:pPr>
          </w:p>
        </w:tc>
      </w:tr>
      <w:tr>
        <w:trPr>
          <w:trHeight w:val="226"/>
        </w:trPr>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80" w:type="dxa"/>
            <w:vAlign w:val="bottom"/>
            <w:gridSpan w:val="4"/>
          </w:tcPr>
          <w:p>
            <w:pPr>
              <w:jc w:val="center"/>
              <w:ind w:left="271"/>
              <w:spacing w:after="0"/>
              <w:rPr>
                <w:sz w:val="20"/>
                <w:szCs w:val="20"/>
                <w:color w:val="auto"/>
              </w:rPr>
            </w:pPr>
            <w:r>
              <w:rPr>
                <w:rFonts w:ascii="Arial" w:cs="Arial" w:eastAsia="Arial" w:hAnsi="Arial"/>
                <w:sz w:val="18"/>
                <w:szCs w:val="18"/>
                <w:b w:val="1"/>
                <w:bCs w:val="1"/>
                <w:i w:val="1"/>
                <w:iCs w:val="1"/>
                <w:color w:val="auto"/>
                <w:w w:val="86"/>
              </w:rPr>
              <w:t>(In millions, except per share data)</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5"/>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Nine Months Ended</w:t>
            </w:r>
          </w:p>
        </w:tc>
      </w:tr>
      <w:tr>
        <w:trPr>
          <w:trHeight w:val="227"/>
        </w:trPr>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9"/>
                <w:szCs w:val="19"/>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0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1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product sales</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Collaboration revenue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1,694.8</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6,074.2</w:t>
            </w:r>
          </w:p>
        </w:tc>
      </w:tr>
      <w:tr>
        <w:trPr>
          <w:trHeight w:val="194"/>
        </w:trPr>
        <w:tc>
          <w:tcPr>
            <w:tcW w:w="11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1,042.5</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w w:val="91"/>
              </w:rPr>
              <w:t>Cost of collaboration and contract manufacturing</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operating expense (income), net</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r>
      <w:tr>
        <w:trPr>
          <w:trHeight w:val="194"/>
        </w:trPr>
        <w:tc>
          <w:tcPr>
            <w:tcW w:w="11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2,409.6</w:t>
            </w:r>
          </w:p>
        </w:tc>
      </w:tr>
      <w:tr>
        <w:trPr>
          <w:trHeight w:val="214"/>
        </w:trPr>
        <w:tc>
          <w:tcPr>
            <w:tcW w:w="38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7"/>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w:t>
            </w: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20"/>
        </w:trPr>
        <w:tc>
          <w:tcPr>
            <w:tcW w:w="11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194"/>
        </w:trPr>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2,585.8</w:t>
            </w:r>
          </w:p>
        </w:tc>
      </w:tr>
      <w:tr>
        <w:trPr>
          <w:trHeight w:val="213"/>
        </w:trPr>
        <w:tc>
          <w:tcPr>
            <w:tcW w:w="38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194"/>
        </w:trPr>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21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14"/>
        </w:trPr>
        <w:tc>
          <w:tcPr>
            <w:tcW w:w="38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13"/>
        </w:trPr>
        <w:tc>
          <w:tcPr>
            <w:tcW w:w="38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2,364.0</w:t>
            </w: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Unrealized (loss) gain on debt securities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86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w:t>
            </w:r>
          </w:p>
        </w:tc>
      </w:tr>
      <w:tr>
        <w:trPr>
          <w:trHeight w:val="20"/>
        </w:trPr>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(In millions)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w w:val="97"/>
              </w:rPr>
              <w:t>Class A Stock</w:t>
            </w:r>
          </w:p>
        </w:tc>
        <w:tc>
          <w:tcPr>
            <w:tcW w:w="80" w:type="dxa"/>
            <w:vAlign w:val="bottom"/>
            <w:vMerge w:val="restart"/>
          </w:tcPr>
          <w:p>
            <w:pPr>
              <w:spacing w:after="0"/>
              <w:rPr>
                <w:sz w:val="13"/>
                <w:szCs w:val="13"/>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20"/>
              <w:spacing w:after="0" w:line="160" w:lineRule="exact"/>
              <w:rPr>
                <w:sz w:val="20"/>
                <w:szCs w:val="20"/>
                <w:color w:val="auto"/>
              </w:rPr>
            </w:pPr>
            <w:r>
              <w:rPr>
                <w:rFonts w:ascii="Arial" w:cs="Arial" w:eastAsia="Arial" w:hAnsi="Arial"/>
                <w:sz w:val="16"/>
                <w:szCs w:val="16"/>
                <w:b w:val="1"/>
                <w:bCs w:val="1"/>
                <w:color w:val="auto"/>
                <w:w w:val="98"/>
              </w:rPr>
              <w:t>Other</w:t>
            </w:r>
          </w:p>
        </w:tc>
        <w:tc>
          <w:tcPr>
            <w:tcW w:w="140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0" w:lineRule="exact"/>
              <w:rPr>
                <w:sz w:val="20"/>
                <w:szCs w:val="20"/>
                <w:color w:val="auto"/>
              </w:rPr>
            </w:pPr>
            <w:r>
              <w:rPr>
                <w:rFonts w:ascii="Arial" w:cs="Arial" w:eastAsia="Arial" w:hAnsi="Arial"/>
                <w:sz w:val="16"/>
                <w:szCs w:val="16"/>
                <w:b w:val="1"/>
                <w:bCs w:val="1"/>
                <w:color w:val="auto"/>
                <w:w w:val="93"/>
              </w:rPr>
              <w:t>Paid-in</w:t>
            </w:r>
          </w:p>
        </w:tc>
        <w:tc>
          <w:tcPr>
            <w:tcW w:w="880" w:type="dxa"/>
            <w:vAlign w:val="bottom"/>
            <w:gridSpan w:val="2"/>
          </w:tcPr>
          <w:p>
            <w:pPr>
              <w:ind w:left="100"/>
              <w:spacing w:after="0" w:line="140"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100"/>
              <w:spacing w:after="0" w:line="140" w:lineRule="exact"/>
              <w:rPr>
                <w:sz w:val="20"/>
                <w:szCs w:val="20"/>
                <w:color w:val="auto"/>
              </w:rPr>
            </w:pPr>
            <w:r>
              <w:rPr>
                <w:rFonts w:ascii="Arial" w:cs="Arial" w:eastAsia="Arial" w:hAnsi="Arial"/>
                <w:sz w:val="16"/>
                <w:szCs w:val="16"/>
                <w:b w:val="1"/>
                <w:bCs w:val="1"/>
                <w:color w:val="auto"/>
                <w:w w:val="88"/>
              </w:rPr>
              <w:t>Comprehensive</w:t>
            </w:r>
          </w:p>
        </w:tc>
        <w:tc>
          <w:tcPr>
            <w:tcW w:w="14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ind w:left="20"/>
              <w:spacing w:after="0" w:line="140"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4"/>
        </w:trPr>
        <w:tc>
          <w:tcPr>
            <w:tcW w:w="28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11,025.3</w:t>
            </w: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line="16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0" w:lineRule="exact"/>
              <w:rPr>
                <w:sz w:val="20"/>
                <w:szCs w:val="20"/>
                <w:color w:val="auto"/>
              </w:rPr>
            </w:pPr>
            <w:r>
              <w:rPr>
                <w:rFonts w:ascii="Arial" w:cs="Arial" w:eastAsia="Arial" w:hAnsi="Arial"/>
                <w:sz w:val="16"/>
                <w:szCs w:val="16"/>
                <w:color w:val="auto"/>
              </w:rPr>
              <w:t>awards granted under long-term</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incentive 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line="164" w:lineRule="exact"/>
              <w:rPr>
                <w:sz w:val="20"/>
                <w:szCs w:val="20"/>
                <w:color w:val="auto"/>
              </w:rPr>
            </w:pPr>
            <w:r>
              <w:rPr>
                <w:rFonts w:ascii="Arial" w:cs="Arial" w:eastAsia="Arial" w:hAnsi="Arial"/>
                <w:sz w:val="16"/>
                <w:szCs w:val="16"/>
                <w:color w:val="auto"/>
              </w:rPr>
              <w:t>Issuance/distribution of Common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for 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12,008.2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11,977.0</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line="14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0" w:lineRule="exact"/>
              <w:rPr>
                <w:sz w:val="20"/>
                <w:szCs w:val="20"/>
                <w:color w:val="auto"/>
              </w:rPr>
            </w:pPr>
            <w:r>
              <w:rPr>
                <w:rFonts w:ascii="Arial" w:cs="Arial" w:eastAsia="Arial" w:hAnsi="Arial"/>
                <w:sz w:val="16"/>
                <w:szCs w:val="16"/>
                <w:color w:val="auto"/>
              </w:rPr>
              <w:t>awards granted under long-term</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incentive 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line="164" w:lineRule="exact"/>
              <w:rPr>
                <w:sz w:val="20"/>
                <w:szCs w:val="20"/>
                <w:color w:val="auto"/>
              </w:rPr>
            </w:pPr>
            <w:r>
              <w:rPr>
                <w:rFonts w:ascii="Arial" w:cs="Arial" w:eastAsia="Arial" w:hAnsi="Arial"/>
                <w:sz w:val="16"/>
                <w:szCs w:val="16"/>
                <w:color w:val="auto"/>
              </w:rPr>
              <w:t>Issuance/distribution of Common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for 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15,107.1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15,127.3</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line="14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80" w:type="dxa"/>
            <w:vAlign w:val="bottom"/>
          </w:tcPr>
          <w:p>
            <w:pPr>
              <w:ind w:left="180"/>
              <w:spacing w:after="0" w:line="160" w:lineRule="exact"/>
              <w:rPr>
                <w:sz w:val="20"/>
                <w:szCs w:val="20"/>
                <w:color w:val="auto"/>
              </w:rPr>
            </w:pPr>
            <w:r>
              <w:rPr>
                <w:rFonts w:ascii="Arial" w:cs="Arial" w:eastAsia="Arial" w:hAnsi="Arial"/>
                <w:sz w:val="16"/>
                <w:szCs w:val="16"/>
                <w:color w:val="auto"/>
              </w:rPr>
              <w:t>awards granted under long-term</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816.5</w:t>
            </w:r>
          </w:p>
        </w:tc>
        <w:tc>
          <w:tcPr>
            <w:tcW w:w="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incentive 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line="164" w:lineRule="exact"/>
              <w:rPr>
                <w:sz w:val="20"/>
                <w:szCs w:val="20"/>
                <w:color w:val="auto"/>
              </w:rPr>
            </w:pPr>
            <w:r>
              <w:rPr>
                <w:rFonts w:ascii="Arial" w:cs="Arial" w:eastAsia="Arial" w:hAnsi="Arial"/>
                <w:sz w:val="16"/>
                <w:szCs w:val="16"/>
                <w:color w:val="auto"/>
              </w:rPr>
              <w:t>Issuance/distribution of Common Stock</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2880" w:type="dxa"/>
            <w:vAlign w:val="bottom"/>
          </w:tcPr>
          <w:p>
            <w:pPr>
              <w:ind w:left="180"/>
              <w:spacing w:after="0"/>
              <w:rPr>
                <w:sz w:val="20"/>
                <w:szCs w:val="20"/>
                <w:color w:val="auto"/>
              </w:rPr>
            </w:pPr>
            <w:r>
              <w:rPr>
                <w:rFonts w:ascii="Arial" w:cs="Arial" w:eastAsia="Arial" w:hAnsi="Arial"/>
                <w:sz w:val="16"/>
                <w:szCs w:val="16"/>
                <w:color w:val="auto"/>
              </w:rPr>
              <w:t>for 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27"/>
        </w:trPr>
        <w:tc>
          <w:tcPr>
            <w:tcW w:w="28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2021</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$ 7,919.3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16,739.3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(7,410.2)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17,258.0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370"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1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8"/>
        </w:trPr>
        <w:tc>
          <w:tcPr>
            <w:tcW w:w="2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8920" w:type="dxa"/>
            <w:vAlign w:val="bottom"/>
            <w:gridSpan w:val="22"/>
          </w:tcPr>
          <w:p>
            <w:pPr>
              <w:ind w:left="740"/>
              <w:spacing w:after="0"/>
              <w:rPr>
                <w:sz w:val="20"/>
                <w:szCs w:val="20"/>
                <w:color w:val="auto"/>
              </w:rPr>
            </w:pPr>
            <w:r>
              <w:rPr>
                <w:rFonts w:ascii="Arial" w:cs="Arial" w:eastAsia="Arial" w:hAnsi="Arial"/>
                <w:sz w:val="16"/>
                <w:szCs w:val="16"/>
                <w:b w:val="1"/>
                <w:bCs w:val="1"/>
                <w:color w:val="auto"/>
              </w:rPr>
              <w:t xml:space="preserve">CONDENSED CONSOLIDATED STATEMENTS OF STOCKHOLDERS' EQUITY (Unaudited) </w:t>
            </w:r>
            <w:r>
              <w:rPr>
                <w:rFonts w:ascii="Arial" w:cs="Arial" w:eastAsia="Arial" w:hAnsi="Arial"/>
                <w:sz w:val="16"/>
                <w:szCs w:val="16"/>
                <w:b w:val="1"/>
                <w:bCs w:val="1"/>
                <w:i w:val="1"/>
                <w:iCs w:val="1"/>
                <w:color w:val="auto"/>
              </w:rPr>
              <w:t>(continued)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gridSpan w:val="4"/>
          </w:tcPr>
          <w:p>
            <w:pPr>
              <w:ind w:left="120"/>
              <w:spacing w:after="0"/>
              <w:rPr>
                <w:sz w:val="20"/>
                <w:szCs w:val="20"/>
                <w:color w:val="auto"/>
              </w:rPr>
            </w:pPr>
            <w:r>
              <w:rPr>
                <w:rFonts w:ascii="Arial" w:cs="Arial" w:eastAsia="Arial" w:hAnsi="Arial"/>
                <w:sz w:val="16"/>
                <w:szCs w:val="16"/>
                <w:b w:val="1"/>
                <w:bCs w:val="1"/>
                <w:color w:val="auto"/>
              </w:rPr>
              <w:t>Class A Stock</w:t>
            </w:r>
          </w:p>
        </w:tc>
        <w:tc>
          <w:tcPr>
            <w:tcW w:w="1280" w:type="dxa"/>
            <w:vAlign w:val="bottom"/>
            <w:gridSpan w:val="5"/>
          </w:tcPr>
          <w:p>
            <w:pPr>
              <w:ind w:left="60"/>
              <w:spacing w:after="0"/>
              <w:rPr>
                <w:sz w:val="20"/>
                <w:szCs w:val="20"/>
                <w:color w:val="auto"/>
              </w:rPr>
            </w:pPr>
            <w:r>
              <w:rPr>
                <w:rFonts w:ascii="Arial" w:cs="Arial" w:eastAsia="Arial" w:hAnsi="Arial"/>
                <w:sz w:val="16"/>
                <w:szCs w:val="16"/>
                <w:b w:val="1"/>
                <w:bCs w:val="1"/>
                <w:color w:val="auto"/>
              </w:rPr>
              <w:t>Common Stock</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Treasury Stock</w:t>
            </w:r>
          </w:p>
        </w:tc>
        <w:tc>
          <w:tcPr>
            <w:tcW w:w="1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rPr>
              <w:t>Paid-in</w:t>
            </w:r>
          </w:p>
        </w:tc>
        <w:tc>
          <w:tcPr>
            <w:tcW w:w="800" w:type="dxa"/>
            <w:vAlign w:val="bottom"/>
            <w:gridSpan w:val="2"/>
            <w:vMerge w:val="restart"/>
          </w:tcPr>
          <w:p>
            <w:pPr>
              <w:ind w:left="60"/>
              <w:spacing w:after="0" w:line="107" w:lineRule="exact"/>
              <w:rPr>
                <w:sz w:val="20"/>
                <w:szCs w:val="20"/>
                <w:color w:val="auto"/>
              </w:rPr>
            </w:pPr>
            <w:r>
              <w:rPr>
                <w:rFonts w:ascii="Arial" w:cs="Arial" w:eastAsia="Arial" w:hAnsi="Arial"/>
                <w:sz w:val="12"/>
                <w:szCs w:val="12"/>
                <w:b w:val="1"/>
                <w:bCs w:val="1"/>
                <w:color w:val="auto"/>
              </w:rPr>
              <w:t>Retained</w:t>
            </w:r>
          </w:p>
        </w:tc>
        <w:tc>
          <w:tcPr>
            <w:tcW w:w="1200" w:type="dxa"/>
            <w:vAlign w:val="bottom"/>
            <w:gridSpan w:val="3"/>
            <w:vMerge w:val="restart"/>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restart"/>
          </w:tcPr>
          <w:p>
            <w:pPr>
              <w:ind w:left="20"/>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$ 4,428.6</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$7,379.8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11,089.7</w:t>
            </w: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tcPr>
          <w:p>
            <w:pPr>
              <w:ind w:left="180"/>
              <w:spacing w:after="0" w:line="160" w:lineRule="exact"/>
              <w:rPr>
                <w:sz w:val="20"/>
                <w:szCs w:val="20"/>
                <w:color w:val="auto"/>
              </w:rPr>
            </w:pPr>
            <w:r>
              <w:rPr>
                <w:rFonts w:ascii="Arial" w:cs="Arial" w:eastAsia="Arial" w:hAnsi="Arial"/>
                <w:sz w:val="16"/>
                <w:szCs w:val="16"/>
                <w:color w:val="auto"/>
                <w:w w:val="93"/>
              </w:rPr>
              <w:t>awards granted under long-term incentive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tcPr>
          <w:p>
            <w:pPr>
              <w:ind w:left="20"/>
              <w:spacing w:after="0" w:line="164" w:lineRule="exact"/>
              <w:rPr>
                <w:sz w:val="20"/>
                <w:szCs w:val="20"/>
                <w:color w:val="auto"/>
              </w:rPr>
            </w:pPr>
            <w:r>
              <w:rPr>
                <w:rFonts w:ascii="Arial" w:cs="Arial" w:eastAsia="Arial" w:hAnsi="Arial"/>
                <w:sz w:val="16"/>
                <w:szCs w:val="16"/>
                <w:color w:val="auto"/>
                <w:w w:val="97"/>
              </w:rPr>
              <w:t>Issuance/distribution of Common Stock for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5,211.4</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12,133.0</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960" w:type="dxa"/>
            <w:vAlign w:val="bottom"/>
            <w:gridSpan w:val="2"/>
          </w:tcPr>
          <w:p>
            <w:pPr>
              <w:ind w:left="20"/>
              <w:spacing w:after="0" w:line="14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tcPr>
          <w:p>
            <w:pPr>
              <w:ind w:left="180"/>
              <w:spacing w:after="0" w:line="160" w:lineRule="exact"/>
              <w:rPr>
                <w:sz w:val="20"/>
                <w:szCs w:val="20"/>
                <w:color w:val="auto"/>
              </w:rPr>
            </w:pPr>
            <w:r>
              <w:rPr>
                <w:rFonts w:ascii="Arial" w:cs="Arial" w:eastAsia="Arial" w:hAnsi="Arial"/>
                <w:sz w:val="16"/>
                <w:szCs w:val="16"/>
                <w:color w:val="auto"/>
                <w:w w:val="93"/>
              </w:rPr>
              <w:t>awards granted under long-term incentive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1,355.5</w:t>
            </w:r>
          </w:p>
        </w:tc>
        <w:tc>
          <w:tcPr>
            <w:tcW w:w="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1,355.5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tcPr>
          <w:p>
            <w:pPr>
              <w:ind w:left="20"/>
              <w:spacing w:after="0" w:line="164" w:lineRule="exact"/>
              <w:rPr>
                <w:sz w:val="20"/>
                <w:szCs w:val="20"/>
                <w:color w:val="auto"/>
              </w:rPr>
            </w:pPr>
            <w:r>
              <w:rPr>
                <w:rFonts w:ascii="Arial" w:cs="Arial" w:eastAsia="Arial" w:hAnsi="Arial"/>
                <w:sz w:val="16"/>
                <w:szCs w:val="16"/>
                <w:color w:val="auto"/>
                <w:w w:val="97"/>
              </w:rPr>
              <w:t>Issuance/distribution of Common Stock for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(5,071.8)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(5,071.8)</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w:t>
            </w:r>
            <w:r>
              <w:rPr>
                <w:rFonts w:ascii="Arial" w:cs="Arial" w:eastAsia="Arial" w:hAnsi="Arial"/>
                <w:sz w:val="18"/>
                <w:szCs w:val="18"/>
                <w:u w:val="single" w:color="auto"/>
                <w:color w:val="auto"/>
                <w:w w:val="93"/>
              </w:rPr>
              <w:t>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6,263.0</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(6,142.9)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9,057.4</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960" w:type="dxa"/>
            <w:vAlign w:val="bottom"/>
            <w:gridSpan w:val="2"/>
          </w:tcPr>
          <w:p>
            <w:pPr>
              <w:ind w:left="20"/>
              <w:spacing w:after="0" w:line="144" w:lineRule="exact"/>
              <w:rPr>
                <w:sz w:val="20"/>
                <w:szCs w:val="20"/>
                <w:color w:val="auto"/>
              </w:rPr>
            </w:pPr>
            <w:r>
              <w:rPr>
                <w:rFonts w:ascii="Arial" w:cs="Arial" w:eastAsia="Arial" w:hAnsi="Arial"/>
                <w:sz w:val="16"/>
                <w:szCs w:val="16"/>
                <w:color w:val="auto"/>
              </w:rPr>
              <w:t>Issuance of Common Stock for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tcPr>
          <w:p>
            <w:pPr>
              <w:ind w:left="180"/>
              <w:spacing w:after="0" w:line="160" w:lineRule="exact"/>
              <w:rPr>
                <w:sz w:val="20"/>
                <w:szCs w:val="20"/>
                <w:color w:val="auto"/>
              </w:rPr>
            </w:pPr>
            <w:r>
              <w:rPr>
                <w:rFonts w:ascii="Arial" w:cs="Arial" w:eastAsia="Arial" w:hAnsi="Arial"/>
                <w:sz w:val="16"/>
                <w:szCs w:val="16"/>
                <w:color w:val="auto"/>
                <w:w w:val="93"/>
              </w:rPr>
              <w:t>awards granted under long-term incentive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297.5</w:t>
            </w:r>
          </w:p>
        </w:tc>
        <w:tc>
          <w:tcPr>
            <w:tcW w:w="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plans</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Common Stock tendered upon exercise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9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5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960" w:type="dxa"/>
            <w:vAlign w:val="bottom"/>
            <w:gridSpan w:val="2"/>
          </w:tcPr>
          <w:p>
            <w:pPr>
              <w:ind w:left="20"/>
              <w:spacing w:after="0" w:line="164" w:lineRule="exact"/>
              <w:rPr>
                <w:sz w:val="20"/>
                <w:szCs w:val="20"/>
                <w:color w:val="auto"/>
              </w:rPr>
            </w:pPr>
            <w:r>
              <w:rPr>
                <w:rFonts w:ascii="Arial" w:cs="Arial" w:eastAsia="Arial" w:hAnsi="Arial"/>
                <w:sz w:val="16"/>
                <w:szCs w:val="16"/>
                <w:color w:val="auto"/>
                <w:w w:val="97"/>
              </w:rPr>
              <w:t>Issuance/distribution of Common Stock for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6"/>
                <w:szCs w:val="16"/>
                <w:color w:val="auto"/>
              </w:rPr>
              <w:t>401(k) Savings Plan</w:t>
            </w:r>
          </w:p>
        </w:tc>
        <w:tc>
          <w:tcPr>
            <w:tcW w:w="5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charges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 net of tax</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p>
        </w:tc>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w:t>
            </w:r>
            <w:r>
              <w:rPr>
                <w:rFonts w:ascii="Arial" w:cs="Arial" w:eastAsia="Arial" w:hAnsi="Arial"/>
                <w:sz w:val="18"/>
                <w:szCs w:val="18"/>
                <w:u w:val="single" w:color="auto"/>
                <w:color w:val="auto"/>
                <w:w w:val="93"/>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$ 6,592.8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(6,242.0)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10,125.5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15875</wp:posOffset>
            </wp:positionV>
            <wp:extent cx="6871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1335" cy="825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41275</wp:posOffset>
            </wp:positionV>
            <wp:extent cx="6871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13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356" w:right="5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75"/>
        </w:trPr>
        <w:tc>
          <w:tcPr>
            <w:tcW w:w="1140" w:type="dxa"/>
            <w:vAlign w:val="bottom"/>
            <w:tcBorders>
              <w:top w:val="single" w:sz="8" w:color="0000FF"/>
            </w:tcBorders>
          </w:tcPr>
          <w:p>
            <w:pPr>
              <w:spacing w:after="0"/>
              <w:rPr>
                <w:sz w:val="24"/>
                <w:szCs w:val="24"/>
                <w:color w:val="auto"/>
              </w:rPr>
            </w:pPr>
          </w:p>
        </w:tc>
        <w:tc>
          <w:tcPr>
            <w:tcW w:w="6920" w:type="dxa"/>
            <w:vAlign w:val="bottom"/>
          </w:tcPr>
          <w:p>
            <w:pPr>
              <w:jc w:val="center"/>
              <w:ind w:left="1951"/>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8480" w:type="dxa"/>
            <w:vAlign w:val="bottom"/>
            <w:gridSpan w:val="4"/>
          </w:tcPr>
          <w:p>
            <w:pPr>
              <w:jc w:val="center"/>
              <w:ind w:left="411"/>
              <w:spacing w:after="0"/>
              <w:rPr>
                <w:sz w:val="20"/>
                <w:szCs w:val="20"/>
                <w:color w:val="auto"/>
              </w:rPr>
            </w:pPr>
            <w:r>
              <w:rPr>
                <w:rFonts w:ascii="Arial" w:cs="Arial" w:eastAsia="Arial" w:hAnsi="Arial"/>
                <w:sz w:val="18"/>
                <w:szCs w:val="18"/>
                <w:b w:val="1"/>
                <w:bCs w:val="1"/>
                <w:color w:val="auto"/>
                <w:w w:val="96"/>
              </w:rPr>
              <w:t>CONDENSED CONSOLIDATED STATEMENTS OF CASH FLOWS (Unaudited)</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6"/>
        </w:trPr>
        <w:tc>
          <w:tcPr>
            <w:tcW w:w="1140" w:type="dxa"/>
            <w:vAlign w:val="bottom"/>
          </w:tcPr>
          <w:p>
            <w:pPr>
              <w:spacing w:after="0"/>
              <w:rPr>
                <w:sz w:val="19"/>
                <w:szCs w:val="19"/>
                <w:color w:val="auto"/>
              </w:rPr>
            </w:pPr>
          </w:p>
        </w:tc>
        <w:tc>
          <w:tcPr>
            <w:tcW w:w="6920" w:type="dxa"/>
            <w:vAlign w:val="bottom"/>
          </w:tcPr>
          <w:p>
            <w:pPr>
              <w:jc w:val="center"/>
              <w:ind w:left="1951"/>
              <w:spacing w:after="0"/>
              <w:rPr>
                <w:sz w:val="20"/>
                <w:szCs w:val="20"/>
                <w:color w:val="auto"/>
              </w:rPr>
            </w:pPr>
            <w:r>
              <w:rPr>
                <w:rFonts w:ascii="Arial" w:cs="Arial" w:eastAsia="Arial" w:hAnsi="Arial"/>
                <w:sz w:val="18"/>
                <w:szCs w:val="18"/>
                <w:b w:val="1"/>
                <w:bCs w:val="1"/>
                <w:i w:val="1"/>
                <w:iCs w:val="1"/>
                <w:color w:val="auto"/>
                <w:w w:val="91"/>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5"/>
        </w:trPr>
        <w:tc>
          <w:tcPr>
            <w:tcW w:w="1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8"/>
                <w:szCs w:val="18"/>
                <w:b w:val="1"/>
                <w:bCs w:val="1"/>
                <w:color w:val="auto"/>
              </w:rPr>
              <w:t>Nine Months Ended</w:t>
            </w:r>
          </w:p>
        </w:tc>
      </w:tr>
      <w:tr>
        <w:trPr>
          <w:trHeight w:val="227"/>
        </w:trPr>
        <w:tc>
          <w:tcPr>
            <w:tcW w:w="1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0"/>
        </w:trPr>
        <w:tc>
          <w:tcPr>
            <w:tcW w:w="114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2020</w:t>
            </w:r>
          </w:p>
        </w:tc>
      </w:tr>
      <w:tr>
        <w:trPr>
          <w:trHeight w:val="20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2,364.0</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Gains on marketable and other securities,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non-cash items,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8060" w:type="dxa"/>
            <w:vAlign w:val="bottom"/>
            <w:gridSpan w:val="2"/>
          </w:tcPr>
          <w:p>
            <w:pPr>
              <w:ind w:left="660"/>
              <w:spacing w:after="0"/>
              <w:rPr>
                <w:sz w:val="20"/>
                <w:szCs w:val="20"/>
                <w:color w:val="auto"/>
              </w:rPr>
            </w:pPr>
            <w:r>
              <w:rPr>
                <w:rFonts w:ascii="Arial" w:cs="Arial" w:eastAsia="Arial" w:hAnsi="Arial"/>
                <w:sz w:val="18"/>
                <w:szCs w:val="18"/>
                <w:color w:val="auto"/>
              </w:rPr>
              <w:t>Increase in accounts receivable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(1,275.3)</w:t>
            </w:r>
          </w:p>
        </w:tc>
      </w:tr>
      <w:tr>
        <w:trPr>
          <w:trHeight w:val="227"/>
        </w:trPr>
        <w:tc>
          <w:tcPr>
            <w:tcW w:w="8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Increase in 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27"/>
        </w:trPr>
        <w:tc>
          <w:tcPr>
            <w:tcW w:w="8060" w:type="dxa"/>
            <w:vAlign w:val="bottom"/>
            <w:gridSpan w:val="2"/>
          </w:tcPr>
          <w:p>
            <w:pPr>
              <w:ind w:left="66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7"/>
        </w:trPr>
        <w:tc>
          <w:tcPr>
            <w:tcW w:w="8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7"/>
        </w:trPr>
        <w:tc>
          <w:tcPr>
            <w:tcW w:w="80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2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w:t>
            </w:r>
          </w:p>
        </w:tc>
      </w:tr>
      <w:tr>
        <w:trPr>
          <w:trHeight w:val="22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w:t>
            </w:r>
          </w:p>
        </w:tc>
      </w:tr>
      <w:tr>
        <w:trPr>
          <w:trHeight w:val="194"/>
        </w:trPr>
        <w:tc>
          <w:tcPr>
            <w:tcW w:w="1140" w:type="dxa"/>
            <w:vAlign w:val="bottom"/>
            <w:shd w:val="clear" w:color="auto" w:fill="CCEEFF"/>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Sales or maturities of marketable and other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3,330.3</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r>
      <w:tr>
        <w:trPr>
          <w:trHeight w:val="22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194"/>
        </w:trPr>
        <w:tc>
          <w:tcPr>
            <w:tcW w:w="1140" w:type="dxa"/>
            <w:vAlign w:val="bottom"/>
            <w:shd w:val="clear" w:color="auto" w:fill="CCEEFF"/>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(652.5)</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(5,465.7)</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1,981.9</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bridge loan facility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Repayment of bridge loan facility</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0"/>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r>
      <w:tr>
        <w:trPr>
          <w:trHeight w:val="194"/>
        </w:trPr>
        <w:tc>
          <w:tcPr>
            <w:tcW w:w="11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13"/>
        </w:trPr>
        <w:tc>
          <w:tcPr>
            <w:tcW w:w="8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194"/>
        </w:trPr>
        <w:tc>
          <w:tcPr>
            <w:tcW w:w="11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2"/>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1,586.6</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31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031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356" w:right="49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2020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08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7"/>
                <w:szCs w:val="17"/>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7"/>
                <w:szCs w:val="17"/>
                <w:color w:val="auto"/>
              </w:rPr>
            </w:pPr>
          </w:p>
        </w:tc>
        <w:tc>
          <w:tcPr>
            <w:tcW w:w="2160" w:type="dxa"/>
            <w:vAlign w:val="bottom"/>
            <w:gridSpan w:val="5"/>
          </w:tcPr>
          <w:p>
            <w:pPr>
              <w:jc w:val="right"/>
              <w:ind w:right="331"/>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9"/>
                <w:szCs w:val="19"/>
                <w:color w:val="auto"/>
              </w:rPr>
            </w:pPr>
          </w:p>
        </w:tc>
        <w:tc>
          <w:tcPr>
            <w:tcW w:w="2160" w:type="dxa"/>
            <w:vAlign w:val="bottom"/>
            <w:gridSpan w:val="5"/>
          </w:tcPr>
          <w:p>
            <w:pPr>
              <w:jc w:val="right"/>
              <w:ind w:right="531"/>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80" w:type="dxa"/>
            <w:vAlign w:val="bottom"/>
            <w:gridSpan w:val="3"/>
          </w:tcPr>
          <w:p>
            <w:pPr>
              <w:ind w:left="20"/>
              <w:spacing w:after="0" w:line="180" w:lineRule="exact"/>
              <w:rPr>
                <w:sz w:val="20"/>
                <w:szCs w:val="20"/>
                <w:color w:val="auto"/>
              </w:rPr>
            </w:pPr>
            <w:r>
              <w:rPr>
                <w:rFonts w:ascii="Arial" w:cs="Arial" w:eastAsia="Arial" w:hAnsi="Arial"/>
                <w:sz w:val="18"/>
                <w:szCs w:val="18"/>
                <w:b w:val="1"/>
                <w:bCs w:val="1"/>
                <w:color w:val="auto"/>
              </w:rPr>
              <w:t>Net Product Sales in the United States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1"/>
              <w:spacing w:after="0" w:line="180"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1"/>
              <w:spacing w:after="0" w:line="180"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51"/>
              <w:spacing w:after="0" w:line="180"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1"/>
              <w:spacing w:after="0" w:line="180" w:lineRule="exact"/>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080" w:type="dxa"/>
            <w:vAlign w:val="bottom"/>
            <w:gridSpan w:val="3"/>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2,279.9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8,142.0</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3,945.8</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240" w:right="1080" w:hanging="8"/>
        <w:spacing w:after="0" w:line="197" w:lineRule="auto"/>
        <w:tabs>
          <w:tab w:leader="none" w:pos="1338"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Effective April 1, 2020, the Company became solely responsible for the development and commercialization of Praluent in the United States and records net product sales of Praluent in the United States. Previously, Sanofi recorded net product sales of Praluent in the United States. See Note 3 for further details.</w:t>
      </w:r>
    </w:p>
    <w:p>
      <w:pPr>
        <w:spacing w:after="0" w:line="15" w:lineRule="exact"/>
        <w:rPr>
          <w:sz w:val="20"/>
          <w:szCs w:val="20"/>
          <w:color w:val="auto"/>
        </w:rPr>
      </w:pPr>
    </w:p>
    <w:p>
      <w:pPr>
        <w:ind w:left="1240" w:right="1300" w:hanging="8"/>
        <w:spacing w:after="0" w:line="195" w:lineRule="auto"/>
        <w:tabs>
          <w:tab w:leader="none" w:pos="1395"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1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As of September 30, 2021 and December 31, 2020, the Company had $4.086 billion and $3.112 billion, respectively, of trade accounts receivable that were recorded within Accounts receivable, net.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the three and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 Sales to each of these customers as a percentage of the Company's total gross product revenue are as follows: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
          </w:tcPr>
          <w:p>
            <w:pPr>
              <w:jc w:val="right"/>
              <w:ind w:right="41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08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780" w:type="dxa"/>
            <w:vAlign w:val="bottom"/>
          </w:tcPr>
          <w:p>
            <w:pPr>
              <w:ind w:left="420"/>
              <w:spacing w:after="0"/>
              <w:rPr>
                <w:sz w:val="20"/>
                <w:szCs w:val="20"/>
                <w:color w:val="auto"/>
              </w:rPr>
            </w:pPr>
            <w:r>
              <w:rPr>
                <w:rFonts w:ascii="Arial" w:cs="Arial" w:eastAsia="Arial" w:hAnsi="Arial"/>
                <w:sz w:val="18"/>
                <w:szCs w:val="18"/>
                <w:b w:val="1"/>
                <w:bCs w:val="1"/>
                <w:color w:val="auto"/>
                <w:w w:val="84"/>
              </w:rPr>
              <w:t>2021</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3"/>
        </w:trPr>
        <w:tc>
          <w:tcPr>
            <w:tcW w:w="400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Besse Medical, a subsidiary of AmerisourceBergen</w:t>
            </w: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40 %</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50 %</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7"/>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24 %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7"/>
              </w:rPr>
              <w:t>34 %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7"/>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(see Note 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420" w:hanging="101"/>
        <w:spacing w:after="0"/>
        <w:tabs>
          <w:tab w:leader="none" w:pos="142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Sales to the U.S. Government represented less than 10% of total gross product revenue during the period.</w:t>
      </w:r>
    </w:p>
    <w:p>
      <w:pPr>
        <w:spacing w:after="0" w:line="200" w:lineRule="exact"/>
        <w:rPr>
          <w:rFonts w:ascii="Arial" w:cs="Arial" w:eastAsia="Arial" w:hAnsi="Arial"/>
          <w:sz w:val="23"/>
          <w:szCs w:val="23"/>
          <w:color w:val="auto"/>
          <w:vertAlign w:val="superscript"/>
        </w:rPr>
      </w:pPr>
    </w:p>
    <w:p>
      <w:pPr>
        <w:spacing w:after="0" w:line="364"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196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tcPr>
          <w:p>
            <w:pPr>
              <w:spacing w:after="0"/>
              <w:rPr>
                <w:sz w:val="19"/>
                <w:szCs w:val="19"/>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96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20" w:type="dxa"/>
            <w:vAlign w:val="bottom"/>
            <w:gridSpan w:val="2"/>
            <w:vMerge w:val="continue"/>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line="20" w:lineRule="exact"/>
              <w:rPr>
                <w:sz w:val="1"/>
                <w:szCs w:val="1"/>
                <w:color w:val="auto"/>
              </w:rPr>
            </w:pPr>
          </w:p>
        </w:tc>
      </w:tr>
      <w:tr>
        <w:trPr>
          <w:trHeight w:val="227"/>
        </w:trPr>
        <w:tc>
          <w:tcPr>
            <w:tcW w:w="4000" w:type="dxa"/>
            <w:vAlign w:val="bottom"/>
            <w:vMerge w:val="continue"/>
          </w:tcPr>
          <w:p>
            <w:pPr>
              <w:spacing w:after="0"/>
              <w:rPr>
                <w:sz w:val="19"/>
                <w:szCs w:val="19"/>
                <w:color w:val="auto"/>
              </w:rPr>
            </w:pPr>
          </w:p>
        </w:tc>
        <w:tc>
          <w:tcPr>
            <w:tcW w:w="2820" w:type="dxa"/>
            <w:vAlign w:val="bottom"/>
            <w:gridSpan w:val="2"/>
          </w:tcPr>
          <w:p>
            <w:pPr>
              <w:ind w:left="84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share of profits in connection with</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Sales-based milestone earned</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w w:val="96"/>
              </w:rPr>
              <w:t>Reimbursement for manufacturing of commercial</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supplies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obligation for its share of Sanofi</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4"/>
              </w:rPr>
              <w:t>Research and development expense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research and development expenses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of commercialization-related</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Reduction of Selling, general,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0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share of losses in connection with</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380"/>
              <w:spacing w:after="0" w:line="174" w:lineRule="exact"/>
              <w:rPr>
                <w:sz w:val="20"/>
                <w:szCs w:val="20"/>
                <w:color w:val="auto"/>
              </w:rPr>
            </w:pPr>
            <w:r>
              <w:rPr>
                <w:rFonts w:ascii="Arial" w:cs="Arial" w:eastAsia="Arial" w:hAnsi="Arial"/>
                <w:sz w:val="18"/>
                <w:szCs w:val="18"/>
                <w:color w:val="auto"/>
                <w:w w:val="95"/>
              </w:rPr>
              <w:t>commercialization of Libtayo outside the United</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States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6"/>
              </w:rPr>
              <w:t>Reimbursement for manufacturing of commercial</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supplies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of commercialization-related</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Reduction of Selling, general,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obligation for its share of Sanofi</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9"/>
              </w:rPr>
              <w:t>Selling, general, and administrative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commercial expenses</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Regeneron's obligation for Sanofi's share of</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Cost of goods sold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Libtayo U.S. gross profits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w w:val="99"/>
              </w:rPr>
              <w:t>Amounts recognized in connection with up-front</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Other operating income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6"/>
        </w:trPr>
        <w:tc>
          <w:tcPr>
            <w:tcW w:w="4000" w:type="dxa"/>
            <w:vAlign w:val="bottom"/>
          </w:tcPr>
          <w:p>
            <w:pPr>
              <w:ind w:left="380"/>
              <w:spacing w:after="0"/>
              <w:rPr>
                <w:sz w:val="20"/>
                <w:szCs w:val="20"/>
                <w:color w:val="auto"/>
              </w:rPr>
            </w:pPr>
            <w:r>
              <w:rPr>
                <w:rFonts w:ascii="Arial" w:cs="Arial" w:eastAsia="Arial" w:hAnsi="Arial"/>
                <w:sz w:val="18"/>
                <w:szCs w:val="18"/>
                <w:color w:val="auto"/>
              </w:rPr>
              <w:t>payments received</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party to a global, strategic collaboration with Sanofi to research, develop, and commercialize fully human monoclonal antibodies (the</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"Antibody Collaboration"), which currently consists of Dupixent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(dupilumab), Kevzara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(sarilumab), and itepekimab</w:t>
      </w:r>
      <w:r>
        <w:rPr>
          <w:rFonts w:ascii="Arial" w:cs="Arial" w:eastAsia="Arial" w:hAnsi="Arial"/>
          <w:sz w:val="20"/>
          <w:szCs w:val="20"/>
          <w:i w:val="1"/>
          <w:iCs w:val="1"/>
          <w:color w:val="auto"/>
        </w:rPr>
        <w:t>.</w:t>
      </w:r>
      <w:r>
        <w:rPr>
          <w:rFonts w:ascii="Arial" w:cs="Arial" w:eastAsia="Arial" w:hAnsi="Arial"/>
          <w:sz w:val="17"/>
          <w:szCs w:val="17"/>
          <w:color w:val="auto"/>
        </w:rPr>
        <w:t xml:space="preserve"> Under the terms of the Antibody License and Collaboration Agreement ("LCA"), Sanofi is generally responsible for funding 80%–100% of agreed-upon development costs.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Sanofi leads commercialization activities for products under the Antibody Collaboration, subject to the Company's right to co-commercialize such products. In addition to profit and loss sharing, the Company is entitled to receive sales milestone payments from Sanofi. In the third quarter of 2020, the Company earned, and recognized as revenue, the first $50.0 million sales-based milestone from Sanofi, upon aggregate annual sales of antibodies outside the United States (including Praluent) exceeding $1.0 billion on a rolling twelve-month basis. In the third quarter of 2021, the Company earned, and recognized as revenue, the second $50.0 million sales-based milestone from Sanofi, upon aggregate annual sales of antibodies outside the United States (including Praluent) exceeding $1.5 billion on a rolling twelve-month basis. We are entitled to receive up to an aggregate of $150.0 million in additional sales milestone payments from Sanofi.</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176"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06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221"/>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26"/>
        </w:trPr>
        <w:tc>
          <w:tcPr>
            <w:tcW w:w="3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347.7</w:t>
            </w:r>
          </w:p>
        </w:tc>
      </w:tr>
    </w:tbl>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12 for discussion of legal proceedings related to Praluent.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party to a collaboration with Sanofi to research, develop, and commercialize antibody-based cancer treatments in the field of immuno-oncology (the "IO Collaboration").</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Effective December 31, 2018, the Company and Sanofi entered into an Amended and Restated Immuno-oncology Discovery and Development Agreement ("Amended IO Discovery Agreement"), which narrowed the scope of the existing discovery and development activities conducted by the Company under the 2015 IO Discovery Agreement to developing therapeutic bispecific antibodies targeting (i) BCMA and CD3 (the "BCMAxCD3 Program") and (ii) MUC16 and CD3 (the "MUC16xCD3 Program") through clinical proof-of-concept. During the first quarter of 2021, Sanofi did not exercise its options to license rights to these product candidates; as a result, we retain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Immuno-oncology License and Collaboration Agreement, the parties are co-developing and co-commercializing Libtayo (cemiplimab). The parties share equally, on an ongoing basis, agreed-upon development and commercialization expenses for Libtayo. The Company has principal control over the development of Libtayo and leads commercialization activities in the United States (see Note 2 for related product sales information), while Sanofi leads commercialization activities outside of the United States. The parties share equally in profits and losses in connection with the commercialization of Libtayo.</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months ended September 30, 2021, we updated our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176"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08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2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3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53"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September 30, 2021 was $591.4 million. This amount is expected to be recognized over the remaining period in which the Company is obligated to satisfy its obligation in connection with performing development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5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All agreed upon EYLEA development expenses incurred by the Company and Bayer are shared equally.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26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204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22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w w:val="93"/>
              </w:rPr>
              <w:t>Statement of Operations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(In millions)</w:t>
            </w:r>
          </w:p>
        </w:tc>
        <w:tc>
          <w:tcPr>
            <w:tcW w:w="224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line="20" w:lineRule="exact"/>
              <w:rPr>
                <w:sz w:val="1"/>
                <w:szCs w:val="1"/>
                <w:color w:val="auto"/>
              </w:rPr>
            </w:pPr>
          </w:p>
        </w:tc>
      </w:tr>
      <w:tr>
        <w:trPr>
          <w:trHeight w:val="227"/>
        </w:trPr>
        <w:tc>
          <w:tcPr>
            <w:tcW w:w="3480" w:type="dxa"/>
            <w:vAlign w:val="bottom"/>
            <w:vMerge w:val="continue"/>
          </w:tcPr>
          <w:p>
            <w:pPr>
              <w:spacing w:after="0"/>
              <w:rPr>
                <w:sz w:val="19"/>
                <w:szCs w:val="19"/>
                <w:color w:val="auto"/>
              </w:rPr>
            </w:pPr>
          </w:p>
        </w:tc>
        <w:tc>
          <w:tcPr>
            <w:tcW w:w="2240" w:type="dxa"/>
            <w:vAlign w:val="bottom"/>
            <w:gridSpan w:val="2"/>
          </w:tcPr>
          <w:p>
            <w:pPr>
              <w:ind w:left="560"/>
              <w:spacing w:after="0"/>
              <w:rPr>
                <w:sz w:val="20"/>
                <w:szCs w:val="20"/>
                <w:color w:val="auto"/>
              </w:rPr>
            </w:pPr>
            <w:r>
              <w:rPr>
                <w:rFonts w:ascii="Arial" w:cs="Arial" w:eastAsia="Arial" w:hAnsi="Arial"/>
                <w:sz w:val="18"/>
                <w:szCs w:val="18"/>
                <w:b w:val="1"/>
                <w:bCs w:val="1"/>
                <w:color w:val="auto"/>
              </w:rPr>
              <w:t>Classification</w:t>
            </w:r>
          </w:p>
        </w:tc>
        <w:tc>
          <w:tcPr>
            <w:tcW w:w="4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48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Regeneron's net profit in connection with</w:t>
            </w:r>
          </w:p>
        </w:tc>
        <w:tc>
          <w:tcPr>
            <w:tcW w:w="214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80" w:type="dxa"/>
            <w:vAlign w:val="bottom"/>
            <w:shd w:val="clear" w:color="auto" w:fill="CCEEFF"/>
          </w:tcPr>
          <w:p>
            <w:pPr>
              <w:ind w:left="180"/>
              <w:spacing w:after="0" w:line="160" w:lineRule="exact"/>
              <w:rPr>
                <w:sz w:val="20"/>
                <w:szCs w:val="20"/>
                <w:color w:val="auto"/>
              </w:rPr>
            </w:pPr>
            <w:r>
              <w:rPr>
                <w:rFonts w:ascii="Arial" w:cs="Arial" w:eastAsia="Arial" w:hAnsi="Arial"/>
                <w:sz w:val="18"/>
                <w:szCs w:val="18"/>
                <w:color w:val="auto"/>
              </w:rPr>
              <w:t>commercialization of EYLEA outside the</w:t>
            </w:r>
          </w:p>
        </w:tc>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3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line="174" w:lineRule="exact"/>
              <w:rPr>
                <w:sz w:val="20"/>
                <w:szCs w:val="20"/>
                <w:color w:val="auto"/>
              </w:rPr>
            </w:pPr>
            <w:r>
              <w:rPr>
                <w:rFonts w:ascii="Arial" w:cs="Arial" w:eastAsia="Arial" w:hAnsi="Arial"/>
                <w:sz w:val="18"/>
                <w:szCs w:val="18"/>
                <w:color w:val="auto"/>
              </w:rPr>
              <w:t>Reimbursement for manufacturing of</w:t>
            </w:r>
          </w:p>
        </w:tc>
        <w:tc>
          <w:tcPr>
            <w:tcW w:w="2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5"/>
                <w:szCs w:val="15"/>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5"/>
                <w:szCs w:val="15"/>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7"/>
        </w:trPr>
        <w:tc>
          <w:tcPr>
            <w:tcW w:w="3480" w:type="dxa"/>
            <w:vAlign w:val="bottom"/>
          </w:tcPr>
          <w:p>
            <w:pPr>
              <w:ind w:left="180"/>
              <w:spacing w:after="0"/>
              <w:rPr>
                <w:sz w:val="20"/>
                <w:szCs w:val="20"/>
                <w:color w:val="auto"/>
              </w:rPr>
            </w:pPr>
            <w:r>
              <w:rPr>
                <w:rFonts w:ascii="Arial" w:cs="Arial" w:eastAsia="Arial" w:hAnsi="Arial"/>
                <w:sz w:val="18"/>
                <w:szCs w:val="18"/>
                <w:color w:val="auto"/>
              </w:rPr>
              <w:t>commercial supplies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4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Reimbursement of research and development</w:t>
            </w:r>
          </w:p>
        </w:tc>
        <w:tc>
          <w:tcPr>
            <w:tcW w:w="22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4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line="174" w:lineRule="exact"/>
              <w:rPr>
                <w:sz w:val="20"/>
                <w:szCs w:val="20"/>
                <w:color w:val="auto"/>
              </w:rPr>
            </w:pPr>
            <w:r>
              <w:rPr>
                <w:rFonts w:ascii="Arial" w:cs="Arial" w:eastAsia="Arial" w:hAnsi="Arial"/>
                <w:sz w:val="18"/>
                <w:szCs w:val="18"/>
                <w:color w:val="auto"/>
                <w:w w:val="96"/>
              </w:rPr>
              <w:t>Regeneron's obligation for its share of Bayer</w:t>
            </w:r>
          </w:p>
        </w:tc>
        <w:tc>
          <w:tcPr>
            <w:tcW w:w="22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9"/>
              </w:rPr>
              <w:t>Research and development</w:t>
            </w: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5"/>
                <w:szCs w:val="15"/>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5"/>
                <w:szCs w:val="15"/>
                <w:color w:val="auto"/>
              </w:rPr>
            </w:pPr>
          </w:p>
        </w:tc>
        <w:tc>
          <w:tcPr>
            <w:tcW w:w="4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5"/>
                <w:szCs w:val="15"/>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6"/>
        </w:trPr>
        <w:tc>
          <w:tcPr>
            <w:tcW w:w="34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4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3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400" w:type="dxa"/>
            <w:vAlign w:val="bottom"/>
          </w:tcPr>
          <w:p>
            <w:pPr>
              <w:spacing w:after="0"/>
              <w:rPr>
                <w:sz w:val="20"/>
                <w:szCs w:val="20"/>
                <w:color w:val="auto"/>
              </w:rPr>
            </w:pPr>
          </w:p>
        </w:tc>
        <w:tc>
          <w:tcPr>
            <w:tcW w:w="3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140" w:type="dxa"/>
            <w:vAlign w:val="bottom"/>
          </w:tcPr>
          <w:p>
            <w:pPr>
              <w:spacing w:after="0"/>
              <w:rPr>
                <w:sz w:val="20"/>
                <w:szCs w:val="20"/>
                <w:color w:val="auto"/>
              </w:rPr>
            </w:pPr>
          </w:p>
        </w:tc>
      </w:tr>
      <w:tr>
        <w:trPr>
          <w:trHeight w:val="221"/>
        </w:trPr>
        <w:tc>
          <w:tcPr>
            <w:tcW w:w="240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14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Deferred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99.7</w:t>
            </w:r>
          </w:p>
        </w:tc>
        <w:tc>
          <w:tcPr>
            <w:tcW w:w="2140" w:type="dxa"/>
            <w:vAlign w:val="bottom"/>
          </w:tcPr>
          <w:p>
            <w:pPr>
              <w:spacing w:after="0"/>
              <w:rPr>
                <w:sz w:val="19"/>
                <w:szCs w:val="19"/>
                <w:color w:val="auto"/>
              </w:rPr>
            </w:pPr>
          </w:p>
        </w:tc>
      </w:tr>
      <w:tr>
        <w:trPr>
          <w:trHeight w:val="653"/>
        </w:trPr>
        <w:tc>
          <w:tcPr>
            <w:tcW w:w="2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5"/>
        </w:trPr>
        <w:tc>
          <w:tcPr>
            <w:tcW w:w="2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70"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 with Teva are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2000" w:type="dxa"/>
            <w:vAlign w:val="bottom"/>
            <w:gridSpan w:val="4"/>
          </w:tcPr>
          <w:p>
            <w:pPr>
              <w:jc w:val="right"/>
              <w:ind w:right="271"/>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26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Statement of Operations</w:t>
            </w:r>
          </w:p>
        </w:tc>
        <w:tc>
          <w:tcPr>
            <w:tcW w:w="180" w:type="dxa"/>
            <w:vAlign w:val="bottom"/>
          </w:tcPr>
          <w:p>
            <w:pPr>
              <w:spacing w:after="0"/>
              <w:rPr>
                <w:sz w:val="19"/>
                <w:szCs w:val="19"/>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9"/>
                <w:szCs w:val="19"/>
                <w:color w:val="auto"/>
              </w:rPr>
            </w:pPr>
          </w:p>
        </w:tc>
        <w:tc>
          <w:tcPr>
            <w:tcW w:w="20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600" w:type="dxa"/>
            <w:vAlign w:val="bottom"/>
            <w:gridSpan w:val="2"/>
            <w:vMerge w:val="continue"/>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line="20" w:lineRule="exact"/>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Classification</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8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8"/>
                <w:szCs w:val="18"/>
                <w:color w:val="auto"/>
                <w:w w:val="90"/>
              </w:rPr>
              <w:t>Reimbursement of research and development expenses</w:t>
            </w:r>
          </w:p>
        </w:tc>
        <w:tc>
          <w:tcPr>
            <w:tcW w:w="2500" w:type="dxa"/>
            <w:vAlign w:val="bottom"/>
            <w:tcBorders>
              <w:top w:val="single" w:sz="8" w:color="auto"/>
            </w:tcBorders>
            <w:shd w:val="clear" w:color="auto" w:fill="CCEEFF"/>
          </w:tcPr>
          <w:p>
            <w:pPr>
              <w:jc w:val="right"/>
              <w:ind w:right="471"/>
              <w:spacing w:after="0" w:line="167" w:lineRule="exact"/>
              <w:rPr>
                <w:sz w:val="20"/>
                <w:szCs w:val="20"/>
                <w:color w:val="auto"/>
              </w:rPr>
            </w:pPr>
            <w:r>
              <w:rPr>
                <w:rFonts w:ascii="Arial" w:cs="Arial" w:eastAsia="Arial" w:hAnsi="Arial"/>
                <w:sz w:val="18"/>
                <w:szCs w:val="18"/>
                <w:color w:val="auto"/>
                <w:w w:val="88"/>
              </w:rPr>
              <w:t>Reduction of Research and</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6"/>
              </w:rPr>
              <w:t>development expense</w:t>
            </w: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line="174" w:lineRule="exact"/>
              <w:rPr>
                <w:sz w:val="20"/>
                <w:szCs w:val="20"/>
                <w:color w:val="auto"/>
              </w:rPr>
            </w:pPr>
            <w:r>
              <w:rPr>
                <w:rFonts w:ascii="Arial" w:cs="Arial" w:eastAsia="Arial" w:hAnsi="Arial"/>
                <w:sz w:val="18"/>
                <w:szCs w:val="18"/>
                <w:color w:val="auto"/>
                <w:w w:val="98"/>
              </w:rPr>
              <w:t>Amounts recognized in connection with up-front and</w:t>
            </w:r>
          </w:p>
        </w:tc>
        <w:tc>
          <w:tcPr>
            <w:tcW w:w="2600" w:type="dxa"/>
            <w:vAlign w:val="bottom"/>
            <w:gridSpan w:val="2"/>
          </w:tcPr>
          <w:p>
            <w:pPr>
              <w:jc w:val="right"/>
              <w:ind w:right="900"/>
              <w:spacing w:after="0" w:line="174" w:lineRule="exact"/>
              <w:rPr>
                <w:sz w:val="20"/>
                <w:szCs w:val="20"/>
                <w:color w:val="auto"/>
              </w:rPr>
            </w:pPr>
            <w:r>
              <w:rPr>
                <w:rFonts w:ascii="Arial" w:cs="Arial" w:eastAsia="Arial" w:hAnsi="Arial"/>
                <w:sz w:val="18"/>
                <w:szCs w:val="18"/>
                <w:color w:val="auto"/>
                <w:w w:val="89"/>
              </w:rPr>
              <w:t>Other operating income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5"/>
                <w:szCs w:val="15"/>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6"/>
        </w:trPr>
        <w:tc>
          <w:tcPr>
            <w:tcW w:w="4080" w:type="dxa"/>
            <w:vAlign w:val="bottom"/>
          </w:tcPr>
          <w:p>
            <w:pPr>
              <w:ind w:left="160"/>
              <w:spacing w:after="0"/>
              <w:rPr>
                <w:sz w:val="20"/>
                <w:szCs w:val="20"/>
                <w:color w:val="auto"/>
              </w:rPr>
            </w:pPr>
            <w:r>
              <w:rPr>
                <w:rFonts w:ascii="Arial" w:cs="Arial" w:eastAsia="Arial" w:hAnsi="Arial"/>
                <w:sz w:val="18"/>
                <w:szCs w:val="18"/>
                <w:color w:val="auto"/>
              </w:rPr>
              <w:t>development milestone payments received</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89"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December 31,</w:t>
            </w:r>
          </w:p>
        </w:tc>
      </w:tr>
      <w:tr>
        <w:trPr>
          <w:trHeight w:val="231"/>
        </w:trPr>
        <w:tc>
          <w:tcPr>
            <w:tcW w:w="3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221"/>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6"/>
        </w:trPr>
        <w:tc>
          <w:tcPr>
            <w:tcW w:w="302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66.8</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September 30, 2021 was $96.7 million. This amount is expected to be recognized over the remaining period in which the Company is obligated to satisfy its obligation in connection with performing development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 Government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first quarter of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In July 2020, we entered into an agreement with entities acting at the direction of BARDA and the U.S. Department of Defense to manufacture and deliver filled and finished drug product of REGEN-COV to the U.S. government.</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the 1.25 million doses of drug product that we delivered by June 30,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completed its final deliveries of drug product under the agreements described above.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2021, the Company announced an amendment to its January 2021 agreement to supply the U.S. government with an additional 1.4 million doses of REGEN-COV. Pursuant to the agreement, the U.S. government is obligated to purchase all filled and finished doses of such additional drug product delivered by January 31, 2022, resulting in payments to the Company of up to $2.940 billion in the aggregate. Additionally, Roche will supply a portion of the doses to Regeneron to fulfill our agreement with the U.S. government (see "Roche" below for further details regarding our collaboration agreement with Roche).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REGEN-COV net product sales recognized in connection with these agreements.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Roche</w:t>
      </w:r>
    </w:p>
    <w:p>
      <w:pPr>
        <w:spacing w:after="0" w:line="127"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In August 2020, we entered into a collaboration agreement (the "Roche Collaboration Agreement") with Roche to develop, manufacture, and distribute the casirivimab and imdevimab antibody cocktail (known as REGEN-COV in the United States and Ronapreve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other countries).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122"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Roche Collaboration Agreement are as follows:</w:t>
      </w:r>
    </w:p>
    <w:p>
      <w:pPr>
        <w:spacing w:after="0" w:line="25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2000" w:type="dxa"/>
            <w:vAlign w:val="bottom"/>
            <w:gridSpan w:val="4"/>
          </w:tcPr>
          <w:p>
            <w:pPr>
              <w:jc w:val="right"/>
              <w:ind w:right="211"/>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19"/>
                <w:szCs w:val="19"/>
                <w:color w:val="auto"/>
              </w:rPr>
            </w:pPr>
          </w:p>
        </w:tc>
        <w:tc>
          <w:tcPr>
            <w:tcW w:w="23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w w:val="95"/>
              </w:rPr>
              <w:t>Statement of Operations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(In millions)</w:t>
            </w:r>
          </w:p>
        </w:tc>
        <w:tc>
          <w:tcPr>
            <w:tcW w:w="232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line="20" w:lineRule="exact"/>
              <w:rPr>
                <w:sz w:val="1"/>
                <w:szCs w:val="1"/>
                <w:color w:val="auto"/>
              </w:rPr>
            </w:pPr>
          </w:p>
        </w:tc>
      </w:tr>
      <w:tr>
        <w:trPr>
          <w:trHeight w:val="227"/>
        </w:trPr>
        <w:tc>
          <w:tcPr>
            <w:tcW w:w="3620" w:type="dxa"/>
            <w:vAlign w:val="bottom"/>
            <w:vMerge w:val="continue"/>
          </w:tcPr>
          <w:p>
            <w:pPr>
              <w:spacing w:after="0"/>
              <w:rPr>
                <w:sz w:val="19"/>
                <w:szCs w:val="19"/>
                <w:color w:val="auto"/>
              </w:rPr>
            </w:pPr>
          </w:p>
        </w:tc>
        <w:tc>
          <w:tcPr>
            <w:tcW w:w="2320" w:type="dxa"/>
            <w:vAlign w:val="bottom"/>
            <w:gridSpan w:val="2"/>
          </w:tcPr>
          <w:p>
            <w:pPr>
              <w:ind w:left="600"/>
              <w:spacing w:after="0"/>
              <w:rPr>
                <w:sz w:val="20"/>
                <w:szCs w:val="20"/>
                <w:color w:val="auto"/>
              </w:rPr>
            </w:pPr>
            <w:r>
              <w:rPr>
                <w:rFonts w:ascii="Arial" w:cs="Arial" w:eastAsia="Arial" w:hAnsi="Arial"/>
                <w:sz w:val="18"/>
                <w:szCs w:val="18"/>
                <w:b w:val="1"/>
                <w:bCs w:val="1"/>
                <w:color w:val="auto"/>
              </w:rPr>
              <w:t>Classification</w:t>
            </w: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62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6"/>
              </w:rPr>
              <w:t>Global gross profit true-up payment owed from</w:t>
            </w:r>
          </w:p>
        </w:tc>
        <w:tc>
          <w:tcPr>
            <w:tcW w:w="222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80"/>
              <w:spacing w:after="0" w:line="160" w:lineRule="exact"/>
              <w:rPr>
                <w:sz w:val="20"/>
                <w:szCs w:val="20"/>
                <w:color w:val="auto"/>
              </w:rPr>
            </w:pPr>
            <w:r>
              <w:rPr>
                <w:rFonts w:ascii="Arial" w:cs="Arial" w:eastAsia="Arial" w:hAnsi="Arial"/>
                <w:sz w:val="18"/>
                <w:szCs w:val="18"/>
                <w:color w:val="auto"/>
                <w:w w:val="94"/>
              </w:rPr>
              <w:t>Roche in connection with sales of casirivimab</w:t>
            </w:r>
          </w:p>
        </w:tc>
        <w:tc>
          <w:tcPr>
            <w:tcW w:w="2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imdevimab</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20"/>
              <w:spacing w:after="0" w:line="174" w:lineRule="exact"/>
              <w:rPr>
                <w:sz w:val="20"/>
                <w:szCs w:val="20"/>
                <w:color w:val="auto"/>
              </w:rPr>
            </w:pPr>
            <w:r>
              <w:rPr>
                <w:rFonts w:ascii="Arial" w:cs="Arial" w:eastAsia="Arial" w:hAnsi="Arial"/>
                <w:sz w:val="18"/>
                <w:szCs w:val="18"/>
                <w:color w:val="auto"/>
                <w:w w:val="98"/>
              </w:rPr>
              <w:t>Reimbursement of research and development</w:t>
            </w:r>
          </w:p>
        </w:tc>
        <w:tc>
          <w:tcPr>
            <w:tcW w:w="23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5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5"/>
                <w:szCs w:val="15"/>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36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4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Roche Collaboration Agreement:</w:t>
      </w:r>
    </w:p>
    <w:p>
      <w:pPr>
        <w:spacing w:after="0" w:line="176"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19"/>
                <w:szCs w:val="19"/>
                <w:color w:val="auto"/>
              </w:rPr>
            </w:pPr>
          </w:p>
        </w:tc>
        <w:tc>
          <w:tcPr>
            <w:tcW w:w="1360" w:type="dxa"/>
            <w:vAlign w:val="bottom"/>
          </w:tcPr>
          <w:p>
            <w:pPr>
              <w:jc w:val="center"/>
              <w:ind w:right="7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3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221"/>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Intellia</w:t>
      </w:r>
    </w:p>
    <w:p>
      <w:pPr>
        <w:spacing w:after="0" w:line="127"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development. The parties collaborate to conduct research for the discovery, development, and commercialization of new therapies, in addition to the research and technology development of the CRISPR/Cas9 platform.</w:t>
      </w:r>
    </w:p>
    <w:p>
      <w:pPr>
        <w:spacing w:after="0" w:line="11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 xml:space="preserve">In May 2020, we expanded our existing collaboration with Intellia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agreement, we made a $70.0 million up-front payment and purchased shares of Intellia common stock for an aggregate purchase price of $30.0 million. The up-front payment and the amount paid in excess of the fair market value of the shares purchased, or $15.0 million, were recorded to Research and development expense during the three months ended June 30, 2020.</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370"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w w:val="98"/>
              </w:rPr>
              <w:t>Nine Months Ended</w:t>
            </w:r>
          </w:p>
        </w:tc>
      </w:tr>
      <w:tr>
        <w:trPr>
          <w:trHeight w:val="227"/>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r>
      <w:tr>
        <w:trPr>
          <w:trHeight w:val="22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 basic and diluted</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r>
      <w:tr>
        <w:trPr>
          <w:trHeight w:val="267"/>
        </w:trPr>
        <w:tc>
          <w:tcPr>
            <w:tcW w:w="4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7"/>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7"/>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Restricted stock awards and restricted stock units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5"/>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6"/>
        </w:trPr>
        <w:tc>
          <w:tcPr>
            <w:tcW w:w="46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Three Months Ended</w:t>
            </w:r>
          </w:p>
        </w:tc>
        <w:tc>
          <w:tcPr>
            <w:tcW w:w="4180" w:type="dxa"/>
            <w:vAlign w:val="bottom"/>
            <w:gridSpan w:val="4"/>
          </w:tcPr>
          <w:p>
            <w:pPr>
              <w:jc w:val="center"/>
              <w:ind w:right="2060"/>
              <w:spacing w:after="0"/>
              <w:rPr>
                <w:sz w:val="20"/>
                <w:szCs w:val="20"/>
                <w:color w:val="auto"/>
              </w:rPr>
            </w:pPr>
            <w:r>
              <w:rPr>
                <w:rFonts w:ascii="Arial" w:cs="Arial" w:eastAsia="Arial" w:hAnsi="Arial"/>
                <w:sz w:val="18"/>
                <w:szCs w:val="18"/>
                <w:b w:val="1"/>
                <w:bCs w:val="1"/>
                <w:color w:val="auto"/>
                <w:w w:val="90"/>
              </w:rPr>
              <w:t>Nine Months Ended</w:t>
            </w:r>
          </w:p>
        </w:tc>
      </w:tr>
      <w:tr>
        <w:trPr>
          <w:trHeight w:val="227"/>
        </w:trPr>
        <w:tc>
          <w:tcPr>
            <w:tcW w:w="2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September 30,</w:t>
            </w:r>
          </w:p>
        </w:tc>
        <w:tc>
          <w:tcPr>
            <w:tcW w:w="418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87"/>
              </w:rPr>
              <w:t>September 30,</w:t>
            </w:r>
          </w:p>
        </w:tc>
      </w:tr>
      <w:tr>
        <w:trPr>
          <w:trHeight w:val="220"/>
        </w:trPr>
        <w:tc>
          <w:tcPr>
            <w:tcW w:w="20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2020" w:type="dxa"/>
            <w:vAlign w:val="bottom"/>
          </w:tcPr>
          <w:p>
            <w:pPr>
              <w:spacing w:after="0"/>
              <w:rPr>
                <w:sz w:val="19"/>
                <w:szCs w:val="19"/>
                <w:color w:val="auto"/>
              </w:rPr>
            </w:pPr>
          </w:p>
        </w:tc>
      </w:tr>
      <w:tr>
        <w:trPr>
          <w:trHeight w:val="220"/>
        </w:trPr>
        <w:tc>
          <w:tcPr>
            <w:tcW w:w="20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20" w:type="dxa"/>
            <w:vAlign w:val="bottom"/>
          </w:tcPr>
          <w:p>
            <w:pPr>
              <w:spacing w:after="0"/>
              <w:rPr>
                <w:sz w:val="19"/>
                <w:szCs w:val="19"/>
                <w:color w:val="auto"/>
              </w:rPr>
            </w:pPr>
          </w:p>
        </w:tc>
      </w:tr>
      <w:tr>
        <w:trPr>
          <w:trHeight w:val="786"/>
        </w:trPr>
        <w:tc>
          <w:tcPr>
            <w:tcW w:w="2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5"/>
        </w:trPr>
        <w:tc>
          <w:tcPr>
            <w:tcW w:w="20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Marketable securities as of September 30, 2021 and December 31, 2020 consist of both available-for-sale debt securities of investment grade issuers (see below and Note 6) as well as equity securities of publicly traded companies (see Note 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b w:val="1"/>
                <w:bCs w:val="1"/>
                <w:color w:val="auto"/>
                <w:w w:val="92"/>
              </w:rPr>
              <w:t>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Fair</w:t>
            </w:r>
          </w:p>
        </w:tc>
      </w:tr>
      <w:tr>
        <w:trPr>
          <w:trHeight w:val="182"/>
        </w:trPr>
        <w:tc>
          <w:tcPr>
            <w:tcW w:w="50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 of September 30, 2021</w:t>
            </w:r>
          </w:p>
        </w:tc>
        <w:tc>
          <w:tcPr>
            <w:tcW w:w="160" w:type="dxa"/>
            <w:vAlign w:val="bottom"/>
          </w:tcPr>
          <w:p>
            <w:pPr>
              <w:spacing w:after="0"/>
              <w:rPr>
                <w:sz w:val="15"/>
                <w:szCs w:val="15"/>
                <w:color w:val="auto"/>
              </w:rPr>
            </w:pPr>
          </w:p>
        </w:tc>
        <w:tc>
          <w:tcPr>
            <w:tcW w:w="126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1"/>
              <w:spacing w:after="0" w:line="182" w:lineRule="exact"/>
              <w:rPr>
                <w:sz w:val="20"/>
                <w:szCs w:val="20"/>
                <w:color w:val="auto"/>
              </w:rPr>
            </w:pPr>
            <w:r>
              <w:rPr>
                <w:rFonts w:ascii="Arial" w:cs="Arial" w:eastAsia="Arial" w:hAnsi="Arial"/>
                <w:sz w:val="18"/>
                <w:szCs w:val="18"/>
                <w:b w:val="1"/>
                <w:bCs w:val="1"/>
                <w:color w:val="auto"/>
              </w:rPr>
              <w:t>Value</w:t>
            </w: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45"/>
        </w:trPr>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1880" w:type="dxa"/>
            <w:vAlign w:val="bottom"/>
            <w:tcBorders>
              <w:bottom w:val="single" w:sz="8" w:color="auto"/>
            </w:tcBorders>
            <w:shd w:val="clear" w:color="auto" w:fill="CCEEFF"/>
          </w:tcPr>
          <w:p>
            <w:pPr>
              <w:spacing w:after="0" w:line="187" w:lineRule="exact"/>
              <w:rPr>
                <w:sz w:val="20"/>
                <w:szCs w:val="20"/>
                <w:color w:val="auto"/>
              </w:rPr>
            </w:pPr>
            <w:r>
              <w:rPr>
                <w:rFonts w:ascii="Arial" w:cs="Arial" w:eastAsia="Arial" w:hAnsi="Arial"/>
                <w:sz w:val="18"/>
                <w:szCs w:val="18"/>
                <w:b w:val="1"/>
                <w:bCs w:val="1"/>
                <w:color w:val="auto"/>
                <w:w w:val="87"/>
              </w:rPr>
              <w:t>As of December 31, 2020</w:t>
            </w:r>
          </w:p>
        </w:tc>
        <w:tc>
          <w:tcPr>
            <w:tcW w:w="31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37.5</w:t>
            </w:r>
          </w:p>
        </w:tc>
        <w:tc>
          <w:tcPr>
            <w:tcW w:w="12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3,090.3</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Sovereign bonds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45"/>
        </w:trPr>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September 30, 2021 mature at various dates through September 2026. The fair values of available-for-sale debt securities by contractual maturity consist of the following:</w:t>
      </w:r>
    </w:p>
    <w:p>
      <w:pPr>
        <w:spacing w:after="0" w:line="249" w:lineRule="exact"/>
        <w:rPr>
          <w:sz w:val="20"/>
          <w:szCs w:val="20"/>
          <w:color w:val="auto"/>
        </w:rPr>
      </w:pPr>
    </w:p>
    <w:tbl>
      <w:tblPr>
        <w:tblLayout w:type="fixed"/>
        <w:tblInd w:w="212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21"/>
        </w:trPr>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Maturities within one year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r>
      <w:tr>
        <w:trPr>
          <w:trHeight w:val="227"/>
        </w:trPr>
        <w:tc>
          <w:tcPr>
            <w:tcW w:w="3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9"/>
              </w:rPr>
              <w:t>Maturities after one year through five years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r>
      <w:tr>
        <w:trPr>
          <w:trHeight w:val="245"/>
        </w:trPr>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Less than 12 Months</w:t>
            </w:r>
          </w:p>
        </w:tc>
        <w:tc>
          <w:tcPr>
            <w:tcW w:w="2600" w:type="dxa"/>
            <w:vAlign w:val="bottom"/>
            <w:gridSpan w:val="4"/>
          </w:tcPr>
          <w:p>
            <w:pPr>
              <w:ind w:left="40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500" w:type="dxa"/>
            <w:vAlign w:val="bottom"/>
            <w:gridSpan w:val="4"/>
          </w:tcPr>
          <w:p>
            <w:pPr>
              <w:ind w:left="20"/>
              <w:spacing w:after="0" w:line="168" w:lineRule="exact"/>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1"/>
              <w:spacing w:after="0" w:line="168"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4"/>
                <w:szCs w:val="14"/>
                <w:color w:val="auto"/>
              </w:rPr>
            </w:pPr>
          </w:p>
        </w:tc>
        <w:tc>
          <w:tcPr>
            <w:tcW w:w="12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Borders>
              <w:top w:val="single" w:sz="8" w:color="auto"/>
            </w:tcBorders>
          </w:tcPr>
          <w:p>
            <w:pPr>
              <w:ind w:left="200"/>
              <w:spacing w:after="0" w:line="168"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1"/>
              <w:spacing w:after="0" w:line="168"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87"/>
        </w:trPr>
        <w:tc>
          <w:tcPr>
            <w:tcW w:w="3500" w:type="dxa"/>
            <w:vAlign w:val="bottom"/>
            <w:gridSpan w:val="4"/>
          </w:tcPr>
          <w:p>
            <w:pPr>
              <w:ind w:left="20"/>
              <w:spacing w:after="0" w:line="187" w:lineRule="exact"/>
              <w:rPr>
                <w:sz w:val="20"/>
                <w:szCs w:val="20"/>
                <w:color w:val="auto"/>
              </w:rPr>
            </w:pPr>
            <w:r>
              <w:rPr>
                <w:rFonts w:ascii="Arial" w:cs="Arial" w:eastAsia="Arial" w:hAnsi="Arial"/>
                <w:sz w:val="18"/>
                <w:szCs w:val="18"/>
                <w:b w:val="1"/>
                <w:bCs w:val="1"/>
                <w:color w:val="auto"/>
              </w:rPr>
              <w:t>As of September 30, 2021</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0"/>
              </w:rPr>
              <w:t>Loss</w:t>
            </w:r>
          </w:p>
        </w:tc>
        <w:tc>
          <w:tcPr>
            <w:tcW w:w="1280" w:type="dxa"/>
            <w:vAlign w:val="bottom"/>
            <w:gridSpan w:val="2"/>
            <w:vMerge w:val="continue"/>
          </w:tcPr>
          <w:p>
            <w:pPr>
              <w:spacing w:after="0"/>
              <w:rPr>
                <w:sz w:val="16"/>
                <w:szCs w:val="16"/>
                <w:color w:val="auto"/>
              </w:rPr>
            </w:pPr>
          </w:p>
        </w:tc>
        <w:tc>
          <w:tcPr>
            <w:tcW w:w="1320" w:type="dxa"/>
            <w:vAlign w:val="bottom"/>
            <w:gridSpan w:val="2"/>
          </w:tcPr>
          <w:p>
            <w:pPr>
              <w:ind w:left="440"/>
              <w:spacing w:after="0" w:line="187" w:lineRule="exact"/>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1"/>
              <w:spacing w:after="0" w:line="187"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3"/>
        </w:trPr>
        <w:tc>
          <w:tcPr>
            <w:tcW w:w="3500" w:type="dxa"/>
            <w:vAlign w:val="bottom"/>
            <w:gridSpan w:val="4"/>
          </w:tcPr>
          <w:p>
            <w:pPr>
              <w:ind w:left="20"/>
              <w:spacing w:after="0" w:line="174" w:lineRule="exact"/>
              <w:rPr>
                <w:sz w:val="20"/>
                <w:szCs w:val="20"/>
                <w:color w:val="auto"/>
              </w:rPr>
            </w:pPr>
            <w:r>
              <w:rPr>
                <w:rFonts w:ascii="Arial" w:cs="Arial" w:eastAsia="Arial" w:hAnsi="Arial"/>
                <w:sz w:val="18"/>
                <w:szCs w:val="18"/>
                <w:color w:val="auto"/>
              </w:rPr>
              <w:t>U.S. government and government agency</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500" w:type="dxa"/>
            <w:vAlign w:val="bottom"/>
            <w:gridSpan w:val="4"/>
            <w:shd w:val="clear" w:color="auto" w:fill="CCEEFF"/>
          </w:tcPr>
          <w:p>
            <w:pPr>
              <w:ind w:left="20"/>
              <w:spacing w:after="0" w:line="187" w:lineRule="exact"/>
              <w:rPr>
                <w:sz w:val="20"/>
                <w:szCs w:val="20"/>
                <w:color w:val="auto"/>
              </w:rPr>
            </w:pPr>
            <w:r>
              <w:rPr>
                <w:rFonts w:ascii="Arial" w:cs="Arial" w:eastAsia="Arial" w:hAnsi="Arial"/>
                <w:sz w:val="18"/>
                <w:szCs w:val="18"/>
                <w:b w:val="1"/>
                <w:bCs w:val="1"/>
                <w:color w:val="auto"/>
              </w:rPr>
              <w:t>As of December 31, 2020</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gridSpan w:val="4"/>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nine months ended September 30, 2021, realized gains and losses on sales of marketable securities were not material. For the three months ended September 30, 2020, realized gains and losses on sales of marketable securities were not material. Realized gains were $28.5 million and realized losses were not material for the nine months ended September 30, 2020.</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With respect to marketable securities, for the three and nine months ended September 30, 2021 and 2020, amounts reclassified from Accumulated other comprehensive income into Other (expense) income, net were related to realized gains and losses on sales of available-for-sale debt securities.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08"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19"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18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8"/>
                <w:szCs w:val="18"/>
                <w:b w:val="1"/>
                <w:bCs w:val="1"/>
                <w:color w:val="auto"/>
                <w:w w:val="92"/>
              </w:rPr>
              <w:t>Fair Value Measurements at Reporting Date</w:t>
            </w:r>
          </w:p>
        </w:tc>
      </w:tr>
      <w:tr>
        <w:trPr>
          <w:trHeight w:val="182"/>
        </w:trPr>
        <w:tc>
          <w:tcPr>
            <w:tcW w:w="5180" w:type="dxa"/>
            <w:vAlign w:val="bottom"/>
            <w:gridSpan w:val="4"/>
          </w:tcPr>
          <w:p>
            <w:pPr>
              <w:ind w:left="20"/>
              <w:spacing w:after="0" w:line="182" w:lineRule="exact"/>
              <w:rPr>
                <w:sz w:val="20"/>
                <w:szCs w:val="20"/>
                <w:color w:val="auto"/>
              </w:rPr>
            </w:pPr>
            <w:r>
              <w:rPr>
                <w:rFonts w:ascii="Arial" w:cs="Arial" w:eastAsia="Arial" w:hAnsi="Arial"/>
                <w:sz w:val="18"/>
                <w:szCs w:val="18"/>
                <w:b w:val="1"/>
                <w:bCs w:val="1"/>
                <w:color w:val="auto"/>
              </w:rPr>
              <w:t>As of September 30, 2021</w:t>
            </w:r>
          </w:p>
        </w:tc>
        <w:tc>
          <w:tcPr>
            <w:tcW w:w="260" w:type="dxa"/>
            <w:vAlign w:val="bottom"/>
          </w:tcPr>
          <w:p>
            <w:pPr>
              <w:spacing w:after="0"/>
              <w:rPr>
                <w:sz w:val="15"/>
                <w:szCs w:val="15"/>
                <w:color w:val="auto"/>
              </w:rPr>
            </w:pPr>
          </w:p>
        </w:tc>
        <w:tc>
          <w:tcPr>
            <w:tcW w:w="154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15"/>
                <w:szCs w:val="15"/>
                <w:color w:val="auto"/>
              </w:rPr>
            </w:pPr>
          </w:p>
        </w:tc>
        <w:tc>
          <w:tcPr>
            <w:tcW w:w="1500" w:type="dxa"/>
            <w:vAlign w:val="bottom"/>
            <w:gridSpan w:val="2"/>
          </w:tcPr>
          <w:p>
            <w:pPr>
              <w:ind w:left="240"/>
              <w:spacing w:after="0" w:line="182" w:lineRule="exact"/>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5"/>
                <w:szCs w:val="15"/>
                <w:color w:val="auto"/>
              </w:rPr>
            </w:pPr>
          </w:p>
        </w:tc>
        <w:tc>
          <w:tcPr>
            <w:tcW w:w="1380" w:type="dxa"/>
            <w:vAlign w:val="bottom"/>
          </w:tcPr>
          <w:p>
            <w:pPr>
              <w:jc w:val="right"/>
              <w:ind w:right="511"/>
              <w:spacing w:after="0" w:line="182" w:lineRule="exact"/>
              <w:rPr>
                <w:sz w:val="20"/>
                <w:szCs w:val="20"/>
                <w:color w:val="auto"/>
              </w:rPr>
            </w:pPr>
            <w:r>
              <w:rPr>
                <w:rFonts w:ascii="Arial" w:cs="Arial" w:eastAsia="Arial" w:hAnsi="Arial"/>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5,924.8</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7"/>
        </w:trPr>
        <w:tc>
          <w:tcPr>
            <w:tcW w:w="5180" w:type="dxa"/>
            <w:vAlign w:val="bottom"/>
            <w:gridSpan w:val="4"/>
          </w:tcPr>
          <w:p>
            <w:pPr>
              <w:ind w:left="20"/>
              <w:spacing w:after="0"/>
              <w:rPr>
                <w:sz w:val="20"/>
                <w:szCs w:val="20"/>
                <w:color w:val="auto"/>
              </w:rPr>
            </w:pPr>
            <w:r>
              <w:rPr>
                <w:rFonts w:ascii="Arial" w:cs="Arial" w:eastAsia="Arial" w:hAnsi="Arial"/>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187"/>
        </w:trPr>
        <w:tc>
          <w:tcPr>
            <w:tcW w:w="5180" w:type="dxa"/>
            <w:vAlign w:val="bottom"/>
            <w:gridSpan w:val="4"/>
          </w:tcPr>
          <w:p>
            <w:pPr>
              <w:ind w:left="20"/>
              <w:spacing w:after="0" w:line="187" w:lineRule="exact"/>
              <w:rPr>
                <w:sz w:val="20"/>
                <w:szCs w:val="20"/>
                <w:color w:val="auto"/>
              </w:rPr>
            </w:pPr>
            <w:r>
              <w:rPr>
                <w:rFonts w:ascii="Arial" w:cs="Arial" w:eastAsia="Arial" w:hAnsi="Arial"/>
                <w:sz w:val="18"/>
                <w:szCs w:val="18"/>
                <w:b w:val="1"/>
                <w:bCs w:val="1"/>
                <w:color w:val="auto"/>
              </w:rPr>
              <w:t>As of December 31, 2020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3,090.3</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2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held certain restricted equity securities as of September 30, 2021 which are subject to transfer restrictions that expire at various dates through 2024.</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During the three and nine months ended September 30, 2021, we recorded $29.1 million of net unrealized losses and $523.8 million of net unrealized gains, respectively, on equity securities in Other (expense) income, net. During the three and nine months ended September 30, 2020, we recorded $37.5 million of net unrealized losses and $133.8 million of net unrealized gains, respectively, on equity securities in Other (expense) income, net.</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investments summarized in the table above, as of September 30, 2021 and December 31, 2020, the Company had $40.0 million and $59.2 million, respectively, in equity investments that do not have a readily determinable fair value. These investments are recorded within Other noncurrent assets.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fair value of our long-term debt (see Note 8), which was determined based on Level 2 inputs, was estimated to be $1.891 billion and $1.958 billion as of September 30, 2021 and December 31, 2020,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7"/>
        </w:trPr>
        <w:tc>
          <w:tcPr>
            <w:tcW w:w="54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7"/>
        </w:trPr>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r>
      <w:tr>
        <w:trPr>
          <w:trHeight w:val="231"/>
        </w:trPr>
        <w:tc>
          <w:tcPr>
            <w:tcW w:w="252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r>
      <w:tr>
        <w:trPr>
          <w:trHeight w:val="221"/>
        </w:trPr>
        <w:tc>
          <w:tcPr>
            <w:tcW w:w="25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27"/>
        </w:trPr>
        <w:tc>
          <w:tcPr>
            <w:tcW w:w="25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904.6</w:t>
            </w:r>
          </w:p>
        </w:tc>
      </w:tr>
      <w:tr>
        <w:trPr>
          <w:trHeight w:val="227"/>
        </w:trPr>
        <w:tc>
          <w:tcPr>
            <w:tcW w:w="25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7"/>
        </w:trPr>
        <w:tc>
          <w:tcPr>
            <w:tcW w:w="2520" w:type="dxa"/>
            <w:vAlign w:val="bottom"/>
          </w:tcPr>
          <w:p>
            <w:pPr>
              <w:spacing w:after="0"/>
              <w:rPr>
                <w:sz w:val="19"/>
                <w:szCs w:val="19"/>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costs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r>
      <w:tr>
        <w:trPr>
          <w:trHeight w:val="245"/>
        </w:trPr>
        <w:tc>
          <w:tcPr>
            <w:tcW w:w="252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r>
      <w:tr>
        <w:trPr>
          <w:trHeight w:val="20"/>
        </w:trPr>
        <w:tc>
          <w:tcPr>
            <w:tcW w:w="25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and nine months ended September 30, 2021, Cost of goods sold included inventory write-offs and reserves totaling $38.7 million and $188.0 million, respectively. For the three and nine months ended September 30, 2020, Cost of goods sold included inventory write-offs and reserves totaling $11.8 million and $23.6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 10, in the second quarter of 2020, we purchased shares of our Common Stock from Sanofi in connection with Sanofi's secondary offering of our Common Stock held by Sanofi. This purchase was partially funded with proceeds from loans under a $1.5 billion senior unsecured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The Bridge Facility was repaid in full during the third quarter of 2020 following the closing of the issuance and sale of the Company's senior notes (as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56" w:lineRule="exact"/>
        <w:rPr>
          <w:sz w:val="20"/>
          <w:szCs w:val="20"/>
          <w:color w:val="auto"/>
        </w:rPr>
      </w:pPr>
    </w:p>
    <w:tbl>
      <w:tblPr>
        <w:tblLayout w:type="fixed"/>
        <w:tblInd w:w="176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September 2030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2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2.800% Senior Notes due September 2050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r>
      <w:tr>
        <w:trPr>
          <w:trHeight w:val="245"/>
        </w:trPr>
        <w:tc>
          <w:tcPr>
            <w:tcW w:w="4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related to the Notes for the three and nine months ended September 30, 2021 was $11.1 million and $33.3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is subject to U.S. federal, state, and foreign income taxes. The Company's effective tax rate was 10.2% and 15.6% for the three months ended September 30, 2021 and 2020, respectively, and 14.3% and 8.6% for the nine months ended September 30, 2021 and 2020, respectively. The Company's effective tax rate for the three and nine months ended September 30, 2021 was positively impacted, compared to the U.S. federal statutory rate, primarily by stock-based compensation, income earned in foreign jurisdictions with tax rates lower than the U.S. federal statutory rate, the foreign-derived intangible income deduction, and federal tax credits for research activities. In addition, the effective tax rate for the nine months ended September 30, 2021 was positively impacted by the reversal of liabilities related to uncertain tax positions. During the nine months ended September 30, 2021, we reduced the amount of liabilities for uncertain tax positions related to the Company’s federal income tax returns for 2015 and 2016, as these audits are effectively settled. The Company's federal income tax returns for 2017 and 2018 are currently under audit by the Internal Revenue Service ("IRS"). The Company's effective tax rate for the three and nine months ended September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2021, our board of directors authorized an additional share repurchase program to repurchase up to $1.5 billion of our Common Stock. The share repurchase program was approved under terms substantially similar to the November 2019 share repurchase program described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September 30, 2021, $697.3 million remained available for share repurchases under the program.</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table below summarizes the shares of our Common Stock we repurchased under the programs during the three and nine months ended September 30, 2021 and 2020 and the cost of the shares received, which were recorded as Treasury Stock.</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212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8"/>
              </w:rPr>
              <w:t>Nine Months Ended</w:t>
            </w:r>
          </w:p>
        </w:tc>
      </w:tr>
      <w:tr>
        <w:trPr>
          <w:trHeight w:val="227"/>
        </w:trPr>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6"/>
        </w:trPr>
        <w:tc>
          <w:tcPr>
            <w:tcW w:w="380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802.7</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2018, the Company and Sanofi entered into a letter agreement (the "Letter Agreement") in connection with, among other matters, the allocation of additional funds to certain activities relating to dupilumab and itepekimab (collectively, the "Dupilumab/Itepekimab Eligible Investments"). Pursuant to the Letter Agreement, we agreed to allow Sanofi to satisfy its funding obligations with respect to Dupilumab/Itepekimab Eligible Investments, as well as Libtayo development costs, for quarterly periods ending on September 30, 2020 by selling our Common Stock owned by Sanofi. During the nine months ended September 30, 2020, Sanofi elected to sell, and we elected to purchase (by issuing a credit towards the amount owed by Sanofi), 77,677 shares of our Common Stock to satisfy Sanofi's funding obligation related to Libtayo development costs, and we recorded the cost of the shares received, or $41.7 million, as Treasury Stock. During the nine months ended September 30, 2020, Sanofi elected to sell, and we elected to purchase (in cash), 171,471 shares of our Common Stock in connection with Sanofi's funding obligation for Dupilumab/Itepekimab Eligible Investments, and we recorded the cost of the shares received, or $93.3 million, as Treasury Stock. During the three months ended September 30, 2020, there were no shares of our Common Stock purchased from Sanofi to satisfy Sanofi's funding obligations related to Libtayo development costs and/or Dupilumab/Itepekimab Eligible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Purchased from Sanofi</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$5.0 billion (the "Stock Purchase"). As a result of the Secondary Offering and the Stock Purchase, Sanofi disposed of all of its shares of our Common Stock, other than 400,000 shares that it retained as of the closing of the Secondary Offering and the Stock Purchase (a portion of which Sanofi used for the funding of certain Libtayo development costs and/or Dupilumab/Itepekimab Eligible Investments as described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14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54"/>
        </w:trPr>
        <w:tc>
          <w:tcPr>
            <w:tcW w:w="53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5"/>
              </w:rPr>
              <w:t>Total cash, cash equivalents, and restricted cash shown in the Condensed</w:t>
            </w:r>
          </w:p>
        </w:tc>
        <w:tc>
          <w:tcPr>
            <w:tcW w:w="6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1,586.6</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Consolidated Statement of Cash Flows</w:t>
            </w: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included in accounts payable, accrued expenses, and other liabilities:</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9"/>
                <w:szCs w:val="19"/>
                <w:color w:val="auto"/>
              </w:rPr>
            </w:pPr>
          </w:p>
        </w:tc>
        <w:tc>
          <w:tcPr>
            <w:tcW w:w="158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r>
      <w:tr>
        <w:trPr>
          <w:trHeight w:val="221"/>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September 30, 2021 and December 31, 2020, the Company's accruals for loss contingencies were not material. If the Company were unable to prevail in any such proceedings, its consolidated financial position, results of operations, and future cash flows may be materially impacted.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Amgen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(collectively, "Commercializing") Praluent. Amgen also sought a judgment of patent infringement of the asserted patents, monetary damages (together with interest), costs and expenses of the lawsuits, and attorneys' fees. As described in greater detail under "Second Jury Trial and Appeal" below, on February 11, 2021, the Federal Circuit (as defined below) affirmed the lower court's decision that certain of Amgen's asserted patent claims are invalid based on lack of enablement.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First Jury Trial and Appeal. </w:t>
      </w:r>
      <w:r>
        <w:rPr>
          <w:rFonts w:ascii="Arial" w:cs="Arial" w:eastAsia="Arial" w:hAnsi="Arial"/>
          <w:sz w:val="16"/>
          <w:szCs w:val="16"/>
          <w:color w:val="auto"/>
        </w:rPr>
        <w:t>The first jury trial in this litigation (the "First Trial") was held in the United States District Court for the District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 On February 11, 2021, the Federal Circuit affirmed the District Court's decision that certain of Amgen's asserted patent claims are invalid based on lack of enablement. On April 14, 2021, Amgen filed a petition for a rehearing en banc, which was denied on June 21, 2021.</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Amgen has asserted European Patent No. 2,215,124 (the "'124 Patent"), which pertains to PCSK9 monoclonal antibodies, in the countries in Europe discussed below. In October 2020, the '124 Patent claims directed to compositions of matter and medical use relevant to Praluent were ruled invalid based on a lack of inventive step by the Technical Board of Appeal (the "TBA") of the European Patent Office (the "EPO"). This decision impacted each of the infringement proceedings based on the '124 Patent discussed below.</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Amgen filed lawsuits in Germany, the United Kingdom, and France in July 2016, July 2016, and September 2016, respectively, against the Company and certain of Sanofi's affiliated entities for infringement of the relevant designation of the '124 Patent in each such jurisdiction; and these lawsuits were dismissed in November 2020, September 2021, and June 2021, respectively. The dismissal in Germany followed an earlier finding of infringement and granting of an injunction, both of which were subsequently overturned. In December 2019, Amgen also filed lawsuits in the Netherlands, Italy, and Spain for infringement of the relevant designation of the '124 Patent in each such jurisdiction; the Company was not named as a defendant in any of these actions, and each of these lawsuits was dismissed in February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previously reported, on March 31, 2020, Amgen filed a lawsuit in the Tokyo District Court against Sanofi K.K. seeking damages incurred by Amgen as a result of the earlier finding of infringement of Amgen's Japanese Patent Nos. 5,906,333 and 5,705,288 by the Tokyo District Court Civil Division. The Company has not been named as a defendant in this damages 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U.S. Patent No. 8,679,487 (the "'487 Patent") owned by Immunex Corporation relating to antibodies that bind the human interleukin-4 receptor and subsequently filed two additional IPR petitions in the USPTO seeking declarations of invalidity of the '487 Patent based on different grounds (the "Additional IPR Petitions"). The Patent Trial and Appeal Board ("PTAB") of the USPTO issued a final written decision on the Additional IPR Petitions on February 14, 2019, invalidating all 17 claims of the '487 Patent as obvious. This decision was subsequently affirmed by the Federal Circuit and Immunex's petition for writ of certiorari was denied by the United States Supreme Court. The '487 Patent expired in May 2020 following Immunex's filing of a terminal disclaimer with the USPTO.</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April 5, 2017, Immunex Corporation filed a lawsuit against the Company, Sanofi, Sanofi-Aventis U.S. LLC, Genzyme Corporation, and Aventisub LLC in the United States District Court for the Central District of California seeking a judgment 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The court subsequently granted a joint stipulation by the parties to stay the litigation pending resolution of the appeals of the PTAB's final written decisions on the Additional IPR Petitions discussed above; and, on August 3, 2021, granted a motion to dismiss the lawsuit, dismissing all of Immunex's claims with prejudice.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and an oral hearing before the TBA has been scheduled for March 2022.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and an oral hearing before the TBA has been scheduled for March 2022. The original patent term of the Immunex patents expired in May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January 7, 2021, Chengdu Kanghong Pharmaceutical Group Co., Ltd. ("Chengdu Kanghong") filed an IPR petition in the USPTO against the Company' s U.S. Patent No. 10,464,992 (the "'992 Patent") and a post-grant review ("PGR") petition against the Company's U.S. Patent No. 10,828,345 (the "'345 Patent") seeking declarations of invalidity of the '992 Patent and '345 Patent. On June 23, 2021, Chengdu Kanghong filed motions to dismiss each of these petitions and terminate the respective proceedings, which were granted by the USPTO on June 25, 2021.</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On February 11, 2020, anonymous parties filed two requests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the Company's U.S. Patent No. 10,406,226 and the '992 Patent, and the USPTO has granted both requests to initiate reexamination proceedings.</w:t>
      </w:r>
    </w:p>
    <w:p>
      <w:pPr>
        <w:spacing w:after="0" w:line="10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On May 5, 2021, Mylan Pharmaceuticals Inc. filed IPR petitions in the USPTO against the Company's U.S. Patent Nos. 9,254,338 (the "'338 Patent") and 9,669,069 (the "'069 Patent") seeking declarations of invalidity of the '338 Patent and the '069 Patent.</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September 7, 2021, Celltrion, Inc. filed a PGR petition in the USPTO against the Company's U.S. Patent No. 10,857,231 (the "'231 Patent") seeking a declaration of invalidity of the '231 Patent.</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October 26 and October 27, 2021, anonymous parties initiated opposition proceedings in the EPO against the Company's European Patent No. 2,944,306 (the "'306 Patent") seeking revocation of the '306 Patent in its entirety.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Arial" w:cs="Arial" w:eastAsia="Arial" w:hAnsi="Arial"/>
          <w:sz w:val="16"/>
          <w:szCs w:val="16"/>
          <w:i w:val="1"/>
          <w:iCs w:val="1"/>
          <w:color w:val="auto"/>
        </w:rPr>
        <w:t>i.e.</w:t>
      </w:r>
      <w:r>
        <w:rPr>
          <w:rFonts w:ascii="Arial" w:cs="Arial" w:eastAsia="Arial" w:hAnsi="Arial"/>
          <w:sz w:val="16"/>
          <w:szCs w:val="16"/>
          <w:color w:val="auto"/>
        </w:rPr>
        <w:t>, the period when the President of the United States (or his designee) can disapprove any ITC decision to issue an exclusion order or cease-and-desist order). The ITC instituted the investigation on July 22, 2020 and a trial was scheduled for April 19–23, 2021. On March 26, 2021, the staff attorney appointed by the ITC's Office of Unfair Import Investigations ("OUII")—an independent government party to the case representing the public interest—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determined that the '631 Patent is invalid on several grounds. On April 8, 2021, Novartis moved to terminate the ITC investigation in its entirety based on its withdrawal of the complaint; and, on May 3, 2021, the ITC terminated the investigation.</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19, 2020, Novartis also filed a patent infringement lawsuit (as amended on August 2, 2021)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June 11, 2021, the court, at the request of Novartis, lifted the stay.</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 On October 26, 2021, the USPTO issued a decision instituting the IPR proceeding.</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 determined not to appeal the preliminary injunction. On February 10, 2021, the court entered a 90-day stay of the litigation and subsequently extended the stay, with the most recent 30-day extension granted on October 11, 2021. On August 6, 2021, CMS issued a Notice of Proposed Rulemaking that proposes to rescind the MFN Rule.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hearing on the oppositions against the '048 Patent was held on November 29–30,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has been scheduled for April 5–6, 2022.</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On January 29, 2021, Teva filed a notice of intervention with the TBA to take part in the appeal proceedings as an intervener. An oral hearing before the TBA was held on July 29, 2021, at which the '711 Patent was revoked in its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and imdevimab)</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Allele Biotechnology and Pharmaceuticals, Inc. ("Allele") filed a lawsuit (as amended on April 8, 2021) against the Company in the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1"/>
          <w:szCs w:val="21"/>
          <w:color w:val="auto"/>
          <w:vertAlign w:val="superscript"/>
        </w:rPr>
        <w:t>®</w:t>
      </w:r>
      <w:r>
        <w:rPr>
          <w:rFonts w:ascii="Arial" w:cs="Arial" w:eastAsia="Arial" w:hAnsi="Arial"/>
          <w:sz w:val="16"/>
          <w:szCs w:val="16"/>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filed against the Company, Regeneron Healthcare Solutions, Inc., and Sanofi-Aventis U.S. LLC by two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plaintiffs (known as relators) purportedly on behalf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plaintiffs filed an amended complaint in this matter.</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17, 2020, UnitedHealthcare Insurance Company and United Healthcare Services, Inc. (collectively, "UHC") filed a lawsuit against the Company in the United States District Court for the Southern District of New York alleging UHC has been 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(the "RICO Act") and seeks monetary damages and equitable relief. On March 1, 2021, the Company filed a motion to dismiss the complaint in its entirety. On March 25, 2021, UHC filed an amended complaint; and, on April 22, 2021, the Company filed a motion to dismiss this amended complaint in its entirety.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Humana</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22, 2021, Humana Inc. ("Humana") filed a lawsuit against the Company in the United States District Court for the Southern District of New York alleging Humana has been damaged by the conduct alleged in the civil complaint filed by the U.S. Attorney's Office for the District of Massachusetts discussed under "Department of Justice Matters" above. Humana alleges causes of action under state law and the RICO Act and seeks monetary damages and equitable relief. On September 27, 2021, the Company filed a motion to dismiss the complaint in its entirety.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Demand</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Shareholder Derivative Complaint</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24, 2021, the individual defendants moved to dismiss the complaint in its entirety. Also on September 24, 2021, the plaintiff filed a motion to remand the case to the New York Supreme Court.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(sarilumab) Injection, Evkeeza</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(evinacumab), Inmazeb</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(atoltivimab, maftivimab, and odesivimab-ebgn), REGEN-COV</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(casirivimab and imdevimab), fasinumab, garetosmab,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in other countries) and its REGEN-COV supply agreement with the U.S. government,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12 to our Condensed Consolidated Financial Statements included in this report), other litigation and other proceedings and government investigations relating to the Company and/or its operations (including without limitation those described in Note 12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i w:val="1"/>
          <w:iCs w:val="1"/>
          <w:color w:val="auto"/>
        </w:rPr>
        <w:t>materially from those indicated by such forward-looking statements. We do not undertake any obligation to update (publicly or otherwise) any forward-looking statement, whether as a result of new information, future events, or otherwise.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80" w:type="dxa"/>
            <w:vAlign w:val="bottom"/>
            <w:gridSpan w:val="2"/>
          </w:tcPr>
          <w:p>
            <w:pPr>
              <w:spacing w:after="0"/>
              <w:rPr>
                <w:sz w:val="20"/>
                <w:szCs w:val="20"/>
                <w:color w:val="auto"/>
              </w:rPr>
            </w:pPr>
            <w:r>
              <w:rPr>
                <w:rFonts w:ascii="Arial" w:cs="Arial" w:eastAsia="Arial" w:hAnsi="Arial"/>
                <w:sz w:val="18"/>
                <w:szCs w:val="18"/>
                <w:color w:val="auto"/>
                <w:w w:val="97"/>
              </w:rPr>
              <w:t>Selected financial information is summarized as follows:</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1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24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740" w:type="dxa"/>
            <w:vAlign w:val="bottom"/>
          </w:tcPr>
          <w:p>
            <w:pPr>
              <w:ind w:left="260"/>
              <w:spacing w:after="0" w:line="154" w:lineRule="exact"/>
              <w:rPr>
                <w:sz w:val="20"/>
                <w:szCs w:val="20"/>
                <w:color w:val="auto"/>
              </w:rPr>
            </w:pPr>
            <w:r>
              <w:rPr>
                <w:rFonts w:ascii="Arial" w:cs="Arial" w:eastAsia="Arial" w:hAnsi="Arial"/>
                <w:sz w:val="17"/>
                <w:szCs w:val="17"/>
                <w:i w:val="1"/>
                <w:iCs w:val="1"/>
                <w:color w:val="auto"/>
              </w:rPr>
              <w:t>(In millions, except per share</w:t>
            </w:r>
          </w:p>
        </w:tc>
        <w:tc>
          <w:tcPr>
            <w:tcW w:w="460" w:type="dxa"/>
            <w:vAlign w:val="bottom"/>
          </w:tcPr>
          <w:p>
            <w:pPr>
              <w:spacing w:after="0"/>
              <w:rPr>
                <w:sz w:val="13"/>
                <w:szCs w:val="13"/>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data)</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1,632.2</w:t>
            </w:r>
          </w:p>
        </w:tc>
        <w:tc>
          <w:tcPr>
            <w:tcW w:w="12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5,846.3</w:t>
            </w:r>
          </w:p>
        </w:tc>
        <w:tc>
          <w:tcPr>
            <w:tcW w:w="12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2,364.0</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per share - diluted</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180" w:type="dxa"/>
            <w:vAlign w:val="bottom"/>
          </w:tcPr>
          <w:p>
            <w:pPr>
              <w:spacing w:after="0"/>
              <w:rPr>
                <w:sz w:val="20"/>
                <w:szCs w:val="20"/>
                <w:color w:val="auto"/>
              </w:rPr>
            </w:pPr>
          </w:p>
        </w:tc>
        <w:tc>
          <w:tcPr>
            <w:tcW w:w="31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jc w:val="right"/>
              <w:ind w:right="1191"/>
              <w:spacing w:after="0"/>
              <w:rPr>
                <w:sz w:val="20"/>
                <w:szCs w:val="20"/>
                <w:color w:val="auto"/>
              </w:rPr>
            </w:pPr>
            <w:r>
              <w:rPr>
                <w:rFonts w:ascii="Arial" w:cs="Arial" w:eastAsia="Arial" w:hAnsi="Arial"/>
                <w:sz w:val="18"/>
                <w:szCs w:val="18"/>
                <w:b w:val="1"/>
                <w:bCs w:val="1"/>
                <w:color w:val="auto"/>
              </w:rPr>
              <w:t>Disease Area</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c>
          <w:tcPr>
            <w:tcW w:w="160" w:type="dxa"/>
            <w:vAlign w:val="bottom"/>
          </w:tcPr>
          <w:p>
            <w:pPr>
              <w:spacing w:after="0"/>
              <w:rPr>
                <w:sz w:val="20"/>
                <w:szCs w:val="20"/>
                <w:color w:val="auto"/>
              </w:rPr>
            </w:pPr>
          </w:p>
        </w:tc>
      </w:tr>
      <w:tr>
        <w:trPr>
          <w:trHeight w:val="167"/>
        </w:trPr>
        <w:tc>
          <w:tcPr>
            <w:tcW w:w="180" w:type="dxa"/>
            <w:vAlign w:val="bottom"/>
          </w:tcPr>
          <w:p>
            <w:pPr>
              <w:spacing w:after="0"/>
              <w:rPr>
                <w:sz w:val="14"/>
                <w:szCs w:val="14"/>
                <w:color w:val="auto"/>
              </w:rPr>
            </w:pPr>
          </w:p>
        </w:tc>
        <w:tc>
          <w:tcPr>
            <w:tcW w:w="31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EYLEA (aflibercept) Injection</w:t>
            </w:r>
            <w:r>
              <w:rPr>
                <w:rFonts w:ascii="Arial" w:cs="Arial" w:eastAsia="Arial" w:hAnsi="Arial"/>
                <w:sz w:val="19"/>
                <w:szCs w:val="19"/>
                <w:color w:val="auto"/>
                <w:vertAlign w:val="superscript"/>
              </w:rPr>
              <w:t>(1)</w:t>
            </w:r>
          </w:p>
        </w:tc>
        <w:tc>
          <w:tcPr>
            <w:tcW w:w="180" w:type="dxa"/>
            <w:vAlign w:val="bottom"/>
            <w:shd w:val="clear" w:color="auto" w:fill="CCEEFF"/>
          </w:tcPr>
          <w:p>
            <w:pPr>
              <w:ind w:left="60"/>
              <w:spacing w:after="0" w:line="167"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67" w:lineRule="exact"/>
              <w:rPr>
                <w:sz w:val="20"/>
                <w:szCs w:val="20"/>
                <w:color w:val="auto"/>
              </w:rPr>
            </w:pPr>
            <w:r>
              <w:rPr>
                <w:rFonts w:ascii="Arial" w:cs="Arial" w:eastAsia="Arial" w:hAnsi="Arial"/>
                <w:sz w:val="18"/>
                <w:szCs w:val="18"/>
                <w:color w:val="auto"/>
                <w:w w:val="92"/>
              </w:rPr>
              <w:t>Neovascular age-related macular degeneration</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7"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31"/>
              <w:spacing w:after="0" w:line="167"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67"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67"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4"/>
                <w:szCs w:val="14"/>
                <w:color w:val="auto"/>
              </w:rPr>
            </w:pPr>
          </w:p>
        </w:tc>
      </w:tr>
      <w:tr>
        <w:trPr>
          <w:trHeight w:val="226"/>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("wet AMD")</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r>
      <w:tr>
        <w:trPr>
          <w:trHeight w:val="174"/>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3"/>
              </w:rPr>
              <w:t>Macular edema following retinal vein occlusion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5"/>
                <w:szCs w:val="15"/>
                <w:color w:val="auto"/>
              </w:rPr>
            </w:pPr>
          </w:p>
        </w:tc>
      </w:tr>
      <w:tr>
        <w:trPr>
          <w:trHeight w:val="173"/>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("RVO"), which includes macular edema</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following central retinal vein occlusion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2"/>
              </w:rPr>
              <w:t>("CRVO") and macular edema following branch</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226"/>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retinal vein occlusion ("BRVO")</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174"/>
        </w:trPr>
        <w:tc>
          <w:tcPr>
            <w:tcW w:w="180" w:type="dxa"/>
            <w:vAlign w:val="bottom"/>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Myopic choroidal neovascularization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5"/>
                <w:szCs w:val="15"/>
                <w:color w:val="auto"/>
              </w:rPr>
            </w:pPr>
          </w:p>
        </w:tc>
      </w:tr>
      <w:tr>
        <w:trPr>
          <w:trHeight w:val="226"/>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18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18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26"/>
        </w:trPr>
        <w:tc>
          <w:tcPr>
            <w:tcW w:w="180" w:type="dxa"/>
            <w:vAlign w:val="bottom"/>
          </w:tcPr>
          <w:p>
            <w:pPr>
              <w:spacing w:after="0"/>
              <w:rPr>
                <w:sz w:val="19"/>
                <w:szCs w:val="19"/>
                <w:color w:val="auto"/>
              </w:rPr>
            </w:pPr>
          </w:p>
        </w:tc>
        <w:tc>
          <w:tcPr>
            <w:tcW w:w="3120" w:type="dxa"/>
            <w:vAlign w:val="bottom"/>
          </w:tcPr>
          <w:p>
            <w:pPr>
              <w:ind w:left="20"/>
              <w:spacing w:after="0" w:line="225"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3"/>
                <w:szCs w:val="23"/>
                <w:color w:val="auto"/>
                <w:vertAlign w:val="superscript"/>
              </w:rPr>
              <w:t>(2)</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r>
              <w:rPr>
                <w:rFonts w:ascii="Arial" w:cs="Arial" w:eastAsia="Arial" w:hAnsi="Arial"/>
                <w:sz w:val="18"/>
                <w:szCs w:val="18"/>
                <w:color w:val="auto"/>
                <w:w w:val="98"/>
              </w:rPr>
              <w:t>Atopic dermatitis (in adults and adolescents)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w:t>
            </w:r>
          </w:p>
        </w:tc>
      </w:tr>
      <w:tr>
        <w:trPr>
          <w:trHeight w:val="174"/>
        </w:trPr>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80" w:type="dxa"/>
            <w:vAlign w:val="bottom"/>
            <w:gridSpan w:val="2"/>
          </w:tcPr>
          <w:p>
            <w:pPr>
              <w:ind w:left="60"/>
              <w:spacing w:after="0" w:line="175" w:lineRule="exact"/>
              <w:rPr>
                <w:sz w:val="20"/>
                <w:szCs w:val="20"/>
                <w:color w:val="auto"/>
              </w:rPr>
            </w:pPr>
            <w:r>
              <w:rPr>
                <w:rFonts w:ascii="Arial" w:cs="Arial" w:eastAsia="Arial" w:hAnsi="Arial"/>
                <w:sz w:val="18"/>
                <w:szCs w:val="18"/>
                <w:color w:val="auto"/>
                <w:w w:val="98"/>
              </w:rPr>
              <w:t>- Atopic dermatitis (in pediatrics 6–11 years of</w:t>
            </w: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age)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 Asthma (in adults and adolescents)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w:t>
            </w:r>
          </w:p>
        </w:tc>
      </w:tr>
      <w:tr>
        <w:trPr>
          <w:trHeight w:val="227"/>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 Asthma (in pediatrics 6–11 years of age)</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75"/>
        </w:trPr>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8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 Chronic rhinosinusitis with nasal polyposis</w:t>
            </w: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5" w:lineRule="exact"/>
              <w:rPr>
                <w:sz w:val="20"/>
                <w:szCs w:val="20"/>
                <w:color w:val="auto"/>
              </w:rPr>
            </w:pPr>
            <w:r>
              <w:rPr>
                <w:rFonts w:ascii="Arial" w:cs="Arial" w:eastAsia="Arial" w:hAnsi="Arial"/>
                <w:sz w:val="18"/>
                <w:szCs w:val="18"/>
                <w:color w:val="auto"/>
                <w:w w:val="99"/>
              </w:rPr>
              <w:t>a</w:t>
            </w:r>
          </w:p>
        </w:tc>
        <w:tc>
          <w:tcPr>
            <w:tcW w:w="1080" w:type="dxa"/>
            <w:vAlign w:val="bottom"/>
            <w:gridSpan w:val="2"/>
          </w:tcPr>
          <w:p>
            <w:pPr>
              <w:jc w:val="center"/>
              <w:ind w:right="180"/>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1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("CRSwNP")</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706"/>
        </w:trPr>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80" w:type="dxa"/>
            <w:vAlign w:val="bottom"/>
            <w:gridSpan w:val="2"/>
          </w:tcPr>
          <w:p>
            <w:pPr>
              <w:jc w:val="right"/>
              <w:ind w:right="117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r>
      <w:tr>
        <w:trPr>
          <w:trHeight w:val="234"/>
        </w:trPr>
        <w:tc>
          <w:tcPr>
            <w:tcW w:w="31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Disease Area</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r>
      <w:tr>
        <w:trPr>
          <w:trHeight w:val="167"/>
        </w:trPr>
        <w:tc>
          <w:tcPr>
            <w:tcW w:w="31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Libtayo (cemiplimab) Injection</w:t>
            </w:r>
            <w:r>
              <w:rPr>
                <w:rFonts w:ascii="Arial" w:cs="Arial" w:eastAsia="Arial" w:hAnsi="Arial"/>
                <w:sz w:val="19"/>
                <w:szCs w:val="19"/>
                <w:color w:val="auto"/>
                <w:vertAlign w:val="superscript"/>
              </w:rPr>
              <w:t>(2)</w:t>
            </w:r>
          </w:p>
        </w:tc>
        <w:tc>
          <w:tcPr>
            <w:tcW w:w="1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8"/>
              </w:rPr>
              <w:t>Metastatic or locally advanced first-line non-</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40"/>
              <w:spacing w:after="0" w:line="167"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67"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7" w:lineRule="exact"/>
              <w:rPr>
                <w:sz w:val="20"/>
                <w:szCs w:val="20"/>
                <w:color w:val="auto"/>
              </w:rPr>
            </w:pPr>
            <w:r>
              <w:rPr>
                <w:rFonts w:ascii="Arial" w:cs="Arial" w:eastAsia="Arial" w:hAnsi="Arial"/>
                <w:sz w:val="18"/>
                <w:szCs w:val="18"/>
                <w:color w:val="auto"/>
                <w:w w:val="99"/>
              </w:rPr>
              <w:t>a</w:t>
            </w: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 cell lung cancer ("NSCLC")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Metastatic or locally advanced basal cell</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carcinoma ("BCC")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Metastatic or locally advanced cutaneous</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6"/>
                <w:szCs w:val="16"/>
                <w:color w:val="auto"/>
              </w:rPr>
              <w:t>Praluent (alirocumab) Injection</w:t>
            </w:r>
            <w:r>
              <w:rPr>
                <w:rFonts w:ascii="Arial" w:cs="Arial" w:eastAsia="Arial" w:hAnsi="Arial"/>
                <w:sz w:val="20"/>
                <w:szCs w:val="20"/>
                <w:color w:val="auto"/>
                <w:vertAlign w:val="superscript"/>
              </w:rPr>
              <w:t>(3)</w:t>
            </w:r>
          </w:p>
        </w:tc>
        <w:tc>
          <w:tcPr>
            <w:tcW w:w="160" w:type="dxa"/>
            <w:vAlign w:val="bottom"/>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LDL-lowering in heterozygous familial</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hypercholesterolemia ("HeFH") or clinical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atherosclerotic cardiovascular disease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("ASCVD")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tcPr>
          <w:p>
            <w:pPr>
              <w:spacing w:after="0"/>
              <w:rPr>
                <w:sz w:val="15"/>
                <w:szCs w:val="15"/>
                <w:color w:val="auto"/>
              </w:rPr>
            </w:pPr>
          </w:p>
        </w:tc>
        <w:tc>
          <w:tcPr>
            <w:tcW w:w="3780" w:type="dxa"/>
            <w:vAlign w:val="bottom"/>
            <w:gridSpan w:val="3"/>
          </w:tcPr>
          <w:p>
            <w:pPr>
              <w:ind w:left="40"/>
              <w:spacing w:after="0" w:line="175" w:lineRule="exact"/>
              <w:rPr>
                <w:sz w:val="20"/>
                <w:szCs w:val="20"/>
                <w:color w:val="auto"/>
              </w:rPr>
            </w:pPr>
            <w:r>
              <w:rPr>
                <w:rFonts w:ascii="Arial" w:cs="Arial" w:eastAsia="Arial" w:hAnsi="Arial"/>
                <w:sz w:val="18"/>
                <w:szCs w:val="18"/>
                <w:color w:val="auto"/>
              </w:rPr>
              <w:t>- Cardiovascular risk reduction in patients with</w:t>
            </w:r>
          </w:p>
        </w:tc>
        <w:tc>
          <w:tcPr>
            <w:tcW w:w="1000" w:type="dxa"/>
            <w:vAlign w:val="bottom"/>
            <w:gridSpan w:val="2"/>
          </w:tcPr>
          <w:p>
            <w:pPr>
              <w:jc w:val="center"/>
              <w:ind w:right="140"/>
              <w:spacing w:after="0" w:line="175"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established cardiovascular disease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tcPr>
          <w:p>
            <w:pPr>
              <w:spacing w:after="0"/>
              <w:rPr>
                <w:sz w:val="15"/>
                <w:szCs w:val="15"/>
                <w:color w:val="auto"/>
              </w:rPr>
            </w:pPr>
          </w:p>
        </w:tc>
        <w:tc>
          <w:tcPr>
            <w:tcW w:w="3780" w:type="dxa"/>
            <w:vAlign w:val="bottom"/>
            <w:gridSpan w:val="3"/>
          </w:tcPr>
          <w:p>
            <w:pPr>
              <w:ind w:left="40"/>
              <w:spacing w:after="0" w:line="175" w:lineRule="exact"/>
              <w:rPr>
                <w:sz w:val="20"/>
                <w:szCs w:val="20"/>
                <w:color w:val="auto"/>
              </w:rPr>
            </w:pPr>
            <w:r>
              <w:rPr>
                <w:rFonts w:ascii="Arial" w:cs="Arial" w:eastAsia="Arial" w:hAnsi="Arial"/>
                <w:sz w:val="18"/>
                <w:szCs w:val="18"/>
                <w:color w:val="auto"/>
              </w:rPr>
              <w:t>- Homozygous familial hypercholesterolemia</w:t>
            </w:r>
          </w:p>
        </w:tc>
        <w:tc>
          <w:tcPr>
            <w:tcW w:w="1000" w:type="dxa"/>
            <w:vAlign w:val="bottom"/>
            <w:gridSpan w:val="2"/>
          </w:tcPr>
          <w:p>
            <w:pPr>
              <w:jc w:val="center"/>
              <w:ind w:right="140"/>
              <w:spacing w:after="0" w:line="175"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(5)</w:t>
            </w:r>
          </w:p>
        </w:tc>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COVID-19</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8"/>
                <w:szCs w:val="18"/>
                <w:color w:val="auto"/>
              </w:rPr>
              <w:t>Kevzara (sarilumab) Solution for</w:t>
            </w:r>
          </w:p>
        </w:tc>
        <w:tc>
          <w:tcPr>
            <w:tcW w:w="3780" w:type="dxa"/>
            <w:vAlign w:val="bottom"/>
            <w:gridSpan w:val="3"/>
          </w:tcPr>
          <w:p>
            <w:pPr>
              <w:ind w:left="40"/>
              <w:spacing w:after="0" w:line="174" w:lineRule="exact"/>
              <w:rPr>
                <w:sz w:val="20"/>
                <w:szCs w:val="20"/>
                <w:color w:val="auto"/>
              </w:rPr>
            </w:pPr>
            <w:r>
              <w:rPr>
                <w:rFonts w:ascii="Arial" w:cs="Arial" w:eastAsia="Arial" w:hAnsi="Arial"/>
                <w:sz w:val="18"/>
                <w:szCs w:val="18"/>
                <w:color w:val="auto"/>
              </w:rPr>
              <w:t>- Rheumatoid arthritis ("RA")</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7"/>
        </w:trPr>
        <w:tc>
          <w:tcPr>
            <w:tcW w:w="3140" w:type="dxa"/>
            <w:vAlign w:val="bottom"/>
          </w:tcPr>
          <w:p>
            <w:pPr>
              <w:ind w:left="20"/>
              <w:spacing w:after="0" w:line="226"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Evkeeza (evinacumab) Injection</w:t>
            </w:r>
          </w:p>
        </w:tc>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HoFH (in adults and adolescents)</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8"/>
                <w:szCs w:val="18"/>
                <w:color w:val="auto"/>
              </w:rPr>
              <w:t>Inmazeb (atoltivimab, maftivimab, and</w:t>
            </w:r>
          </w:p>
        </w:tc>
        <w:tc>
          <w:tcPr>
            <w:tcW w:w="3780" w:type="dxa"/>
            <w:vAlign w:val="bottom"/>
            <w:gridSpan w:val="3"/>
          </w:tcPr>
          <w:p>
            <w:pPr>
              <w:ind w:left="40"/>
              <w:spacing w:after="0" w:line="174" w:lineRule="exact"/>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7"/>
        </w:trPr>
        <w:tc>
          <w:tcPr>
            <w:tcW w:w="3140" w:type="dxa"/>
            <w:vAlign w:val="bottom"/>
          </w:tcPr>
          <w:p>
            <w:pPr>
              <w:ind w:left="20"/>
              <w:spacing w:after="0"/>
              <w:rPr>
                <w:sz w:val="20"/>
                <w:szCs w:val="20"/>
                <w:color w:val="auto"/>
              </w:rPr>
            </w:pPr>
            <w:r>
              <w:rPr>
                <w:rFonts w:ascii="Arial" w:cs="Arial" w:eastAsia="Arial" w:hAnsi="Arial"/>
                <w:sz w:val="18"/>
                <w:szCs w:val="18"/>
                <w:color w:val="auto"/>
              </w:rPr>
              <w:t>odesivimab-ebgn) Injection</w:t>
            </w: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ARCALYST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(rilonacept) Injection for</w:t>
            </w:r>
          </w:p>
        </w:tc>
        <w:tc>
          <w:tcPr>
            <w:tcW w:w="3780" w:type="dxa"/>
            <w:vAlign w:val="bottom"/>
            <w:gridSpan w:val="3"/>
            <w:shd w:val="clear" w:color="auto" w:fill="CCEEFF"/>
          </w:tcPr>
          <w:p>
            <w:pPr>
              <w:ind w:left="40"/>
              <w:spacing w:after="0" w:line="174" w:lineRule="exact"/>
              <w:rPr>
                <w:sz w:val="20"/>
                <w:szCs w:val="20"/>
                <w:color w:val="auto"/>
              </w:rPr>
            </w:pPr>
            <w:r>
              <w:rPr>
                <w:rFonts w:ascii="Arial" w:cs="Arial" w:eastAsia="Arial" w:hAnsi="Arial"/>
                <w:sz w:val="18"/>
                <w:szCs w:val="18"/>
                <w:color w:val="auto"/>
              </w:rPr>
              <w:t>- Cryopyrin-associated periodic syndromes</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Subcutaneous Use</w:t>
            </w:r>
            <w:r>
              <w:rPr>
                <w:rFonts w:ascii="Arial" w:cs="Arial" w:eastAsia="Arial" w:hAnsi="Arial"/>
                <w:sz w:val="20"/>
                <w:szCs w:val="20"/>
                <w:color w:val="auto"/>
                <w:vertAlign w:val="superscript"/>
              </w:rPr>
              <w:t>(6)</w:t>
            </w: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("CAPS"), including familial cold auto-</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inflammatory syndrome ("FCAS") and Muckle-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Wells syndrome ("MWS") (in adults and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Deficiency of interleukin-1 receptor antagonist</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("DIRA") (in adults and pediatrics)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Recurrent pericarditis (in adults and</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6"/>
                <w:szCs w:val="16"/>
                <w:color w:val="auto"/>
              </w:rPr>
              <w:t>ZALTRAP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(ziv-aflibercept) Injection for</w:t>
            </w:r>
          </w:p>
        </w:tc>
        <w:tc>
          <w:tcPr>
            <w:tcW w:w="160" w:type="dxa"/>
            <w:vAlign w:val="bottom"/>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Metastatic colorectal cancer ("mCRC")</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309"/>
        </w:trPr>
        <w:tc>
          <w:tcPr>
            <w:tcW w:w="3140" w:type="dxa"/>
            <w:vAlign w:val="bottom"/>
          </w:tcPr>
          <w:p>
            <w:pPr>
              <w:ind w:left="20"/>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(7)</w:t>
            </w: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5" w:lineRule="exact"/>
        <w:rPr>
          <w:sz w:val="20"/>
          <w:szCs w:val="20"/>
          <w:color w:val="auto"/>
        </w:rPr>
      </w:pPr>
    </w:p>
    <w:p>
      <w:pPr>
        <w:ind w:left="400" w:right="240"/>
        <w:spacing w:after="0" w:line="237" w:lineRule="auto"/>
        <w:rPr>
          <w:sz w:val="20"/>
          <w:szCs w:val="20"/>
          <w:color w:val="auto"/>
        </w:rPr>
      </w:pPr>
      <w:r>
        <w:rPr>
          <w:rFonts w:ascii="Arial" w:cs="Arial" w:eastAsia="Arial" w:hAnsi="Arial"/>
          <w:sz w:val="16"/>
          <w:szCs w:val="16"/>
          <w:color w:val="auto"/>
        </w:rPr>
        <w:t>Note 1: Refer to "Net Product Sales of Regeneron-Discovered Products" section below for information regarding whether net product sales for a particular product are recorded by us or others.</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Note 2: Product is approved for use in adults, unless otherwise noted, in the disease area described above</w:t>
      </w:r>
    </w:p>
    <w:p>
      <w:pPr>
        <w:spacing w:after="0" w:line="16" w:lineRule="exact"/>
        <w:rPr>
          <w:sz w:val="20"/>
          <w:szCs w:val="20"/>
          <w:color w:val="auto"/>
        </w:rPr>
      </w:pPr>
    </w:p>
    <w:p>
      <w:pPr>
        <w:ind w:left="560" w:hanging="155"/>
        <w:spacing w:after="0"/>
        <w:tabs>
          <w:tab w:leader="none" w:pos="56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In collaboration with Bayer outside the United States</w:t>
      </w:r>
    </w:p>
    <w:p>
      <w:pPr>
        <w:spacing w:after="0" w:line="22" w:lineRule="exact"/>
        <w:rPr>
          <w:rFonts w:ascii="Arial" w:cs="Arial" w:eastAsia="Arial" w:hAnsi="Arial"/>
          <w:sz w:val="19"/>
          <w:szCs w:val="19"/>
          <w:color w:val="auto"/>
          <w:vertAlign w:val="superscript"/>
        </w:rPr>
      </w:pPr>
    </w:p>
    <w:p>
      <w:pPr>
        <w:ind w:left="580" w:hanging="175"/>
        <w:spacing w:after="0" w:line="189" w:lineRule="auto"/>
        <w:tabs>
          <w:tab w:leader="none" w:pos="5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 collaboration with Sanofi</w:t>
      </w:r>
    </w:p>
    <w:p>
      <w:pPr>
        <w:spacing w:after="0" w:line="23" w:lineRule="exact"/>
        <w:rPr>
          <w:rFonts w:ascii="Arial" w:cs="Arial" w:eastAsia="Arial" w:hAnsi="Arial"/>
          <w:sz w:val="21"/>
          <w:szCs w:val="21"/>
          <w:color w:val="auto"/>
          <w:vertAlign w:val="superscript"/>
        </w:rPr>
      </w:pPr>
    </w:p>
    <w:p>
      <w:pPr>
        <w:jc w:val="both"/>
        <w:ind w:left="400" w:right="80" w:firstLine="5"/>
        <w:spacing w:after="0" w:line="222" w:lineRule="auto"/>
        <w:tabs>
          <w:tab w:leader="none" w:pos="574"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Pursuant to a 2020 agreement, the Company is solely responsible for the development and commercialization of Praluent in the United States, and Sanofi is solely responsible for the development and commercialization of Praluent outside of the United States (and Sanofi pays us a royalty on net product sales of Praluent outside the United States).</w:t>
      </w:r>
    </w:p>
    <w:p>
      <w:pPr>
        <w:spacing w:after="0" w:line="9" w:lineRule="exact"/>
        <w:rPr>
          <w:rFonts w:ascii="Arial" w:cs="Arial" w:eastAsia="Arial" w:hAnsi="Arial"/>
          <w:sz w:val="20"/>
          <w:szCs w:val="20"/>
          <w:color w:val="auto"/>
          <w:vertAlign w:val="superscript"/>
        </w:rPr>
      </w:pPr>
    </w:p>
    <w:p>
      <w:pPr>
        <w:ind w:left="400" w:right="120" w:firstLine="5"/>
        <w:spacing w:after="0" w:line="223" w:lineRule="auto"/>
        <w:tabs>
          <w:tab w:leader="none" w:pos="574"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Rest of world. Checkmark in this column indicates that the product has received marketing approval in at least one country outside of the United States, European Union ("EU"), or Japan.</w:t>
      </w:r>
    </w:p>
    <w:p>
      <w:pPr>
        <w:spacing w:after="0" w:line="1" w:lineRule="exact"/>
        <w:rPr>
          <w:rFonts w:ascii="Arial" w:cs="Arial" w:eastAsia="Arial" w:hAnsi="Arial"/>
          <w:sz w:val="20"/>
          <w:szCs w:val="20"/>
          <w:color w:val="auto"/>
          <w:vertAlign w:val="superscript"/>
        </w:rPr>
      </w:pPr>
    </w:p>
    <w:p>
      <w:pPr>
        <w:ind w:left="580" w:hanging="175"/>
        <w:spacing w:after="0" w:line="212" w:lineRule="auto"/>
        <w:tabs>
          <w:tab w:leader="none" w:pos="5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Known as REGEN-COV in the United States and Ronapreve in other countries</w:t>
      </w:r>
    </w:p>
    <w:p>
      <w:pPr>
        <w:spacing w:after="0" w:line="36" w:lineRule="exact"/>
        <w:rPr>
          <w:rFonts w:ascii="Arial" w:cs="Arial" w:eastAsia="Arial" w:hAnsi="Arial"/>
          <w:sz w:val="21"/>
          <w:szCs w:val="21"/>
          <w:color w:val="auto"/>
          <w:vertAlign w:val="superscript"/>
        </w:rPr>
      </w:pPr>
    </w:p>
    <w:p>
      <w:pPr>
        <w:ind w:left="400" w:right="160" w:firstLine="5"/>
        <w:spacing w:after="0" w:line="212" w:lineRule="auto"/>
        <w:tabs>
          <w:tab w:leader="none" w:pos="579"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Pursuant to a 2017 license agreement with Kiniksa Pharmaceuticals, Ltd., we granted Kiniksa the right to develop and commercialize certain new indications for ARCALYST. In March 2021, Kiniksa received marketing approval for its first new indication of ARCALYST in the United States; consequently we granted U.S. commercial rights to ARCALYST for all previously approved indications and Kiniksa pays us a share of ARCALYST profits. Refer to "Collaboration, License, and Other Agreements - Kiniksa" section below for further details.</w:t>
      </w:r>
    </w:p>
    <w:p>
      <w:pPr>
        <w:ind w:left="580" w:hanging="175"/>
        <w:spacing w:after="0" w:line="181" w:lineRule="auto"/>
        <w:tabs>
          <w:tab w:leader="none" w:pos="5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Sanofi is solely responsible for the development and commercialization of ZALTRAP, and Sanofi pays us a percentage of aggregate net product sales of</w:t>
      </w:r>
    </w:p>
    <w:p>
      <w:pPr>
        <w:ind w:left="400"/>
        <w:spacing w:after="0"/>
        <w:rPr>
          <w:rFonts w:ascii="Arial" w:cs="Arial" w:eastAsia="Arial" w:hAnsi="Arial"/>
          <w:sz w:val="21"/>
          <w:szCs w:val="21"/>
          <w:color w:val="auto"/>
          <w:vertAlign w:val="superscript"/>
        </w:rPr>
      </w:pPr>
      <w:r>
        <w:rPr>
          <w:rFonts w:ascii="Arial" w:cs="Arial" w:eastAsia="Arial" w:hAnsi="Arial"/>
          <w:sz w:val="16"/>
          <w:szCs w:val="16"/>
          <w:color w:val="auto"/>
        </w:rPr>
        <w:t>ZALTRAP.</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370" w:right="49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 Emergency and Temporary Use Authorizations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antibody cocktail casirivimab and imdevimab administered together, known as REGEN-COV in the United States, received Emergency Use Authorization ("EUA") from the U.S. Food and Drug Administration ("FDA") for the treatment of mild to moderate COVID-19 in adults, as well as in pediatric patients at least 12 years of age and weighing at least 40 kg, who have received positive results of direct SARS-CoV-2 viral testing and are at high risk for progressing to severe COVID-19 and/or hospitalization.</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2021, the FDA updated the EUA for REGEN-COV, lowering the dose to 1,200 mg (which is half the dose originally authorized) and allowing for subcutaneous injections as an alternative when intravenous ("IV") infusion is not feasible and would lead to a delay in treatment. In July 2021, the FDA also expanded the EUA to include post-exposure prophylaxis in people at high risk for progression to severe COVID-19, who are not fully vaccinated or are not expected to mount an adequate response to vaccination, and who have been exposed to a SARS-CoV-2 infected individual or are at high risk of exposure to an infected individual because of infection occurring in the same institutional setting (such as in nursing homes or prisons). For people who are not expected to mount an adequate immune response to vaccination, REGEN-COV can also now be administered monthly for the duration of ongoing exposure to SARS-CoV-2.</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 See information regarding ongoing clinical trials of REGEN-COV in the "Programs in Clinical Development" section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the United States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the European Medicines Agency's ("EMA") Committee for Medicinal Products for Human Use ("CHMP") issued a positive opinion, recommending that the casirivimab and imdevimab antibody cocktail be used to treat COVID-19 patients who do not require supplemental oxygen and are at high risk of progressing to severe COVID-19. The CHMP's positive opinion can be used by EU member states when making decisions on the possible use of the antibody cocktail at a national level prior to a market authorization.</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August 2021, the United Kingdom's ("UK") Medicines and Healthcare products Regulatory Agency ("MHRA") granted Conditional Marketing Authorization for the casirivimab and imdevimab antibody cocktail in England, Scotland, and Wales to prevent and treat acute COVID-19 infection. In addition, the MHRA authorized emergency supply of the antibody cocktail to prevent and treat acute COVID-19 infection in Northern Ireland.</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Emergency or temporary pandemic use authorizations are also currently in place in certain other countries outside the United States, including within the European Union, India, Switzerland, and Canada.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5"/>
              </w:rPr>
              <w:t>Net Product Sales of Regeneron-Discovered Products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3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7"/>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(Total Sales)</w:t>
            </w:r>
          </w:p>
        </w:tc>
      </w:tr>
      <w:tr>
        <w:trPr>
          <w:trHeight w:val="220"/>
        </w:trPr>
        <w:tc>
          <w:tcPr>
            <w:tcW w:w="250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440"/>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Nine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7"/>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(Total Sales)</w:t>
            </w:r>
          </w:p>
        </w:tc>
      </w:tr>
      <w:tr>
        <w:trPr>
          <w:trHeight w:val="220"/>
        </w:trPr>
        <w:tc>
          <w:tcPr>
            <w:tcW w:w="250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3,364.8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4,424.8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2,300.6</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97" w:lineRule="exact"/>
        <w:rPr>
          <w:sz w:val="20"/>
          <w:szCs w:val="20"/>
          <w:color w:val="auto"/>
        </w:rPr>
      </w:pPr>
    </w:p>
    <w:p>
      <w:pPr>
        <w:ind w:left="240" w:right="320" w:hanging="2"/>
        <w:spacing w:after="0" w:line="223" w:lineRule="auto"/>
        <w:tabs>
          <w:tab w:leader="none" w:pos="408"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10" w:lineRule="exact"/>
        <w:rPr>
          <w:rFonts w:ascii="Arial" w:cs="Arial" w:eastAsia="Arial" w:hAnsi="Arial"/>
          <w:sz w:val="20"/>
          <w:szCs w:val="20"/>
          <w:color w:val="auto"/>
          <w:vertAlign w:val="superscript"/>
        </w:rPr>
      </w:pPr>
    </w:p>
    <w:p>
      <w:pPr>
        <w:ind w:left="240" w:right="560" w:hanging="2"/>
        <w:spacing w:after="0" w:line="211" w:lineRule="auto"/>
        <w:tabs>
          <w:tab w:leader="none" w:pos="41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9" w:lineRule="exact"/>
        <w:rPr>
          <w:rFonts w:ascii="Arial" w:cs="Arial" w:eastAsia="Arial" w:hAnsi="Arial"/>
          <w:sz w:val="21"/>
          <w:szCs w:val="21"/>
          <w:color w:val="auto"/>
          <w:vertAlign w:val="superscript"/>
        </w:rPr>
      </w:pPr>
    </w:p>
    <w:p>
      <w:pPr>
        <w:ind w:left="240" w:right="120" w:hanging="2"/>
        <w:spacing w:after="0" w:line="211" w:lineRule="auto"/>
        <w:tabs>
          <w:tab w:leader="none" w:pos="408"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22" w:lineRule="exact"/>
        <w:rPr>
          <w:rFonts w:ascii="Arial" w:cs="Arial" w:eastAsia="Arial" w:hAnsi="Arial"/>
          <w:sz w:val="21"/>
          <w:szCs w:val="21"/>
          <w:color w:val="auto"/>
          <w:vertAlign w:val="superscript"/>
        </w:rPr>
      </w:pPr>
    </w:p>
    <w:p>
      <w:pPr>
        <w:ind w:left="240" w:right="140" w:hanging="2"/>
        <w:spacing w:after="0" w:line="228" w:lineRule="auto"/>
        <w:tabs>
          <w:tab w:leader="none" w:pos="419"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"Collaboration, License, and Other Agreements - Sanofi" section below for further details.</w:t>
      </w:r>
    </w:p>
    <w:p>
      <w:pPr>
        <w:spacing w:after="0" w:line="9" w:lineRule="exact"/>
        <w:rPr>
          <w:rFonts w:ascii="Arial" w:cs="Arial" w:eastAsia="Arial" w:hAnsi="Arial"/>
          <w:sz w:val="20"/>
          <w:szCs w:val="20"/>
          <w:color w:val="auto"/>
          <w:vertAlign w:val="superscript"/>
        </w:rPr>
      </w:pPr>
    </w:p>
    <w:p>
      <w:pPr>
        <w:ind w:left="240" w:right="360" w:hanging="2"/>
        <w:spacing w:after="0" w:line="223" w:lineRule="auto"/>
        <w:tabs>
          <w:tab w:leader="none" w:pos="408"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Refer to "Agreements Related to COVID-19" below for further details.</w:t>
      </w:r>
    </w:p>
    <w:p>
      <w:pPr>
        <w:spacing w:after="0" w:line="1" w:lineRule="exact"/>
        <w:rPr>
          <w:rFonts w:ascii="Arial" w:cs="Arial" w:eastAsia="Arial" w:hAnsi="Arial"/>
          <w:sz w:val="20"/>
          <w:szCs w:val="20"/>
          <w:color w:val="auto"/>
          <w:vertAlign w:val="superscript"/>
        </w:rPr>
      </w:pPr>
    </w:p>
    <w:p>
      <w:pPr>
        <w:ind w:left="400" w:hanging="162"/>
        <w:spacing w:after="0" w:line="193" w:lineRule="auto"/>
        <w:tabs>
          <w:tab w:leader="none" w:pos="40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ind w:left="240" w:right="80" w:hanging="2"/>
        <w:spacing w:after="0" w:line="209" w:lineRule="auto"/>
        <w:tabs>
          <w:tab w:leader="none" w:pos="41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us a share of ARCALYST profits, if any. Prior to April 1, 2021, Regeneron recorded net product sales of ARCALYST in the United States. Refer to "Products" section above and "Collaboration, License, and Other Agreements - Kiniksa" section below for further details.</w:t>
      </w:r>
    </w:p>
    <w:p>
      <w:pPr>
        <w:ind w:left="420" w:hanging="182"/>
        <w:spacing w:after="0" w:line="202" w:lineRule="auto"/>
        <w:tabs>
          <w:tab w:leader="none" w:pos="42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in Clinical Development</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Product candidates in clinical development, which are being developed by us and/or our collaborators, are summarized in the table below. 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platforms. We continue to invest in the development of enabling technologies to assist in our efforts to identify, develop, manufacture, and commercialize new product candidates.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our collaborators conduct clinical trials in multiple countries across the world. The COVID-19 pandemic and the restrictions adopted around the globe to reduce the spread of the disease have impacted and may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1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Refer to Part II,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Clinical Program</w:t>
            </w:r>
          </w:p>
        </w:tc>
        <w:tc>
          <w:tcPr>
            <w:tcW w:w="80" w:type="dxa"/>
            <w:vAlign w:val="bottom"/>
            <w:vMerge w:val="restart"/>
          </w:tcPr>
          <w:p>
            <w:pPr>
              <w:spacing w:after="0"/>
              <w:rPr>
                <w:sz w:val="17"/>
                <w:szCs w:val="17"/>
                <w:color w:val="auto"/>
              </w:rPr>
            </w:pPr>
          </w:p>
        </w:tc>
        <w:tc>
          <w:tcPr>
            <w:tcW w:w="11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80" w:type="dxa"/>
            <w:vAlign w:val="bottom"/>
            <w:vMerge w:val="restart"/>
          </w:tcPr>
          <w:p>
            <w:pPr>
              <w:spacing w:after="0"/>
              <w:rPr>
                <w:sz w:val="17"/>
                <w:szCs w:val="17"/>
                <w:color w:val="auto"/>
              </w:rPr>
            </w:pPr>
          </w:p>
        </w:tc>
        <w:tc>
          <w:tcPr>
            <w:tcW w:w="14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Regulatory</w:t>
            </w:r>
          </w:p>
        </w:tc>
        <w:tc>
          <w:tcPr>
            <w:tcW w:w="0" w:type="dxa"/>
            <w:vAlign w:val="bottom"/>
          </w:tcPr>
          <w:p>
            <w:pPr>
              <w:spacing w:after="0"/>
              <w:rPr>
                <w:sz w:val="1"/>
                <w:szCs w:val="1"/>
                <w:color w:val="auto"/>
              </w:rPr>
            </w:pPr>
          </w:p>
        </w:tc>
      </w:tr>
      <w:tr>
        <w:trPr>
          <w:trHeight w:val="227"/>
        </w:trPr>
        <w:tc>
          <w:tcPr>
            <w:tcW w:w="17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0" w:type="dxa"/>
            <w:vAlign w:val="bottom"/>
          </w:tcPr>
          <w:p>
            <w:pPr>
              <w:spacing w:after="0"/>
              <w:rPr>
                <w:sz w:val="1"/>
                <w:szCs w:val="1"/>
                <w:color w:val="auto"/>
              </w:rPr>
            </w:pPr>
          </w:p>
        </w:tc>
      </w:tr>
      <w:tr>
        <w:trPr>
          <w:trHeight w:val="29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ind w:left="400"/>
              <w:spacing w:after="0"/>
              <w:rPr>
                <w:sz w:val="20"/>
                <w:szCs w:val="20"/>
                <w:color w:val="auto"/>
              </w:rPr>
            </w:pPr>
            <w:r>
              <w:rPr>
                <w:rFonts w:ascii="Arial" w:cs="Arial" w:eastAsia="Arial" w:hAnsi="Arial"/>
                <w:sz w:val="18"/>
                <w:szCs w:val="18"/>
                <w:b w:val="1"/>
                <w:bCs w:val="1"/>
                <w:color w:val="auto"/>
                <w:w w:val="87"/>
              </w:rPr>
              <w:t>Ophthalmology</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EYLEA (aflibercept)</w:t>
            </w:r>
            <w:r>
              <w:rPr>
                <w:rFonts w:ascii="Arial" w:cs="Arial" w:eastAsia="Arial" w:hAnsi="Arial"/>
                <w:sz w:val="23"/>
                <w:szCs w:val="23"/>
                <w:b w:val="1"/>
                <w:bCs w:val="1"/>
                <w:color w:val="auto"/>
                <w:w w:val="92"/>
                <w:vertAlign w:val="superscript"/>
              </w:rPr>
              <w:t>(b)</w:t>
            </w: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–High-dose</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–Retinopathy of</w:t>
            </w:r>
          </w:p>
        </w:tc>
        <w:tc>
          <w:tcPr>
            <w:tcW w:w="1200" w:type="dxa"/>
            <w:vAlign w:val="bottom"/>
          </w:tcPr>
          <w:p>
            <w:pPr>
              <w:spacing w:after="0"/>
              <w:rPr>
                <w:sz w:val="20"/>
                <w:szCs w:val="20"/>
                <w:color w:val="auto"/>
              </w:rPr>
            </w:pPr>
            <w:r>
              <w:rPr>
                <w:rFonts w:ascii="Arial" w:cs="Arial" w:eastAsia="Arial" w:hAnsi="Arial"/>
                <w:sz w:val="18"/>
                <w:szCs w:val="18"/>
                <w:color w:val="auto"/>
              </w:rPr>
              <w:t>–ROP (Japan)</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formulation in wet</w:t>
            </w:r>
          </w:p>
        </w:tc>
        <w:tc>
          <w:tcPr>
            <w:tcW w:w="158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prematurity</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AMD</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("ROP")</w:t>
            </w:r>
            <w:r>
              <w:rPr>
                <w:rFonts w:ascii="Arial" w:cs="Arial" w:eastAsia="Arial" w:hAnsi="Arial"/>
                <w:sz w:val="23"/>
                <w:szCs w:val="23"/>
                <w:color w:val="auto"/>
                <w:vertAlign w:val="superscript"/>
              </w:rPr>
              <w:t>(c)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–High-dose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formulation in wet</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AMD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–High-dose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formulation in</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DME</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-1532890</wp:posOffset>
            </wp:positionV>
            <wp:extent cx="7134225" cy="3778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3778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2021 Events to Date</w:t>
            </w:r>
          </w:p>
        </w:tc>
        <w:tc>
          <w:tcPr>
            <w:tcW w:w="80" w:type="dxa"/>
            <w:vAlign w:val="bottom"/>
            <w:vMerge w:val="restart"/>
          </w:tcPr>
          <w:p>
            <w:pPr>
              <w:spacing w:after="0"/>
              <w:rPr>
                <w:sz w:val="17"/>
                <w:szCs w:val="17"/>
                <w:color w:val="auto"/>
              </w:rPr>
            </w:pP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20" w:type="dxa"/>
            <w:vAlign w:val="bottom"/>
            <w:tcBorders>
              <w:bottom w:val="single" w:sz="8" w:color="auto"/>
            </w:tcBorders>
          </w:tcPr>
          <w:p>
            <w:pPr>
              <w:ind w:left="44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567"/>
        </w:trPr>
        <w:tc>
          <w:tcPr>
            <w:tcW w:w="1920" w:type="dxa"/>
            <w:vAlign w:val="bottom"/>
            <w:gridSpan w:val="2"/>
          </w:tcPr>
          <w:p>
            <w:pPr>
              <w:spacing w:after="0"/>
              <w:rPr>
                <w:sz w:val="20"/>
                <w:szCs w:val="20"/>
                <w:color w:val="auto"/>
              </w:rPr>
            </w:pPr>
            <w:r>
              <w:rPr>
                <w:rFonts w:ascii="Arial" w:cs="Arial" w:eastAsia="Arial" w:hAnsi="Arial"/>
                <w:sz w:val="18"/>
                <w:szCs w:val="18"/>
                <w:color w:val="auto"/>
              </w:rPr>
              <w:t>–Initial results from</w:t>
            </w:r>
          </w:p>
        </w:tc>
        <w:tc>
          <w:tcPr>
            <w:tcW w:w="1820" w:type="dxa"/>
            <w:vAlign w:val="bottom"/>
          </w:tcPr>
          <w:p>
            <w:pPr>
              <w:ind w:left="20"/>
              <w:spacing w:after="0"/>
              <w:rPr>
                <w:sz w:val="20"/>
                <w:szCs w:val="20"/>
                <w:color w:val="auto"/>
              </w:rPr>
            </w:pPr>
            <w:r>
              <w:rPr>
                <w:rFonts w:ascii="Arial" w:cs="Arial" w:eastAsia="Arial" w:hAnsi="Arial"/>
                <w:sz w:val="18"/>
                <w:szCs w:val="18"/>
                <w:color w:val="auto"/>
                <w:w w:val="99"/>
              </w:rPr>
              <w:t>–Submit supplemental</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National Institutes of</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BLA ("sBLA") for</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Health ("NIH")-</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w w:val="96"/>
              </w:rPr>
              <w:t>every-16-weeks dosing</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sponsored Protocol W</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w w:val="94"/>
              </w:rPr>
              <w:t>regimen in patients with</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trial in non-proliferative</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NPDR (first half 2022)</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diabetic retinopathy</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("NPDR") were</w:t>
            </w: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–Report results from</w:t>
            </w:r>
          </w:p>
        </w:tc>
        <w:tc>
          <w:tcPr>
            <w:tcW w:w="0" w:type="dxa"/>
            <w:vAlign w:val="bottom"/>
          </w:tcPr>
          <w:p>
            <w:pPr>
              <w:spacing w:after="0"/>
              <w:rPr>
                <w:sz w:val="1"/>
                <w:szCs w:val="1"/>
                <w:color w:val="auto"/>
              </w:rPr>
            </w:pPr>
          </w:p>
        </w:tc>
      </w:tr>
      <w:tr>
        <w:trPr>
          <w:trHeight w:val="67"/>
        </w:trPr>
        <w:tc>
          <w:tcPr>
            <w:tcW w:w="1920" w:type="dxa"/>
            <w:vAlign w:val="bottom"/>
            <w:gridSpan w:val="2"/>
            <w:vMerge w:val="restart"/>
          </w:tcPr>
          <w:p>
            <w:pPr>
              <w:spacing w:after="0" w:line="174" w:lineRule="exact"/>
              <w:rPr>
                <w:sz w:val="20"/>
                <w:szCs w:val="20"/>
                <w:color w:val="auto"/>
              </w:rPr>
            </w:pPr>
            <w:r>
              <w:rPr>
                <w:rFonts w:ascii="Arial" w:cs="Arial" w:eastAsia="Arial" w:hAnsi="Arial"/>
                <w:sz w:val="18"/>
                <w:szCs w:val="18"/>
                <w:color w:val="auto"/>
              </w:rPr>
              <w:t>announced; data</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920" w:type="dxa"/>
            <w:vAlign w:val="bottom"/>
            <w:gridSpan w:val="2"/>
            <w:vMerge w:val="continue"/>
          </w:tcPr>
          <w:p>
            <w:pPr>
              <w:spacing w:after="0"/>
              <w:rPr>
                <w:sz w:val="9"/>
                <w:szCs w:val="9"/>
                <w:color w:val="auto"/>
              </w:rPr>
            </w:pPr>
          </w:p>
        </w:tc>
        <w:tc>
          <w:tcPr>
            <w:tcW w:w="1820" w:type="dxa"/>
            <w:vAlign w:val="bottom"/>
            <w:vMerge w:val="restart"/>
          </w:tcPr>
          <w:p>
            <w:pPr>
              <w:ind w:left="20"/>
              <w:spacing w:after="0" w:line="174" w:lineRule="exact"/>
              <w:rPr>
                <w:sz w:val="20"/>
                <w:szCs w:val="20"/>
                <w:color w:val="auto"/>
              </w:rPr>
            </w:pPr>
            <w:r>
              <w:rPr>
                <w:rFonts w:ascii="Arial" w:cs="Arial" w:eastAsia="Arial" w:hAnsi="Arial"/>
                <w:sz w:val="18"/>
                <w:szCs w:val="18"/>
                <w:color w:val="auto"/>
                <w:w w:val="89"/>
              </w:rPr>
              <w:t>Phase 3 studies for high-</w:t>
            </w:r>
          </w:p>
        </w:tc>
        <w:tc>
          <w:tcPr>
            <w:tcW w:w="0" w:type="dxa"/>
            <w:vAlign w:val="bottom"/>
          </w:tcPr>
          <w:p>
            <w:pPr>
              <w:spacing w:after="0"/>
              <w:rPr>
                <w:sz w:val="1"/>
                <w:szCs w:val="1"/>
                <w:color w:val="auto"/>
              </w:rPr>
            </w:pPr>
          </w:p>
        </w:tc>
      </w:tr>
      <w:tr>
        <w:trPr>
          <w:trHeight w:val="67"/>
        </w:trPr>
        <w:tc>
          <w:tcPr>
            <w:tcW w:w="1920" w:type="dxa"/>
            <w:vAlign w:val="bottom"/>
            <w:gridSpan w:val="2"/>
            <w:vMerge w:val="restart"/>
          </w:tcPr>
          <w:p>
            <w:pPr>
              <w:spacing w:after="0" w:line="174" w:lineRule="exact"/>
              <w:rPr>
                <w:sz w:val="20"/>
                <w:szCs w:val="20"/>
                <w:color w:val="auto"/>
              </w:rPr>
            </w:pPr>
            <w:r>
              <w:rPr>
                <w:rFonts w:ascii="Arial" w:cs="Arial" w:eastAsia="Arial" w:hAnsi="Arial"/>
                <w:sz w:val="18"/>
                <w:szCs w:val="18"/>
                <w:color w:val="auto"/>
              </w:rPr>
              <w:t>confirmed results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920" w:type="dxa"/>
            <w:vAlign w:val="bottom"/>
            <w:gridSpan w:val="2"/>
            <w:vMerge w:val="continue"/>
          </w:tcPr>
          <w:p>
            <w:pPr>
              <w:spacing w:after="0"/>
              <w:rPr>
                <w:sz w:val="9"/>
                <w:szCs w:val="9"/>
                <w:color w:val="auto"/>
              </w:rPr>
            </w:pPr>
          </w:p>
        </w:tc>
        <w:tc>
          <w:tcPr>
            <w:tcW w:w="1820" w:type="dxa"/>
            <w:vAlign w:val="bottom"/>
            <w:vMerge w:val="restart"/>
          </w:tcPr>
          <w:p>
            <w:pPr>
              <w:ind w:left="20"/>
              <w:spacing w:after="0" w:line="174" w:lineRule="exact"/>
              <w:rPr>
                <w:sz w:val="20"/>
                <w:szCs w:val="20"/>
                <w:color w:val="auto"/>
              </w:rPr>
            </w:pPr>
            <w:r>
              <w:rPr>
                <w:rFonts w:ascii="Arial" w:cs="Arial" w:eastAsia="Arial" w:hAnsi="Arial"/>
                <w:sz w:val="18"/>
                <w:szCs w:val="18"/>
                <w:color w:val="auto"/>
                <w:w w:val="96"/>
              </w:rPr>
              <w:t>dose formulation in wet</w:t>
            </w:r>
          </w:p>
        </w:tc>
        <w:tc>
          <w:tcPr>
            <w:tcW w:w="0" w:type="dxa"/>
            <w:vAlign w:val="bottom"/>
          </w:tcPr>
          <w:p>
            <w:pPr>
              <w:spacing w:after="0"/>
              <w:rPr>
                <w:sz w:val="1"/>
                <w:szCs w:val="1"/>
                <w:color w:val="auto"/>
              </w:rPr>
            </w:pPr>
          </w:p>
        </w:tc>
      </w:tr>
      <w:tr>
        <w:trPr>
          <w:trHeight w:val="67"/>
        </w:trPr>
        <w:tc>
          <w:tcPr>
            <w:tcW w:w="1920" w:type="dxa"/>
            <w:vAlign w:val="bottom"/>
            <w:gridSpan w:val="2"/>
            <w:vMerge w:val="restart"/>
          </w:tcPr>
          <w:p>
            <w:pPr>
              <w:spacing w:after="0" w:line="174" w:lineRule="exact"/>
              <w:rPr>
                <w:sz w:val="20"/>
                <w:szCs w:val="20"/>
                <w:color w:val="auto"/>
              </w:rPr>
            </w:pPr>
            <w:r>
              <w:rPr>
                <w:rFonts w:ascii="Arial" w:cs="Arial" w:eastAsia="Arial" w:hAnsi="Arial"/>
                <w:sz w:val="18"/>
                <w:szCs w:val="18"/>
                <w:color w:val="auto"/>
              </w:rPr>
              <w:t>Company-sponsored</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920" w:type="dxa"/>
            <w:vAlign w:val="bottom"/>
            <w:gridSpan w:val="2"/>
            <w:vMerge w:val="continue"/>
          </w:tcPr>
          <w:p>
            <w:pPr>
              <w:spacing w:after="0"/>
              <w:rPr>
                <w:sz w:val="9"/>
                <w:szCs w:val="9"/>
                <w:color w:val="auto"/>
              </w:rPr>
            </w:pPr>
          </w:p>
        </w:tc>
        <w:tc>
          <w:tcPr>
            <w:tcW w:w="1820" w:type="dxa"/>
            <w:vAlign w:val="bottom"/>
            <w:vMerge w:val="restart"/>
          </w:tcPr>
          <w:p>
            <w:pPr>
              <w:ind w:left="20"/>
              <w:spacing w:after="0" w:line="174" w:lineRule="exact"/>
              <w:rPr>
                <w:sz w:val="20"/>
                <w:szCs w:val="20"/>
                <w:color w:val="auto"/>
              </w:rPr>
            </w:pPr>
            <w:r>
              <w:rPr>
                <w:rFonts w:ascii="Arial" w:cs="Arial" w:eastAsia="Arial" w:hAnsi="Arial"/>
                <w:sz w:val="18"/>
                <w:szCs w:val="18"/>
                <w:color w:val="auto"/>
                <w:w w:val="94"/>
              </w:rPr>
              <w:t>AMD and DME (second</w:t>
            </w:r>
          </w:p>
        </w:tc>
        <w:tc>
          <w:tcPr>
            <w:tcW w:w="0" w:type="dxa"/>
            <w:vAlign w:val="bottom"/>
          </w:tcPr>
          <w:p>
            <w:pPr>
              <w:spacing w:after="0"/>
              <w:rPr>
                <w:sz w:val="1"/>
                <w:szCs w:val="1"/>
                <w:color w:val="auto"/>
              </w:rPr>
            </w:pPr>
          </w:p>
        </w:tc>
      </w:tr>
      <w:tr>
        <w:trPr>
          <w:trHeight w:val="67"/>
        </w:trPr>
        <w:tc>
          <w:tcPr>
            <w:tcW w:w="1920" w:type="dxa"/>
            <w:vAlign w:val="bottom"/>
            <w:gridSpan w:val="2"/>
            <w:vMerge w:val="restart"/>
          </w:tcPr>
          <w:p>
            <w:pPr>
              <w:spacing w:after="0" w:line="174" w:lineRule="exact"/>
              <w:rPr>
                <w:sz w:val="20"/>
                <w:szCs w:val="20"/>
                <w:color w:val="auto"/>
              </w:rPr>
            </w:pPr>
            <w:r>
              <w:rPr>
                <w:rFonts w:ascii="Arial" w:cs="Arial" w:eastAsia="Arial" w:hAnsi="Arial"/>
                <w:sz w:val="18"/>
                <w:szCs w:val="18"/>
                <w:color w:val="auto"/>
              </w:rPr>
              <w:t>PANORAMA trial and</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920" w:type="dxa"/>
            <w:vAlign w:val="bottom"/>
            <w:gridSpan w:val="2"/>
            <w:vMerge w:val="continue"/>
          </w:tcPr>
          <w:p>
            <w:pPr>
              <w:spacing w:after="0"/>
              <w:rPr>
                <w:sz w:val="9"/>
                <w:szCs w:val="9"/>
                <w:color w:val="auto"/>
              </w:rPr>
            </w:pPr>
          </w:p>
        </w:tc>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120"/>
        </w:trPr>
        <w:tc>
          <w:tcPr>
            <w:tcW w:w="1920" w:type="dxa"/>
            <w:vAlign w:val="bottom"/>
            <w:gridSpan w:val="2"/>
            <w:vMerge w:val="restart"/>
          </w:tcPr>
          <w:p>
            <w:pPr>
              <w:spacing w:after="0" w:line="174" w:lineRule="exact"/>
              <w:rPr>
                <w:sz w:val="20"/>
                <w:szCs w:val="20"/>
                <w:color w:val="auto"/>
              </w:rPr>
            </w:pPr>
            <w:r>
              <w:rPr>
                <w:rFonts w:ascii="Arial" w:cs="Arial" w:eastAsia="Arial" w:hAnsi="Arial"/>
                <w:sz w:val="18"/>
                <w:szCs w:val="18"/>
                <w:color w:val="auto"/>
              </w:rPr>
              <w:t>demonstrated reduced</w:t>
            </w: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20" w:type="dxa"/>
            <w:vAlign w:val="bottom"/>
            <w:gridSpan w:val="2"/>
            <w:vMerge w:val="continue"/>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risk of developing</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vision-threatening</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complications with</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every-16-weeks dosing</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920" w:type="dxa"/>
            <w:vAlign w:val="bottom"/>
            <w:gridSpan w:val="2"/>
          </w:tcPr>
          <w:p>
            <w:pPr>
              <w:spacing w:after="0"/>
              <w:rPr>
                <w:sz w:val="20"/>
                <w:szCs w:val="20"/>
                <w:color w:val="auto"/>
              </w:rPr>
            </w:pPr>
            <w:r>
              <w:rPr>
                <w:rFonts w:ascii="Arial" w:cs="Arial" w:eastAsia="Arial" w:hAnsi="Arial"/>
                <w:sz w:val="18"/>
                <w:szCs w:val="18"/>
                <w:color w:val="auto"/>
              </w:rPr>
              <w:t>regimen</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–Completed enrollment</w:t>
      </w:r>
    </w:p>
    <w:p>
      <w:pPr>
        <w:spacing w:after="0"/>
        <w:rPr>
          <w:sz w:val="20"/>
          <w:szCs w:val="20"/>
          <w:color w:val="auto"/>
        </w:rPr>
      </w:pPr>
      <w:r>
        <w:rPr>
          <w:rFonts w:ascii="Arial" w:cs="Arial" w:eastAsia="Arial" w:hAnsi="Arial"/>
          <w:sz w:val="18"/>
          <w:szCs w:val="18"/>
          <w:color w:val="auto"/>
        </w:rPr>
        <w:t>in Phase 3 study for ROP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–Completed enrollment</w:t>
      </w:r>
    </w:p>
    <w:p>
      <w:pPr>
        <w:spacing w:after="0" w:line="201" w:lineRule="auto"/>
        <w:rPr>
          <w:sz w:val="20"/>
          <w:szCs w:val="20"/>
          <w:color w:val="auto"/>
        </w:rPr>
      </w:pPr>
      <w:r>
        <w:rPr>
          <w:rFonts w:ascii="Arial" w:cs="Arial" w:eastAsia="Arial" w:hAnsi="Arial"/>
          <w:sz w:val="18"/>
          <w:szCs w:val="18"/>
          <w:color w:val="auto"/>
        </w:rPr>
        <w:t>in Phase 3 studies for</w:t>
      </w:r>
    </w:p>
    <w:p>
      <w:pPr>
        <w:spacing w:after="0" w:line="201" w:lineRule="auto"/>
        <w:rPr>
          <w:sz w:val="20"/>
          <w:szCs w:val="20"/>
          <w:color w:val="auto"/>
        </w:rPr>
      </w:pPr>
      <w:r>
        <w:rPr>
          <w:rFonts w:ascii="Arial" w:cs="Arial" w:eastAsia="Arial" w:hAnsi="Arial"/>
          <w:sz w:val="18"/>
          <w:szCs w:val="18"/>
          <w:color w:val="auto"/>
        </w:rPr>
        <w:t>high-dose formulation in</w:t>
      </w:r>
    </w:p>
    <w:p>
      <w:pPr>
        <w:spacing w:after="0"/>
        <w:rPr>
          <w:sz w:val="20"/>
          <w:szCs w:val="20"/>
          <w:color w:val="auto"/>
        </w:rPr>
      </w:pPr>
      <w:r>
        <w:rPr>
          <w:rFonts w:ascii="Arial" w:cs="Arial" w:eastAsia="Arial" w:hAnsi="Arial"/>
          <w:sz w:val="18"/>
          <w:szCs w:val="18"/>
          <w:color w:val="auto"/>
        </w:rPr>
        <w:t>wet AMD and DME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–Reported that Phase 2</w:t>
      </w:r>
    </w:p>
    <w:p>
      <w:pPr>
        <w:spacing w:after="0" w:line="201" w:lineRule="auto"/>
        <w:rPr>
          <w:sz w:val="20"/>
          <w:szCs w:val="20"/>
          <w:color w:val="auto"/>
        </w:rPr>
      </w:pPr>
      <w:r>
        <w:rPr>
          <w:rFonts w:ascii="Arial" w:cs="Arial" w:eastAsia="Arial" w:hAnsi="Arial"/>
          <w:sz w:val="18"/>
          <w:szCs w:val="18"/>
          <w:color w:val="auto"/>
        </w:rPr>
        <w:t>trial of high-dose</w:t>
      </w:r>
    </w:p>
    <w:p>
      <w:pPr>
        <w:spacing w:after="0" w:line="201" w:lineRule="auto"/>
        <w:rPr>
          <w:sz w:val="20"/>
          <w:szCs w:val="20"/>
          <w:color w:val="auto"/>
        </w:rPr>
      </w:pPr>
      <w:r>
        <w:rPr>
          <w:rFonts w:ascii="Arial" w:cs="Arial" w:eastAsia="Arial" w:hAnsi="Arial"/>
          <w:sz w:val="18"/>
          <w:szCs w:val="18"/>
          <w:color w:val="auto"/>
        </w:rPr>
        <w:t>formulation in wet AMD</w:t>
      </w:r>
    </w:p>
    <w:p>
      <w:pPr>
        <w:spacing w:after="0" w:line="201" w:lineRule="auto"/>
        <w:rPr>
          <w:sz w:val="20"/>
          <w:szCs w:val="20"/>
          <w:color w:val="auto"/>
        </w:rPr>
      </w:pPr>
      <w:r>
        <w:rPr>
          <w:rFonts w:ascii="Arial" w:cs="Arial" w:eastAsia="Arial" w:hAnsi="Arial"/>
          <w:sz w:val="18"/>
          <w:szCs w:val="18"/>
          <w:color w:val="auto"/>
        </w:rPr>
        <w:t>met its primary safety</w:t>
      </w:r>
    </w:p>
    <w:p>
      <w:pPr>
        <w:spacing w:after="0"/>
        <w:rPr>
          <w:sz w:val="20"/>
          <w:szCs w:val="20"/>
          <w:color w:val="auto"/>
        </w:rPr>
      </w:pPr>
      <w:r>
        <w:rPr>
          <w:rFonts w:ascii="Arial" w:cs="Arial" w:eastAsia="Arial" w:hAnsi="Arial"/>
          <w:sz w:val="18"/>
          <w:szCs w:val="18"/>
          <w:color w:val="auto"/>
        </w:rPr>
        <w:t>and efficacy endpoints</w:t>
      </w:r>
    </w:p>
    <w:p>
      <w:pPr>
        <w:spacing w:after="0" w:line="58" w:lineRule="exact"/>
        <w:rPr>
          <w:sz w:val="20"/>
          <w:szCs w:val="20"/>
          <w:color w:val="auto"/>
        </w:rPr>
      </w:pPr>
    </w:p>
    <w:p>
      <w:pPr>
        <w:sectPr>
          <w:pgSz w:w="11900" w:h="16838" w:orient="portrait"/>
          <w:cols w:equalWidth="0" w:num="2">
            <w:col w:w="7420" w:space="80"/>
            <w:col w:w="3740"/>
          </w:cols>
          <w:pgMar w:left="320" w:top="370"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460" w:type="dxa"/>
            <w:vAlign w:val="bottom"/>
            <w:shd w:val="clear" w:color="auto" w:fill="ACACAC"/>
          </w:tcPr>
          <w:p>
            <w:pPr>
              <w:spacing w:after="0"/>
              <w:rPr>
                <w:sz w:val="19"/>
                <w:szCs w:val="19"/>
                <w:color w:val="auto"/>
              </w:rPr>
            </w:pPr>
          </w:p>
        </w:tc>
        <w:tc>
          <w:tcPr>
            <w:tcW w:w="1920" w:type="dxa"/>
            <w:vAlign w:val="bottom"/>
            <w:shd w:val="clear" w:color="auto" w:fill="ACACAC"/>
          </w:tcPr>
          <w:p>
            <w:pPr>
              <w:spacing w:after="0"/>
              <w:rPr>
                <w:sz w:val="19"/>
                <w:szCs w:val="19"/>
                <w:color w:val="auto"/>
              </w:rPr>
            </w:pPr>
          </w:p>
        </w:tc>
        <w:tc>
          <w:tcPr>
            <w:tcW w:w="3060" w:type="dxa"/>
            <w:vAlign w:val="bottom"/>
            <w:gridSpan w:val="2"/>
            <w:shd w:val="clear" w:color="auto" w:fill="ACACAC"/>
          </w:tcPr>
          <w:p>
            <w:pPr>
              <w:ind w:left="120"/>
              <w:spacing w:after="0"/>
              <w:rPr>
                <w:sz w:val="20"/>
                <w:szCs w:val="20"/>
                <w:color w:val="auto"/>
              </w:rPr>
            </w:pPr>
            <w:r>
              <w:rPr>
                <w:rFonts w:ascii="Arial" w:cs="Arial" w:eastAsia="Arial" w:hAnsi="Arial"/>
                <w:sz w:val="18"/>
                <w:szCs w:val="18"/>
                <w:b w:val="1"/>
                <w:bCs w:val="1"/>
                <w:color w:val="auto"/>
              </w:rPr>
              <w:t>Immunology &amp; Inflammation</w:t>
            </w:r>
          </w:p>
        </w:tc>
        <w:tc>
          <w:tcPr>
            <w:tcW w:w="1920" w:type="dxa"/>
            <w:vAlign w:val="bottom"/>
            <w:shd w:val="clear" w:color="auto" w:fill="ACACAC"/>
          </w:tcPr>
          <w:p>
            <w:pPr>
              <w:spacing w:after="0"/>
              <w:rPr>
                <w:sz w:val="19"/>
                <w:szCs w:val="19"/>
                <w:color w:val="auto"/>
              </w:rPr>
            </w:pPr>
          </w:p>
        </w:tc>
        <w:tc>
          <w:tcPr>
            <w:tcW w:w="18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Dupixent (dupilumab)</w:t>
            </w:r>
          </w:p>
        </w:tc>
        <w:tc>
          <w:tcPr>
            <w:tcW w:w="1920" w:type="dxa"/>
            <w:vAlign w:val="bottom"/>
          </w:tcPr>
          <w:p>
            <w:pPr>
              <w:ind w:left="680"/>
              <w:spacing w:after="0"/>
              <w:rPr>
                <w:sz w:val="20"/>
                <w:szCs w:val="20"/>
                <w:color w:val="auto"/>
              </w:rPr>
            </w:pPr>
            <w:r>
              <w:rPr>
                <w:rFonts w:ascii="Arial" w:cs="Arial" w:eastAsia="Arial" w:hAnsi="Arial"/>
                <w:sz w:val="18"/>
                <w:szCs w:val="18"/>
                <w:color w:val="auto"/>
                <w:w w:val="97"/>
              </w:rPr>
              <w:t>–Peanut allergy</w:t>
            </w:r>
          </w:p>
        </w:tc>
        <w:tc>
          <w:tcPr>
            <w:tcW w:w="1760" w:type="dxa"/>
            <w:vAlign w:val="bottom"/>
          </w:tcPr>
          <w:p>
            <w:pPr>
              <w:ind w:left="280"/>
              <w:spacing w:after="0"/>
              <w:rPr>
                <w:sz w:val="20"/>
                <w:szCs w:val="20"/>
                <w:color w:val="auto"/>
              </w:rPr>
            </w:pPr>
            <w:r>
              <w:rPr>
                <w:rFonts w:ascii="Arial" w:cs="Arial" w:eastAsia="Arial" w:hAnsi="Arial"/>
                <w:sz w:val="18"/>
                <w:szCs w:val="18"/>
                <w:color w:val="auto"/>
              </w:rPr>
              <w:t>–Atopic dermatitis</w:t>
            </w:r>
          </w:p>
        </w:tc>
        <w:tc>
          <w:tcPr>
            <w:tcW w:w="1300" w:type="dxa"/>
            <w:vAlign w:val="bottom"/>
          </w:tcPr>
          <w:p>
            <w:pPr>
              <w:ind w:left="80"/>
              <w:spacing w:after="0"/>
              <w:rPr>
                <w:sz w:val="20"/>
                <w:szCs w:val="20"/>
                <w:color w:val="auto"/>
              </w:rPr>
            </w:pPr>
            <w:r>
              <w:rPr>
                <w:rFonts w:ascii="Arial" w:cs="Arial" w:eastAsia="Arial" w:hAnsi="Arial"/>
                <w:sz w:val="18"/>
                <w:szCs w:val="18"/>
                <w:color w:val="auto"/>
              </w:rPr>
              <w:t>–Asthma in</w:t>
            </w:r>
          </w:p>
        </w:tc>
        <w:tc>
          <w:tcPr>
            <w:tcW w:w="1920" w:type="dxa"/>
            <w:vAlign w:val="bottom"/>
          </w:tcPr>
          <w:p>
            <w:pPr>
              <w:ind w:left="60"/>
              <w:spacing w:after="0"/>
              <w:rPr>
                <w:sz w:val="20"/>
                <w:szCs w:val="20"/>
                <w:color w:val="auto"/>
              </w:rPr>
            </w:pPr>
            <w:r>
              <w:rPr>
                <w:rFonts w:ascii="Arial" w:cs="Arial" w:eastAsia="Arial" w:hAnsi="Arial"/>
                <w:sz w:val="18"/>
                <w:szCs w:val="18"/>
                <w:color w:val="auto"/>
                <w:w w:val="96"/>
              </w:rPr>
              <w:t>–Reported that Phase 3</w:t>
            </w:r>
          </w:p>
        </w:tc>
        <w:tc>
          <w:tcPr>
            <w:tcW w:w="1880" w:type="dxa"/>
            <w:vAlign w:val="bottom"/>
          </w:tcPr>
          <w:p>
            <w:pPr>
              <w:ind w:left="80"/>
              <w:spacing w:after="0"/>
              <w:rPr>
                <w:sz w:val="20"/>
                <w:szCs w:val="20"/>
                <w:color w:val="auto"/>
              </w:rPr>
            </w:pPr>
            <w:r>
              <w:rPr>
                <w:rFonts w:ascii="Arial" w:cs="Arial" w:eastAsia="Arial" w:hAnsi="Arial"/>
                <w:sz w:val="18"/>
                <w:szCs w:val="18"/>
                <w:color w:val="auto"/>
              </w:rPr>
              <w:t>–Submit sBLA (Q4</w:t>
            </w:r>
          </w:p>
        </w:tc>
        <w:tc>
          <w:tcPr>
            <w:tcW w:w="0" w:type="dxa"/>
            <w:vAlign w:val="bottom"/>
          </w:tcPr>
          <w:p>
            <w:pPr>
              <w:spacing w:after="0"/>
              <w:rPr>
                <w:sz w:val="1"/>
                <w:szCs w:val="1"/>
                <w:color w:val="auto"/>
              </w:rPr>
            </w:pPr>
          </w:p>
        </w:tc>
      </w:tr>
      <w:tr>
        <w:trPr>
          <w:trHeight w:val="106"/>
        </w:trPr>
        <w:tc>
          <w:tcPr>
            <w:tcW w:w="2460" w:type="dxa"/>
            <w:vAlign w:val="bottom"/>
          </w:tcPr>
          <w:p>
            <w:pPr>
              <w:ind w:left="20"/>
              <w:spacing w:after="0" w:line="106" w:lineRule="exact"/>
              <w:rPr>
                <w:sz w:val="20"/>
                <w:szCs w:val="20"/>
                <w:color w:val="auto"/>
              </w:rPr>
            </w:pPr>
            <w:r>
              <w:rPr>
                <w:rFonts w:ascii="Arial" w:cs="Arial" w:eastAsia="Arial" w:hAnsi="Arial"/>
                <w:sz w:val="12"/>
                <w:szCs w:val="12"/>
                <w:b w:val="1"/>
                <w:bCs w:val="1"/>
                <w:color w:val="auto"/>
              </w:rPr>
              <w:t>(a)</w:t>
            </w:r>
          </w:p>
        </w:tc>
        <w:tc>
          <w:tcPr>
            <w:tcW w:w="1920" w:type="dxa"/>
            <w:vAlign w:val="bottom"/>
          </w:tcPr>
          <w:p>
            <w:pPr>
              <w:spacing w:after="0"/>
              <w:rPr>
                <w:sz w:val="9"/>
                <w:szCs w:val="9"/>
                <w:color w:val="auto"/>
              </w:rPr>
            </w:pPr>
          </w:p>
        </w:tc>
        <w:tc>
          <w:tcPr>
            <w:tcW w:w="1760" w:type="dxa"/>
            <w:vAlign w:val="bottom"/>
            <w:vMerge w:val="restart"/>
          </w:tcPr>
          <w:p>
            <w:pPr>
              <w:ind w:left="280"/>
              <w:spacing w:after="0" w:line="174" w:lineRule="exact"/>
              <w:rPr>
                <w:sz w:val="20"/>
                <w:szCs w:val="20"/>
                <w:color w:val="auto"/>
              </w:rPr>
            </w:pPr>
            <w:r>
              <w:rPr>
                <w:rFonts w:ascii="Arial" w:cs="Arial" w:eastAsia="Arial" w:hAnsi="Arial"/>
                <w:sz w:val="18"/>
                <w:szCs w:val="18"/>
                <w:color w:val="auto"/>
              </w:rPr>
              <w:t>in pediatrics (6</w:t>
            </w:r>
          </w:p>
        </w:tc>
        <w:tc>
          <w:tcPr>
            <w:tcW w:w="1300" w:type="dxa"/>
            <w:vAlign w:val="bottom"/>
            <w:vMerge w:val="restart"/>
          </w:tcPr>
          <w:p>
            <w:pPr>
              <w:ind w:left="80"/>
              <w:spacing w:after="0" w:line="174" w:lineRule="exact"/>
              <w:rPr>
                <w:sz w:val="20"/>
                <w:szCs w:val="20"/>
                <w:color w:val="auto"/>
              </w:rPr>
            </w:pPr>
            <w:r>
              <w:rPr>
                <w:rFonts w:ascii="Arial" w:cs="Arial" w:eastAsia="Arial" w:hAnsi="Arial"/>
                <w:sz w:val="18"/>
                <w:szCs w:val="18"/>
                <w:color w:val="auto"/>
                <w:w w:val="93"/>
              </w:rPr>
              <w:t>pediatrics (6–11</w:t>
            </w:r>
          </w:p>
        </w:tc>
        <w:tc>
          <w:tcPr>
            <w:tcW w:w="1920" w:type="dxa"/>
            <w:vAlign w:val="bottom"/>
            <w:vMerge w:val="restart"/>
          </w:tcPr>
          <w:p>
            <w:pPr>
              <w:ind w:left="60"/>
              <w:spacing w:after="0" w:line="174" w:lineRule="exact"/>
              <w:rPr>
                <w:sz w:val="20"/>
                <w:szCs w:val="20"/>
                <w:color w:val="auto"/>
              </w:rPr>
            </w:pPr>
            <w:r>
              <w:rPr>
                <w:rFonts w:ascii="Arial" w:cs="Arial" w:eastAsia="Arial" w:hAnsi="Arial"/>
                <w:sz w:val="18"/>
                <w:szCs w:val="18"/>
                <w:color w:val="auto"/>
                <w:w w:val="96"/>
              </w:rPr>
              <w:t>trial for atopic dermatitis</w:t>
            </w:r>
          </w:p>
        </w:tc>
        <w:tc>
          <w:tcPr>
            <w:tcW w:w="1880" w:type="dxa"/>
            <w:vAlign w:val="bottom"/>
            <w:vMerge w:val="restart"/>
          </w:tcPr>
          <w:p>
            <w:pPr>
              <w:ind w:left="80"/>
              <w:spacing w:after="0" w:line="174" w:lineRule="exact"/>
              <w:rPr>
                <w:sz w:val="20"/>
                <w:szCs w:val="20"/>
                <w:color w:val="auto"/>
              </w:rPr>
            </w:pPr>
            <w:r>
              <w:rPr>
                <w:rFonts w:ascii="Arial" w:cs="Arial" w:eastAsia="Arial" w:hAnsi="Arial"/>
                <w:sz w:val="18"/>
                <w:szCs w:val="18"/>
                <w:color w:val="auto"/>
              </w:rPr>
              <w:t>2021) and Marketing</w:t>
            </w:r>
          </w:p>
        </w:tc>
        <w:tc>
          <w:tcPr>
            <w:tcW w:w="0" w:type="dxa"/>
            <w:vAlign w:val="bottom"/>
          </w:tcPr>
          <w:p>
            <w:pPr>
              <w:spacing w:after="0"/>
              <w:rPr>
                <w:sz w:val="1"/>
                <w:szCs w:val="1"/>
                <w:color w:val="auto"/>
              </w:rPr>
            </w:pPr>
          </w:p>
        </w:tc>
      </w:tr>
      <w:tr>
        <w:trPr>
          <w:trHeight w:val="68"/>
        </w:trPr>
        <w:tc>
          <w:tcPr>
            <w:tcW w:w="2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Antibody to IL-4R alpha</w:t>
            </w:r>
          </w:p>
        </w:tc>
        <w:tc>
          <w:tcPr>
            <w:tcW w:w="1920" w:type="dxa"/>
            <w:vAlign w:val="bottom"/>
            <w:vMerge w:val="restart"/>
          </w:tcPr>
          <w:p>
            <w:pPr>
              <w:ind w:left="680"/>
              <w:spacing w:after="0"/>
              <w:rPr>
                <w:sz w:val="20"/>
                <w:szCs w:val="20"/>
                <w:color w:val="auto"/>
              </w:rPr>
            </w:pPr>
            <w:r>
              <w:rPr>
                <w:rFonts w:ascii="Arial" w:cs="Arial" w:eastAsia="Arial" w:hAnsi="Arial"/>
                <w:sz w:val="18"/>
                <w:szCs w:val="18"/>
                <w:color w:val="auto"/>
              </w:rPr>
              <w:t>–Grass allergy</w:t>
            </w:r>
          </w:p>
        </w:tc>
        <w:tc>
          <w:tcPr>
            <w:tcW w:w="17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46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760" w:type="dxa"/>
            <w:vAlign w:val="bottom"/>
          </w:tcPr>
          <w:p>
            <w:pPr>
              <w:ind w:left="280"/>
              <w:spacing w:after="0" w:line="174" w:lineRule="exact"/>
              <w:rPr>
                <w:sz w:val="20"/>
                <w:szCs w:val="20"/>
                <w:color w:val="auto"/>
              </w:rPr>
            </w:pPr>
            <w:r>
              <w:rPr>
                <w:rFonts w:ascii="Arial" w:cs="Arial" w:eastAsia="Arial" w:hAnsi="Arial"/>
                <w:sz w:val="18"/>
                <w:szCs w:val="18"/>
                <w:color w:val="auto"/>
                <w:w w:val="98"/>
              </w:rPr>
              <w:t>months–5 years of</w:t>
            </w:r>
          </w:p>
        </w:tc>
        <w:tc>
          <w:tcPr>
            <w:tcW w:w="1300" w:type="dxa"/>
            <w:vAlign w:val="bottom"/>
          </w:tcPr>
          <w:p>
            <w:pPr>
              <w:ind w:left="80"/>
              <w:spacing w:after="0" w:line="174" w:lineRule="exact"/>
              <w:rPr>
                <w:sz w:val="20"/>
                <w:szCs w:val="20"/>
                <w:color w:val="auto"/>
              </w:rPr>
            </w:pPr>
            <w:r>
              <w:rPr>
                <w:rFonts w:ascii="Arial" w:cs="Arial" w:eastAsia="Arial" w:hAnsi="Arial"/>
                <w:sz w:val="18"/>
                <w:szCs w:val="18"/>
                <w:color w:val="auto"/>
              </w:rPr>
              <w:t>years of age)</w:t>
            </w:r>
          </w:p>
        </w:tc>
        <w:tc>
          <w:tcPr>
            <w:tcW w:w="1920" w:type="dxa"/>
            <w:vAlign w:val="bottom"/>
          </w:tcPr>
          <w:p>
            <w:pPr>
              <w:ind w:left="60"/>
              <w:spacing w:after="0" w:line="174" w:lineRule="exact"/>
              <w:rPr>
                <w:sz w:val="20"/>
                <w:szCs w:val="20"/>
                <w:color w:val="auto"/>
              </w:rPr>
            </w:pPr>
            <w:r>
              <w:rPr>
                <w:rFonts w:ascii="Arial" w:cs="Arial" w:eastAsia="Arial" w:hAnsi="Arial"/>
                <w:sz w:val="18"/>
                <w:szCs w:val="18"/>
                <w:color w:val="auto"/>
                <w:w w:val="96"/>
              </w:rPr>
              <w:t>in pediatrics (6 months–</w:t>
            </w:r>
          </w:p>
        </w:tc>
        <w:tc>
          <w:tcPr>
            <w:tcW w:w="1880" w:type="dxa"/>
            <w:vAlign w:val="bottom"/>
          </w:tcPr>
          <w:p>
            <w:pPr>
              <w:ind w:left="80"/>
              <w:spacing w:after="0" w:line="174" w:lineRule="exact"/>
              <w:rPr>
                <w:sz w:val="20"/>
                <w:szCs w:val="20"/>
                <w:color w:val="auto"/>
              </w:rPr>
            </w:pPr>
            <w:r>
              <w:rPr>
                <w:rFonts w:ascii="Arial" w:cs="Arial" w:eastAsia="Arial" w:hAnsi="Arial"/>
                <w:sz w:val="18"/>
                <w:szCs w:val="18"/>
                <w:color w:val="auto"/>
              </w:rPr>
              <w:t>Authorization</w:t>
            </w: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subunit</w:t>
            </w:r>
          </w:p>
        </w:tc>
        <w:tc>
          <w:tcPr>
            <w:tcW w:w="1920" w:type="dxa"/>
            <w:vAlign w:val="bottom"/>
          </w:tcPr>
          <w:p>
            <w:pPr>
              <w:spacing w:after="0"/>
              <w:rPr>
                <w:sz w:val="15"/>
                <w:szCs w:val="15"/>
                <w:color w:val="auto"/>
              </w:rPr>
            </w:pPr>
          </w:p>
        </w:tc>
        <w:tc>
          <w:tcPr>
            <w:tcW w:w="1760" w:type="dxa"/>
            <w:vAlign w:val="bottom"/>
          </w:tcPr>
          <w:p>
            <w:pPr>
              <w:ind w:left="280"/>
              <w:spacing w:after="0" w:line="174" w:lineRule="exact"/>
              <w:rPr>
                <w:sz w:val="20"/>
                <w:szCs w:val="20"/>
                <w:color w:val="auto"/>
              </w:rPr>
            </w:pPr>
            <w:r>
              <w:rPr>
                <w:rFonts w:ascii="Arial" w:cs="Arial" w:eastAsia="Arial" w:hAnsi="Arial"/>
                <w:sz w:val="16"/>
                <w:szCs w:val="16"/>
                <w:color w:val="auto"/>
              </w:rPr>
              <w:t>age) (Phase 2/3)</w:t>
            </w:r>
            <w:r>
              <w:rPr>
                <w:rFonts w:ascii="Arial" w:cs="Arial" w:eastAsia="Arial" w:hAnsi="Arial"/>
                <w:sz w:val="20"/>
                <w:szCs w:val="20"/>
                <w:color w:val="auto"/>
                <w:vertAlign w:val="superscript"/>
              </w:rPr>
              <w:t>(d)</w:t>
            </w:r>
          </w:p>
        </w:tc>
        <w:tc>
          <w:tcPr>
            <w:tcW w:w="1300" w:type="dxa"/>
            <w:vAlign w:val="bottom"/>
          </w:tcPr>
          <w:p>
            <w:pPr>
              <w:ind w:left="80"/>
              <w:spacing w:after="0" w:line="174" w:lineRule="exact"/>
              <w:rPr>
                <w:sz w:val="20"/>
                <w:szCs w:val="20"/>
                <w:color w:val="auto"/>
              </w:rPr>
            </w:pPr>
            <w:r>
              <w:rPr>
                <w:rFonts w:ascii="Arial" w:cs="Arial" w:eastAsia="Arial" w:hAnsi="Arial"/>
                <w:sz w:val="18"/>
                <w:szCs w:val="18"/>
                <w:color w:val="auto"/>
              </w:rPr>
              <w:t>(EU)</w:t>
            </w:r>
          </w:p>
        </w:tc>
        <w:tc>
          <w:tcPr>
            <w:tcW w:w="1920" w:type="dxa"/>
            <w:vAlign w:val="bottom"/>
          </w:tcPr>
          <w:p>
            <w:pPr>
              <w:ind w:left="60"/>
              <w:spacing w:after="0" w:line="174" w:lineRule="exact"/>
              <w:rPr>
                <w:sz w:val="20"/>
                <w:szCs w:val="20"/>
                <w:color w:val="auto"/>
              </w:rPr>
            </w:pPr>
            <w:r>
              <w:rPr>
                <w:rFonts w:ascii="Arial" w:cs="Arial" w:eastAsia="Arial" w:hAnsi="Arial"/>
                <w:sz w:val="18"/>
                <w:szCs w:val="18"/>
                <w:color w:val="auto"/>
              </w:rPr>
              <w:t>5 years of age) met its</w:t>
            </w:r>
          </w:p>
        </w:tc>
        <w:tc>
          <w:tcPr>
            <w:tcW w:w="1880" w:type="dxa"/>
            <w:vAlign w:val="bottom"/>
          </w:tcPr>
          <w:p>
            <w:pPr>
              <w:ind w:left="80"/>
              <w:spacing w:after="0" w:line="174" w:lineRule="exact"/>
              <w:rPr>
                <w:sz w:val="20"/>
                <w:szCs w:val="20"/>
                <w:color w:val="auto"/>
              </w:rPr>
            </w:pPr>
            <w:r>
              <w:rPr>
                <w:rFonts w:ascii="Arial" w:cs="Arial" w:eastAsia="Arial" w:hAnsi="Arial"/>
                <w:sz w:val="18"/>
                <w:szCs w:val="18"/>
                <w:color w:val="auto"/>
              </w:rPr>
              <w:t>Application ("MAA")</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20" w:type="dxa"/>
            <w:vAlign w:val="bottom"/>
          </w:tcPr>
          <w:p>
            <w:pPr>
              <w:ind w:left="60"/>
              <w:spacing w:after="0" w:line="174" w:lineRule="exact"/>
              <w:rPr>
                <w:sz w:val="20"/>
                <w:szCs w:val="20"/>
                <w:color w:val="auto"/>
              </w:rPr>
            </w:pPr>
            <w:r>
              <w:rPr>
                <w:rFonts w:ascii="Arial" w:cs="Arial" w:eastAsia="Arial" w:hAnsi="Arial"/>
                <w:sz w:val="18"/>
                <w:szCs w:val="18"/>
                <w:color w:val="auto"/>
              </w:rPr>
              <w:t>primary and key</w:t>
            </w:r>
          </w:p>
        </w:tc>
        <w:tc>
          <w:tcPr>
            <w:tcW w:w="1880" w:type="dxa"/>
            <w:vAlign w:val="bottom"/>
          </w:tcPr>
          <w:p>
            <w:pPr>
              <w:ind w:left="80"/>
              <w:spacing w:after="0" w:line="174" w:lineRule="exact"/>
              <w:rPr>
                <w:sz w:val="20"/>
                <w:szCs w:val="20"/>
                <w:color w:val="auto"/>
              </w:rPr>
            </w:pPr>
            <w:r>
              <w:rPr>
                <w:rFonts w:ascii="Arial" w:cs="Arial" w:eastAsia="Arial" w:hAnsi="Arial"/>
                <w:sz w:val="18"/>
                <w:szCs w:val="18"/>
                <w:color w:val="auto"/>
              </w:rPr>
              <w:t>(first half 2022) for</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vMerge w:val="restart"/>
          </w:tcPr>
          <w:p>
            <w:pPr>
              <w:ind w:left="280"/>
              <w:spacing w:after="0"/>
              <w:rPr>
                <w:sz w:val="20"/>
                <w:szCs w:val="20"/>
                <w:color w:val="auto"/>
              </w:rPr>
            </w:pPr>
            <w:r>
              <w:rPr>
                <w:rFonts w:ascii="Arial" w:cs="Arial" w:eastAsia="Arial" w:hAnsi="Arial"/>
                <w:sz w:val="18"/>
                <w:szCs w:val="18"/>
                <w:color w:val="auto"/>
              </w:rPr>
              <w:t>–Eosinophilic</w:t>
            </w: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–EoE in adults</w:t>
            </w:r>
          </w:p>
        </w:tc>
        <w:tc>
          <w:tcPr>
            <w:tcW w:w="1920" w:type="dxa"/>
            <w:vAlign w:val="bottom"/>
          </w:tcPr>
          <w:p>
            <w:pPr>
              <w:ind w:left="60"/>
              <w:spacing w:after="0" w:line="174" w:lineRule="exact"/>
              <w:rPr>
                <w:sz w:val="20"/>
                <w:szCs w:val="20"/>
                <w:color w:val="auto"/>
              </w:rPr>
            </w:pPr>
            <w:r>
              <w:rPr>
                <w:rFonts w:ascii="Arial" w:cs="Arial" w:eastAsia="Arial" w:hAnsi="Arial"/>
                <w:sz w:val="18"/>
                <w:szCs w:val="18"/>
                <w:color w:val="auto"/>
              </w:rPr>
              <w:t>secondary endpoints</w:t>
            </w:r>
          </w:p>
        </w:tc>
        <w:tc>
          <w:tcPr>
            <w:tcW w:w="1880" w:type="dxa"/>
            <w:vAlign w:val="bottom"/>
          </w:tcPr>
          <w:p>
            <w:pPr>
              <w:ind w:left="80"/>
              <w:spacing w:after="0" w:line="174" w:lineRule="exact"/>
              <w:rPr>
                <w:sz w:val="20"/>
                <w:szCs w:val="20"/>
                <w:color w:val="auto"/>
              </w:rPr>
            </w:pPr>
            <w:r>
              <w:rPr>
                <w:rFonts w:ascii="Arial" w:cs="Arial" w:eastAsia="Arial" w:hAnsi="Arial"/>
                <w:sz w:val="18"/>
                <w:szCs w:val="18"/>
                <w:color w:val="auto"/>
              </w:rPr>
              <w:t>atopic dermatitis in</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1880" w:type="dxa"/>
            <w:vAlign w:val="bottom"/>
            <w:vMerge w:val="restart"/>
          </w:tcPr>
          <w:p>
            <w:pPr>
              <w:ind w:left="80"/>
              <w:spacing w:after="0"/>
              <w:rPr>
                <w:sz w:val="20"/>
                <w:szCs w:val="20"/>
                <w:color w:val="auto"/>
              </w:rPr>
            </w:pPr>
            <w:r>
              <w:rPr>
                <w:rFonts w:ascii="Arial" w:cs="Arial" w:eastAsia="Arial" w:hAnsi="Arial"/>
                <w:sz w:val="18"/>
                <w:szCs w:val="18"/>
                <w:color w:val="auto"/>
              </w:rPr>
              <w:t>pediatric patients (6</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ind w:left="280"/>
              <w:spacing w:after="0" w:line="174" w:lineRule="exact"/>
              <w:rPr>
                <w:sz w:val="20"/>
                <w:szCs w:val="20"/>
                <w:color w:val="auto"/>
              </w:rPr>
            </w:pPr>
            <w:r>
              <w:rPr>
                <w:rFonts w:ascii="Arial" w:cs="Arial" w:eastAsia="Arial" w:hAnsi="Arial"/>
                <w:sz w:val="18"/>
                <w:szCs w:val="18"/>
                <w:color w:val="auto"/>
                <w:w w:val="94"/>
              </w:rPr>
              <w:t>esophagitis ("EoE")</w:t>
            </w:r>
          </w:p>
        </w:tc>
        <w:tc>
          <w:tcPr>
            <w:tcW w:w="1300" w:type="dxa"/>
            <w:vAlign w:val="bottom"/>
          </w:tcPr>
          <w:p>
            <w:pPr>
              <w:ind w:left="80"/>
              <w:spacing w:after="0" w:line="174" w:lineRule="exact"/>
              <w:rPr>
                <w:sz w:val="20"/>
                <w:szCs w:val="20"/>
                <w:color w:val="auto"/>
              </w:rPr>
            </w:pPr>
            <w:r>
              <w:rPr>
                <w:rFonts w:ascii="Arial" w:cs="Arial" w:eastAsia="Arial" w:hAnsi="Arial"/>
                <w:sz w:val="18"/>
                <w:szCs w:val="18"/>
                <w:color w:val="auto"/>
                <w:w w:val="91"/>
              </w:rPr>
              <w:t>and adolescents</w:t>
            </w:r>
          </w:p>
        </w:tc>
        <w:tc>
          <w:tcPr>
            <w:tcW w:w="1920" w:type="dxa"/>
            <w:vAlign w:val="bottom"/>
            <w:vMerge w:val="restart"/>
          </w:tcPr>
          <w:p>
            <w:pPr>
              <w:ind w:left="60"/>
              <w:spacing w:after="0"/>
              <w:rPr>
                <w:sz w:val="20"/>
                <w:szCs w:val="20"/>
                <w:color w:val="auto"/>
              </w:rPr>
            </w:pPr>
            <w:r>
              <w:rPr>
                <w:rFonts w:ascii="Arial" w:cs="Arial" w:eastAsia="Arial" w:hAnsi="Arial"/>
                <w:sz w:val="18"/>
                <w:szCs w:val="18"/>
                <w:color w:val="auto"/>
                <w:w w:val="95"/>
              </w:rPr>
              <w:t>–Initiated Phase 3 study</w:t>
            </w: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ind w:left="280"/>
              <w:spacing w:after="0" w:line="174" w:lineRule="exact"/>
              <w:rPr>
                <w:sz w:val="20"/>
                <w:szCs w:val="20"/>
                <w:color w:val="auto"/>
              </w:rPr>
            </w:pPr>
            <w:r>
              <w:rPr>
                <w:rFonts w:ascii="Arial" w:cs="Arial" w:eastAsia="Arial" w:hAnsi="Arial"/>
                <w:sz w:val="20"/>
                <w:szCs w:val="20"/>
                <w:color w:val="auto"/>
                <w:vertAlign w:val="superscript"/>
              </w:rPr>
              <w:t>(c)</w:t>
            </w:r>
            <w:r>
              <w:rPr>
                <w:rFonts w:ascii="Arial" w:cs="Arial" w:eastAsia="Arial" w:hAnsi="Arial"/>
                <w:sz w:val="16"/>
                <w:szCs w:val="16"/>
                <w:color w:val="auto"/>
              </w:rPr>
              <w:t xml:space="preserve"> in adults</w:t>
            </w:r>
            <w:r>
              <w:rPr>
                <w:rFonts w:ascii="Arial" w:cs="Arial" w:eastAsia="Arial" w:hAnsi="Arial"/>
                <w:sz w:val="20"/>
                <w:szCs w:val="20"/>
                <w:color w:val="auto"/>
                <w:vertAlign w:val="superscript"/>
              </w:rPr>
              <w:t>(d)</w:t>
            </w:r>
            <w:r>
              <w:rPr>
                <w:rFonts w:ascii="Arial" w:cs="Arial" w:eastAsia="Arial" w:hAnsi="Arial"/>
                <w:sz w:val="16"/>
                <w:szCs w:val="16"/>
                <w:color w:val="auto"/>
              </w:rPr>
              <w:t>,</w:t>
            </w:r>
          </w:p>
        </w:tc>
        <w:tc>
          <w:tcPr>
            <w:tcW w:w="1300" w:type="dxa"/>
            <w:vAlign w:val="bottom"/>
          </w:tcPr>
          <w:p>
            <w:pPr>
              <w:ind w:left="80"/>
              <w:spacing w:after="0" w:line="174" w:lineRule="exact"/>
              <w:rPr>
                <w:sz w:val="20"/>
                <w:szCs w:val="20"/>
                <w:color w:val="auto"/>
              </w:rPr>
            </w:pPr>
            <w:r>
              <w:rPr>
                <w:rFonts w:ascii="Arial" w:cs="Arial" w:eastAsia="Arial" w:hAnsi="Arial"/>
                <w:sz w:val="18"/>
                <w:szCs w:val="18"/>
                <w:color w:val="auto"/>
              </w:rPr>
              <w:t>(U.S.)</w:t>
            </w:r>
          </w:p>
        </w:tc>
        <w:tc>
          <w:tcPr>
            <w:tcW w:w="1920" w:type="dxa"/>
            <w:vAlign w:val="bottom"/>
            <w:vMerge w:val="continue"/>
          </w:tcPr>
          <w:p>
            <w:pPr>
              <w:spacing w:after="0"/>
              <w:rPr>
                <w:sz w:val="15"/>
                <w:szCs w:val="15"/>
                <w:color w:val="auto"/>
              </w:rPr>
            </w:pPr>
          </w:p>
        </w:tc>
        <w:tc>
          <w:tcPr>
            <w:tcW w:w="1880" w:type="dxa"/>
            <w:vAlign w:val="bottom"/>
          </w:tcPr>
          <w:p>
            <w:pPr>
              <w:ind w:left="80"/>
              <w:spacing w:after="0" w:line="174" w:lineRule="exact"/>
              <w:rPr>
                <w:sz w:val="20"/>
                <w:szCs w:val="20"/>
                <w:color w:val="auto"/>
              </w:rPr>
            </w:pPr>
            <w:r>
              <w:rPr>
                <w:rFonts w:ascii="Arial" w:cs="Arial" w:eastAsia="Arial" w:hAnsi="Arial"/>
                <w:sz w:val="18"/>
                <w:szCs w:val="18"/>
                <w:color w:val="auto"/>
                <w:w w:val="94"/>
              </w:rPr>
              <w:t>months–5 years of age)</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ind w:left="280"/>
              <w:spacing w:after="0" w:line="174" w:lineRule="exact"/>
              <w:rPr>
                <w:sz w:val="20"/>
                <w:szCs w:val="20"/>
                <w:color w:val="auto"/>
              </w:rPr>
            </w:pPr>
            <w:r>
              <w:rPr>
                <w:rFonts w:ascii="Arial" w:cs="Arial" w:eastAsia="Arial" w:hAnsi="Arial"/>
                <w:sz w:val="16"/>
                <w:szCs w:val="16"/>
                <w:color w:val="auto"/>
              </w:rPr>
              <w:t>adolescents</w:t>
            </w:r>
            <w:r>
              <w:rPr>
                <w:rFonts w:ascii="Arial" w:cs="Arial" w:eastAsia="Arial" w:hAnsi="Arial"/>
                <w:sz w:val="20"/>
                <w:szCs w:val="20"/>
                <w:color w:val="auto"/>
                <w:vertAlign w:val="superscript"/>
              </w:rPr>
              <w:t>(d)</w:t>
            </w:r>
            <w:r>
              <w:rPr>
                <w:rFonts w:ascii="Arial" w:cs="Arial" w:eastAsia="Arial" w:hAnsi="Arial"/>
                <w:sz w:val="16"/>
                <w:szCs w:val="16"/>
                <w:color w:val="auto"/>
              </w:rPr>
              <w:t>, and</w:t>
            </w:r>
          </w:p>
        </w:tc>
        <w:tc>
          <w:tcPr>
            <w:tcW w:w="1300" w:type="dxa"/>
            <w:vAlign w:val="bottom"/>
          </w:tcPr>
          <w:p>
            <w:pPr>
              <w:spacing w:after="0"/>
              <w:rPr>
                <w:sz w:val="15"/>
                <w:szCs w:val="15"/>
                <w:color w:val="auto"/>
              </w:rPr>
            </w:pPr>
          </w:p>
        </w:tc>
        <w:tc>
          <w:tcPr>
            <w:tcW w:w="1920" w:type="dxa"/>
            <w:vAlign w:val="bottom"/>
          </w:tcPr>
          <w:p>
            <w:pPr>
              <w:ind w:left="60"/>
              <w:spacing w:after="0" w:line="174" w:lineRule="exact"/>
              <w:rPr>
                <w:sz w:val="20"/>
                <w:szCs w:val="20"/>
                <w:color w:val="auto"/>
              </w:rPr>
            </w:pPr>
            <w:r>
              <w:rPr>
                <w:rFonts w:ascii="Arial" w:cs="Arial" w:eastAsia="Arial" w:hAnsi="Arial"/>
                <w:sz w:val="18"/>
                <w:szCs w:val="18"/>
                <w:color w:val="auto"/>
              </w:rPr>
              <w:t>in hand and foot atopic</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pediatrics</w:t>
            </w:r>
          </w:p>
        </w:tc>
        <w:tc>
          <w:tcPr>
            <w:tcW w:w="1300" w:type="dxa"/>
            <w:vAlign w:val="bottom"/>
          </w:tcPr>
          <w:p>
            <w:pPr>
              <w:spacing w:after="0"/>
              <w:rPr>
                <w:sz w:val="19"/>
                <w:szCs w:val="19"/>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3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84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2021 Events to Date</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280" w:type="dxa"/>
            <w:vAlign w:val="bottom"/>
            <w:gridSpan w:val="2"/>
          </w:tcPr>
          <w:p>
            <w:pPr>
              <w:jc w:val="center"/>
              <w:ind w:right="100"/>
              <w:spacing w:after="0" w:line="226"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w w:val="94"/>
              </w:rPr>
              <w:t>Dupixent (dupilumab)</w:t>
            </w: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–Chronic</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–Approved by FDA for</w:t>
            </w:r>
          </w:p>
        </w:tc>
        <w:tc>
          <w:tcPr>
            <w:tcW w:w="0" w:type="dxa"/>
            <w:vAlign w:val="bottom"/>
          </w:tcPr>
          <w:p>
            <w:pPr>
              <w:spacing w:after="0"/>
              <w:rPr>
                <w:sz w:val="1"/>
                <w:szCs w:val="1"/>
                <w:color w:val="auto"/>
              </w:rPr>
            </w:pPr>
          </w:p>
        </w:tc>
      </w:tr>
      <w:tr>
        <w:trPr>
          <w:trHeight w:val="106"/>
        </w:trPr>
        <w:tc>
          <w:tcPr>
            <w:tcW w:w="186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(a)</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obstructive</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w w:val="95"/>
              </w:rPr>
              <w:t>asthma in pediatrics (6–</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pulmonary disease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11 years of age)</w:t>
            </w: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("COPD")</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–Bullous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line="188" w:lineRule="exact"/>
              <w:rPr>
                <w:sz w:val="20"/>
                <w:szCs w:val="20"/>
                <w:color w:val="auto"/>
              </w:rPr>
            </w:pPr>
            <w:r>
              <w:rPr>
                <w:rFonts w:ascii="Arial" w:cs="Arial" w:eastAsia="Arial" w:hAnsi="Arial"/>
                <w:sz w:val="18"/>
                <w:szCs w:val="18"/>
                <w:color w:val="auto"/>
                <w:w w:val="95"/>
              </w:rPr>
              <w:t>–Reported that Phase 3</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trial in CSU met its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9"/>
              </w:rPr>
              <w:t>pemphigoid (Phase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2/3)</w:t>
            </w:r>
            <w:r>
              <w:rPr>
                <w:rFonts w:ascii="Arial" w:cs="Arial" w:eastAsia="Arial" w:hAnsi="Arial"/>
                <w:sz w:val="23"/>
                <w:szCs w:val="23"/>
                <w:color w:val="auto"/>
                <w:vertAlign w:val="superscript"/>
              </w:rPr>
              <w:t>(c)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–Chronic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5"/>
              </w:rPr>
              <w:t>–Reported that Phase 3</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spontaneous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w w:val="97"/>
              </w:rPr>
              <w:t>trial in prurigo nodularis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urticaria ("CSU")</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w w:val="97"/>
              </w:rPr>
              <w:t>met its primary and key</w:t>
            </w: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–Prurigo nodularis</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vMerge w:val="restart"/>
          </w:tcPr>
          <w:p>
            <w:pPr>
              <w:spacing w:after="0"/>
              <w:rPr>
                <w:sz w:val="20"/>
                <w:szCs w:val="20"/>
                <w:color w:val="auto"/>
              </w:rPr>
            </w:pPr>
            <w:r>
              <w:rPr>
                <w:rFonts w:ascii="Arial" w:cs="Arial" w:eastAsia="Arial" w:hAnsi="Arial"/>
                <w:sz w:val="18"/>
                <w:szCs w:val="18"/>
                <w:color w:val="auto"/>
                <w:w w:val="93"/>
              </w:rPr>
              <w:t>–Reported that Part B of</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–Allergic</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w w:val="90"/>
              </w:rPr>
              <w:t>the Phase 3 trial in adults</w:t>
            </w: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rPr>
              <w:t>and adolescents with</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bronchopulmonary</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w w:val="99"/>
              </w:rPr>
              <w:t>EoE met its co-primary</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aspergillosis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("ABPA")</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 inducible</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–Approved by FDA for</w:t>
            </w: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rPr>
                <w:sz w:val="20"/>
                <w:szCs w:val="20"/>
                <w:color w:val="auto"/>
              </w:rPr>
            </w:pPr>
            <w:r>
              <w:rPr>
                <w:rFonts w:ascii="Arial" w:cs="Arial" w:eastAsia="Arial" w:hAnsi="Arial"/>
                <w:sz w:val="18"/>
                <w:szCs w:val="18"/>
                <w:color w:val="auto"/>
              </w:rPr>
              <w:t>200 mg auto-injector</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urticaria</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5"/>
              </w:rPr>
              <w:t>–Reported that Phase 2</w:t>
            </w: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rPr>
              <w:t>trial of Dupixent in</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rhinosinusitis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rPr>
              <w:t>combination with</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without nasal</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w w:val="96"/>
              </w:rPr>
              <w:t>Aimmune Therapeutics'</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polyposis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restart"/>
          </w:tcPr>
          <w:p>
            <w:pPr>
              <w:spacing w:after="0" w:line="174" w:lineRule="exact"/>
              <w:rPr>
                <w:sz w:val="20"/>
                <w:szCs w:val="20"/>
                <w:color w:val="auto"/>
              </w:rPr>
            </w:pPr>
            <w:r>
              <w:rPr>
                <w:rFonts w:ascii="Arial" w:cs="Arial" w:eastAsia="Arial" w:hAnsi="Arial"/>
                <w:sz w:val="18"/>
                <w:szCs w:val="18"/>
                <w:color w:val="auto"/>
              </w:rPr>
              <w:t>AR101, an oral</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–Allergic fungal</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immunotherapy, in</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pediatric patients with</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rhinosinusitis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peanut allergy met its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226"/>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5"/>
              </w:rPr>
              <w:t>Kevzara (sarilumab)</w:t>
            </w:r>
            <w:r>
              <w:rPr>
                <w:rFonts w:ascii="Arial" w:cs="Arial" w:eastAsia="Arial" w:hAnsi="Arial"/>
                <w:sz w:val="23"/>
                <w:szCs w:val="23"/>
                <w:b w:val="1"/>
                <w:bCs w:val="1"/>
                <w:color w:val="auto"/>
                <w:w w:val="95"/>
                <w:vertAlign w:val="superscript"/>
              </w:rPr>
              <w:t>(a)</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secondary endpoint</w:t>
            </w: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–Polyarticular-</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Antibody to IL-6R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course juvenile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("pcJIA")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w w:val="99"/>
              </w:rPr>
              <w:t>–Systemic juvenile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Itepekimab</w:t>
            </w:r>
            <w:r>
              <w:rPr>
                <w:rFonts w:ascii="Arial" w:cs="Arial" w:eastAsia="Arial" w:hAnsi="Arial"/>
                <w:sz w:val="23"/>
                <w:szCs w:val="23"/>
                <w:b w:val="1"/>
                <w:bCs w:val="1"/>
                <w:color w:val="auto"/>
                <w:vertAlign w:val="superscript"/>
              </w:rPr>
              <w:t>(a)</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("sJIA")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–COPD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(REGN3500)</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IL-33</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0"/>
                <w:szCs w:val="20"/>
                <w:b w:val="1"/>
                <w:bCs w:val="1"/>
                <w:color w:val="auto"/>
                <w:vertAlign w:val="superscript"/>
              </w:rPr>
              <w:t>(f)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–Cat allergy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8" w:lineRule="exact"/>
              <w:rPr>
                <w:sz w:val="20"/>
                <w:szCs w:val="20"/>
                <w:color w:val="auto"/>
              </w:rPr>
            </w:pPr>
            <w:r>
              <w:rPr>
                <w:rFonts w:ascii="Arial" w:cs="Arial" w:eastAsia="Arial" w:hAnsi="Arial"/>
                <w:sz w:val="18"/>
                <w:szCs w:val="18"/>
                <w:color w:val="auto"/>
                <w:w w:val="95"/>
              </w:rPr>
              <w:t>–Reported that Phase 2</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study in cat allergic</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to Fel d 1</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patients with mild</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w w:val="99"/>
              </w:rPr>
              <w:t>asthma met its primary</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4" w:lineRule="exact"/>
              <w:rPr>
                <w:sz w:val="20"/>
                <w:szCs w:val="20"/>
                <w:color w:val="auto"/>
              </w:rPr>
            </w:pPr>
            <w:r>
              <w:rPr>
                <w:rFonts w:ascii="Arial" w:cs="Arial" w:eastAsia="Arial" w:hAnsi="Arial"/>
                <w:sz w:val="18"/>
                <w:szCs w:val="18"/>
                <w:color w:val="auto"/>
              </w:rPr>
              <w:t>and key secondary</w:t>
            </w: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-1972945</wp:posOffset>
            </wp:positionV>
            <wp:extent cx="7134225" cy="915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915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-694055</wp:posOffset>
            </wp:positionV>
            <wp:extent cx="7134225" cy="694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69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 Upcoming</w:t>
      </w:r>
    </w:p>
    <w:p>
      <w:pPr>
        <w:jc w:val="center"/>
        <w:ind w:right="-19"/>
        <w:spacing w:after="0" w:line="217" w:lineRule="auto"/>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1152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ind w:right="20"/>
        <w:spacing w:after="0" w:line="234" w:lineRule="auto"/>
        <w:rPr>
          <w:sz w:val="20"/>
          <w:szCs w:val="20"/>
          <w:color w:val="auto"/>
        </w:rPr>
      </w:pPr>
      <w:r>
        <w:rPr>
          <w:rFonts w:ascii="Arial" w:cs="Arial" w:eastAsia="Arial" w:hAnsi="Arial"/>
          <w:sz w:val="16"/>
          <w:szCs w:val="16"/>
          <w:color w:val="auto"/>
        </w:rPr>
        <w:t>–European Commission ("EC") decision on regulatory submission for asthma in pediatrics (6–11 years of age) (first half 2022)</w:t>
      </w:r>
    </w:p>
    <w:p>
      <w:pPr>
        <w:spacing w:after="0" w:line="18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–Complete rolling sBLA submission for EoE in adults and adolescents (first half 2022)</w:t>
      </w:r>
    </w:p>
    <w:p>
      <w:pPr>
        <w:spacing w:after="0" w:line="188" w:lineRule="exact"/>
        <w:rPr>
          <w:sz w:val="20"/>
          <w:szCs w:val="20"/>
          <w:color w:val="auto"/>
        </w:rPr>
      </w:pPr>
    </w:p>
    <w:p>
      <w:pPr>
        <w:ind w:right="100"/>
        <w:spacing w:after="0" w:line="307" w:lineRule="auto"/>
        <w:rPr>
          <w:sz w:val="20"/>
          <w:szCs w:val="20"/>
          <w:color w:val="auto"/>
        </w:rPr>
      </w:pPr>
      <w:r>
        <w:rPr>
          <w:rFonts w:ascii="Arial" w:cs="Arial" w:eastAsia="Arial" w:hAnsi="Arial"/>
          <w:sz w:val="14"/>
          <w:szCs w:val="14"/>
          <w:color w:val="auto"/>
        </w:rPr>
        <w:t>–Report results from Phase 2 study in peanut allergy (first half 2022)</w:t>
      </w:r>
    </w:p>
    <w:p>
      <w:pPr>
        <w:spacing w:after="0" w:line="14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–Report results from additional Phase 3 CSU study (first half 2022)</w:t>
      </w:r>
    </w:p>
    <w:p>
      <w:pPr>
        <w:spacing w:after="0" w:line="179"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–Report results from additional Phase 3 prurigo nodularis study (first half 2022)</w:t>
      </w:r>
    </w:p>
    <w:p>
      <w:pPr>
        <w:spacing w:after="0" w:line="4938" w:lineRule="exact"/>
        <w:rPr>
          <w:sz w:val="20"/>
          <w:szCs w:val="20"/>
          <w:color w:val="auto"/>
        </w:rPr>
      </w:pPr>
    </w:p>
    <w:p>
      <w:pPr>
        <w:sectPr>
          <w:pgSz w:w="11900" w:h="16838" w:orient="portrait"/>
          <w:cols w:equalWidth="0" w:num="2">
            <w:col w:w="9340" w:space="100"/>
            <w:col w:w="1780"/>
          </w:cols>
          <w:pgMar w:left="320" w:top="370" w:right="359" w:bottom="1440" w:gutter="0" w:footer="0" w:header="0"/>
          <w:type w:val="continuous"/>
        </w:sect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70" w:right="35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Regulatory</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8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20" w:type="dxa"/>
            <w:vAlign w:val="bottom"/>
          </w:tcPr>
          <w:p>
            <w:pPr>
              <w:jc w:val="center"/>
              <w:spacing w:after="0" w:line="226"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w w:val="94"/>
              </w:rPr>
              <w:t>REGN5713-5714-5715</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–Birch allergy</w:t>
            </w: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to Bet v 1</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REGN6490</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–Palmo-plantar</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IL-36R</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pustulosis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3"/>
          </w:tcPr>
          <w:p>
            <w:pPr>
              <w:ind w:left="140"/>
              <w:spacing w:after="0"/>
              <w:rPr>
                <w:sz w:val="20"/>
                <w:szCs w:val="20"/>
                <w:color w:val="auto"/>
              </w:rPr>
            </w:pPr>
            <w:r>
              <w:rPr>
                <w:rFonts w:ascii="Arial" w:cs="Arial" w:eastAsia="Arial" w:hAnsi="Arial"/>
                <w:sz w:val="18"/>
                <w:szCs w:val="18"/>
                <w:b w:val="1"/>
                <w:bCs w:val="1"/>
                <w:color w:val="auto"/>
              </w:rPr>
              <w:t>Solid Organ Oncology</w:t>
            </w:r>
          </w:p>
        </w:tc>
        <w:tc>
          <w:tcPr>
            <w:tcW w:w="0" w:type="dxa"/>
            <w:vAlign w:val="bottom"/>
          </w:tcPr>
          <w:p>
            <w:pPr>
              <w:spacing w:after="0"/>
              <w:rPr>
                <w:sz w:val="1"/>
                <w:szCs w:val="1"/>
                <w:color w:val="auto"/>
              </w:rPr>
            </w:pPr>
          </w:p>
        </w:tc>
      </w:tr>
      <w:tr>
        <w:trPr>
          <w:trHeight w:val="228"/>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Libtayo (cemiplimab)</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–Metastatic or</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–First-line NSCLC,</w:t>
            </w:r>
          </w:p>
        </w:tc>
        <w:tc>
          <w:tcPr>
            <w:tcW w:w="1220" w:type="dxa"/>
            <w:vAlign w:val="bottom"/>
          </w:tcPr>
          <w:p>
            <w:pPr>
              <w:ind w:left="20"/>
              <w:spacing w:after="0"/>
              <w:rPr>
                <w:sz w:val="20"/>
                <w:szCs w:val="20"/>
                <w:color w:val="auto"/>
              </w:rPr>
            </w:pPr>
            <w:r>
              <w:rPr>
                <w:rFonts w:ascii="Arial" w:cs="Arial" w:eastAsia="Arial" w:hAnsi="Arial"/>
                <w:sz w:val="18"/>
                <w:szCs w:val="18"/>
                <w:color w:val="auto"/>
              </w:rPr>
              <w:t>–Second-line</w:t>
            </w:r>
          </w:p>
        </w:tc>
        <w:tc>
          <w:tcPr>
            <w:tcW w:w="0" w:type="dxa"/>
            <w:vAlign w:val="bottom"/>
          </w:tcPr>
          <w:p>
            <w:pPr>
              <w:spacing w:after="0"/>
              <w:rPr>
                <w:sz w:val="1"/>
                <w:szCs w:val="1"/>
                <w:color w:val="auto"/>
              </w:rPr>
            </w:pPr>
          </w:p>
        </w:tc>
      </w:tr>
      <w:tr>
        <w:trPr>
          <w:trHeight w:val="106"/>
        </w:trPr>
        <w:tc>
          <w:tcPr>
            <w:tcW w:w="186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(a)(g)</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locally advanced</w:t>
            </w:r>
          </w:p>
        </w:tc>
        <w:tc>
          <w:tcPr>
            <w:tcW w:w="156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chemotherapy</w:t>
            </w:r>
          </w:p>
        </w:tc>
        <w:tc>
          <w:tcPr>
            <w:tcW w:w="1220" w:type="dxa"/>
            <w:vAlign w:val="bottom"/>
            <w:vMerge w:val="restart"/>
          </w:tcPr>
          <w:p>
            <w:pPr>
              <w:ind w:left="20"/>
              <w:spacing w:after="0" w:line="174" w:lineRule="exact"/>
              <w:rPr>
                <w:sz w:val="20"/>
                <w:szCs w:val="20"/>
                <w:color w:val="auto"/>
              </w:rPr>
            </w:pPr>
            <w:r>
              <w:rPr>
                <w:rFonts w:ascii="Arial" w:cs="Arial" w:eastAsia="Arial" w:hAnsi="Arial"/>
                <w:sz w:val="18"/>
                <w:szCs w:val="18"/>
                <w:color w:val="auto"/>
                <w:w w:val="98"/>
              </w:rPr>
              <w:t>cervical cancer</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PD-1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8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CSCC</w:t>
            </w:r>
            <w:r>
              <w:rPr>
                <w:rFonts w:ascii="Arial" w:cs="Arial" w:eastAsia="Arial" w:hAnsi="Arial"/>
                <w:sz w:val="23"/>
                <w:szCs w:val="23"/>
                <w:color w:val="auto"/>
                <w:vertAlign w:val="superscript"/>
              </w:rPr>
              <w:t>(d)</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combination</w:t>
            </w:r>
          </w:p>
        </w:tc>
        <w:tc>
          <w:tcPr>
            <w:tcW w:w="122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–Neoadjuvant</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–Second-line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CSCC</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cervical cancer</w:t>
            </w:r>
            <w:r>
              <w:rPr>
                <w:rFonts w:ascii="Arial" w:cs="Arial" w:eastAsia="Arial" w:hAnsi="Arial"/>
                <w:sz w:val="23"/>
                <w:szCs w:val="23"/>
                <w:color w:val="auto"/>
                <w:vertAlign w:val="superscript"/>
              </w:rPr>
              <w:t>(e)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–Second-line</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–Adjuvant CSCC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cervical cancer,</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ISA101b</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combination</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-1795145</wp:posOffset>
            </wp:positionV>
            <wp:extent cx="7134225" cy="431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431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9"/>
        <w:spacing w:after="0"/>
        <w:rPr>
          <w:sz w:val="20"/>
          <w:szCs w:val="20"/>
          <w:color w:val="auto"/>
        </w:rPr>
      </w:pPr>
      <w:r>
        <w:rPr>
          <w:rFonts w:ascii="Arial" w:cs="Arial" w:eastAsia="Arial" w:hAnsi="Arial"/>
          <w:sz w:val="18"/>
          <w:szCs w:val="18"/>
          <w:b w:val="1"/>
          <w:bCs w:val="1"/>
          <w:color w:val="auto"/>
        </w:rPr>
        <w:t>2021 Events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177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spacing w:after="0" w:line="17"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–Initial Phase 3 study in birch allergic patients with allergic rhinoconjunctivitis met its primary endpoint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–Approved by FDA and EC for first-line NSCLC, monotherapy</w:t>
      </w:r>
    </w:p>
    <w:p>
      <w:pPr>
        <w:spacing w:after="0" w:line="12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–Approved by FDA and EC for BCC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–Reported Phase 3</w:t>
      </w:r>
    </w:p>
    <w:p>
      <w:pPr>
        <w:spacing w:after="0" w:line="201" w:lineRule="auto"/>
        <w:rPr>
          <w:sz w:val="20"/>
          <w:szCs w:val="20"/>
          <w:color w:val="auto"/>
        </w:rPr>
      </w:pPr>
      <w:r>
        <w:rPr>
          <w:rFonts w:ascii="Arial" w:cs="Arial" w:eastAsia="Arial" w:hAnsi="Arial"/>
          <w:sz w:val="18"/>
          <w:szCs w:val="18"/>
          <w:color w:val="auto"/>
        </w:rPr>
        <w:t>chemotherapy</w:t>
      </w:r>
    </w:p>
    <w:p>
      <w:pPr>
        <w:spacing w:after="0" w:line="201" w:lineRule="auto"/>
        <w:rPr>
          <w:sz w:val="20"/>
          <w:szCs w:val="20"/>
          <w:color w:val="auto"/>
        </w:rPr>
      </w:pPr>
      <w:r>
        <w:rPr>
          <w:rFonts w:ascii="Arial" w:cs="Arial" w:eastAsia="Arial" w:hAnsi="Arial"/>
          <w:sz w:val="18"/>
          <w:szCs w:val="18"/>
          <w:color w:val="auto"/>
        </w:rPr>
        <w:t>combination trial in</w:t>
      </w:r>
    </w:p>
    <w:p>
      <w:pPr>
        <w:spacing w:after="0" w:line="201" w:lineRule="auto"/>
        <w:rPr>
          <w:sz w:val="20"/>
          <w:szCs w:val="20"/>
          <w:color w:val="auto"/>
        </w:rPr>
      </w:pPr>
      <w:r>
        <w:rPr>
          <w:rFonts w:ascii="Arial" w:cs="Arial" w:eastAsia="Arial" w:hAnsi="Arial"/>
          <w:sz w:val="18"/>
          <w:szCs w:val="18"/>
          <w:color w:val="auto"/>
        </w:rPr>
        <w:t>NSCLC met its overall</w:t>
      </w:r>
    </w:p>
    <w:p>
      <w:pPr>
        <w:spacing w:after="0" w:line="201" w:lineRule="auto"/>
        <w:rPr>
          <w:sz w:val="20"/>
          <w:szCs w:val="20"/>
          <w:color w:val="auto"/>
        </w:rPr>
      </w:pPr>
      <w:r>
        <w:rPr>
          <w:rFonts w:ascii="Arial" w:cs="Arial" w:eastAsia="Arial" w:hAnsi="Arial"/>
          <w:sz w:val="18"/>
          <w:szCs w:val="18"/>
          <w:color w:val="auto"/>
        </w:rPr>
        <w:t>survival primary</w:t>
      </w:r>
    </w:p>
    <w:p>
      <w:pPr>
        <w:spacing w:after="0" w:line="201" w:lineRule="auto"/>
        <w:rPr>
          <w:sz w:val="20"/>
          <w:szCs w:val="20"/>
          <w:color w:val="auto"/>
        </w:rPr>
      </w:pPr>
      <w:r>
        <w:rPr>
          <w:rFonts w:ascii="Arial" w:cs="Arial" w:eastAsia="Arial" w:hAnsi="Arial"/>
          <w:sz w:val="18"/>
          <w:szCs w:val="18"/>
          <w:color w:val="auto"/>
        </w:rPr>
        <w:t>endpoint; trial stopped</w:t>
      </w:r>
    </w:p>
    <w:p>
      <w:pPr>
        <w:spacing w:after="0" w:line="201" w:lineRule="auto"/>
        <w:rPr>
          <w:sz w:val="20"/>
          <w:szCs w:val="20"/>
          <w:color w:val="auto"/>
        </w:rPr>
      </w:pPr>
      <w:r>
        <w:rPr>
          <w:rFonts w:ascii="Arial" w:cs="Arial" w:eastAsia="Arial" w:hAnsi="Arial"/>
          <w:sz w:val="18"/>
          <w:szCs w:val="18"/>
          <w:color w:val="auto"/>
        </w:rPr>
        <w:t>early based on</w:t>
      </w:r>
    </w:p>
    <w:p>
      <w:pPr>
        <w:spacing w:after="0" w:line="201" w:lineRule="auto"/>
        <w:rPr>
          <w:sz w:val="20"/>
          <w:szCs w:val="20"/>
          <w:color w:val="auto"/>
        </w:rPr>
      </w:pPr>
      <w:r>
        <w:rPr>
          <w:rFonts w:ascii="Arial" w:cs="Arial" w:eastAsia="Arial" w:hAnsi="Arial"/>
          <w:sz w:val="18"/>
          <w:szCs w:val="18"/>
          <w:color w:val="auto"/>
        </w:rPr>
        <w:t>Independent Data</w:t>
      </w:r>
    </w:p>
    <w:p>
      <w:pPr>
        <w:spacing w:after="0" w:line="201" w:lineRule="auto"/>
        <w:rPr>
          <w:sz w:val="20"/>
          <w:szCs w:val="20"/>
          <w:color w:val="auto"/>
        </w:rPr>
      </w:pPr>
      <w:r>
        <w:rPr>
          <w:rFonts w:ascii="Arial" w:cs="Arial" w:eastAsia="Arial" w:hAnsi="Arial"/>
          <w:sz w:val="18"/>
          <w:szCs w:val="18"/>
          <w:color w:val="auto"/>
        </w:rPr>
        <w:t>Monitoring Committee</w:t>
      </w:r>
    </w:p>
    <w:p>
      <w:pPr>
        <w:spacing w:after="0" w:line="202" w:lineRule="auto"/>
        <w:rPr>
          <w:sz w:val="20"/>
          <w:szCs w:val="20"/>
          <w:color w:val="auto"/>
        </w:rPr>
      </w:pPr>
      <w:r>
        <w:rPr>
          <w:rFonts w:ascii="Arial" w:cs="Arial" w:eastAsia="Arial" w:hAnsi="Arial"/>
          <w:sz w:val="18"/>
          <w:szCs w:val="18"/>
          <w:color w:val="auto"/>
        </w:rPr>
        <w:t>("IDMC")</w:t>
      </w:r>
    </w:p>
    <w:p>
      <w:pPr>
        <w:spacing w:after="0"/>
        <w:rPr>
          <w:sz w:val="20"/>
          <w:szCs w:val="20"/>
          <w:color w:val="auto"/>
        </w:rPr>
      </w:pPr>
      <w:r>
        <w:rPr>
          <w:rFonts w:ascii="Arial" w:cs="Arial" w:eastAsia="Arial" w:hAnsi="Arial"/>
          <w:sz w:val="18"/>
          <w:szCs w:val="18"/>
          <w:color w:val="auto"/>
        </w:rPr>
        <w:t>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Upcoming</w:t>
      </w:r>
    </w:p>
    <w:p>
      <w:pPr>
        <w:jc w:val="center"/>
        <w:spacing w:after="0"/>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1152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–FDA decision on sBLA for cervical cancer (target action date of January 30, 2022)</w:t>
      </w:r>
    </w:p>
    <w:p>
      <w:pPr>
        <w:spacing w:after="0" w:line="186" w:lineRule="exact"/>
        <w:rPr>
          <w:sz w:val="20"/>
          <w:szCs w:val="20"/>
          <w:color w:val="auto"/>
        </w:rPr>
      </w:pPr>
    </w:p>
    <w:p>
      <w:pPr>
        <w:jc w:val="both"/>
        <w:ind w:right="400"/>
        <w:spacing w:after="0" w:line="221" w:lineRule="auto"/>
        <w:rPr>
          <w:sz w:val="20"/>
          <w:szCs w:val="20"/>
          <w:color w:val="auto"/>
        </w:rPr>
      </w:pPr>
      <w:r>
        <w:rPr>
          <w:rFonts w:ascii="Arial" w:cs="Arial" w:eastAsia="Arial" w:hAnsi="Arial"/>
          <w:sz w:val="18"/>
          <w:szCs w:val="18"/>
          <w:color w:val="auto"/>
        </w:rPr>
        <w:t>–Submit MAA for cervical cancer (Q4 2021)</w:t>
      </w:r>
    </w:p>
    <w:p>
      <w:pPr>
        <w:spacing w:after="0" w:line="189" w:lineRule="exact"/>
        <w:rPr>
          <w:sz w:val="20"/>
          <w:szCs w:val="20"/>
          <w:color w:val="auto"/>
        </w:rPr>
      </w:pPr>
    </w:p>
    <w:p>
      <w:pPr>
        <w:ind w:right="300"/>
        <w:spacing w:after="0" w:line="236" w:lineRule="auto"/>
        <w:rPr>
          <w:sz w:val="20"/>
          <w:szCs w:val="20"/>
          <w:color w:val="auto"/>
        </w:rPr>
      </w:pPr>
      <w:r>
        <w:rPr>
          <w:rFonts w:ascii="Arial" w:cs="Arial" w:eastAsia="Arial" w:hAnsi="Arial"/>
          <w:sz w:val="16"/>
          <w:szCs w:val="16"/>
          <w:color w:val="auto"/>
        </w:rPr>
        <w:t>–Submit sBLA (Q4 2021) and MAA (Q1</w:t>
      </w:r>
    </w:p>
    <w:p>
      <w:pPr>
        <w:spacing w:after="0" w:line="1" w:lineRule="exact"/>
        <w:rPr>
          <w:sz w:val="20"/>
          <w:szCs w:val="20"/>
          <w:color w:val="auto"/>
        </w:rPr>
      </w:pPr>
    </w:p>
    <w:p>
      <w:pPr>
        <w:ind w:right="460"/>
        <w:spacing w:after="0" w:line="243" w:lineRule="auto"/>
        <w:rPr>
          <w:sz w:val="20"/>
          <w:szCs w:val="20"/>
          <w:color w:val="auto"/>
        </w:rPr>
      </w:pPr>
      <w:r>
        <w:rPr>
          <w:rFonts w:ascii="Arial" w:cs="Arial" w:eastAsia="Arial" w:hAnsi="Arial"/>
          <w:sz w:val="16"/>
          <w:szCs w:val="16"/>
          <w:color w:val="auto"/>
        </w:rPr>
        <w:t>2022) for NSCLC, chemotherapy combination</w:t>
      </w:r>
    </w:p>
    <w:p>
      <w:pPr>
        <w:spacing w:after="0" w:line="646" w:lineRule="exact"/>
        <w:rPr>
          <w:sz w:val="20"/>
          <w:szCs w:val="20"/>
          <w:color w:val="auto"/>
        </w:rPr>
      </w:pPr>
    </w:p>
    <w:p>
      <w:pPr>
        <w:sectPr>
          <w:pgSz w:w="11900" w:h="16838" w:orient="portrait"/>
          <w:cols w:equalWidth="0" w:num="3">
            <w:col w:w="7420" w:space="80"/>
            <w:col w:w="1800" w:space="140"/>
            <w:col w:w="1800"/>
          </w:cols>
          <w:pgMar w:left="320" w:top="37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020" w:type="dxa"/>
            <w:vAlign w:val="bottom"/>
          </w:tcPr>
          <w:p>
            <w:pPr>
              <w:ind w:left="3280"/>
              <w:spacing w:after="0"/>
              <w:rPr>
                <w:sz w:val="20"/>
                <w:szCs w:val="20"/>
                <w:color w:val="auto"/>
              </w:rPr>
            </w:pPr>
            <w:r>
              <w:rPr>
                <w:rFonts w:ascii="Arial" w:cs="Arial" w:eastAsia="Arial" w:hAnsi="Arial"/>
                <w:sz w:val="18"/>
                <w:szCs w:val="18"/>
                <w:color w:val="auto"/>
              </w:rPr>
              <w:t>–Reported positive</w:t>
            </w:r>
          </w:p>
        </w:tc>
      </w:tr>
      <w:tr>
        <w:trPr>
          <w:trHeight w:val="173"/>
        </w:trPr>
        <w:tc>
          <w:tcPr>
            <w:tcW w:w="1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20" w:type="dxa"/>
            <w:vAlign w:val="bottom"/>
          </w:tcPr>
          <w:p>
            <w:pPr>
              <w:ind w:left="3280"/>
              <w:spacing w:after="0" w:line="174" w:lineRule="exact"/>
              <w:rPr>
                <w:sz w:val="20"/>
                <w:szCs w:val="20"/>
                <w:color w:val="auto"/>
              </w:rPr>
            </w:pPr>
            <w:r>
              <w:rPr>
                <w:rFonts w:ascii="Arial" w:cs="Arial" w:eastAsia="Arial" w:hAnsi="Arial"/>
                <w:sz w:val="18"/>
                <w:szCs w:val="18"/>
                <w:color w:val="auto"/>
              </w:rPr>
              <w:t>results from Phase 3 trial</w:t>
            </w:r>
          </w:p>
        </w:tc>
      </w:tr>
      <w:tr>
        <w:trPr>
          <w:trHeight w:val="173"/>
        </w:trPr>
        <w:tc>
          <w:tcPr>
            <w:tcW w:w="1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20" w:type="dxa"/>
            <w:vAlign w:val="bottom"/>
          </w:tcPr>
          <w:p>
            <w:pPr>
              <w:ind w:left="3280"/>
              <w:spacing w:after="0" w:line="174" w:lineRule="exact"/>
              <w:rPr>
                <w:sz w:val="20"/>
                <w:szCs w:val="20"/>
                <w:color w:val="auto"/>
              </w:rPr>
            </w:pPr>
            <w:r>
              <w:rPr>
                <w:rFonts w:ascii="Arial" w:cs="Arial" w:eastAsia="Arial" w:hAnsi="Arial"/>
                <w:sz w:val="18"/>
                <w:szCs w:val="18"/>
                <w:color w:val="auto"/>
              </w:rPr>
              <w:t>in cervical cancer,</w:t>
            </w:r>
          </w:p>
        </w:tc>
      </w:tr>
      <w:tr>
        <w:trPr>
          <w:trHeight w:val="173"/>
        </w:trPr>
        <w:tc>
          <w:tcPr>
            <w:tcW w:w="1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20" w:type="dxa"/>
            <w:vAlign w:val="bottom"/>
          </w:tcPr>
          <w:p>
            <w:pPr>
              <w:ind w:left="3280"/>
              <w:spacing w:after="0" w:line="174" w:lineRule="exact"/>
              <w:rPr>
                <w:sz w:val="20"/>
                <w:szCs w:val="20"/>
                <w:color w:val="auto"/>
              </w:rPr>
            </w:pPr>
            <w:r>
              <w:rPr>
                <w:rFonts w:ascii="Arial" w:cs="Arial" w:eastAsia="Arial" w:hAnsi="Arial"/>
                <w:sz w:val="18"/>
                <w:szCs w:val="18"/>
                <w:color w:val="auto"/>
              </w:rPr>
              <w:t>demonstrating an overall</w:t>
            </w:r>
          </w:p>
        </w:tc>
      </w:tr>
      <w:tr>
        <w:trPr>
          <w:trHeight w:val="173"/>
        </w:trPr>
        <w:tc>
          <w:tcPr>
            <w:tcW w:w="1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20" w:type="dxa"/>
            <w:vAlign w:val="bottom"/>
          </w:tcPr>
          <w:p>
            <w:pPr>
              <w:ind w:left="3280"/>
              <w:spacing w:after="0" w:line="174" w:lineRule="exact"/>
              <w:rPr>
                <w:sz w:val="20"/>
                <w:szCs w:val="20"/>
                <w:color w:val="auto"/>
              </w:rPr>
            </w:pPr>
            <w:r>
              <w:rPr>
                <w:rFonts w:ascii="Arial" w:cs="Arial" w:eastAsia="Arial" w:hAnsi="Arial"/>
                <w:sz w:val="18"/>
                <w:szCs w:val="18"/>
                <w:color w:val="auto"/>
              </w:rPr>
              <w:t>survival benefit; trial</w:t>
            </w:r>
          </w:p>
        </w:tc>
      </w:tr>
      <w:tr>
        <w:trPr>
          <w:trHeight w:val="173"/>
        </w:trPr>
        <w:tc>
          <w:tcPr>
            <w:tcW w:w="1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20" w:type="dxa"/>
            <w:vAlign w:val="bottom"/>
          </w:tcPr>
          <w:p>
            <w:pPr>
              <w:ind w:left="3280"/>
              <w:spacing w:after="0" w:line="174" w:lineRule="exact"/>
              <w:rPr>
                <w:sz w:val="20"/>
                <w:szCs w:val="20"/>
                <w:color w:val="auto"/>
              </w:rPr>
            </w:pPr>
            <w:r>
              <w:rPr>
                <w:rFonts w:ascii="Arial" w:cs="Arial" w:eastAsia="Arial" w:hAnsi="Arial"/>
                <w:sz w:val="18"/>
                <w:szCs w:val="18"/>
                <w:color w:val="auto"/>
              </w:rPr>
              <w:t>stopped early based on</w:t>
            </w:r>
          </w:p>
        </w:tc>
      </w:tr>
      <w:tr>
        <w:trPr>
          <w:trHeight w:val="227"/>
        </w:trPr>
        <w:tc>
          <w:tcPr>
            <w:tcW w:w="17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20" w:type="dxa"/>
            <w:vAlign w:val="bottom"/>
          </w:tcPr>
          <w:p>
            <w:pPr>
              <w:ind w:left="3280"/>
              <w:spacing w:after="0"/>
              <w:rPr>
                <w:sz w:val="20"/>
                <w:szCs w:val="20"/>
                <w:color w:val="auto"/>
              </w:rPr>
            </w:pPr>
            <w:r>
              <w:rPr>
                <w:rFonts w:ascii="Arial" w:cs="Arial" w:eastAsia="Arial" w:hAnsi="Arial"/>
                <w:sz w:val="18"/>
                <w:szCs w:val="18"/>
                <w:color w:val="auto"/>
              </w:rPr>
              <w:t>IDMC recommendation</w:t>
            </w:r>
          </w:p>
        </w:tc>
      </w:tr>
      <w:tr>
        <w:trPr>
          <w:trHeight w:val="174"/>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REGN4018</w:t>
            </w:r>
            <w:r>
              <w:rPr>
                <w:rFonts w:ascii="Arial" w:cs="Arial" w:eastAsia="Arial" w:hAnsi="Arial"/>
                <w:sz w:val="20"/>
                <w:szCs w:val="20"/>
                <w:b w:val="1"/>
                <w:bCs w:val="1"/>
                <w:color w:val="auto"/>
                <w:vertAlign w:val="superscript"/>
              </w:rPr>
              <w:t>(f)</w:t>
            </w:r>
          </w:p>
        </w:tc>
        <w:tc>
          <w:tcPr>
            <w:tcW w:w="24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–Platinum-</w:t>
            </w: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rPr>
              <w:t>–Report results from</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24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resistant</w:t>
            </w: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rPr>
              <w:t>Phase 1 study in</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9"/>
              </w:rPr>
              <w:t>targeting MUC16 and</w:t>
            </w:r>
          </w:p>
        </w:tc>
        <w:tc>
          <w:tcPr>
            <w:tcW w:w="24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ovarian cancer</w:t>
            </w: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rPr>
              <w:t>platinum-resistant</w:t>
            </w:r>
          </w:p>
        </w:tc>
      </w:tr>
      <w:tr>
        <w:trPr>
          <w:trHeight w:val="22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2480" w:type="dxa"/>
            <w:vAlign w:val="bottom"/>
            <w:shd w:val="clear" w:color="auto" w:fill="CCEEFF"/>
          </w:tcPr>
          <w:p>
            <w:pPr>
              <w:spacing w:after="0"/>
              <w:rPr>
                <w:sz w:val="19"/>
                <w:szCs w:val="19"/>
                <w:color w:val="auto"/>
              </w:rPr>
            </w:pPr>
          </w:p>
        </w:tc>
        <w:tc>
          <w:tcPr>
            <w:tcW w:w="7020" w:type="dxa"/>
            <w:vAlign w:val="bottom"/>
            <w:shd w:val="clear" w:color="auto" w:fill="CCEEFF"/>
          </w:tcPr>
          <w:p>
            <w:pPr>
              <w:ind w:left="5220"/>
              <w:spacing w:after="0"/>
              <w:rPr>
                <w:sz w:val="20"/>
                <w:szCs w:val="20"/>
                <w:color w:val="auto"/>
              </w:rPr>
            </w:pPr>
            <w:r>
              <w:rPr>
                <w:rFonts w:ascii="Arial" w:cs="Arial" w:eastAsia="Arial" w:hAnsi="Arial"/>
                <w:sz w:val="18"/>
                <w:szCs w:val="18"/>
                <w:color w:val="auto"/>
              </w:rPr>
              <w:t>ovarian cancer (2022)</w:t>
            </w: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b w:val="1"/>
                <w:bCs w:val="1"/>
                <w:color w:val="auto"/>
              </w:rPr>
              <w:t>REGN5668</w:t>
            </w:r>
          </w:p>
        </w:tc>
        <w:tc>
          <w:tcPr>
            <w:tcW w:w="2480" w:type="dxa"/>
            <w:vAlign w:val="bottom"/>
          </w:tcPr>
          <w:p>
            <w:pPr>
              <w:ind w:left="140"/>
              <w:spacing w:after="0" w:line="174" w:lineRule="exact"/>
              <w:rPr>
                <w:sz w:val="20"/>
                <w:szCs w:val="20"/>
                <w:color w:val="auto"/>
              </w:rPr>
            </w:pPr>
            <w:r>
              <w:rPr>
                <w:rFonts w:ascii="Arial" w:cs="Arial" w:eastAsia="Arial" w:hAnsi="Arial"/>
                <w:sz w:val="18"/>
                <w:szCs w:val="18"/>
                <w:color w:val="auto"/>
              </w:rPr>
              <w:t>–Ovarian</w:t>
            </w:r>
          </w:p>
        </w:tc>
        <w:tc>
          <w:tcPr>
            <w:tcW w:w="702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2480" w:type="dxa"/>
            <w:vAlign w:val="bottom"/>
          </w:tcPr>
          <w:p>
            <w:pPr>
              <w:ind w:left="140"/>
              <w:spacing w:after="0" w:line="174" w:lineRule="exact"/>
              <w:rPr>
                <w:sz w:val="20"/>
                <w:szCs w:val="20"/>
                <w:color w:val="auto"/>
              </w:rPr>
            </w:pPr>
            <w:r>
              <w:rPr>
                <w:rFonts w:ascii="Arial" w:cs="Arial" w:eastAsia="Arial" w:hAnsi="Arial"/>
                <w:sz w:val="18"/>
                <w:szCs w:val="18"/>
                <w:color w:val="auto"/>
              </w:rPr>
              <w:t>cancer</w:t>
            </w:r>
          </w:p>
        </w:tc>
        <w:tc>
          <w:tcPr>
            <w:tcW w:w="702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9"/>
              </w:rPr>
              <w:t>targeting MUC16 and</w:t>
            </w:r>
          </w:p>
        </w:tc>
        <w:tc>
          <w:tcPr>
            <w:tcW w:w="2480" w:type="dxa"/>
            <w:vAlign w:val="bottom"/>
          </w:tcPr>
          <w:p>
            <w:pPr>
              <w:spacing w:after="0"/>
              <w:rPr>
                <w:sz w:val="15"/>
                <w:szCs w:val="15"/>
                <w:color w:val="auto"/>
              </w:rPr>
            </w:pPr>
          </w:p>
        </w:tc>
        <w:tc>
          <w:tcPr>
            <w:tcW w:w="7020" w:type="dxa"/>
            <w:vAlign w:val="bottom"/>
          </w:tcPr>
          <w:p>
            <w:pPr>
              <w:spacing w:after="0"/>
              <w:rPr>
                <w:sz w:val="15"/>
                <w:szCs w:val="15"/>
                <w:color w:val="auto"/>
              </w:rPr>
            </w:pPr>
          </w:p>
        </w:tc>
      </w:tr>
      <w:tr>
        <w:trPr>
          <w:trHeight w:val="227"/>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CD28</w:t>
            </w:r>
          </w:p>
        </w:tc>
        <w:tc>
          <w:tcPr>
            <w:tcW w:w="2480" w:type="dxa"/>
            <w:vAlign w:val="bottom"/>
          </w:tcPr>
          <w:p>
            <w:pPr>
              <w:spacing w:after="0"/>
              <w:rPr>
                <w:sz w:val="19"/>
                <w:szCs w:val="19"/>
                <w:color w:val="auto"/>
              </w:rPr>
            </w:pPr>
          </w:p>
        </w:tc>
        <w:tc>
          <w:tcPr>
            <w:tcW w:w="7020" w:type="dxa"/>
            <w:vAlign w:val="bottom"/>
          </w:tcPr>
          <w:p>
            <w:pPr>
              <w:spacing w:after="0"/>
              <w:rPr>
                <w:sz w:val="19"/>
                <w:szCs w:val="19"/>
                <w:color w:val="auto"/>
              </w:rPr>
            </w:pPr>
          </w:p>
        </w:tc>
      </w:tr>
      <w:tr>
        <w:trPr>
          <w:trHeight w:val="174"/>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REGN5678</w:t>
            </w:r>
          </w:p>
        </w:tc>
        <w:tc>
          <w:tcPr>
            <w:tcW w:w="24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–Prostate</w:t>
            </w: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rPr>
              <w:t>–Report results from</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24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cancer</w:t>
            </w: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w w:val="87"/>
              </w:rPr>
              <w:t>Phase 1 study in prostate</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PSMA and</w:t>
            </w:r>
          </w:p>
        </w:tc>
        <w:tc>
          <w:tcPr>
            <w:tcW w:w="2480" w:type="dxa"/>
            <w:vAlign w:val="bottom"/>
            <w:shd w:val="clear" w:color="auto" w:fill="CCEEFF"/>
          </w:tcPr>
          <w:p>
            <w:pPr>
              <w:spacing w:after="0"/>
              <w:rPr>
                <w:sz w:val="15"/>
                <w:szCs w:val="15"/>
                <w:color w:val="auto"/>
              </w:rPr>
            </w:pPr>
          </w:p>
        </w:tc>
        <w:tc>
          <w:tcPr>
            <w:tcW w:w="7020" w:type="dxa"/>
            <w:vAlign w:val="bottom"/>
            <w:shd w:val="clear" w:color="auto" w:fill="CCEEFF"/>
          </w:tcPr>
          <w:p>
            <w:pPr>
              <w:ind w:left="5220"/>
              <w:spacing w:after="0" w:line="174" w:lineRule="exact"/>
              <w:rPr>
                <w:sz w:val="20"/>
                <w:szCs w:val="20"/>
                <w:color w:val="auto"/>
              </w:rPr>
            </w:pPr>
            <w:r>
              <w:rPr>
                <w:rFonts w:ascii="Arial" w:cs="Arial" w:eastAsia="Arial" w:hAnsi="Arial"/>
                <w:sz w:val="18"/>
                <w:szCs w:val="18"/>
                <w:color w:val="auto"/>
              </w:rPr>
              <w:t>cancer (2022)</w:t>
            </w:r>
          </w:p>
        </w:tc>
      </w:tr>
      <w:tr>
        <w:trPr>
          <w:trHeight w:val="22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248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r>
      <w:tr>
        <w:trPr>
          <w:trHeight w:val="973"/>
        </w:trPr>
        <w:tc>
          <w:tcPr>
            <w:tcW w:w="1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20" w:type="dxa"/>
            <w:vAlign w:val="bottom"/>
          </w:tcPr>
          <w:p>
            <w:pPr>
              <w:ind w:left="1320"/>
              <w:spacing w:after="0"/>
              <w:rPr>
                <w:sz w:val="20"/>
                <w:szCs w:val="20"/>
                <w:color w:val="auto"/>
              </w:rPr>
            </w:pPr>
            <w:r>
              <w:rPr>
                <w:rFonts w:ascii="Arial" w:cs="Arial" w:eastAsia="Arial" w:hAnsi="Arial"/>
                <w:sz w:val="18"/>
                <w:szCs w:val="18"/>
                <w:color w:val="auto"/>
              </w:rPr>
              <w:t>33</w:t>
            </w:r>
          </w:p>
        </w:tc>
      </w:tr>
      <w:tr>
        <w:trPr>
          <w:trHeight w:val="355"/>
        </w:trPr>
        <w:tc>
          <w:tcPr>
            <w:tcW w:w="17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Regulatory</w:t>
            </w:r>
          </w:p>
        </w:tc>
        <w:tc>
          <w:tcPr>
            <w:tcW w:w="1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2021 Events to Date</w:t>
            </w: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8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(continued)</w:t>
            </w:r>
          </w:p>
        </w:tc>
        <w:tc>
          <w:tcPr>
            <w:tcW w:w="128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80" w:type="dxa"/>
            <w:vAlign w:val="bottom"/>
            <w:gridSpan w:val="2"/>
          </w:tcPr>
          <w:p>
            <w:pPr>
              <w:jc w:val="center"/>
              <w:ind w:right="80"/>
              <w:spacing w:after="0" w:line="226" w:lineRule="exact"/>
              <w:rPr>
                <w:sz w:val="20"/>
                <w:szCs w:val="20"/>
                <w:color w:val="auto"/>
              </w:rPr>
            </w:pPr>
            <w:r>
              <w:rPr>
                <w:rFonts w:ascii="Arial" w:cs="Arial" w:eastAsia="Arial" w:hAnsi="Arial"/>
                <w:sz w:val="18"/>
                <w:szCs w:val="18"/>
                <w:b w:val="1"/>
                <w:bCs w:val="1"/>
                <w:color w:val="auto"/>
                <w:w w:val="83"/>
              </w:rPr>
              <w:t>Review</w:t>
            </w:r>
            <w:r>
              <w:rPr>
                <w:rFonts w:ascii="Arial" w:cs="Arial" w:eastAsia="Arial" w:hAnsi="Arial"/>
                <w:sz w:val="23"/>
                <w:szCs w:val="23"/>
                <w:b w:val="1"/>
                <w:bCs w:val="1"/>
                <w:color w:val="auto"/>
                <w:w w:val="83"/>
                <w:vertAlign w:val="superscript"/>
              </w:rPr>
              <w:t>(h)</w:t>
            </w:r>
          </w:p>
        </w:tc>
        <w:tc>
          <w:tcPr>
            <w:tcW w:w="1920" w:type="dxa"/>
            <w:vAlign w:val="bottom"/>
            <w:gridSpan w:val="2"/>
            <w:vMerge w:val="continue"/>
          </w:tcPr>
          <w:p>
            <w:pPr>
              <w:spacing w:after="0"/>
              <w:rPr>
                <w:sz w:val="19"/>
                <w:szCs w:val="19"/>
                <w:color w:val="auto"/>
              </w:rPr>
            </w:pPr>
          </w:p>
        </w:tc>
        <w:tc>
          <w:tcPr>
            <w:tcW w:w="1820" w:type="dxa"/>
            <w:vAlign w:val="bottom"/>
          </w:tcPr>
          <w:p>
            <w:pPr>
              <w:ind w:left="46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7"/>
        </w:trPr>
        <w:tc>
          <w:tcPr>
            <w:tcW w:w="180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rPr>
              <w:t>REGN5093</w:t>
            </w:r>
          </w:p>
        </w:tc>
        <w:tc>
          <w:tcPr>
            <w:tcW w:w="80" w:type="dxa"/>
            <w:vAlign w:val="bottom"/>
          </w:tcPr>
          <w:p>
            <w:pPr>
              <w:spacing w:after="0"/>
              <w:rPr>
                <w:sz w:val="14"/>
                <w:szCs w:val="14"/>
                <w:color w:val="auto"/>
              </w:rPr>
            </w:pPr>
          </w:p>
        </w:tc>
        <w:tc>
          <w:tcPr>
            <w:tcW w:w="120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–MET-altered</w:t>
            </w: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targeting two distinct</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NSCLC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MET epitopes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REGN5093-M114</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–MET</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overexpressing</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drug conjugate</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advanced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two distinct</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cancer</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MET epitopes</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Fianlimab</w:t>
            </w:r>
            <w:r>
              <w:rPr>
                <w:rFonts w:ascii="Arial" w:cs="Arial" w:eastAsia="Arial" w:hAnsi="Arial"/>
                <w:sz w:val="20"/>
                <w:szCs w:val="20"/>
                <w:b w:val="1"/>
                <w:bCs w:val="1"/>
                <w:color w:val="auto"/>
                <w:vertAlign w:val="superscript"/>
              </w:rPr>
              <w:t>(f)</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4"/>
              </w:rPr>
              <w:t>–Presented positive data</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w w:val="97"/>
              </w:rPr>
              <w:t>–Initiate Phase 3 study</w:t>
            </w: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(REGN3767)</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and advanced</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from Phase 1 trial in</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in first-line metastatic</w:t>
            </w: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Antibody to LAG-3</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hematologic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combination with</w:t>
            </w: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melanoma (2022)</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malignancies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Libtayo in advanced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melanoma at American</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Society of Clinical</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Oncology Annual</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Meeting</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REGN6569</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–Solid tumors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GITR</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REGN7075</w:t>
            </w:r>
          </w:p>
        </w:tc>
        <w:tc>
          <w:tcPr>
            <w:tcW w:w="12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–Solid tumors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targeting EGFR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CD28</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8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gridSpan w:val="2"/>
            <w:shd w:val="clear" w:color="auto" w:fill="ACACAC"/>
          </w:tcPr>
          <w:p>
            <w:pPr>
              <w:ind w:left="500"/>
              <w:spacing w:after="0"/>
              <w:rPr>
                <w:sz w:val="20"/>
                <w:szCs w:val="20"/>
                <w:color w:val="auto"/>
              </w:rPr>
            </w:pPr>
            <w:r>
              <w:rPr>
                <w:rFonts w:ascii="Arial" w:cs="Arial" w:eastAsia="Arial" w:hAnsi="Arial"/>
                <w:sz w:val="18"/>
                <w:szCs w:val="18"/>
                <w:b w:val="1"/>
                <w:bCs w:val="1"/>
                <w:color w:val="auto"/>
              </w:rPr>
              <w:t>Hematology</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Odronextamab</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–Certain B-cell</w:t>
            </w: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–B-cell non-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–Resumed enrollment of</w:t>
            </w: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–Initiate Phase 3</w:t>
            </w: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(REGN1979)</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malignancies</w:t>
            </w:r>
            <w:r>
              <w:rPr>
                <w:rFonts w:ascii="Arial" w:cs="Arial" w:eastAsia="Arial" w:hAnsi="Arial"/>
                <w:sz w:val="20"/>
                <w:szCs w:val="20"/>
                <w:color w:val="auto"/>
                <w:vertAlign w:val="superscript"/>
              </w:rPr>
              <w:t>(c)</w:t>
            </w: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Hodgkin</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 with follicular</w:t>
            </w: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program (2022)</w:t>
            </w: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lymphoma ("B-</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lymphoma ("FL")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CD20 and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NHL") (potentially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diffuse large B-cell</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CD3</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pivotal study)</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lymphoma ("DLBCL")</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following protocol</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amendments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0"/>
                <w:szCs w:val="20"/>
                <w:b w:val="1"/>
                <w:bCs w:val="1"/>
                <w:color w:val="auto"/>
                <w:vertAlign w:val="superscript"/>
              </w:rPr>
              <w:t>(f)</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–Multiple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–Expand into earlier</w:t>
            </w: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myeloma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rPr>
              <w:t>lines of multiple</w:t>
            </w:r>
          </w:p>
        </w:tc>
        <w:tc>
          <w:tcPr>
            <w:tcW w:w="0" w:type="dxa"/>
            <w:vAlign w:val="bottom"/>
          </w:tcPr>
          <w:p>
            <w:pPr>
              <w:spacing w:after="0"/>
              <w:rPr>
                <w:sz w:val="1"/>
                <w:szCs w:val="1"/>
                <w:color w:val="auto"/>
              </w:rPr>
            </w:pPr>
          </w:p>
        </w:tc>
      </w:tr>
      <w:tr>
        <w:trPr>
          <w:trHeight w:val="173"/>
        </w:trPr>
        <w:tc>
          <w:tcPr>
            <w:tcW w:w="188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targeting BCMA and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4" w:lineRule="exact"/>
              <w:rPr>
                <w:sz w:val="20"/>
                <w:szCs w:val="20"/>
                <w:color w:val="auto"/>
              </w:rPr>
            </w:pPr>
            <w:r>
              <w:rPr>
                <w:rFonts w:ascii="Arial" w:cs="Arial" w:eastAsia="Arial" w:hAnsi="Arial"/>
                <w:sz w:val="18"/>
                <w:szCs w:val="18"/>
                <w:color w:val="auto"/>
                <w:w w:val="99"/>
              </w:rPr>
              <w:t>myeloma therapy (first</w:t>
            </w:r>
          </w:p>
        </w:tc>
        <w:tc>
          <w:tcPr>
            <w:tcW w:w="0" w:type="dxa"/>
            <w:vAlign w:val="bottom"/>
          </w:tcPr>
          <w:p>
            <w:pPr>
              <w:spacing w:after="0"/>
              <w:rPr>
                <w:sz w:val="1"/>
                <w:szCs w:val="1"/>
                <w:color w:val="auto"/>
              </w:rPr>
            </w:pPr>
          </w:p>
        </w:tc>
      </w:tr>
      <w:tr>
        <w:trPr>
          <w:trHeight w:val="227"/>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study)</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half 2022)</w:t>
            </w:r>
          </w:p>
        </w:tc>
        <w:tc>
          <w:tcPr>
            <w:tcW w:w="0" w:type="dxa"/>
            <w:vAlign w:val="bottom"/>
          </w:tcPr>
          <w:p>
            <w:pPr>
              <w:spacing w:after="0"/>
              <w:rPr>
                <w:sz w:val="1"/>
                <w:szCs w:val="1"/>
                <w:color w:val="auto"/>
              </w:rPr>
            </w:pPr>
          </w:p>
        </w:tc>
      </w:tr>
      <w:tr>
        <w:trPr>
          <w:trHeight w:val="174"/>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0"/>
                <w:szCs w:val="20"/>
                <w:b w:val="1"/>
                <w:bCs w:val="1"/>
                <w:color w:val="auto"/>
                <w:vertAlign w:val="superscript"/>
              </w:rPr>
              <w:t>(f)</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–Multiple</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myeloma</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BCMA and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5" w:name="page36"/>
    <w:bookmarkEnd w:id="35"/>
    <w:p>
      <w:pPr>
        <w:spacing w:after="0" w:line="206" w:lineRule="auto"/>
        <w:framePr w:w="260" w:h="158" w:wrap="auto" w:vAnchor="page" w:hAnchor="page" w:x="5820" w:y="11443"/>
        <w:rPr>
          <w:rFonts w:ascii="Arial" w:cs="Arial" w:eastAsia="Arial" w:hAnsi="Arial"/>
          <w:sz w:val="16"/>
          <w:szCs w:val="16"/>
          <w:color w:val="auto"/>
        </w:rPr>
      </w:pPr>
      <w:r>
        <w:rPr>
          <w:rFonts w:ascii="Arial" w:cs="Arial" w:eastAsia="Arial" w:hAnsi="Arial"/>
          <w:sz w:val="16"/>
          <w:szCs w:val="16"/>
          <w:color w:val="auto"/>
        </w:rPr>
        <w:t>35</w:t>
      </w: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7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w:t>
            </w:r>
          </w:p>
        </w:tc>
        <w:tc>
          <w:tcPr>
            <w:tcW w:w="18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99"/>
              </w:rPr>
              <w:t>2021 Events to Date</w:t>
            </w:r>
          </w:p>
        </w:tc>
        <w:tc>
          <w:tcPr>
            <w:tcW w:w="1780" w:type="dxa"/>
            <w:vAlign w:val="bottom"/>
          </w:tcPr>
          <w:p>
            <w:pPr>
              <w:ind w:left="26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2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(continued)</w:t>
            </w:r>
          </w:p>
        </w:tc>
        <w:tc>
          <w:tcPr>
            <w:tcW w:w="130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280" w:type="dxa"/>
            <w:vAlign w:val="bottom"/>
            <w:gridSpan w:val="2"/>
          </w:tcPr>
          <w:p>
            <w:pPr>
              <w:ind w:left="260"/>
              <w:spacing w:after="0" w:line="226"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(h)</w:t>
            </w:r>
          </w:p>
        </w:tc>
        <w:tc>
          <w:tcPr>
            <w:tcW w:w="1860" w:type="dxa"/>
            <w:vAlign w:val="bottom"/>
            <w:gridSpan w:val="2"/>
            <w:vMerge w:val="continue"/>
          </w:tcPr>
          <w:p>
            <w:pPr>
              <w:spacing w:after="0"/>
              <w:rPr>
                <w:sz w:val="19"/>
                <w:szCs w:val="19"/>
                <w:color w:val="auto"/>
              </w:rPr>
            </w:pPr>
          </w:p>
        </w:tc>
        <w:tc>
          <w:tcPr>
            <w:tcW w:w="1780" w:type="dxa"/>
            <w:vAlign w:val="bottom"/>
          </w:tcPr>
          <w:p>
            <w:pPr>
              <w:ind w:left="44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7"/>
        </w:trPr>
        <w:tc>
          <w:tcPr>
            <w:tcW w:w="174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5"/>
                <w:szCs w:val="15"/>
                <w:b w:val="1"/>
                <w:bCs w:val="1"/>
                <w:color w:val="auto"/>
              </w:rPr>
              <w:t>Pozelimab</w:t>
            </w:r>
            <w:r>
              <w:rPr>
                <w:rFonts w:ascii="Arial" w:cs="Arial" w:eastAsia="Arial" w:hAnsi="Arial"/>
                <w:sz w:val="19"/>
                <w:szCs w:val="19"/>
                <w:b w:val="1"/>
                <w:bCs w:val="1"/>
                <w:color w:val="auto"/>
                <w:vertAlign w:val="superscript"/>
              </w:rPr>
              <w:t>(f)</w:t>
            </w: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–CD55-deficient</w:t>
            </w:r>
          </w:p>
        </w:tc>
        <w:tc>
          <w:tcPr>
            <w:tcW w:w="80" w:type="dxa"/>
            <w:vAlign w:val="bottom"/>
          </w:tcPr>
          <w:p>
            <w:pPr>
              <w:spacing w:after="0"/>
              <w:rPr>
                <w:sz w:val="14"/>
                <w:szCs w:val="14"/>
                <w:color w:val="auto"/>
              </w:rPr>
            </w:pPr>
          </w:p>
        </w:tc>
        <w:tc>
          <w:tcPr>
            <w:tcW w:w="162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w w:val="98"/>
              </w:rPr>
              <w:t>–Myasthenia gravis,</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–Submit BLA for</w:t>
            </w: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(REGN3918)</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protein-losing</w:t>
            </w:r>
          </w:p>
        </w:tc>
        <w:tc>
          <w:tcPr>
            <w:tcW w:w="17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cemdisiran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w w:val="93"/>
              </w:rPr>
              <w:t>CD55-deficient protein-</w:t>
            </w: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w w:val="95"/>
              </w:rPr>
              <w:t>Antibody to C5; studied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enteropathy</w:t>
            </w:r>
            <w:r>
              <w:rPr>
                <w:rFonts w:ascii="Arial" w:cs="Arial" w:eastAsia="Arial" w:hAnsi="Arial"/>
                <w:sz w:val="20"/>
                <w:szCs w:val="20"/>
                <w:color w:val="auto"/>
                <w:vertAlign w:val="superscript"/>
              </w:rPr>
              <w:t>(c)</w:t>
            </w:r>
            <w:r>
              <w:rPr>
                <w:rFonts w:ascii="Arial" w:cs="Arial" w:eastAsia="Arial" w:hAnsi="Arial"/>
                <w:sz w:val="16"/>
                <w:szCs w:val="16"/>
                <w:color w:val="auto"/>
              </w:rPr>
              <w:t>,</w:t>
            </w:r>
          </w:p>
        </w:tc>
        <w:tc>
          <w:tcPr>
            <w:tcW w:w="17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combination</w:t>
            </w:r>
            <w:r>
              <w:rPr>
                <w:rFonts w:ascii="Arial" w:cs="Arial" w:eastAsia="Arial" w:hAnsi="Arial"/>
                <w:sz w:val="20"/>
                <w:szCs w:val="20"/>
                <w:color w:val="auto"/>
                <w:vertAlign w:val="superscript"/>
              </w:rPr>
              <w:t>(n)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rPr>
              <w:t>losing enteropathy,</w:t>
            </w: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w w:val="97"/>
              </w:rPr>
              <w:t>as monotherapy and in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monotherapy</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w w:val="97"/>
              </w:rPr>
              <w:t>monotherapy (first half</w:t>
            </w: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combination with</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Arial" w:cs="Arial" w:eastAsia="Arial" w:hAnsi="Arial"/>
                <w:sz w:val="18"/>
                <w:szCs w:val="18"/>
                <w:i w:val="1"/>
                <w:iCs w:val="1"/>
                <w:color w:val="auto"/>
              </w:rPr>
              <w:t>cemdisiran</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study)</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rPr>
              <w:t>–Paroxysmal</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ind w:left="20"/>
              <w:spacing w:after="0" w:line="188" w:lineRule="exact"/>
              <w:rPr>
                <w:sz w:val="20"/>
                <w:szCs w:val="20"/>
                <w:color w:val="auto"/>
              </w:rPr>
            </w:pPr>
            <w:r>
              <w:rPr>
                <w:rFonts w:ascii="Arial" w:cs="Arial" w:eastAsia="Arial" w:hAnsi="Arial"/>
                <w:sz w:val="18"/>
                <w:szCs w:val="18"/>
                <w:color w:val="auto"/>
                <w:w w:val="95"/>
              </w:rPr>
              <w:t>–Initiate Phase 3 study</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rPr>
              <w:t>in PNH, cemdisiran</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nocturnal</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ind w:left="20"/>
              <w:spacing w:after="0" w:line="174" w:lineRule="exact"/>
              <w:rPr>
                <w:sz w:val="20"/>
                <w:szCs w:val="20"/>
                <w:color w:val="auto"/>
              </w:rPr>
            </w:pPr>
            <w:r>
              <w:rPr>
                <w:rFonts w:ascii="Arial" w:cs="Arial" w:eastAsia="Arial" w:hAnsi="Arial"/>
                <w:sz w:val="18"/>
                <w:szCs w:val="18"/>
                <w:color w:val="auto"/>
              </w:rPr>
              <w:t>combination (2022)</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hemoglobinuria</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("PNH"),</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cemdisiran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combination</w:t>
            </w:r>
            <w:r>
              <w:rPr>
                <w:rFonts w:ascii="Arial" w:cs="Arial" w:eastAsia="Arial" w:hAnsi="Arial"/>
                <w:sz w:val="23"/>
                <w:szCs w:val="23"/>
                <w:color w:val="auto"/>
                <w:vertAlign w:val="superscript"/>
              </w:rPr>
              <w:t>(c)(n)</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0"/>
                <w:szCs w:val="20"/>
                <w:b w:val="1"/>
                <w:bCs w:val="1"/>
                <w:color w:val="auto"/>
                <w:vertAlign w:val="superscript"/>
              </w:rPr>
              <w:t>(n)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–Immunoglobulin</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siRNA therapeutic</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 nephropathy</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targeting C5</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REGN7257</w:t>
            </w:r>
          </w:p>
        </w:tc>
        <w:tc>
          <w:tcPr>
            <w:tcW w:w="13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–Aplastic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2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IL2Rg</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anemia</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NTLA-2001</w:t>
            </w:r>
            <w:r>
              <w:rPr>
                <w:rFonts w:ascii="Arial" w:cs="Arial" w:eastAsia="Arial" w:hAnsi="Arial"/>
                <w:sz w:val="20"/>
                <w:szCs w:val="20"/>
                <w:b w:val="1"/>
                <w:bCs w:val="1"/>
                <w:color w:val="auto"/>
                <w:vertAlign w:val="superscript"/>
              </w:rPr>
              <w:t>(m)</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–Hereditary</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–Reported positive</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TTR gene knockout</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transthyretin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interim data from Phase</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using CRISPR/Cas9</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amyloidosis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1 trial in ATTRv-PN</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with</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polyneuropathy</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("ATTRv-PN")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2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REGN9933</w:t>
            </w:r>
          </w:p>
        </w:tc>
        <w:tc>
          <w:tcPr>
            <w:tcW w:w="13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–Thrombosis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Factor XI</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00" w:type="dxa"/>
            <w:vAlign w:val="bottom"/>
            <w:gridSpan w:val="2"/>
            <w:shd w:val="clear" w:color="auto" w:fill="ACACAC"/>
          </w:tcPr>
          <w:p>
            <w:pPr>
              <w:ind w:left="320"/>
              <w:spacing w:after="0"/>
              <w:rPr>
                <w:sz w:val="20"/>
                <w:szCs w:val="20"/>
                <w:color w:val="auto"/>
              </w:rPr>
            </w:pPr>
            <w:r>
              <w:rPr>
                <w:rFonts w:ascii="Arial" w:cs="Arial" w:eastAsia="Arial" w:hAnsi="Arial"/>
                <w:sz w:val="18"/>
                <w:szCs w:val="18"/>
                <w:b w:val="1"/>
                <w:bCs w:val="1"/>
                <w:color w:val="auto"/>
                <w:w w:val="91"/>
              </w:rPr>
              <w:t>General Medicine</w:t>
            </w: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REGEN-COV</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w:t>
            </w: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 dose-</w:t>
            </w:r>
          </w:p>
        </w:tc>
        <w:tc>
          <w:tcPr>
            <w:tcW w:w="17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w:t>
            </w: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–Reported that Phase 3</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–FDA decision on BLA</w:t>
            </w: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(casirivimab and</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multi-dose</w:t>
            </w: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ranging virology</w:t>
            </w:r>
          </w:p>
        </w:tc>
        <w:tc>
          <w:tcPr>
            <w:tcW w:w="17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treatment in non-</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treatment and</w:t>
            </w: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trials in non-</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(target action date of</w:t>
            </w: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(e)(k)(l)</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safety study</w:t>
            </w: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study in non-</w:t>
            </w:r>
          </w:p>
        </w:tc>
        <w:tc>
          <w:tcPr>
            <w:tcW w:w="17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hospitalized patients</w:t>
            </w: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prevention</w:t>
            </w: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hospitalized COVID-19</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April 13, 2022) and EC</w:t>
            </w: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hospitalized</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(U.S. and EU)</w:t>
            </w: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 met primary</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decision on regulatory</w:t>
            </w:r>
          </w:p>
        </w:tc>
        <w:tc>
          <w:tcPr>
            <w:tcW w:w="0" w:type="dxa"/>
            <w:vAlign w:val="bottom"/>
          </w:tcPr>
          <w:p>
            <w:pPr>
              <w:spacing w:after="0"/>
              <w:rPr>
                <w:sz w:val="1"/>
                <w:szCs w:val="1"/>
                <w:color w:val="auto"/>
              </w:rPr>
            </w:pPr>
          </w:p>
        </w:tc>
      </w:tr>
      <w:tr>
        <w:trPr>
          <w:trHeight w:val="173"/>
        </w:trPr>
        <w:tc>
          <w:tcPr>
            <w:tcW w:w="1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to SARS-CoV-2 virus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and key secondary</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submission (Q4 2021)</w:t>
            </w:r>
          </w:p>
        </w:tc>
        <w:tc>
          <w:tcPr>
            <w:tcW w:w="0" w:type="dxa"/>
            <w:vAlign w:val="bottom"/>
          </w:tcPr>
          <w:p>
            <w:pPr>
              <w:spacing w:after="0"/>
              <w:rPr>
                <w:sz w:val="1"/>
                <w:szCs w:val="1"/>
                <w:color w:val="auto"/>
              </w:rPr>
            </w:pPr>
          </w:p>
        </w:tc>
      </w:tr>
      <w:tr>
        <w:trPr>
          <w:trHeight w:val="67"/>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00" w:type="dxa"/>
            <w:vAlign w:val="bottom"/>
            <w:gridSpan w:val="2"/>
            <w:vMerge w:val="continue"/>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–EUA</w:t>
            </w:r>
          </w:p>
        </w:tc>
        <w:tc>
          <w:tcPr>
            <w:tcW w:w="18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endpoints</w:t>
            </w:r>
          </w:p>
        </w:tc>
        <w:tc>
          <w:tcPr>
            <w:tcW w:w="1780" w:type="dxa"/>
            <w:vAlign w:val="bottom"/>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for COVID-19</w:t>
            </w: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treatment in</w:t>
            </w:r>
          </w:p>
        </w:tc>
        <w:tc>
          <w:tcPr>
            <w:tcW w:w="1280" w:type="dxa"/>
            <w:vAlign w:val="bottom"/>
            <w:gridSpan w:val="2"/>
            <w:vMerge w:val="continue"/>
            <w:shd w:val="clear" w:color="auto" w:fill="CCEEFF"/>
          </w:tcPr>
          <w:p>
            <w:pPr>
              <w:spacing w:after="0"/>
              <w:rPr>
                <w:sz w:val="9"/>
                <w:szCs w:val="9"/>
                <w:color w:val="auto"/>
              </w:rPr>
            </w:pPr>
          </w:p>
        </w:tc>
        <w:tc>
          <w:tcPr>
            <w:tcW w:w="1860" w:type="dxa"/>
            <w:vAlign w:val="bottom"/>
            <w:gridSpan w:val="2"/>
            <w:vMerge w:val="continue"/>
            <w:shd w:val="clear" w:color="auto" w:fill="CCEEFF"/>
          </w:tcPr>
          <w:p>
            <w:pPr>
              <w:spacing w:after="0"/>
              <w:rPr>
                <w:sz w:val="9"/>
                <w:szCs w:val="9"/>
                <w:color w:val="auto"/>
              </w:rPr>
            </w:pPr>
          </w:p>
        </w:tc>
        <w:tc>
          <w:tcPr>
            <w:tcW w:w="1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00" w:type="dxa"/>
            <w:vAlign w:val="bottom"/>
            <w:gridSpan w:val="2"/>
            <w:vMerge w:val="continue"/>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amendment to</w:t>
            </w:r>
          </w:p>
        </w:tc>
        <w:tc>
          <w:tcPr>
            <w:tcW w:w="1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80" w:type="dxa"/>
            <w:vAlign w:val="bottom"/>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treatment of non-</w:t>
            </w: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hospitalized patients</w:t>
            </w:r>
          </w:p>
        </w:tc>
        <w:tc>
          <w:tcPr>
            <w:tcW w:w="1280" w:type="dxa"/>
            <w:vAlign w:val="bottom"/>
            <w:gridSpan w:val="2"/>
            <w:vMerge w:val="continue"/>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add COVID-19</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England Journal</w:t>
            </w:r>
          </w:p>
        </w:tc>
        <w:tc>
          <w:tcPr>
            <w:tcW w:w="1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120"/>
        </w:trPr>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860" w:type="dxa"/>
            <w:vAlign w:val="bottom"/>
            <w:gridSpan w:val="2"/>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1280" w:type="dxa"/>
            <w:vAlign w:val="bottom"/>
            <w:gridSpan w:val="2"/>
            <w:shd w:val="clear" w:color="auto" w:fill="CCEEFF"/>
          </w:tcPr>
          <w:p>
            <w:pPr>
              <w:ind w:left="20"/>
              <w:spacing w:after="0" w:line="107" w:lineRule="exact"/>
              <w:rPr>
                <w:sz w:val="20"/>
                <w:szCs w:val="20"/>
                <w:color w:val="auto"/>
              </w:rPr>
            </w:pPr>
            <w:r>
              <w:rPr>
                <w:rFonts w:ascii="Arial" w:cs="Arial" w:eastAsia="Arial" w:hAnsi="Arial"/>
                <w:sz w:val="12"/>
                <w:szCs w:val="12"/>
                <w:color w:val="auto"/>
              </w:rPr>
              <w:t>treatment for</w:t>
            </w:r>
          </w:p>
        </w:tc>
        <w:tc>
          <w:tcPr>
            <w:tcW w:w="18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 xml:space="preserve">of Medicine </w:t>
            </w:r>
            <w:r>
              <w:rPr>
                <w:rFonts w:ascii="Arial" w:cs="Arial" w:eastAsia="Arial" w:hAnsi="Arial"/>
                <w:sz w:val="18"/>
                <w:szCs w:val="18"/>
                <w:color w:val="auto"/>
              </w:rPr>
              <w:t>published</w:t>
            </w:r>
          </w:p>
        </w:tc>
        <w:tc>
          <w:tcPr>
            <w:tcW w:w="178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color w:val="auto"/>
              </w:rPr>
              <w:t>and prevention</w:t>
            </w:r>
          </w:p>
        </w:tc>
        <w:tc>
          <w:tcPr>
            <w:tcW w:w="0" w:type="dxa"/>
            <w:vAlign w:val="bottom"/>
          </w:tcPr>
          <w:p>
            <w:pPr>
              <w:spacing w:after="0"/>
              <w:rPr>
                <w:sz w:val="1"/>
                <w:szCs w:val="1"/>
                <w:color w:val="auto"/>
              </w:rPr>
            </w:pPr>
          </w:p>
        </w:tc>
      </w:tr>
      <w:tr>
        <w:trPr>
          <w:trHeight w:val="67"/>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00" w:type="dxa"/>
            <w:vAlign w:val="bottom"/>
            <w:gridSpan w:val="2"/>
            <w:vMerge w:val="continue"/>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hospitalized</w:t>
            </w:r>
          </w:p>
        </w:tc>
        <w:tc>
          <w:tcPr>
            <w:tcW w:w="1860" w:type="dxa"/>
            <w:vAlign w:val="bottom"/>
            <w:gridSpan w:val="2"/>
            <w:vMerge w:val="continue"/>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positive results from</w:t>
            </w:r>
          </w:p>
        </w:tc>
        <w:tc>
          <w:tcPr>
            <w:tcW w:w="1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0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prevention</w:t>
            </w:r>
          </w:p>
        </w:tc>
        <w:tc>
          <w:tcPr>
            <w:tcW w:w="128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 and</w:t>
            </w:r>
          </w:p>
        </w:tc>
        <w:tc>
          <w:tcPr>
            <w:tcW w:w="1860" w:type="dxa"/>
            <w:vAlign w:val="bottom"/>
            <w:gridSpan w:val="2"/>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–Submit BLA (Q4</w:t>
            </w: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8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Phase 3 trial in non-</w:t>
            </w:r>
          </w:p>
        </w:tc>
        <w:tc>
          <w:tcPr>
            <w:tcW w:w="1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pre-exposure</w:t>
            </w:r>
          </w:p>
        </w:tc>
        <w:tc>
          <w:tcPr>
            <w:tcW w:w="1860" w:type="dxa"/>
            <w:vAlign w:val="bottom"/>
            <w:gridSpan w:val="2"/>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2021) and MAA (Q1</w:t>
            </w: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1280" w:type="dxa"/>
            <w:vAlign w:val="bottom"/>
            <w:gridSpan w:val="2"/>
            <w:vMerge w:val="continue"/>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hospitalized COVID-19</w:t>
            </w:r>
          </w:p>
        </w:tc>
        <w:tc>
          <w:tcPr>
            <w:tcW w:w="1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vMerge w:val="continue"/>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prophylaxis</w:t>
            </w: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2022) for COVID-19</w:t>
            </w:r>
          </w:p>
        </w:tc>
        <w:tc>
          <w:tcPr>
            <w:tcW w:w="0" w:type="dxa"/>
            <w:vAlign w:val="bottom"/>
          </w:tcPr>
          <w:p>
            <w:pPr>
              <w:spacing w:after="0"/>
              <w:rPr>
                <w:sz w:val="1"/>
                <w:szCs w:val="1"/>
                <w:color w:val="auto"/>
              </w:rPr>
            </w:pPr>
          </w:p>
        </w:tc>
      </w:tr>
      <w:tr>
        <w:trPr>
          <w:trHeight w:val="133"/>
        </w:trPr>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prevention in</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treatment in</w:t>
            </w: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immunocompromised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–NIH COVID-19</w:t>
            </w:r>
          </w:p>
        </w:tc>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hospitalized patients</w:t>
            </w:r>
          </w:p>
        </w:tc>
        <w:tc>
          <w:tcPr>
            <w:tcW w:w="0" w:type="dxa"/>
            <w:vAlign w:val="bottom"/>
          </w:tcPr>
          <w:p>
            <w:pPr>
              <w:spacing w:after="0"/>
              <w:rPr>
                <w:sz w:val="1"/>
                <w:szCs w:val="1"/>
                <w:color w:val="auto"/>
              </w:rPr>
            </w:pPr>
          </w:p>
        </w:tc>
      </w:tr>
      <w:tr>
        <w:trPr>
          <w:trHeight w:val="107"/>
        </w:trPr>
        <w:tc>
          <w:tcPr>
            <w:tcW w:w="1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patients</w:t>
            </w: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60" w:type="dxa"/>
            <w:vAlign w:val="bottom"/>
            <w:gridSpan w:val="2"/>
            <w:vMerge w:val="continue"/>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60" w:type="dxa"/>
            <w:vAlign w:val="bottom"/>
            <w:gridSpan w:val="2"/>
            <w:vMerge w:val="restart"/>
            <w:shd w:val="clear" w:color="auto" w:fill="CCEEFF"/>
          </w:tcPr>
          <w:p>
            <w:pPr>
              <w:ind w:left="20"/>
              <w:spacing w:after="0" w:line="174" w:lineRule="exact"/>
              <w:rPr>
                <w:sz w:val="20"/>
                <w:szCs w:val="20"/>
                <w:color w:val="auto"/>
              </w:rPr>
            </w:pPr>
            <w:r>
              <w:rPr>
                <w:rFonts w:ascii="Arial" w:cs="Arial" w:eastAsia="Arial" w:hAnsi="Arial"/>
                <w:sz w:val="18"/>
                <w:szCs w:val="18"/>
                <w:color w:val="auto"/>
              </w:rPr>
              <w:t>Treatment Guidelines</w:t>
            </w:r>
          </w:p>
        </w:tc>
        <w:tc>
          <w:tcPr>
            <w:tcW w:w="1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60" w:type="dxa"/>
            <w:vAlign w:val="bottom"/>
            <w:gridSpan w:val="2"/>
            <w:vMerge w:val="continue"/>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updated to strongly</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recommend REGEN-</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 be used in non-</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hospitalized COVID-19</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patients at high risk of</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clinical progression</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14"/>
        </w:trPr>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85"/>
              </w:rPr>
              <w:t>Phase 3</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2021 Events to Date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Select Upcoming</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6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line="226"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940" w:type="dxa"/>
            <w:vAlign w:val="bottom"/>
            <w:gridSpan w:val="2"/>
            <w:vMerge w:val="continue"/>
          </w:tcPr>
          <w:p>
            <w:pPr>
              <w:spacing w:after="0"/>
              <w:rPr>
                <w:sz w:val="19"/>
                <w:szCs w:val="19"/>
                <w:color w:val="auto"/>
              </w:rPr>
            </w:pPr>
          </w:p>
        </w:tc>
        <w:tc>
          <w:tcPr>
            <w:tcW w:w="1820" w:type="dxa"/>
            <w:vAlign w:val="bottom"/>
          </w:tcPr>
          <w:p>
            <w:pPr>
              <w:jc w:val="center"/>
              <w:spacing w:after="0" w:line="226"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(i)</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b w:val="1"/>
                <w:bCs w:val="1"/>
                <w:color w:val="auto"/>
              </w:rPr>
              <w:t>REGEN-COV</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5"/>
              </w:rPr>
              <w:t>–Reported that Phase 3</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(casirivimab and</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trial in hospitalized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imdevimab)</w:t>
            </w:r>
            <w:r>
              <w:rPr>
                <w:rFonts w:ascii="Arial" w:cs="Arial" w:eastAsia="Arial" w:hAnsi="Arial"/>
                <w:sz w:val="20"/>
                <w:szCs w:val="20"/>
                <w:b w:val="1"/>
                <w:bCs w:val="1"/>
                <w:color w:val="auto"/>
                <w:vertAlign w:val="superscript"/>
              </w:rPr>
              <w:t>(e)(k)(l)</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 patients met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(continued)</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its primary endpoint</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–Reported that all tested</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doses in Phase 2 dose-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ranging study in non-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hospitalized patients met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its primary endpoint</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–FDA updated EUA,</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lowering dose to 1,200</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mg, allowing for</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subcutaneous injections</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in certain circumstances,</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and to include post-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exposure prophylaxis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by Ministry</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of Health, Labour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Welfare ("MHLW") for</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COVID-19 treatment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–Reported that Phase 3</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prevention trial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uninfected household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contacts of SARS-CoV-2</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infected individuals met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its primary and key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secondary endpoints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–Positive results reported</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from Phase 3</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RECOVERY trial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hospitalized patients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w w:val="98"/>
              </w:rPr>
              <w:t>Praluent (alirocumab)</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ind w:right="80"/>
              <w:spacing w:after="0" w:line="174" w:lineRule="exact"/>
              <w:rPr>
                <w:sz w:val="20"/>
                <w:szCs w:val="20"/>
                <w:color w:val="auto"/>
              </w:rPr>
            </w:pPr>
            <w:r>
              <w:rPr>
                <w:rFonts w:ascii="Arial" w:cs="Arial" w:eastAsia="Arial" w:hAnsi="Arial"/>
                <w:sz w:val="18"/>
                <w:szCs w:val="18"/>
                <w:color w:val="auto"/>
                <w:w w:val="91"/>
              </w:rPr>
              <w:t>–HeFH in pediatrics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–Approved by FDA for</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PCSK9</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Regulatory</w:t>
            </w:r>
          </w:p>
        </w:tc>
        <w:tc>
          <w:tcPr>
            <w:tcW w:w="19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4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30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280" w:type="dxa"/>
            <w:vAlign w:val="bottom"/>
            <w:gridSpan w:val="2"/>
          </w:tcPr>
          <w:p>
            <w:pPr>
              <w:jc w:val="center"/>
              <w:ind w:right="100"/>
              <w:spacing w:after="0" w:line="226" w:lineRule="exact"/>
              <w:rPr>
                <w:sz w:val="20"/>
                <w:szCs w:val="20"/>
                <w:color w:val="auto"/>
              </w:rPr>
            </w:pPr>
            <w:r>
              <w:rPr>
                <w:rFonts w:ascii="Arial" w:cs="Arial" w:eastAsia="Arial" w:hAnsi="Arial"/>
                <w:sz w:val="18"/>
                <w:szCs w:val="18"/>
                <w:b w:val="1"/>
                <w:bCs w:val="1"/>
                <w:color w:val="auto"/>
                <w:w w:val="85"/>
              </w:rPr>
              <w:t>Review</w:t>
            </w:r>
            <w:r>
              <w:rPr>
                <w:rFonts w:ascii="Arial" w:cs="Arial" w:eastAsia="Arial" w:hAnsi="Arial"/>
                <w:sz w:val="23"/>
                <w:szCs w:val="23"/>
                <w:b w:val="1"/>
                <w:bCs w:val="1"/>
                <w:color w:val="auto"/>
                <w:w w:val="85"/>
                <w:vertAlign w:val="superscript"/>
              </w:rPr>
              <w:t>(h)</w:t>
            </w:r>
          </w:p>
        </w:tc>
        <w:tc>
          <w:tcPr>
            <w:tcW w:w="1920" w:type="dxa"/>
            <w:vAlign w:val="bottom"/>
            <w:gridSpan w:val="2"/>
            <w:vMerge w:val="continue"/>
          </w:tcPr>
          <w:p>
            <w:pPr>
              <w:spacing w:after="0"/>
              <w:rPr>
                <w:sz w:val="19"/>
                <w:szCs w:val="19"/>
                <w:color w:val="auto"/>
              </w:rPr>
            </w:pPr>
          </w:p>
        </w:tc>
        <w:tc>
          <w:tcPr>
            <w:tcW w:w="1820" w:type="dxa"/>
            <w:vAlign w:val="bottom"/>
          </w:tcPr>
          <w:p>
            <w:pPr>
              <w:ind w:left="46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7"/>
        </w:trPr>
        <w:tc>
          <w:tcPr>
            <w:tcW w:w="176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Fasinumab</w:t>
            </w:r>
            <w:r>
              <w:rPr>
                <w:rFonts w:ascii="Arial" w:cs="Arial" w:eastAsia="Arial" w:hAnsi="Arial"/>
                <w:sz w:val="19"/>
                <w:szCs w:val="19"/>
                <w:b w:val="1"/>
                <w:bCs w:val="1"/>
                <w:color w:val="auto"/>
                <w:vertAlign w:val="superscript"/>
              </w:rPr>
              <w:t>(j)(f)</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3"/>
              </w:rPr>
              <w:t>–Osteoarthritis pain</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–Report additional</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(REGN475)</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of the knee or hip</w:t>
            </w:r>
            <w:r>
              <w:rPr>
                <w:rFonts w:ascii="Arial" w:cs="Arial" w:eastAsia="Arial" w:hAnsi="Arial"/>
                <w:sz w:val="20"/>
                <w:szCs w:val="20"/>
                <w:color w:val="auto"/>
                <w:vertAlign w:val="superscript"/>
              </w:rPr>
              <w:t>(e)</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longer-term safety</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Antibody to NGF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results from Phase 3</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studies in osteoarthritis</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pain of the knee or hip</w:t>
            </w: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(Q4 2021)</w:t>
            </w:r>
          </w:p>
        </w:tc>
        <w:tc>
          <w:tcPr>
            <w:tcW w:w="0" w:type="dxa"/>
            <w:vAlign w:val="bottom"/>
          </w:tcPr>
          <w:p>
            <w:pPr>
              <w:spacing w:after="0"/>
              <w:rPr>
                <w:sz w:val="1"/>
                <w:szCs w:val="1"/>
                <w:color w:val="auto"/>
              </w:rPr>
            </w:pPr>
          </w:p>
        </w:tc>
      </w:tr>
      <w:tr>
        <w:trPr>
          <w:trHeight w:val="361"/>
        </w:trPr>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–Continue discussions</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with regulatory</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authorities and</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determine next steps for</w:t>
            </w: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the program (Q4 2021)</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w w:val="93"/>
              </w:rPr>
              <w:t>Evkeeza (evinacumab)</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5"/>
              </w:rPr>
              <w:t>–Acute pancreatitis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–Approved by FDA and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4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(f)</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rPr>
              <w:t>prevention</w:t>
            </w: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EC for HoFH</w:t>
            </w: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ANGPTL3</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84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2"/>
          </w:tcPr>
          <w:p>
            <w:pPr>
              <w:spacing w:after="0" w:line="189" w:lineRule="exact"/>
              <w:rPr>
                <w:sz w:val="20"/>
                <w:szCs w:val="20"/>
                <w:color w:val="auto"/>
              </w:rPr>
            </w:pPr>
            <w:r>
              <w:rPr>
                <w:rFonts w:ascii="Arial" w:cs="Arial" w:eastAsia="Arial" w:hAnsi="Arial"/>
                <w:sz w:val="18"/>
                <w:szCs w:val="18"/>
                <w:color w:val="auto"/>
              </w:rPr>
              <w:t>–Completed Phase 2</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spacing w:after="0" w:line="174" w:lineRule="exact"/>
              <w:rPr>
                <w:sz w:val="20"/>
                <w:szCs w:val="20"/>
                <w:color w:val="auto"/>
              </w:rPr>
            </w:pPr>
            <w:r>
              <w:rPr>
                <w:rFonts w:ascii="Arial" w:cs="Arial" w:eastAsia="Arial" w:hAnsi="Arial"/>
                <w:sz w:val="18"/>
                <w:szCs w:val="18"/>
                <w:color w:val="auto"/>
              </w:rPr>
              <w:t>study in severe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hypertriglyceridemia</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Garetosmab</w:t>
            </w:r>
            <w:r>
              <w:rPr>
                <w:rFonts w:ascii="Arial" w:cs="Arial" w:eastAsia="Arial" w:hAnsi="Arial"/>
                <w:sz w:val="20"/>
                <w:szCs w:val="20"/>
                <w:b w:val="1"/>
                <w:bCs w:val="1"/>
                <w:color w:val="auto"/>
                <w:vertAlign w:val="superscript"/>
              </w:rPr>
              <w:t>(f)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–Fibrodysplasia</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–Further review trial</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(REGN2477)</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ossificans</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data and determine next</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Antibody to Activin A</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progressiva</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steps for the program</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20"/>
                <w:szCs w:val="20"/>
                <w:color w:val="auto"/>
                <w:vertAlign w:val="subscript"/>
              </w:rPr>
              <w:t>("FOP")</w:t>
            </w:r>
            <w:r>
              <w:rPr>
                <w:rFonts w:ascii="Arial" w:cs="Arial" w:eastAsia="Arial" w:hAnsi="Arial"/>
                <w:sz w:val="9"/>
                <w:szCs w:val="9"/>
                <w:color w:val="auto"/>
              </w:rPr>
              <w:t>(c)(d)(e)</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0"/>
                <w:szCs w:val="20"/>
                <w:b w:val="1"/>
                <w:bCs w:val="1"/>
                <w:color w:val="auto"/>
                <w:vertAlign w:val="superscript"/>
              </w:rPr>
              <w:t>(f)</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–Generalized</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Agonist antibody to</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lipodystrophy</w:t>
            </w:r>
            <w:r>
              <w:rPr>
                <w:rFonts w:ascii="Arial" w:cs="Arial" w:eastAsia="Arial" w:hAnsi="Arial"/>
                <w:sz w:val="20"/>
                <w:szCs w:val="20"/>
                <w:color w:val="auto"/>
                <w:vertAlign w:val="superscript"/>
              </w:rPr>
              <w:t>(e)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leptin receptor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("LEPR")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REGN5381</w:t>
            </w:r>
          </w:p>
        </w:tc>
        <w:tc>
          <w:tcPr>
            <w:tcW w:w="13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–Heart failure</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Agonist antibody to</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NPR1</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0"/>
                <w:szCs w:val="20"/>
                <w:b w:val="1"/>
                <w:bCs w:val="1"/>
                <w:color w:val="auto"/>
                <w:vertAlign w:val="superscript"/>
              </w:rPr>
              <w:t>(n)</w:t>
            </w:r>
          </w:p>
        </w:tc>
        <w:tc>
          <w:tcPr>
            <w:tcW w:w="13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–Nonalcoholic</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RNAi therapeutic</w:t>
            </w:r>
          </w:p>
        </w:tc>
        <w:tc>
          <w:tcPr>
            <w:tcW w:w="13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steatohepatitis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HSD17B13</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("NASH")</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6"/>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334"/>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40" w:right="460"/>
        <w:spacing w:after="0" w:line="235"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recruitment for the corresponding study or studies has commenced.</w:t>
      </w:r>
    </w:p>
    <w:p>
      <w:pPr>
        <w:spacing w:after="0" w:line="11" w:lineRule="exact"/>
        <w:rPr>
          <w:sz w:val="20"/>
          <w:szCs w:val="20"/>
          <w:color w:val="auto"/>
        </w:rPr>
      </w:pPr>
    </w:p>
    <w:p>
      <w:pPr>
        <w:ind w:left="380" w:hanging="149"/>
        <w:spacing w:after="0"/>
        <w:tabs>
          <w:tab w:leader="none" w:pos="38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 collaboration with Sanofi</w:t>
      </w:r>
    </w:p>
    <w:p>
      <w:pPr>
        <w:spacing w:after="0" w:line="22" w:lineRule="exact"/>
        <w:rPr>
          <w:rFonts w:ascii="Arial" w:cs="Arial" w:eastAsia="Arial" w:hAnsi="Arial"/>
          <w:sz w:val="18"/>
          <w:szCs w:val="18"/>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Bayer outside of the United States</w:t>
      </w:r>
    </w:p>
    <w:p>
      <w:pPr>
        <w:spacing w:after="0" w:line="23" w:lineRule="exact"/>
        <w:rPr>
          <w:rFonts w:ascii="Arial" w:cs="Arial" w:eastAsia="Arial" w:hAnsi="Arial"/>
          <w:sz w:val="20"/>
          <w:szCs w:val="20"/>
          <w:color w:val="auto"/>
          <w:vertAlign w:val="superscript"/>
        </w:rPr>
      </w:pPr>
    </w:p>
    <w:p>
      <w:pPr>
        <w:ind w:left="400" w:hanging="169"/>
        <w:spacing w:after="0" w:line="189" w:lineRule="auto"/>
        <w:tabs>
          <w:tab w:leader="none" w:pos="4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FDA granted orphan drug designation</w:t>
      </w:r>
    </w:p>
    <w:p>
      <w:pPr>
        <w:spacing w:after="0" w:line="23" w:lineRule="exact"/>
        <w:rPr>
          <w:rFonts w:ascii="Arial" w:cs="Arial" w:eastAsia="Arial" w:hAnsi="Arial"/>
          <w:sz w:val="21"/>
          <w:szCs w:val="21"/>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Breakthrough Therapy designation</w:t>
      </w:r>
    </w:p>
    <w:p>
      <w:pPr>
        <w:spacing w:after="0" w:line="23" w:lineRule="exact"/>
        <w:rPr>
          <w:rFonts w:ascii="Arial" w:cs="Arial" w:eastAsia="Arial" w:hAnsi="Arial"/>
          <w:sz w:val="20"/>
          <w:szCs w:val="20"/>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Fast Track designation</w:t>
      </w:r>
    </w:p>
    <w:p>
      <w:pPr>
        <w:spacing w:after="0" w:line="23" w:lineRule="exact"/>
        <w:rPr>
          <w:rFonts w:ascii="Arial" w:cs="Arial" w:eastAsia="Arial" w:hAnsi="Arial"/>
          <w:sz w:val="20"/>
          <w:szCs w:val="20"/>
          <w:color w:val="auto"/>
          <w:vertAlign w:val="superscript"/>
        </w:rPr>
      </w:pPr>
    </w:p>
    <w:p>
      <w:pPr>
        <w:ind w:left="240" w:hanging="9"/>
        <w:spacing w:after="0" w:line="187" w:lineRule="auto"/>
        <w:tabs>
          <w:tab w:leader="none" w:pos="395"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1" w:lineRule="exact"/>
        <w:rPr>
          <w:rFonts w:ascii="Arial" w:cs="Arial" w:eastAsia="Arial" w:hAnsi="Arial"/>
          <w:sz w:val="23"/>
          <w:szCs w:val="23"/>
          <w:color w:val="auto"/>
          <w:vertAlign w:val="superscript"/>
        </w:rPr>
      </w:pPr>
    </w:p>
    <w:p>
      <w:pPr>
        <w:ind w:left="420" w:hanging="189"/>
        <w:spacing w:after="0" w:line="205" w:lineRule="auto"/>
        <w:tabs>
          <w:tab w:leader="none" w:pos="4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Studied as monotherapy and in combination with other antibodies and treatments</w:t>
      </w:r>
    </w:p>
    <w:p>
      <w:pPr>
        <w:spacing w:after="0" w:line="23" w:lineRule="exact"/>
        <w:rPr>
          <w:rFonts w:ascii="Arial" w:cs="Arial" w:eastAsia="Arial" w:hAnsi="Arial"/>
          <w:sz w:val="23"/>
          <w:szCs w:val="23"/>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Information in this column relates to U.S., EU, and Japan regulatory submissions only</w:t>
      </w:r>
    </w:p>
    <w:p>
      <w:pPr>
        <w:spacing w:after="0" w:line="37" w:lineRule="exact"/>
        <w:rPr>
          <w:rFonts w:ascii="Arial" w:cs="Arial" w:eastAsia="Arial" w:hAnsi="Arial"/>
          <w:sz w:val="20"/>
          <w:szCs w:val="20"/>
          <w:color w:val="auto"/>
          <w:vertAlign w:val="superscript"/>
        </w:rPr>
      </w:pPr>
    </w:p>
    <w:p>
      <w:pPr>
        <w:ind w:left="240" w:right="140" w:hanging="9"/>
        <w:spacing w:after="0" w:line="187" w:lineRule="auto"/>
        <w:tabs>
          <w:tab w:leader="none" w:pos="393"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As described in the section preceding the table above and Part II, Item 1A. "Risk Factors," development timelines may be further subject to change as a result of the impact of the COVID-19 pandemic.</w:t>
      </w:r>
    </w:p>
    <w:p>
      <w:pPr>
        <w:spacing w:after="0" w:line="1" w:lineRule="exact"/>
        <w:rPr>
          <w:rFonts w:ascii="Arial" w:cs="Arial" w:eastAsia="Arial" w:hAnsi="Arial"/>
          <w:sz w:val="23"/>
          <w:szCs w:val="23"/>
          <w:color w:val="auto"/>
          <w:vertAlign w:val="superscript"/>
        </w:rPr>
      </w:pPr>
    </w:p>
    <w:p>
      <w:pPr>
        <w:ind w:left="360" w:hanging="129"/>
        <w:spacing w:after="0" w:line="212" w:lineRule="auto"/>
        <w:tabs>
          <w:tab w:leader="none" w:pos="36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 collaboration with Teva and Mitsubishi Tanabe Pharma</w:t>
      </w:r>
    </w:p>
    <w:p>
      <w:pPr>
        <w:spacing w:after="0" w:line="36" w:lineRule="exact"/>
        <w:rPr>
          <w:rFonts w:ascii="Arial" w:cs="Arial" w:eastAsia="Arial" w:hAnsi="Arial"/>
          <w:sz w:val="21"/>
          <w:szCs w:val="21"/>
          <w:color w:val="auto"/>
          <w:vertAlign w:val="superscript"/>
        </w:rPr>
      </w:pPr>
    </w:p>
    <w:p>
      <w:pPr>
        <w:ind w:left="420" w:hanging="189"/>
        <w:spacing w:after="0" w:line="180" w:lineRule="auto"/>
        <w:tabs>
          <w:tab w:leader="none" w:pos="420"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Certain trials conducted with the National Institute of Allergy and Infectious Diseases ("NIAID"), part of the NIH</w:t>
      </w:r>
    </w:p>
    <w:p>
      <w:pPr>
        <w:spacing w:after="0" w:line="23" w:lineRule="exact"/>
        <w:rPr>
          <w:rFonts w:ascii="Arial" w:cs="Arial" w:eastAsia="Arial" w:hAnsi="Arial"/>
          <w:sz w:val="22"/>
          <w:szCs w:val="22"/>
          <w:color w:val="auto"/>
          <w:vertAlign w:val="superscript"/>
        </w:rPr>
      </w:pPr>
    </w:p>
    <w:p>
      <w:pPr>
        <w:ind w:left="380" w:hanging="149"/>
        <w:spacing w:after="0" w:line="180"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In collaboration with Roche</w:t>
      </w:r>
    </w:p>
    <w:p>
      <w:pPr>
        <w:spacing w:after="0" w:line="23" w:lineRule="exact"/>
        <w:rPr>
          <w:rFonts w:ascii="Arial" w:cs="Arial" w:eastAsia="Arial" w:hAnsi="Arial"/>
          <w:sz w:val="22"/>
          <w:szCs w:val="22"/>
          <w:color w:val="auto"/>
          <w:vertAlign w:val="superscript"/>
        </w:rPr>
      </w:pPr>
    </w:p>
    <w:p>
      <w:pPr>
        <w:ind w:left="440" w:hanging="209"/>
        <w:spacing w:after="0" w:line="198" w:lineRule="auto"/>
        <w:tabs>
          <w:tab w:leader="none" w:pos="44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Intellia</w:t>
      </w:r>
    </w:p>
    <w:p>
      <w:pPr>
        <w:spacing w:after="0" w:line="23" w:lineRule="exact"/>
        <w:rPr>
          <w:rFonts w:ascii="Arial" w:cs="Arial" w:eastAsia="Arial" w:hAnsi="Arial"/>
          <w:sz w:val="20"/>
          <w:szCs w:val="20"/>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Alnylam</w:t>
      </w: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370" w:right="5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 Clinical Development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Treatment Study - Non-Hospitalized Patients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2021, the IDMC for the REGEN-COV Phase 3 trial in non-hospitalized patients with COVID-19 found clear clinical efficacy for reducing the rate of hospitalization and death with both the 1,200 mg and 2,400 mg doses of REGEN-COV compared to placebo, and recommended stopping enrollment in the placebo group.</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2021, we announced positive top-line results from the Phase 3 trial in non-hospitalized COVID-19 patients. The trial met its primary endpoint, showing that REGEN-COV reduced the risk of hospitalization or death by 70% (1,200 mg dose IV) and 71% (2,400 mg dose IV) compared to placebo. The trial also met key secondary endpoints, including the ability to reduce symptom duration.</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2021, the Company also announced that all tested doses (IV: 2,400 mg, 1,200 mg, 600 mg and 300 mg; subcutaneous injections: 1,200 mg and 600 mg) in the Phase 2 dose-ranging trial in non-hospitalized COVID-19 patients met the primary endpoint.</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April 2021, the Company announced positive data from the Phase 3 treatment trial in recently infected asymptomatic COVID-19 patients. The trial was being jointly run with the NIAID and met all primary and key secondary endpoints. The trial demonstrated that the 1,200 mg subcutaneous injection of REGEN-COV reduced the risk of progressing to symptomatic COVID-19 by 31% (primary endpoint), and by 76% after the third day.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Treatment Study - Hospitalized Patients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2021, positive results were reported from the Phase 3 UK-based RECOVERY trial in hospitalized patients with severe COVID-19. The trial found that adding REGEN-COV to usual care reduced the risk of death by 20% in patients who had not mounted a natural antibody response on their own against SARS-CoV-2, compared to usual care alone. We have shared these data with regulatory authorities and requested that the EUA be expanded to include COVID-19 treatment for appropriate hospitalized patients. We were subsequently notified by the sponsor of the RECOVERY trial of a Good Clinical Practices ("GCPs") inspection of the trial by the UK MHRA, which found certain deviations from GCP compliance. The MHRA report stated that it found no evidence that the identified issues had impacted the overall data integrity to such an extent that the data would be unreliable based on those findings. However, it noted that certain aspects of data quality could not be fully assured and requested that certain corrective and preventative actions be taken; the sponsor of the trial has been in discussions with the MHRA and is responding to these findings. We have shared this information with the FDA.</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Phase 2/3 portion of the treatment study in hospitalized patients being run by the Company, REGEN-COV met the primary virologic endpoint, showing that REGEN-COV reduced viral load in these hospitalized patients, but did not achieve statistical significance in the pre-specified primary clinical endpoint: reduction in mechanical ventilation or death from day 6 to day 29 in patients with high viral load at baseline. However, four out of five secondary clinical endpoints of the study were nominally significant including an endpoint preferred by the FDA: reduction in mechanical ventilation or death from day 1 to day 29 in all patients who were SARS-CoV-2 PCR-positive at baseline. The relative risk reduction with REGEN-COV versus placebo ranged from approximately 24% to 47% on these various clinical endpoints. In addition, an approximately 36% reduction in all-cause mortality was seen from day 1 to day 29, supporting the results of the RECOVERY trial.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2021, the Company announced that a Phase 3 trial in patients hospitalized with COVID-19 met its primary endpoint. The trial showed that REGEN-COV significantly reduced viral load within 7 days of treatment in patients who entered the trial without having mounted their own antibody response (seronegative) and required low-flow or no supplemental oxygen. Patients who received REGEN-COV in this trial experienced a 36% reduced risk of death within 29 days of receiving treatment, and in patients who were seronegative when they entered the trial the risk of death was reduced by 56%. The FDA is currently reviewing the Company's request to expand the EUA to include treatment in hospital settings.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Prevention Study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2021, we announced positive results from the Phase 3 COVID-19 prevention trial in household contacts of SARS-CoV-2 infected individuals. The trial, which was jointly run with the NIAID, part of the NIH, met its primary and key secondary endpoints, showing that REGEN-COV 1,200 mg subcutaneous injection reduced the risk of symptomatic infections by 81% in those who were not infected.</w:t>
      </w:r>
    </w:p>
    <w:p>
      <w:pPr>
        <w:spacing w:after="0" w:line="1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During the third quarter of 2021, we also initiated a Phase 2 trial in high-risk children aged 12 years and under to assess the safety and tolerability of REGEN-COV.</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first quarter of 2020, the Company announced an expansion of its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July 2020, the Company announced a $466 million agreement with entities acting at the direction of BARDA and the U.S. Department of Defense to manufacture and deliver filled and finished drug product of REGEN-COV to the U.S. government.</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all filled and finished doses of drug product delivered by June 30, 2021, up to 1.25 million doses, at the lowest treatment dose authorized or approved by the FDA for the indication authorized under the EUA, resulting in payments to the Company of $2.625 billion (as described under "Products - REGEN-COV - Emergency and Temporary Use Authorizations"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completed its final deliveries of drug product under the agreements described above.</w:t>
      </w:r>
    </w:p>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September 2021, the Company announced an amendment to its January 2021 agreement to supply the U.S. government with an additional 1.4 million doses of REGEN-COV. Pursuant to the agreement, the U.S. government is obligated to purchase all filled and finished doses of such additional drug product delivered by January 31, 2022, resulting in payments to the Company of up to $2.940 billion in the aggregate. A number of factors may impact the quantity and timing of filled and finished drug product supply, including manufacturing considerations. Additionally, Roche will supply a portion of the doses to Regeneron to fulfill our agreement with the U.S. government (see "Roche" below for further details regarding our collaboration agreement with Roche).</w:t>
      </w:r>
    </w:p>
    <w:p>
      <w:pPr>
        <w:spacing w:after="0" w:line="82" w:lineRule="exact"/>
        <w:rPr>
          <w:sz w:val="20"/>
          <w:szCs w:val="20"/>
          <w:color w:val="auto"/>
        </w:rPr>
      </w:pPr>
    </w:p>
    <w:p>
      <w:pPr>
        <w:ind w:right="1860"/>
        <w:spacing w:after="0" w:line="409" w:lineRule="auto"/>
        <w:rPr>
          <w:sz w:val="20"/>
          <w:szCs w:val="20"/>
          <w:color w:val="auto"/>
        </w:rPr>
      </w:pPr>
      <w:r>
        <w:rPr>
          <w:rFonts w:ascii="Arial" w:cs="Arial" w:eastAsia="Arial" w:hAnsi="Arial"/>
          <w:sz w:val="18"/>
          <w:szCs w:val="18"/>
          <w:color w:val="auto"/>
        </w:rPr>
        <w:t xml:space="preserve">See "Results of Operations - Revenues" below for REGEN-COV net product sales recognized in connection with these agreements. </w:t>
      </w:r>
      <w:r>
        <w:rPr>
          <w:rFonts w:ascii="Arial" w:cs="Arial" w:eastAsia="Arial" w:hAnsi="Arial"/>
          <w:sz w:val="18"/>
          <w:szCs w:val="18"/>
          <w:b w:val="1"/>
          <w:bCs w:val="1"/>
          <w:i w:val="1"/>
          <w:iCs w:val="1"/>
          <w:color w:val="auto"/>
        </w:rPr>
        <w:t>Roche</w:t>
      </w:r>
    </w:p>
    <w:p>
      <w:pPr>
        <w:spacing w:after="0" w:line="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August 2020, we entered into a collaboration agreement with Roche to develop, manufacture, and distribute the casirivimab and imdevimab antibody cocktail.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See discussion below for updates related to the development and commercialization of Praluent effective April 1, 2020.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the third quarter of 2020, the Company earned the first $50.0 million sales-based milestone from Sanofi, upon aggregate annual sales of antibodies outside the United States (including Praluent) exceeding $1.0 billion on a rolling twelve-month basis. In the third quarter of 2021, the Company earned the second $50.0 million sales-based milestone from Sanofi, upon aggregate annual sales of antibodies outside the United States (including Praluent) exceeding $1.5 billion on a rolling twelve-month basis. We are entitled to receive up to an aggregate of $150.0 million in additional sales milestone payments from Sanofi.</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collaborating with Sanofi on the development and commercialization of antibody-based cancer treatments in the field of immuno-oncology (the "IO Collaboration").</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Effective December 31, 2018, the Company and Sanofi entered into an Amended and Restated Immuno-oncology Discovery and Development Agreement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among other things, Sanofi's prepayment for certain IO Development Activities regarding the BCMAxCD3 Program and the MUC16xCD3 Program. Under the terms of the Amended IO Discovery Agreement, the Company was required to conduct development activities with respect to (i) the BCMAxCD3 Program through the earlier of clinical proof-of-concept or the expenditure of $70.0 million (the "BCMAxCD3 Program Costs Cap") and (ii) the MUC16xCD3 Program through the earlier of clinical proof-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With regard to the BCMAxCD3 Program and the MUC16xCD3 Program, when the applicable Program Costs Cap was reached, Sanofi had the option to license rights to the product candidate and other antibodies targeting the same targets for, with regard to BCMAxCD3, immuno-oncology indications, and with regard to MUC16xCD3, all indications, pursuant to the Immuno-oncology License and Collaboration Agreement (the "IO License and Collaboration Agreement"), as amended. During the first quarter of 2021, Sanofi did not exercise its options to license rights to these product candidates; as a result, we retain the exclusive right to develop and commercialize such product candidates and Sanofi will receive a royalty on sales (if any).</w:t>
      </w:r>
    </w:p>
    <w:p>
      <w:pPr>
        <w:spacing w:after="0" w:line="9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Under the terms of the IO License and Collaboration Agreement, the parties are co-developing and co-commercializing Libtayo. We have principal control over the development of Libtayo, and the parties share equally, on an ongoing basis, development and commercialization expenses for Libtayo.</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September 30, 2021,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Phase 1 clinical development). ALN-HSD is being co-developed with Alnylam with terms generally consistent with the form of a Co-Commercialization Collaboration Agreement in connection with the 2019 collaboration agreement as described below. Alnylam</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is conducting the Phase 1 clinical trial for ALN-HSD and Regeneron will be responsible for all other development as the lead party. The parties share equally, on an ongoing basis, development expenses for ALN-HSD.</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2016, we entered into a license and collaboration agreement with Intellia Therapeutics, Inc. to advance CRISPR/Cas9 gene-editing technology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commercialized)</w:t>
      </w:r>
      <w:r>
        <w:rPr>
          <w:rFonts w:ascii="Arial" w:cs="Arial" w:eastAsia="Arial" w:hAnsi="Arial"/>
          <w:sz w:val="21"/>
          <w:szCs w:val="21"/>
          <w:color w:val="auto"/>
        </w:rPr>
        <w:t>.</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May 2020, we expanded our existing collaboration with Intellia Therapeutics, Inc.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gene edited products. In connection with the May 2020 agreement, we made a $70.0 million up-front payment and purchased shares of Intellia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for an aggregate purchase price of $30.0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71" w:lineRule="exact"/>
        <w:rPr>
          <w:sz w:val="20"/>
          <w:szCs w:val="20"/>
          <w:color w:val="auto"/>
        </w:rPr>
      </w:pPr>
    </w:p>
    <w:p>
      <w:pPr>
        <w:ind w:right="2020"/>
        <w:spacing w:after="0" w:line="402" w:lineRule="auto"/>
        <w:rPr>
          <w:sz w:val="20"/>
          <w:szCs w:val="20"/>
          <w:color w:val="auto"/>
        </w:rPr>
      </w:pPr>
      <w:r>
        <w:rPr>
          <w:rFonts w:ascii="Arial" w:cs="Arial" w:eastAsia="Arial" w:hAnsi="Arial"/>
          <w:sz w:val="18"/>
          <w:szCs w:val="18"/>
          <w:color w:val="auto"/>
        </w:rPr>
        <w:t xml:space="preserve">See "Agreements Related to COVID-19 - U.S. Government" section above for information related to our COVID-19 agreements. </w:t>
      </w:r>
      <w:r>
        <w:rPr>
          <w:rFonts w:ascii="Arial" w:cs="Arial" w:eastAsia="Arial" w:hAnsi="Arial"/>
          <w:sz w:val="18"/>
          <w:szCs w:val="18"/>
          <w:b w:val="1"/>
          <w:bCs w:val="1"/>
          <w:i w:val="1"/>
          <w:iCs w:val="1"/>
          <w:color w:val="auto"/>
        </w:rPr>
        <w:t>Kiniksa</w:t>
      </w:r>
    </w:p>
    <w:p>
      <w:pPr>
        <w:jc w:val="both"/>
        <w:spacing w:after="0" w:line="255" w:lineRule="auto"/>
        <w:rPr>
          <w:sz w:val="20"/>
          <w:szCs w:val="20"/>
          <w:color w:val="auto"/>
        </w:rPr>
      </w:pPr>
      <w:r>
        <w:rPr>
          <w:rFonts w:ascii="Arial" w:cs="Arial" w:eastAsia="Arial" w:hAnsi="Arial"/>
          <w:sz w:val="18"/>
          <w:szCs w:val="18"/>
          <w:color w:val="auto"/>
        </w:rPr>
        <w:t>As described under "Products" above, pursuant to a 2017 license agreement, we granted Kiniksa the right to develop and commercialize certain new indications for ARCALYST. During the first quarter of 2021, Kiniksa received marketing approval in the United States for a new indication of ARCALYST, recurrent pericarditis, and, as a result, we received a $20.0 million milestone payment from Kiniksa. The quarterly period ended March 31, 2021 was the last quarter for which the Company recorded net product sales of ARCALYST.</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furnished pursuant to Section 13(a) or 15(d) of the Exchange Act, as soon as reasonably practicable after we electronically file such material with, or furnish it to, the Securities and Exchange Commission ("SEC").</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Nine Months Ended September 30,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9"/>
          </w:tcPr>
          <w:p>
            <w:pPr>
              <w:jc w:val="center"/>
              <w:ind w:left="251"/>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9"/>
          </w:tcPr>
          <w:p>
            <w:pPr>
              <w:jc w:val="right"/>
              <w:ind w:right="251"/>
              <w:spacing w:after="0"/>
              <w:rPr>
                <w:sz w:val="20"/>
                <w:szCs w:val="20"/>
                <w:color w:val="auto"/>
              </w:rPr>
            </w:pPr>
            <w:r>
              <w:rPr>
                <w:rFonts w:ascii="Arial" w:cs="Arial" w:eastAsia="Arial" w:hAnsi="Arial"/>
                <w:sz w:val="18"/>
                <w:szCs w:val="18"/>
                <w:b w:val="1"/>
                <w:bCs w:val="1"/>
                <w:color w:val="auto"/>
                <w:w w:val="92"/>
              </w:rPr>
              <w:t>Nine Months Ended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8"/>
          </w:tcPr>
          <w:p>
            <w:pPr>
              <w:jc w:val="right"/>
              <w:ind w:right="451"/>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8"/>
                <w:szCs w:val="18"/>
                <w:i w:val="1"/>
                <w:iCs w:val="1"/>
                <w:color w:val="auto"/>
                <w:w w:val="94"/>
              </w:rPr>
              <w:t>(In millions, except per share data)</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900" w:type="dxa"/>
            <w:vAlign w:val="bottom"/>
            <w:gridSpan w:val="6"/>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b w:val="1"/>
                <w:bCs w:val="1"/>
                <w:color w:val="auto"/>
              </w:rPr>
              <w:t>2021</w:t>
            </w:r>
          </w:p>
        </w:tc>
        <w:tc>
          <w:tcPr>
            <w:tcW w:w="1200" w:type="dxa"/>
            <w:vAlign w:val="bottom"/>
            <w:gridSpan w:val="6"/>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3,452.8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2,294.0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11,120.0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6,074.2</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1,605.6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1,240.9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4,812.9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3,664.6</w:t>
            </w: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1,847.2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2,409.6</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515.3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176.2</w:t>
            </w: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1,816.6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2,585.8</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976.1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221.8</w:t>
            </w:r>
          </w:p>
        </w:tc>
        <w:tc>
          <w:tcPr>
            <w:tcW w:w="680" w:type="dxa"/>
            <w:vAlign w:val="bottom"/>
          </w:tcPr>
          <w:p>
            <w:pPr>
              <w:spacing w:after="0"/>
              <w:rPr>
                <w:sz w:val="19"/>
                <w:szCs w:val="19"/>
                <w:color w:val="auto"/>
              </w:rPr>
            </w:pPr>
          </w:p>
        </w:tc>
      </w:tr>
      <w:tr>
        <w:trPr>
          <w:trHeight w:val="245"/>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1,632.2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5,846.3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2,364.0</w:t>
            </w:r>
          </w:p>
        </w:tc>
        <w:tc>
          <w:tcPr>
            <w:tcW w:w="680" w:type="dxa"/>
            <w:vAlign w:val="bottom"/>
          </w:tcPr>
          <w:p>
            <w:pPr>
              <w:spacing w:after="0"/>
              <w:rPr>
                <w:sz w:val="20"/>
                <w:szCs w:val="20"/>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7.39</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660" w:type="dxa"/>
            <w:vAlign w:val="bottom"/>
            <w:gridSpan w:val="3"/>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80" w:type="dxa"/>
            <w:vAlign w:val="bottom"/>
          </w:tcPr>
          <w:p>
            <w:pPr>
              <w:spacing w:after="0"/>
              <w:rPr>
                <w:sz w:val="19"/>
                <w:szCs w:val="19"/>
                <w:color w:val="auto"/>
              </w:rPr>
            </w:pPr>
          </w:p>
        </w:tc>
      </w:tr>
      <w:tr>
        <w:trPr>
          <w:trHeight w:val="452"/>
        </w:trPr>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5"/>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right"/>
              <w:ind w:right="351"/>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9"/>
          </w:tcPr>
          <w:p>
            <w:pPr>
              <w:jc w:val="right"/>
              <w:ind w:right="311"/>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1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6"/>
              </w:rPr>
              <w:t>$ Change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13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Change</w:t>
            </w:r>
          </w:p>
        </w:tc>
      </w:tr>
      <w:tr>
        <w:trPr>
          <w:trHeight w:val="207"/>
        </w:trPr>
        <w:tc>
          <w:tcPr>
            <w:tcW w:w="20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EYLEA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1,473.4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1,318.3</w:t>
            </w:r>
          </w:p>
        </w:tc>
        <w:tc>
          <w:tcPr>
            <w:tcW w:w="580" w:type="dxa"/>
            <w:vAlign w:val="bottom"/>
            <w:gridSpan w:val="2"/>
          </w:tcPr>
          <w:p>
            <w:pPr>
              <w:jc w:val="right"/>
              <w:ind w:right="271"/>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155.1</w:t>
            </w: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4,245.1</w:t>
            </w:r>
          </w:p>
        </w:tc>
        <w:tc>
          <w:tcPr>
            <w:tcW w:w="720" w:type="dxa"/>
            <w:vAlign w:val="bottom"/>
            <w:gridSpan w:val="3"/>
          </w:tcPr>
          <w:p>
            <w:pPr>
              <w:jc w:val="right"/>
              <w:ind w:right="191"/>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3,604.0</w:t>
            </w:r>
          </w:p>
        </w:tc>
        <w:tc>
          <w:tcPr>
            <w:tcW w:w="540" w:type="dxa"/>
            <w:vAlign w:val="bottom"/>
            <w:gridSpan w:val="3"/>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641.1</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225.5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Praluent</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130.0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3,489.9</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Evkeeza</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Bayer</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1,036.9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Roche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361.8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361.8</w:t>
            </w:r>
          </w:p>
        </w:tc>
      </w:tr>
      <w:tr>
        <w:trPr>
          <w:trHeight w:val="227"/>
        </w:trPr>
        <w:tc>
          <w:tcPr>
            <w:tcW w:w="20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3"/>
              </w:rPr>
              <w:t>(59.6)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195.0</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(238.6)</w:t>
            </w:r>
          </w:p>
        </w:tc>
      </w:tr>
      <w:tr>
        <w:trPr>
          <w:trHeight w:val="245"/>
        </w:trPr>
        <w:tc>
          <w:tcPr>
            <w:tcW w:w="200" w:type="dxa"/>
            <w:vAlign w:val="bottom"/>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3,452.8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1,158.8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5,045.8</w:t>
            </w:r>
          </w:p>
        </w:tc>
      </w:tr>
      <w:tr>
        <w:trPr>
          <w:trHeight w:val="20"/>
        </w:trPr>
        <w:tc>
          <w:tcPr>
            <w:tcW w:w="20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40" w:right="4380" w:firstLine="5"/>
        <w:spacing w:after="0" w:line="410" w:lineRule="auto"/>
        <w:tabs>
          <w:tab w:leader="none" w:pos="638"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 xml:space="preserve">Net product sales of Praluent in the United States were recorded by Sanofi prior to April 1, 2020. </w:t>
      </w:r>
      <w:r>
        <w:rPr>
          <w:rFonts w:ascii="Arial" w:cs="Arial" w:eastAsia="Arial" w:hAnsi="Arial"/>
          <w:sz w:val="20"/>
          <w:szCs w:val="20"/>
          <w:color w:val="auto"/>
          <w:vertAlign w:val="superscript"/>
        </w:rPr>
        <w:t>**</w:t>
      </w:r>
      <w:r>
        <w:rPr>
          <w:rFonts w:ascii="Arial" w:cs="Arial" w:eastAsia="Arial" w:hAnsi="Arial"/>
          <w:sz w:val="14"/>
          <w:szCs w:val="14"/>
          <w:color w:val="auto"/>
        </w:rPr>
        <w:t xml:space="preserve"> Effective April 1, 2021, Kiniksa records net product sales of ARCALYST in the United States.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product sales of EYLEA in the United States increased for the three and nine months ended September 30, 2021, compared to the same periods in 2020, primarily due to higher sales volume (including the adverse impact of the COVID-19 pandemic on U.S. EYLEA demand during the three months ended June 30, 2020), partly offset by an increase in sales-related deductions.</w:t>
      </w:r>
    </w:p>
    <w:p>
      <w:pPr>
        <w:spacing w:after="0" w:line="10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 xml:space="preserve">Effective April 1, 2020, the Company became solely responsible for the development and commercialization of Praluent in the United States and records net product sales of Praluent in the United States. Refer to "Collaboration, License, and Other Agreements - </w:t>
      </w:r>
      <w:r>
        <w:rPr>
          <w:rFonts w:ascii="Arial" w:cs="Arial" w:eastAsia="Arial" w:hAnsi="Arial"/>
          <w:sz w:val="16"/>
          <w:szCs w:val="16"/>
          <w:i w:val="1"/>
          <w:iCs w:val="1"/>
          <w:color w:val="auto"/>
        </w:rPr>
        <w:t>Sanofi</w:t>
      </w:r>
      <w:r>
        <w:rPr>
          <w:rFonts w:ascii="Arial" w:cs="Arial" w:eastAsia="Arial" w:hAnsi="Arial"/>
          <w:sz w:val="16"/>
          <w:szCs w:val="16"/>
          <w:color w:val="auto"/>
        </w:rPr>
        <w:t xml:space="preserve"> - </w:t>
      </w:r>
      <w:r>
        <w:rPr>
          <w:rFonts w:ascii="Arial" w:cs="Arial" w:eastAsia="Arial" w:hAnsi="Arial"/>
          <w:sz w:val="16"/>
          <w:szCs w:val="16"/>
          <w:i w:val="1"/>
          <w:iCs w:val="1"/>
          <w:color w:val="auto"/>
        </w:rPr>
        <w:t>Antibody</w:t>
      </w:r>
      <w:r>
        <w:rPr>
          <w:rFonts w:ascii="Arial" w:cs="Arial" w:eastAsia="Arial" w:hAnsi="Arial"/>
          <w:sz w:val="16"/>
          <w:szCs w:val="16"/>
          <w:color w:val="auto"/>
        </w:rPr>
        <w:t>" section above for further details.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three and nine months ended September 30, 2021 and 2020, net product sales of REGEN-COV were recorded in connection with our agreements with the U.S. government. Refer to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section above for further details.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Collaboration Revenue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0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0" w:type="dxa"/>
            <w:vAlign w:val="bottom"/>
            <w:gridSpan w:val="2"/>
          </w:tcPr>
          <w:p>
            <w:pPr>
              <w:ind w:left="220"/>
              <w:spacing w:after="0" w:line="174" w:lineRule="exact"/>
              <w:rPr>
                <w:sz w:val="20"/>
                <w:szCs w:val="20"/>
                <w:color w:val="auto"/>
              </w:rPr>
            </w:pPr>
            <w:r>
              <w:rPr>
                <w:rFonts w:ascii="Arial" w:cs="Arial" w:eastAsia="Arial" w:hAnsi="Arial"/>
                <w:sz w:val="18"/>
                <w:szCs w:val="18"/>
                <w:color w:val="auto"/>
              </w:rPr>
              <w:t>Regeneron's share of profits in connection with</w:t>
            </w: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5"/>
                <w:szCs w:val="15"/>
                <w:color w:val="auto"/>
              </w:rPr>
            </w:pPr>
          </w:p>
        </w:tc>
        <w:tc>
          <w:tcPr>
            <w:tcW w:w="240" w:type="dxa"/>
            <w:vAlign w:val="bottom"/>
            <w:vMerge w:val="restart"/>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tcPr>
          <w:p>
            <w:pPr>
              <w:ind w:left="380"/>
              <w:spacing w:after="0"/>
              <w:rPr>
                <w:sz w:val="20"/>
                <w:szCs w:val="20"/>
                <w:color w:val="auto"/>
              </w:rPr>
            </w:pPr>
            <w:r>
              <w:rPr>
                <w:rFonts w:ascii="Arial" w:cs="Arial" w:eastAsia="Arial" w:hAnsi="Arial"/>
                <w:sz w:val="18"/>
                <w:szCs w:val="18"/>
                <w:color w:val="auto"/>
              </w:rPr>
              <w:t>commercialization of antibodies</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Sales-based milestone earned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0" w:type="dxa"/>
            <w:vAlign w:val="bottom"/>
            <w:gridSpan w:val="2"/>
          </w:tcPr>
          <w:p>
            <w:pPr>
              <w:ind w:left="220"/>
              <w:spacing w:after="0" w:line="174"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380"/>
              <w:spacing w:after="0" w:line="226"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Antibody</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7"/>
                <w:szCs w:val="17"/>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4600" w:type="dxa"/>
            <w:vAlign w:val="bottom"/>
            <w:gridSpan w:val="2"/>
            <w:shd w:val="clear" w:color="auto" w:fill="CCEEFF"/>
          </w:tcPr>
          <w:p>
            <w:pPr>
              <w:ind w:left="220"/>
              <w:spacing w:after="0" w:line="174" w:lineRule="exact"/>
              <w:rPr>
                <w:sz w:val="20"/>
                <w:szCs w:val="20"/>
                <w:color w:val="auto"/>
              </w:rPr>
            </w:pPr>
            <w:r>
              <w:rPr>
                <w:rFonts w:ascii="Arial" w:cs="Arial" w:eastAsia="Arial" w:hAnsi="Arial"/>
                <w:sz w:val="18"/>
                <w:szCs w:val="18"/>
                <w:color w:val="auto"/>
              </w:rPr>
              <w:t>Regeneron's share of losses in connection with</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commercialization of Libtayo outside the United States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0" w:type="dxa"/>
            <w:vAlign w:val="bottom"/>
            <w:gridSpan w:val="2"/>
          </w:tcPr>
          <w:p>
            <w:pPr>
              <w:ind w:left="220"/>
              <w:spacing w:after="0" w:line="174"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380"/>
              <w:spacing w:after="0" w:line="226"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Immuno-oncology</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60" w:right="1820" w:firstLine="5"/>
        <w:spacing w:after="0" w:line="223" w:lineRule="auto"/>
        <w:tabs>
          <w:tab w:leader="none" w:pos="1434"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During the three and nine months ended September 30, 2021, the increase in our share of profits in connection with commercialization of antibodies, compared to the same periods of 2020, was driven by higher Dupixent profits.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27"/>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1,760.7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1,142.6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3,151.0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Regeneron's share of collaboration profits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20" w:type="dxa"/>
            <w:vAlign w:val="bottom"/>
            <w:vMerge w:val="continue"/>
          </w:tcPr>
          <w:p>
            <w:pPr>
              <w:spacing w:after="0"/>
              <w:rPr>
                <w:sz w:val="17"/>
                <w:szCs w:val="17"/>
                <w:color w:val="auto"/>
              </w:rPr>
            </w:pPr>
          </w:p>
        </w:tc>
        <w:tc>
          <w:tcPr>
            <w:tcW w:w="220" w:type="dxa"/>
            <w:vAlign w:val="bottom"/>
          </w:tcPr>
          <w:p>
            <w:pPr>
              <w:jc w:val="right"/>
              <w:ind w:right="3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425.8</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233.7</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1,080.2</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development expenses incurred by Sanofi in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Regeneron's share of profits in connection with commercialization of</w:t>
            </w: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05"/>
        </w:trPr>
        <w:tc>
          <w:tcPr>
            <w:tcW w:w="5420" w:type="dxa"/>
            <w:vAlign w:val="bottom"/>
          </w:tcPr>
          <w:p>
            <w:pPr>
              <w:ind w:left="180"/>
              <w:spacing w:after="0" w:line="201" w:lineRule="exact"/>
              <w:rPr>
                <w:sz w:val="20"/>
                <w:szCs w:val="20"/>
                <w:color w:val="auto"/>
              </w:rPr>
            </w:pPr>
            <w:r>
              <w:rPr>
                <w:rFonts w:ascii="Arial" w:cs="Arial" w:eastAsia="Arial" w:hAnsi="Arial"/>
                <w:sz w:val="18"/>
                <w:szCs w:val="18"/>
                <w:color w:val="auto"/>
              </w:rPr>
              <w:t>antibodies</w:t>
            </w: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Regeneron's share of collaboration profits as a percentage of Dupixent,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40" w:right="560" w:hanging="8"/>
        <w:spacing w:after="0" w:line="228" w:lineRule="auto"/>
        <w:tabs>
          <w:tab w:leader="none" w:pos="1015"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above under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21"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During the three months ended September 30, 2021 and 2020, the Company earned $50.0 million sales-based milestones from Sanofi, upon aggregate annual sales of antibodies outside the United States (including Praluent) exceeding $1.5 billion and $1.0 billion, respectively, on a rolling twelve-month basis.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5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24"/>
                <w:szCs w:val="24"/>
                <w:color w:val="auto"/>
              </w:rPr>
            </w:pPr>
          </w:p>
        </w:tc>
        <w:tc>
          <w:tcPr>
            <w:tcW w:w="212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54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7"/>
                <w:szCs w:val="17"/>
                <w:color w:val="auto"/>
              </w:rPr>
              <w:t>Regeneron's net profit in connection with commercialization of EYLEA</w:t>
            </w: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tcBorders>
              <w:bottom w:val="single" w:sz="8" w:color="CCEEFF"/>
            </w:tcBorders>
            <w:gridSpan w:val="2"/>
          </w:tcPr>
          <w:p>
            <w:pPr>
              <w:ind w:left="20"/>
              <w:spacing w:after="0" w:line="226"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0"/>
                <w:szCs w:val="20"/>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000" w:hanging="168"/>
        <w:spacing w:after="0"/>
        <w:tabs>
          <w:tab w:leader="none" w:pos="100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8"/>
                <w:szCs w:val="18"/>
                <w:color w:val="auto"/>
              </w:rPr>
            </w:pPr>
          </w:p>
        </w:tc>
        <w:tc>
          <w:tcPr>
            <w:tcW w:w="26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62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930.8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2,658.9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2,102.7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6"/>
              </w:rPr>
              <w:t>Regeneron's share of collaboration profit from sales outside the United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00" w:type="dxa"/>
            <w:vAlign w:val="bottom"/>
          </w:tcPr>
          <w:p>
            <w:pPr>
              <w:spacing w:after="0"/>
              <w:rPr>
                <w:sz w:val="10"/>
                <w:szCs w:val="10"/>
                <w:color w:val="auto"/>
              </w:rPr>
            </w:pPr>
          </w:p>
        </w:tc>
        <w:tc>
          <w:tcPr>
            <w:tcW w:w="5440" w:type="dxa"/>
            <w:vAlign w:val="bottom"/>
            <w:vMerge w:val="continue"/>
          </w:tcPr>
          <w:p>
            <w:pPr>
              <w:spacing w:after="0"/>
              <w:rPr>
                <w:sz w:val="10"/>
                <w:szCs w:val="10"/>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0"/>
                <w:szCs w:val="10"/>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51"/>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0"/>
                <w:szCs w:val="10"/>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0"/>
                <w:szCs w:val="10"/>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816.0</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tcPr>
          <w:p>
            <w:pPr>
              <w:ind w:left="180"/>
              <w:spacing w:after="0"/>
              <w:rPr>
                <w:sz w:val="20"/>
                <w:szCs w:val="20"/>
                <w:color w:val="auto"/>
              </w:rPr>
            </w:pPr>
            <w:r>
              <w:rPr>
                <w:rFonts w:ascii="Arial" w:cs="Arial" w:eastAsia="Arial" w:hAnsi="Arial"/>
                <w:sz w:val="18"/>
                <w:szCs w:val="18"/>
                <w:color w:val="auto"/>
              </w:rPr>
              <w:t>States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0" w:type="dxa"/>
            <w:vAlign w:val="bottom"/>
          </w:tcPr>
          <w:p>
            <w:pPr>
              <w:spacing w:after="0"/>
              <w:rPr>
                <w:sz w:val="15"/>
                <w:szCs w:val="15"/>
                <w:color w:val="auto"/>
              </w:rPr>
            </w:pPr>
          </w:p>
        </w:tc>
        <w:tc>
          <w:tcPr>
            <w:tcW w:w="54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development expenses incurred by Bayer in</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5440" w:type="dxa"/>
            <w:vAlign w:val="bottom"/>
          </w:tcPr>
          <w:p>
            <w:pPr>
              <w:ind w:left="20"/>
              <w:spacing w:after="0" w:line="154" w:lineRule="exact"/>
              <w:rPr>
                <w:sz w:val="20"/>
                <w:szCs w:val="20"/>
                <w:color w:val="auto"/>
              </w:rPr>
            </w:pPr>
            <w:r>
              <w:rPr>
                <w:rFonts w:ascii="Arial" w:cs="Arial" w:eastAsia="Arial" w:hAnsi="Arial"/>
                <w:sz w:val="17"/>
                <w:szCs w:val="17"/>
                <w:color w:val="auto"/>
              </w:rPr>
              <w:t>Regeneron's net profit in connection with commercialization of EYLEA</w:t>
            </w: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51"/>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772.6</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5440" w:type="dxa"/>
            <w:vAlign w:val="bottom"/>
          </w:tcPr>
          <w:p>
            <w:pPr>
              <w:ind w:left="180"/>
              <w:spacing w:after="0" w:line="201" w:lineRule="exact"/>
              <w:rPr>
                <w:sz w:val="20"/>
                <w:szCs w:val="20"/>
                <w:color w:val="auto"/>
              </w:rPr>
            </w:pPr>
            <w:r>
              <w:rPr>
                <w:rFonts w:ascii="Arial" w:cs="Arial" w:eastAsia="Arial" w:hAnsi="Arial"/>
                <w:sz w:val="18"/>
                <w:szCs w:val="18"/>
                <w:color w:val="auto"/>
              </w:rPr>
              <w:t>outside the United States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54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Regeneron's net profit as a percentage of EYLEA net product sales</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9"/>
        </w:trPr>
        <w:tc>
          <w:tcPr>
            <w:tcW w:w="5940" w:type="dxa"/>
            <w:vAlign w:val="bottom"/>
            <w:gridSpan w:val="2"/>
          </w:tcPr>
          <w:p>
            <w:pPr>
              <w:jc w:val="right"/>
              <w:ind w:right="13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Roche Collaboration Revenue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described above under "Agreements Related to COVID-19 - </w:t>
      </w:r>
      <w:r>
        <w:rPr>
          <w:rFonts w:ascii="Arial" w:cs="Arial" w:eastAsia="Arial" w:hAnsi="Arial"/>
          <w:sz w:val="18"/>
          <w:szCs w:val="18"/>
          <w:i w:val="1"/>
          <w:iCs w:val="1"/>
          <w:color w:val="auto"/>
        </w:rPr>
        <w:t>Roche</w:t>
      </w:r>
      <w:r>
        <w:rPr>
          <w:rFonts w:ascii="Arial" w:cs="Arial" w:eastAsia="Arial" w:hAnsi="Arial"/>
          <w:sz w:val="18"/>
          <w:szCs w:val="18"/>
          <w:color w:val="auto"/>
        </w:rPr>
        <w:t>", Roche distributes and records net product sales of the casirivimab and imdevimab antibody cocktail outside the United States, and the parties share gross profits from worldwide sales, depending on the amount of manufactured product supplied by each party to the market. Each quarter, a single payment is due from one party to the other to true-up the global gross profits between the parties. If Regeneron is to receive a true-up payment from Roche, such amount will be recorded to Collaboration revenue. If Regeneron is to make a true-up payment to Roche, such amount will be recorded to Cost of goods sold.</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During the three and nine months ended September 30, 2021, true-up payments owed from Roche in connection with this agreement were $127.1 million and $361.8 million, respectively. Roche provides us with an estimate of its gross profits for the most recent fiscal quarter; these estimates are reconciled to actual results in the subsequent fiscal quarter, and the true-up of global gross profits is adjusted accordingly, as necessary.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revenue decreased during the three and nine months ended September 30, 2021, compared to the same periods of 2020, primarily due to lower amounts recognized in connection with our agreement with BARDA related to funding of certain development activities for COVID-19 antibodies, and, to a lesser extent, Inmazeb.</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8"/>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Nine Months Ended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7"/>
        </w:trPr>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headcount data)</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442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27"/>
        </w:trPr>
        <w:tc>
          <w:tcPr>
            <w:tcW w:w="4420" w:type="dxa"/>
            <w:vAlign w:val="bottom"/>
          </w:tcPr>
          <w:p>
            <w:pPr>
              <w:ind w:left="20"/>
              <w:spacing w:after="0" w:line="226"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222.8</w:t>
            </w:r>
          </w:p>
        </w:tc>
      </w:tr>
      <w:tr>
        <w:trPr>
          <w:trHeight w:val="227"/>
        </w:trPr>
        <w:tc>
          <w:tcPr>
            <w:tcW w:w="44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r>
      <w:tr>
        <w:trPr>
          <w:trHeight w:val="227"/>
        </w:trPr>
        <w:tc>
          <w:tcPr>
            <w:tcW w:w="4420" w:type="dxa"/>
            <w:vAlign w:val="bottom"/>
          </w:tcPr>
          <w:p>
            <w:pPr>
              <w:ind w:left="20"/>
              <w:spacing w:after="0" w:line="226"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20"/>
        </w:trPr>
        <w:tc>
          <w:tcPr>
            <w:tcW w:w="4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7"/>
        </w:trPr>
        <w:tc>
          <w:tcPr>
            <w:tcW w:w="4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6"/>
        </w:trPr>
        <w:tc>
          <w:tcPr>
            <w:tcW w:w="442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w:t>
            </w:r>
          </w:p>
        </w:tc>
      </w:tr>
    </w:tbl>
    <w:p>
      <w:pPr>
        <w:spacing w:after="0" w:line="60" w:lineRule="exact"/>
        <w:rPr>
          <w:sz w:val="20"/>
          <w:szCs w:val="20"/>
          <w:color w:val="auto"/>
        </w:rPr>
      </w:pPr>
    </w:p>
    <w:p>
      <w:pPr>
        <w:ind w:left="360" w:hanging="175"/>
        <w:spacing w:after="0"/>
        <w:tabs>
          <w:tab w:leader="none" w:pos="36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Includes costs incurred as well as cost reimbursements from collaborators who are not deemed to be our customers</w:t>
      </w:r>
    </w:p>
    <w:p>
      <w:pPr>
        <w:spacing w:after="0" w:line="22" w:lineRule="exact"/>
        <w:rPr>
          <w:rFonts w:ascii="Arial" w:cs="Arial" w:eastAsia="Arial" w:hAnsi="Arial"/>
          <w:sz w:val="21"/>
          <w:szCs w:val="21"/>
          <w:color w:val="auto"/>
          <w:vertAlign w:val="superscript"/>
        </w:rPr>
      </w:pPr>
    </w:p>
    <w:p>
      <w:pPr>
        <w:ind w:left="360" w:hanging="175"/>
        <w:spacing w:after="0" w:line="185" w:lineRule="auto"/>
        <w:tabs>
          <w:tab w:leader="none" w:pos="36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Cost of goods sold primarily includes costs in connection with producing commercial supplies for products that are sold by Regeneron in the United States (</w:t>
      </w:r>
      <w:r>
        <w:rPr>
          <w:rFonts w:ascii="Arial" w:cs="Arial" w:eastAsia="Arial" w:hAnsi="Arial"/>
          <w:sz w:val="13"/>
          <w:szCs w:val="13"/>
          <w:i w:val="1"/>
          <w:iCs w:val="1"/>
          <w:color w:val="auto"/>
        </w:rPr>
        <w:t>i.e.,</w:t>
      </w:r>
      <w:r>
        <w:rPr>
          <w:rFonts w:ascii="Arial" w:cs="Arial" w:eastAsia="Arial" w:hAnsi="Arial"/>
          <w:sz w:val="13"/>
          <w:szCs w:val="13"/>
          <w:color w:val="auto"/>
        </w:rPr>
        <w:t xml:space="preserve"> for</w:t>
      </w:r>
    </w:p>
    <w:p>
      <w:pPr>
        <w:ind w:left="180" w:right="240"/>
        <w:spacing w:after="0" w:line="228" w:lineRule="auto"/>
        <w:rPr>
          <w:rFonts w:ascii="Arial" w:cs="Arial" w:eastAsia="Arial" w:hAnsi="Arial"/>
          <w:sz w:val="18"/>
          <w:szCs w:val="18"/>
          <w:color w:val="auto"/>
          <w:vertAlign w:val="superscript"/>
        </w:rPr>
      </w:pPr>
      <w:r>
        <w:rPr>
          <w:rFonts w:ascii="Arial" w:cs="Arial" w:eastAsia="Arial" w:hAnsi="Arial"/>
          <w:sz w:val="16"/>
          <w:szCs w:val="16"/>
          <w:color w:val="auto"/>
        </w:rPr>
        <w:t>which we record net product sales), any royalties we are obligated to pay on such sales, and amounts we are obligated to pay to Sanofi for its share of Libtayo U.S. gross profits.</w:t>
      </w:r>
    </w:p>
    <w:p>
      <w:pPr>
        <w:spacing w:after="0" w:line="1" w:lineRule="exact"/>
        <w:rPr>
          <w:rFonts w:ascii="Arial" w:cs="Arial" w:eastAsia="Arial" w:hAnsi="Arial"/>
          <w:sz w:val="18"/>
          <w:szCs w:val="18"/>
          <w:color w:val="auto"/>
          <w:vertAlign w:val="superscript"/>
        </w:rPr>
      </w:pPr>
    </w:p>
    <w:p>
      <w:pPr>
        <w:ind w:left="360" w:hanging="175"/>
        <w:spacing w:after="0" w:line="212" w:lineRule="auto"/>
        <w:tabs>
          <w:tab w:leader="none" w:pos="36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expenses included a total of $136.9 million and $101.2 million for the three months ended September 30, 2021 and 2020, respectively, and $413.3 million and $310.5 million for the nine months ended September 30, 2021 and 2020, respectively, of non-cash compensation expense related to equity awards granted under our long-term incentive plans.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Nine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1"/>
              <w:spacing w:after="0" w:line="220"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b w:val="1"/>
                <w:bCs w:val="1"/>
                <w:color w:val="auto"/>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1"/>
              <w:spacing w:after="0" w:line="220"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b w:val="1"/>
                <w:bCs w:val="1"/>
                <w:color w:val="auto"/>
                <w:vertAlign w:val="superscript"/>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Libtayo (cemiplimab)</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Dupixent (dupilumab)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EYLEA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Fasinumab</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Up-front payments related to license and</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collaboration agreements</w:t>
            </w: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40" w:type="dxa"/>
            <w:vAlign w:val="bottom"/>
          </w:tcPr>
          <w:p>
            <w:pPr>
              <w:ind w:left="220"/>
              <w:spacing w:after="0" w:line="174" w:lineRule="exact"/>
              <w:rPr>
                <w:sz w:val="20"/>
                <w:szCs w:val="20"/>
                <w:color w:val="auto"/>
              </w:rPr>
            </w:pPr>
            <w:r>
              <w:rPr>
                <w:rFonts w:ascii="Arial" w:cs="Arial" w:eastAsia="Arial" w:hAnsi="Arial"/>
                <w:sz w:val="18"/>
                <w:szCs w:val="18"/>
                <w:color w:val="auto"/>
                <w:w w:val="97"/>
              </w:rPr>
              <w:t>Other product candidates in clinical development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and other research programs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40"/>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Payroll and benefits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4"/>
              </w:rPr>
              <w:t>Lab supplies and other research and development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by collaborators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280" w:hanging="95"/>
        <w:spacing w:after="0"/>
        <w:tabs>
          <w:tab w:leader="none" w:pos="28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for the nine months ended September 30, 2020 included the $70.0 million up-front payment and the amount paid in excess of the fair value of the shares purchased, or $15.0 million, in connection with our collaboration agreement with Intellia (see "Collaboration and License Agreements - Intellia" above). Direct research and development expenses in 2020 also include costs incurred in connection with Kevzara for the treatment of COVID-19 patients (included within "Other product candidates in clinical development and other research programs" in the table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Reimbursement of research and development expenses by collaborators included reimbursements from Roche related to REGEN-COV of $10.5 million and $138.3 million for the three and nine months ended September 30, 2021, respectively, and $9.5 million for both the three and nine months ended September 30, 2020.</w:t>
      </w:r>
    </w:p>
    <w:p>
      <w:pPr>
        <w:spacing w:after="0" w:line="1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Research and development expenses included non-cash compensation expense of $73.1 million and $55.9 million for the three months ended September 30, 2021 and 2020, respectively, and $213.7 million and $169.5 million for the nine months ended September 30, 2021 and 2020, respectively.</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increased for the three and nine months ended September 30, 2021, compared to the same periods in 2020, primarily due to higher headcount-related costs and an increase in commercialization-related expenses for EYLEA, including direct-to-consumer advertising. In addition, the nine months ended September 30, 2021 included increased commercialization-related expenses for Libtayo and costs associated with educational campaigns related to COVID-19. Selling, general, and administrative expenses also included non-cash compensation expense of $48.7 million and $35.9 million for the three months ended September 30, 2021 and 2020, respectively, and $149.1 million and $114.4 million for the nine months ended September 30, 2021 and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increased for the three and nine months ended September 30, 2021, compared to the same periods in 2020, primarily due to the recognition of manufacturing costs in connection with product sales of REGEN-COV. In addition, Cost of goods sold included inventory write-offs and reserves totaling $38.7 million and $188.0 million for the three and nine months ended September 30, 2021, respectively (primarily related to REGEN-COV for the nine months ended September 30, 2021). Inventory write-offs and reserves were $11.8 million and $23.6 million for the three and nine months ended September 30, 2020,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collaboration and contract manufacturing increased for the three and nine months ended September 30, 2021, compared to the same periods in 2020, primarily due to the recognition of manufacturing costs associated with higher sales of Dupixent. The increase for the nine months ended September 30, 2021 was partly offset by the recognition of process validation costs during 2020 in connection with manufacturing Inmazeb under our BARDA agreement; such costs did not recur during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 (Income)</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Other operating expense (income), net, includes recognition of a portion of amounts previously deferred in connection with up-front and development milestone payments, as applicable, received in connection with Sanofi IO, Teva, and MTPC collaborative arrangements.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months ended September 30, 2021, we updated our estimate of the total research and development costs expected to be incurred (which resulted in a change to the estimate of the stage of completion) in connection with the Sanofi IO Collaboration, and, as a result, recorded a cumulative catch-up adjustment of $66.9 million as a reduction to other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Other income (expense), net, for the nine months ended September 30, 2021, compared to the same period in 2020, was primarily impacted by the recognition of higher unrealized gains on equity securities.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7"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6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91"/>
              </w:rPr>
              <w:t>Nine Months Ended</w:t>
            </w:r>
          </w:p>
        </w:tc>
      </w:tr>
      <w:tr>
        <w:trPr>
          <w:trHeight w:val="227"/>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260" w:type="dxa"/>
            <w:vAlign w:val="bottom"/>
            <w:gridSpan w:val="4"/>
          </w:tcPr>
          <w:p>
            <w:pPr>
              <w:jc w:val="center"/>
              <w:ind w:right="191"/>
              <w:spacing w:after="0"/>
              <w:rPr>
                <w:sz w:val="20"/>
                <w:szCs w:val="20"/>
                <w:color w:val="auto"/>
              </w:rPr>
            </w:pPr>
            <w:r>
              <w:rPr>
                <w:rFonts w:ascii="Arial" w:cs="Arial" w:eastAsia="Arial" w:hAnsi="Arial"/>
                <w:sz w:val="18"/>
                <w:szCs w:val="18"/>
                <w:b w:val="1"/>
                <w:bCs w:val="1"/>
                <w:color w:val="auto"/>
                <w:w w:val="89"/>
              </w:rPr>
              <w:t>September 30,</w:t>
            </w:r>
          </w:p>
        </w:tc>
      </w:tr>
      <w:tr>
        <w:trPr>
          <w:trHeight w:val="22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effective tax rate)</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221.8</w:t>
            </w:r>
          </w:p>
        </w:tc>
      </w:tr>
      <w:tr>
        <w:trPr>
          <w:trHeight w:val="226"/>
        </w:trPr>
        <w:tc>
          <w:tcPr>
            <w:tcW w:w="38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w w:val="92"/>
              </w:rPr>
              <w:t>10.2 %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15.6 %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w w:val="92"/>
              </w:rPr>
              <w:t>14.3 %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8.6 %</w:t>
            </w:r>
          </w:p>
        </w:tc>
      </w:tr>
    </w:tbl>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for the three and nine months ended September 30, 2021 was positively impacted, compared to the U.S. federal statutory rate, primarily by stock-based compensation, income earned in foreign jurisdictions with tax rates lower than the U.S. federal statutory rate, the foreign-derived intangible income deduction, and federal tax credits for research activities. In addition, the effective tax rate for the nine months ended September 30, 2021 was positively impacted by the reversal of liabilities related to uncertain tax positions. Our effective tax rate for the three and nine months ended September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283"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37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1,238.7</w:t>
            </w:r>
          </w:p>
        </w:tc>
      </w:tr>
      <w:tr>
        <w:trPr>
          <w:trHeight w:val="22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 - current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r>
      <w:tr>
        <w:trPr>
          <w:trHeight w:val="227"/>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 - noncurrent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2,495.7</w:t>
            </w: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4,696.3</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3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60"/>
        </w:trPr>
        <w:tc>
          <w:tcPr>
            <w:tcW w:w="3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7"/>
        </w:trPr>
        <w:tc>
          <w:tcPr>
            <w:tcW w:w="37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3,996.3</w:t>
            </w:r>
          </w:p>
        </w:tc>
      </w:tr>
      <w:tr>
        <w:trPr>
          <w:trHeight w:val="227"/>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1,017.4</w:t>
            </w: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also had borrowing availability of $750.0 million under a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2021 and 2020</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500"/>
              <w:spacing w:after="0"/>
              <w:rPr>
                <w:sz w:val="20"/>
                <w:szCs w:val="20"/>
                <w:color w:val="auto"/>
              </w:rPr>
            </w:pPr>
            <w:r>
              <w:rPr>
                <w:rFonts w:ascii="Arial" w:cs="Arial" w:eastAsia="Arial" w:hAnsi="Arial"/>
                <w:sz w:val="18"/>
                <w:szCs w:val="18"/>
                <w:b w:val="1"/>
                <w:bCs w:val="1"/>
                <w:color w:val="auto"/>
              </w:rPr>
              <w:t>As of September 30,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31"/>
              <w:spacing w:after="0"/>
              <w:rPr>
                <w:sz w:val="20"/>
                <w:szCs w:val="20"/>
                <w:color w:val="auto"/>
              </w:rPr>
            </w:pPr>
            <w:r>
              <w:rPr>
                <w:rFonts w:ascii="Arial" w:cs="Arial" w:eastAsia="Arial" w:hAnsi="Arial"/>
                <w:sz w:val="18"/>
                <w:szCs w:val="18"/>
                <w:color w:val="auto"/>
                <w:w w:val="86"/>
              </w:rPr>
              <w:t>3,321.7</w:t>
            </w:r>
          </w:p>
        </w:tc>
      </w:tr>
      <w:tr>
        <w:trPr>
          <w:trHeight w:val="227"/>
        </w:trPr>
        <w:tc>
          <w:tcPr>
            <w:tcW w:w="4740" w:type="dxa"/>
            <w:vAlign w:val="bottom"/>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(3,372.0)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left="511"/>
              <w:spacing w:after="0"/>
              <w:rPr>
                <w:sz w:val="20"/>
                <w:szCs w:val="20"/>
                <w:color w:val="auto"/>
              </w:rPr>
            </w:pPr>
            <w:r>
              <w:rPr>
                <w:rFonts w:ascii="Arial" w:cs="Arial" w:eastAsia="Arial" w:hAnsi="Arial"/>
                <w:sz w:val="18"/>
                <w:szCs w:val="18"/>
                <w:color w:val="auto"/>
                <w:w w:val="91"/>
              </w:rPr>
              <w:t>(3,606.4)</w:t>
            </w:r>
          </w:p>
        </w:tc>
      </w:tr>
      <w:tr>
        <w:trPr>
          <w:trHeight w:val="22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31"/>
              <w:spacing w:after="0"/>
              <w:rPr>
                <w:sz w:val="20"/>
                <w:szCs w:val="20"/>
                <w:color w:val="auto"/>
              </w:rPr>
            </w:pPr>
            <w:r>
              <w:rPr>
                <w:rFonts w:ascii="Arial" w:cs="Arial" w:eastAsia="Arial" w:hAnsi="Arial"/>
                <w:sz w:val="18"/>
                <w:szCs w:val="18"/>
                <w:color w:val="auto"/>
                <w:w w:val="86"/>
              </w:rPr>
              <w:t>1,566.0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marketable securities during the nine months ended September 30, 2020 included proceeds in connection with funding our stock repurchase from Sanofi (as described below). Capital expenditures during the nine months ended September 30, 2021 included costs associated with the expansion of our manufacturing facilities in Rensselaer, New York and Limerick, Ireland, including construction of a fill/finish facility and related equipment. We expect to incur capital expenditures of $545 million to $575 million for the full year of 2021 primarily in connection with the continued expansion of our manufacturing facilities, including the fill/finish facility. Capital expenditures expected to be incurred during the remainder of 2021 also include costs related to plans to expand our research, preclinical manufacturing, and support facilities at our Tarrytown, New York campus.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Proceeds from issuances of Common Stock, in connection with exercises of employee stock options, were $1.130 billion during the nine months ended September 30, 2021, compared to $2.471 billion during the nine months ended September 30, 2020. For additional information related to cash flows from financing activities, see "Share Repurchase Program", "Secondary Offering and Purchase of Regeneron Common Stock Held by Sanofi", and "Issuance of Senior Notes" sections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3"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In November 2019, our board of directors authorized a share repurchase program to repurchase up to $1.0 billion of our Common Stock. As of December 31, 2020, the Company had repurchased the entire $1.0 billion of its Common Stock that it was authorized to repurchase under this program.</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2021, our board of directors authorized an additional share repurchase program to repurchase up to $1.5 billion of our Common Stock. The share repurchase program was approved under terms substantially similar to the November 2019 share repurchase program.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2021, we repurchased 1,567,555 shares of our Common Stock under the January 2021 program and recorded the cost of the shares received, or $802.7 million, as Treasury Stock. As of September 30, 2021, $697.3 million remained available for share repurchases under the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of our Common Stock directly from Sanofi for an aggregate purchase amount of $5.0 billion (the "Stock Purchase").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funded the Stock Purchase with a combination of cash on hand, proceeds from the sale of marketable securities, and proceeds from loans under a $1.5 billion senior unsecured bridge loan facility (the "Bridge Facility") which was entered into in May 2020. The Bridge Facility was repaid in August 2020 following the issuance and sale of the Company's senior unsecured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Senior Notes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(the "2030 Notes") and $750 million aggregate principal amount of senior unsecured notes due 2050 (the "2050 Notes" and, together with the 2030 Notes, the "Notes"). Net proceeds from the issuance and sale of the Notes (after deducting underwriting discounts and offering expenses) were used in part to repay in full the Bridge Facility described above, including accrued interest and related fees and expenses in connection therewith.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2020 (filed February 8, 2021). There have been no material changes to our critical accounting policies and use of estimates during the nine months ended September 30,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September 30, 2021, the future adoption of recently issued accounting standards is not expected to have a material impact on the Company's financial position or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2020 (filed February 8, 2021). There have been no material changes to our market risks or to our management of such risks as of September 30, 2021.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2021 that has materially affected, or is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12 to our Condensed Consolidated Financial Statements included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57" w:lineRule="exact"/>
        <w:rPr>
          <w:sz w:val="20"/>
          <w:szCs w:val="20"/>
          <w:color w:val="auto"/>
        </w:rPr>
      </w:pPr>
    </w:p>
    <w:p>
      <w:pPr>
        <w:jc w:val="both"/>
        <w:ind w:left="640" w:hanging="313"/>
        <w:spacing w:after="0" w:line="26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commercialization of REGEN-COV.</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144"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19"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ind w:left="640" w:hanging="313"/>
        <w:spacing w:after="0" w:line="27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144" w:lineRule="exact"/>
        <w:rPr>
          <w:sz w:val="20"/>
          <w:szCs w:val="20"/>
          <w:color w:val="auto"/>
        </w:rPr>
      </w:pPr>
    </w:p>
    <w:p>
      <w:pPr>
        <w:ind w:left="640" w:hanging="31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0" w:lineRule="exact"/>
        <w:rPr>
          <w:rFonts w:ascii="Arial" w:cs="Arial" w:eastAsia="Arial" w:hAnsi="Arial"/>
          <w:sz w:val="17"/>
          <w:szCs w:val="17"/>
          <w:color w:val="auto"/>
        </w:rPr>
      </w:pPr>
    </w:p>
    <w:p>
      <w:pPr>
        <w:jc w:val="both"/>
        <w:ind w:left="640" w:hanging="31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40" w:hanging="313"/>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157" w:lineRule="exact"/>
        <w:rPr>
          <w:sz w:val="20"/>
          <w:szCs w:val="20"/>
          <w:color w:val="auto"/>
        </w:rPr>
      </w:pPr>
    </w:p>
    <w:p>
      <w:pPr>
        <w:ind w:left="640" w:hanging="313"/>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40" w:hanging="313"/>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157" w:lineRule="exact"/>
        <w:rPr>
          <w:sz w:val="20"/>
          <w:szCs w:val="20"/>
          <w:color w:val="auto"/>
        </w:rPr>
      </w:pPr>
    </w:p>
    <w:p>
      <w:pPr>
        <w:jc w:val="both"/>
        <w:ind w:left="640" w:hanging="313"/>
        <w:spacing w:after="0" w:line="25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Arial" w:cs="Arial" w:eastAsia="Arial" w:hAnsi="Arial"/>
          <w:sz w:val="17"/>
          <w:szCs w:val="17"/>
          <w:color w:val="auto"/>
        </w:rPr>
      </w:pPr>
    </w:p>
    <w:p>
      <w:pPr>
        <w:jc w:val="both"/>
        <w:ind w:left="640" w:hanging="313"/>
        <w:spacing w:after="0" w:line="24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40" w:hanging="313"/>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44" w:lineRule="exact"/>
        <w:rPr>
          <w:sz w:val="20"/>
          <w:szCs w:val="20"/>
          <w:color w:val="auto"/>
        </w:rPr>
      </w:pPr>
    </w:p>
    <w:p>
      <w:pPr>
        <w:ind w:left="640" w:hanging="313"/>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ind w:left="640" w:hanging="313"/>
        <w:spacing w:after="0" w:line="24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40" w:hanging="313"/>
        <w:spacing w:after="0" w:line="24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40" w:hanging="313"/>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ind w:left="640" w:hanging="313"/>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42" w:lineRule="exact"/>
        <w:rPr>
          <w:rFonts w:ascii="Arial" w:cs="Arial" w:eastAsia="Arial" w:hAnsi="Arial"/>
          <w:sz w:val="16"/>
          <w:szCs w:val="16"/>
          <w:color w:val="auto"/>
        </w:rPr>
      </w:pP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6" w:lineRule="exact"/>
        <w:rPr>
          <w:rFonts w:ascii="Arial" w:cs="Arial" w:eastAsia="Arial" w:hAnsi="Arial"/>
          <w:sz w:val="18"/>
          <w:szCs w:val="18"/>
          <w:color w:val="auto"/>
        </w:rPr>
      </w:pPr>
    </w:p>
    <w:p>
      <w:pPr>
        <w:ind w:left="640" w:right="20" w:hanging="313"/>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potential liability related to the personal information we collect from individuals, data brokers, or research institutions or obtain from clinical trials sponsored by us or our collaborators.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4" w:lineRule="exact"/>
        <w:rPr>
          <w:sz w:val="20"/>
          <w:szCs w:val="20"/>
          <w:color w:val="auto"/>
        </w:rPr>
      </w:pPr>
    </w:p>
    <w:p>
      <w:pPr>
        <w:ind w:left="640" w:right="20" w:hanging="313"/>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ind w:left="640" w:hanging="313"/>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169" w:lineRule="exact"/>
        <w:rPr>
          <w:sz w:val="20"/>
          <w:szCs w:val="20"/>
          <w:color w:val="auto"/>
        </w:rPr>
      </w:pPr>
    </w:p>
    <w:p>
      <w:pPr>
        <w:ind w:left="640" w:hanging="313"/>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order cessation of non-essential travel, and require proof of vaccination and/or negative COVID-19 test results. Though some of these restrictions have eased, the continuation or recurrence of these restrictions remains uncertain and will depend on many factors, including any future spikes in COVID-19 cases and the continued availability and efficacy of vaccines and treatments. It is expected that the pandemic will continue to ebb and flow, with different jurisdictions having higher levels of infections than others over the course of the pandemic. In addition, new variants of the SARS-CoV-2 virus have emerged, have been shown to be present in many geographies, and appear to spread more easily and quickly than other variants. As a result, shelter-in-place and social distancing orders, government-imposed quarantines, and work-from-home policies (which we previously implemented for a significant portion of our employees) may continue to varying degrees for the duration of the COVID -19 pandemic and may further negatively impact productivity, disrupt our business, and delay our clinical programs and development timelines beyond the delays we have already experienced and disclosed; the magnitude of these developments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our key personnel, either temporarily or permanently. We and our employees may also be subject to government vaccine mandates, such as President Biden's recent Executive Order entitled "Executive Order on Ensuring Adequate COVID Safety Protocols for Federal Contractors" applicable to certain federal contractors (which we expect to become effective for us on December 8, 2021). Any such requirement may have a negative impact on our ability to retain employees or hire new employees and could adversely impact our business.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be further reduced if shelter-in-place, social distancing, or similar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resulting from the COVID-19 pandemic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infections and deaths related to COVID-19 previously disrupted and may in the future disrupt the United States' healthcare and healthcare regulatory systems. Such disruptions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response to the recent global outbreak of COVID-19, we developed and are manufacturing and commercializing, in collaboration with Roche, REGEN-COV (known as Ronapreve in other countries outside the United States), a novel investigational antibody cocktail treatment designed to prevent and treat infection from the SARS-CoV-2 virus that received an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EUA from the FDA in November 2020. There can be no assurance with respect to how long the EUA will remain in effect, whether the EUA will be further expanded (such as to include the treatment of hospitalized COVID-19 patients) based on new clinical trial results or otherwise, and whether the EUA will be revoked by the FDA based on its determination that the underlying health emergency no longer exists or warrants such authorization or other reasons (including if REGEN-COV is found to be less effective or not effective against new variants of the SARS-CoV-2 virus). In addition, there are multiple ongoing clinical trials (as discussed in Part I, Item 2. "Management's Discussion and Analysis of Financial Condition and Results of Operations – Programs in Clinical Development") evaluating the safety and efficacy of the antibody cocktail and there is no assurance of favorable results from any ongoing or future clinical trials, the timing of their completion, or the FDA's or other regulatory authorities' favorable determinations based on data from any such clinical trial. It is also possible that the FDA and certain other regulatory authorities may not grant the antibody cocktail full marketing approval for the treatment of COVID-19, or that any such marketing approvals, if granted, may have significant limitations on its use. Further, other parties may be successful in developing a more efficacious, more easily administered, more cost-effective, or otherwise superior treatment for COVID-19; and utilization of REGEN-COV has been and may in the future be adversely impacted by other factors, such as the rollout of vaccines providing acquired immunity against COVID-19 and the distribution model for REGEN-COV or other treatments for COVID-19. Any of these factors may negatively impact the uptake or commercialization of REGEN-COV, and such impact may be material. The intense public interest, including speculation by the media, in the development and commercialization of REGEN-COV has caused or contributed to significant volatility in our stock price, which may continue as data and other information from the ongoing and any future clinical trials evaluating REGEN-COV and third-party product candidates for the treatment or prevention of COVID-19 as well as any other regulatory actions become public.</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also face risks related to our significant investment in the development, supply, allocation, distribution, pricing, and commercialization of REGEN-COV. Given the severity and urgency of the COVID-19 pandemic, we have committed significant capital and resources to fund and supply clinical trials and to accelerate and scale up the production of REGEN-COV, which involves a complex manufacturing process that is both resource- and time-sensitive. We expect our investment in the development and manufacture of REGEN-COV to continue through 2021 and potentially beyond, although the magnitude of our investment will be subject to clinical data results, the duration of the COVID-19 pandemic, and other factors, including regulatory outcomes. If we are unable to maintain the EUA or obtain regulatory approvals, or if we make a strategic decision to discontinue development of REGEN-COV or are otherwise not successful in the commercialization of REGEN -COV, we may be unable to recoup our significant expenses incurred to date and/or in the future related to the development and production of REGEN-COV. While we previously recognized significant net product sales and collaboration revenue in connection with sales of REGEN-COV and expect to recognize additional significant net product sales under the September 2021 amended supply agreement with the U.S. government, the degree to which future sales of REGEN-COV will continue to impact our results of operations is highly uncertain.</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our internal and contracted manufacturing capacity may not be sufficient to cover the demand for REGEN-COV. While we have entered into a collaboration agreement with Roche to develop, manufacture, and distribute REGEN-COV, we cannot be certain that our current manufacturing and distribution capacity for REGEN-COV and the increased manufacturing and distribution capacity through our collaboration with Roche will be sufficient. In addition, we rely entirely on third parties for filling and finishing services for REGEN-COV. Our third-party fill/finish providers may not have sufficient capacity or may otherwise not be able to provide such services on a timely basis in the quantities requested (such as because they devote their capacity to other drugs or vaccines against COVID-19), which we previously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REGEN-COV.</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and Roche also face challenges related to the allocation of existing and future supply of REGEN-COV, particularly with respect to geographic distribution. As supplies of REGEN-COV are expected to remain constrained, it is possible that the U.S. government may limit or restrict our and/or Roche's ability to distribute and commercialize REGEN-COV outside of the United States. In addition, as a result of the emergency situations in many countries, there is a heightened risk that REGEN-COV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U.S. government exercises or asserts any such rights or imposes these or similar measures with respect to our products, product candidates, or related inventions (including REGEN-COV),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REGEN-COV development program, including any allocation, distribution, or pricing decisions with respect to REGEN-COV. If we are unable to successfully manage these risks, we could face significant reputational harm, which could, among other adverse consequences, negatively affect our stock price.</w:t>
      </w:r>
    </w:p>
    <w:p>
      <w:pPr>
        <w:spacing w:after="0" w:line="94" w:lineRule="exact"/>
        <w:rPr>
          <w:sz w:val="20"/>
          <w:szCs w:val="20"/>
          <w:color w:val="auto"/>
        </w:rPr>
      </w:pPr>
    </w:p>
    <w:p>
      <w:pPr>
        <w:ind w:right="1040"/>
        <w:spacing w:after="0" w:line="420"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jc w:val="both"/>
        <w:spacing w:after="0" w:line="251"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nine months ended September 30, 2021 and 2020, EYLEA net sales in the United States represented 38% and 59% of our total revenues, respectively, with EYLEA net sales as a percentage of our total revenues for the nine months ended September 30, 2021 being significantly lower due to the net product sales of REGEN-COV we recorded in that period in connection with deliveries of drug product under our agreements with the U.S. government.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degree of commercial success of our marketed products will continue to depend on many factors, including the following (as applicable):</w:t>
      </w:r>
    </w:p>
    <w:p>
      <w:pPr>
        <w:spacing w:after="0" w:line="163" w:lineRule="exact"/>
        <w:rPr>
          <w:sz w:val="20"/>
          <w:szCs w:val="20"/>
          <w:color w:val="auto"/>
        </w:rPr>
      </w:pPr>
    </w:p>
    <w:p>
      <w:pPr>
        <w:jc w:val="both"/>
        <w:ind w:left="640" w:hanging="313"/>
        <w:spacing w:after="0" w:line="266"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ind w:left="640" w:hanging="31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2"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 w:lineRule="exact"/>
        <w:rPr>
          <w:rFonts w:ascii="Arial" w:cs="Arial" w:eastAsia="Arial" w:hAnsi="Arial"/>
          <w:sz w:val="18"/>
          <w:szCs w:val="18"/>
          <w:color w:val="auto"/>
        </w:rPr>
      </w:pPr>
    </w:p>
    <w:p>
      <w:pPr>
        <w:jc w:val="both"/>
        <w:ind w:left="640" w:hanging="313"/>
        <w:spacing w:after="0" w:line="291" w:lineRule="auto"/>
        <w:tabs>
          <w:tab w:leader="none" w:pos="6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 effects in connection with the use of our products and in clinical trials for our product candidates</w:t>
      </w:r>
      <w:r>
        <w:rPr>
          <w:rFonts w:ascii="Arial" w:cs="Arial" w:eastAsia="Arial" w:hAnsi="Arial"/>
          <w:sz w:val="16"/>
          <w:szCs w:val="16"/>
          <w:color w:val="auto"/>
        </w:rPr>
        <w:t xml:space="preserve"> </w:t>
      </w:r>
      <w:r>
        <w:rPr>
          <w:rFonts w:ascii="Arial" w:cs="Arial" w:eastAsia="Arial" w:hAnsi="Arial"/>
          <w:sz w:val="16"/>
          <w:szCs w:val="16"/>
          <w:i w:val="1"/>
          <w:iCs w:val="1"/>
          <w:color w:val="auto"/>
        </w:rPr>
        <w:t>and new indications for our marketed products could cause our regulatory approvals to be revoked or limited or lead to delay or discontinuation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i w:val="1"/>
          <w:iCs w:val="1"/>
          <w:color w:val="auto"/>
        </w:rPr>
        <w:t>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jc w:val="both"/>
        <w:ind w:left="640" w:hanging="313"/>
        <w:spacing w:after="0" w:line="24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Praluent, and REGEN-COV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40" w:right="20" w:hanging="313"/>
        <w:spacing w:after="0" w:line="23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12 to our Condensed Consolidated Financial Statements included in this report (including the civil complaint filed against us on June 24, 2020 in the U.S. District Court for the District of Massachusetts by the U.S. Attorney's Office for the District of Massachusetts); and</w:t>
      </w:r>
    </w:p>
    <w:p>
      <w:pPr>
        <w:ind w:left="640" w:hanging="313"/>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is costly, time-consuming, and highly uncertain</w:t>
      </w:r>
      <w:r>
        <w:rPr>
          <w:rFonts w:ascii="Arial" w:cs="Arial" w:eastAsia="Arial" w:hAnsi="Arial"/>
          <w:sz w:val="17"/>
          <w:szCs w:val="17"/>
          <w:color w:val="auto"/>
        </w:rPr>
        <w:t>"), the applicable marketing approval may be withdrawn, which would materially harm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 failure to meet the stringent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1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there have been several recent U.S. Congressional inquiries and proposed federal and state legislation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Proposals aimed at drug pricing introduced at the federal level include measures that would index the price of certain drugs (including those covered by Medicare Part B, such as EYLEA) using international or domestic reference pricing mechanisms, allow the government to negotiate prescription drug prices for Medicare and potentially other third-party payors, and permit the importation of drugs from other countries into the United States at lower prices.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(ranibizumab), Novartis' Beovu</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(brolucizumab), and Genentech/Roche's Susvimo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(ranibizumab ocular implant), as well as Samsung Bioepis Co., Ltd. and Biogen Inc.'s biosimilar referencing Lucentis.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including other biosimilar versions of Lucentis under regulatory review or in late-stage clinical development.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market for Dupixent's current and potential future indications is also increasingly competitive. In atopic dermatitis, there are several topical ointments or agents either approved or in development. There are also systemic JAK inhibitors and an antibody against IL-13 approved for atopic dermatitis and others are in development. In addition, a number of companies are developing antibodies against IL-13Ra1, OX40, IL-31R, and/or IL-1alpha. In asthma, competitors to Dupixent include antibodies against the IL-5 ligand or the IL-5 receptor or immunoglobulin E;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thymic stromal lymphopoietin ("TSLP") or IL-33 ligand or receptor. Dupixent also faces competition from inhaled products in asthma and potential future indications.</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(pembrolizumab), Bristol-Myers Squibb's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(nivolumab), Roche's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and AstraZeneca's Imfinzi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(durvalumab).</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6"/>
          <w:szCs w:val="16"/>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and chimeric antigen receptor T cell (CAR-T cell) technologies. For example, we are aware of other pharmaceutical and biotechnology companies actively engaged in the research and development of antibody-based products against targets that are also the targets of our early- and late-stage product candidates.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exercised our options under the Antibody Collaboration and the IO Collaboration to co-commercialize Dupixent and Libtayo in certain jurisdictions outside the United States and have commenced this co-commercialization with respect to Dupixent, we will continue to rely in part on Sanofi's sales and marketing organization in such jurisdictions and there can be no assurance that we will be able to successfully conduct such co-commercialization in the expected time frame or at all.</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Sanofi, see "Risks Related to Our Reliance on Third Parties - </w:t>
      </w:r>
      <w:r>
        <w:rPr>
          <w:rFonts w:ascii="Arial" w:cs="Arial" w:eastAsia="Arial" w:hAnsi="Arial"/>
          <w:sz w:val="18"/>
          <w:szCs w:val="18"/>
          <w:i w:val="1"/>
          <w:iCs w:val="1"/>
          <w:color w:val="auto"/>
        </w:rPr>
        <w:t>If our collaboration with Bayer for EYLEA is terminated, or Bayer materially breaches its</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 and "Risks Related to Our Reliance on Third Parties -</w:t>
      </w:r>
      <w:r>
        <w:rPr>
          <w:rFonts w:ascii="Arial" w:cs="Arial" w:eastAsia="Arial" w:hAnsi="Arial"/>
          <w:sz w:val="18"/>
          <w:szCs w:val="18"/>
          <w:i w:val="1"/>
          <w:iCs w:val="1"/>
          <w:color w:val="auto"/>
        </w:rPr>
        <w:t xml:space="preserve"> 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8"/>
          <w:szCs w:val="18"/>
          <w:color w:val="auto"/>
        </w:rPr>
        <w:t>" below.</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1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or co-commercialized thereunder outside the United States are the responsibility of Sanofi. Prices for our marketed products in jurisdictions outside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0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8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6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nine months ended September 30, 2021 and 2020, our gross product sales of such products to two customers accounted on a combined basis for 53% and 86% of our total gross product revenue, respectively, and gross product sales of REGEN-COV to the U.S. government accounted for an additional 38% of our gross product revenue in this period in 2021.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7"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limited commercial capabilities outside the United States and do not currently have a fully established organization for the sales, marketing, and distribution of marketed products outside the United States. We will need to establish commercial capabilities outside the United States for any new product we decide to commercialize or co-commercialize outside the United States. For example, following the exercise of our option under the Antibody Collaboration to co-commercialize Dupixent in certain jurisdictions outside the United States, we have begun establishing commercial capabilities for Dupixent in such jurisdictions. There may be other circumstances in which we need to establish commercial capabilities outside the United States, including because we decide to commercialize a particular product independently; we are unable to find an appropriate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collaborator; or our existing collaborator decides not to opt in, decides to opt out, or breaches its obligations to us with respect to a particular product.</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and Libtayo)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10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For example, as previously disclosed, we were recently notified by the sponsor of a trial evaluating REGEN-COV in hospitalized patients with severe COVID-19 of a GCP inspection of the trial that found certain deviations from GCP compliance. There can be no assurance that the data from this trial will be found acceptable by the FDA or other regulatory authorities or will be sufficient for purposes of our request to expand the EUA for REGEN-COV to include COVID-19 treatment for appropriate hospitalized patients.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 requirements</w:t>
      </w:r>
    </w:p>
    <w:p>
      <w:pPr>
        <w:spacing w:after="0" w:line="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obtained, and a reduction in sales.</w:t>
      </w:r>
      <w:r>
        <w:rPr>
          <w:rFonts w:ascii="Arial" w:cs="Arial" w:eastAsia="Arial" w:hAnsi="Arial"/>
          <w:sz w:val="18"/>
          <w:szCs w:val="18"/>
          <w:color w:val="auto"/>
        </w:rPr>
        <w:t>" Our business, prospects, operating results, and financial condition may be materially harmed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with the requirements and regulations described in this paragraph.</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standard drug approval process, 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example, REGEN-COV has been authorized for use in certain individuals in the United States based on an EUA from the FDA. However, the FDA may revoke this EUA (or any other EUA we may be granted in the future) if it is determined that the underlying health emergency no longer exists or warrants such authorization; therefore, we cannot predict how long this EUA (or any other EUA we may be granted in the future) will remain in effect. Such revocation could adversely impact our business in a variety of ways, including by having to absorb related manufacturing and overhead costs as well as potential inventory write-offs if regulatory approval is not obtained timely or at all.</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such as a post-authorization safety study ("PASS") and/or post-authorization efficacy study ("PAES"), which involve various risks similar to those described above, and may ask for additional data in order to begin a clinical study including phase 3 clinical trials required to submit a MAA in the EU.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in the European Economic Area ("EEA"), if we do not manage to retain a Qualified Person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Furthermore, some of our products and product candidates (such as Libtayo and Dupixent) are studied in combination with agents and treatments developed by us or our collaborators. There may be additional risks and unforeseen safety issues resulting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3" w:lineRule="exact"/>
        <w:rPr>
          <w:sz w:val="20"/>
          <w:szCs w:val="20"/>
          <w:color w:val="auto"/>
        </w:rPr>
      </w:pPr>
    </w:p>
    <w:p>
      <w:pPr>
        <w:jc w:val="both"/>
        <w:spacing w:after="0" w:line="367" w:lineRule="auto"/>
        <w:rPr>
          <w:sz w:val="20"/>
          <w:szCs w:val="20"/>
          <w:color w:val="auto"/>
        </w:rPr>
      </w:pPr>
      <w:r>
        <w:rPr>
          <w:rFonts w:ascii="Arial" w:cs="Arial" w:eastAsia="Arial" w:hAnsi="Arial"/>
          <w:sz w:val="14"/>
          <w:szCs w:val="14"/>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These and other complications or issues or side effects could harm further development and/or commercialization of EYLEA.</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eosinophilia, insomnia, toothache, gastritis, joint pain (arthralgia), and facial rash or redness;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other parties may allege that our drug-delivery devices infringe patents or other intellectual property rights. For example, we are currently party to patent infringement and other proceedings relating to the EYLEA pre-filled syringe, as described in Note 12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In addition, on October 26 and October 27, 2021, anonymous parties initiated opposition proceedings in the EPO against our European Patent No. 2,944,306 (which concerns pre-filled syringes comprising ophthalmic formulations containing VEGF antagonists such as aflibercept for intravitreal administration), as described in Note 12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example, on February 11, 2020, anonymous parties filed two requests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two of our patents - U.S. Patent Nos. 10,406,226 (the "'226 Patent") and 10,464,992 (the "'992 Patent"), and the USPTO has granted both requests to initiate reexamination proceedings. In addition, as described in Note 12 to our Condensed Consolidated Financial Statements, on May 5, 2021, Mylan Pharmaceuticals Inc. filed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U.S. Patent Nos. 9,254,338 (the "'338 Patent") and 9,669,069 (the "'069 Patent"); and on September 7, 2021, Celltrion, Inc. filed a petition for post-grant review of U.S. Patent No. 10,857,231 (the "'231 Patent"). The '226 Patent concerns methods for manufacturing VEGF antagonist fusion proteins, including aflibercept; the '992 Patent and the '231 Patent concern formulations and vials containing VEGF antagonist fusion proteins, including aflibercept; and the '338 Patent and the '069 Patent concern methods for treating angiogenic eye disorders by administering VEGF antagonist fusion proteins, including aflibercept.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 proposal formulated in connection with the COVID-19 pandemic for a waiver of certain intellectually property rights under the WTO Agreement on Trade-Related Aspects of Intellectual Property Rights; the ultimate timing and scope of this waiver is unknown and we cannot be certain that our intellectual property rights related to REGEN-COV or any other current or future product or product candidate or technology would not be eliminated, narrowed, or weakened by any such waiver.</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other intellectual property proceedings relating to Dupixent, as described in Note 12 to our Condensed Consolidated Financial Statements. In addition, we are currently party to patent infringement and other proceedings relating to EYLEA and REGEN-COV, as described in Note 12 to our Condensed Consolidated Financial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or limitation of patent rights, and regulatory pathways for biosimilar competition, could reduce the duration of market exclusivity for our products.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 subject to significant competition -</w:t>
      </w:r>
      <w:r>
        <w:rPr>
          <w:rFonts w:ascii="Arial" w:cs="Arial" w:eastAsia="Arial" w:hAnsi="Arial"/>
          <w:sz w:val="16"/>
          <w:szCs w:val="16"/>
          <w:color w:val="auto"/>
        </w:rPr>
        <w:t xml:space="preserve"> Marketed Products" above. In the United States, the regulatory exclusivity period for EYLEA (</w:t>
      </w:r>
      <w:r>
        <w:rPr>
          <w:rFonts w:ascii="Arial" w:cs="Arial" w:eastAsia="Arial" w:hAnsi="Arial"/>
          <w:sz w:val="16"/>
          <w:szCs w:val="16"/>
          <w:i w:val="1"/>
          <w:iCs w:val="1"/>
          <w:color w:val="auto"/>
        </w:rPr>
        <w:t>i.e.</w:t>
      </w:r>
      <w:r>
        <w:rPr>
          <w:rFonts w:ascii="Arial" w:cs="Arial" w:eastAsia="Arial" w:hAnsi="Arial"/>
          <w:sz w:val="16"/>
          <w:szCs w:val="16"/>
          <w:color w:val="auto"/>
        </w:rPr>
        <w:t>, the period during which no biosimilar product can be approved by the FDA) expires on November 18, 2023, with the possibility of an additional six months of regulatory exclusivity (</w:t>
      </w:r>
      <w:r>
        <w:rPr>
          <w:rFonts w:ascii="Arial" w:cs="Arial" w:eastAsia="Arial" w:hAnsi="Arial"/>
          <w:sz w:val="16"/>
          <w:szCs w:val="16"/>
          <w:i w:val="1"/>
          <w:iCs w:val="1"/>
          <w:color w:val="auto"/>
        </w:rPr>
        <w:t>i.e.</w:t>
      </w:r>
      <w:r>
        <w:rPr>
          <w:rFonts w:ascii="Arial" w:cs="Arial" w:eastAsia="Arial" w:hAnsi="Arial"/>
          <w:sz w:val="16"/>
          <w:szCs w:val="16"/>
          <w:color w:val="auto"/>
        </w:rPr>
        <w:t>,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and contracted manufacturing capacity may not be sufficient to cover the demand for REGEN-COV. In addition to expanding our internal capacity, we intend to continue to rely on our collaborators, and may also rely on contract manufacturers, to produce commercial quantities of drug material needed for commercialization of our products. For example, as described in Part I, Item 2. "Management's Discussion and Analysis of Financial Condition and Results of Operations," in August 2020, we announced a collaboration agreement with Roche to develop, manufacture, and distribute REGEN-COV (known as Ronapreve in other countries outside the United States). We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cannot be certain that our current manufacturing and distribution capacity for REGEN-COV or the increased manufacturing and distribution capacity through our collaboration with Roche will be sufficient.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5" w:lineRule="exact"/>
        <w:rPr>
          <w:sz w:val="20"/>
          <w:szCs w:val="20"/>
          <w:color w:val="auto"/>
        </w:rPr>
      </w:pPr>
    </w:p>
    <w:p>
      <w:pPr>
        <w:jc w:val="both"/>
        <w:spacing w:after="0" w:line="367" w:lineRule="auto"/>
        <w:rPr>
          <w:sz w:val="20"/>
          <w:szCs w:val="20"/>
          <w:color w:val="auto"/>
        </w:rPr>
      </w:pPr>
      <w:r>
        <w:rPr>
          <w:rFonts w:ascii="Arial" w:cs="Arial" w:eastAsia="Arial" w:hAnsi="Arial"/>
          <w:sz w:val="14"/>
          <w:szCs w:val="14"/>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1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12 to our Condensed Consolidated Financial Statements. A judicial or regulatory decision in favor of one or more parties making such allegations could directly or indirectly preclude the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 of our products to which those intellectual property rights apply on a temporary or permanent basis, which could materially harm our business, prospects, operating results, and financial condition.</w:t>
      </w:r>
    </w:p>
    <w:p>
      <w:pPr>
        <w:spacing w:after="0" w:line="109" w:lineRule="exact"/>
        <w:rPr>
          <w:sz w:val="20"/>
          <w:szCs w:val="20"/>
          <w:color w:val="auto"/>
        </w:rPr>
      </w:pPr>
    </w:p>
    <w:p>
      <w:pPr>
        <w:jc w:val="both"/>
        <w:spacing w:after="0" w:line="415" w:lineRule="auto"/>
        <w:rPr>
          <w:sz w:val="20"/>
          <w:szCs w:val="20"/>
          <w:color w:val="auto"/>
        </w:rPr>
      </w:pPr>
      <w:r>
        <w:rPr>
          <w:rFonts w:ascii="Arial" w:cs="Arial" w:eastAsia="Arial" w:hAnsi="Arial"/>
          <w:sz w:val="14"/>
          <w:szCs w:val="14"/>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w:t>
      </w:r>
    </w:p>
    <w:p>
      <w:pPr>
        <w:spacing w:after="0" w:line="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57"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a civil complaint filed in June 2020 by the U.S. Attorney's Office for the District of Massachusetts concerning our support of 501(c)(3) organizations that provide financial assistance to patients; and we are cooperating with pending government investigations concerning certain other business activities. Any adverse decision, finding, allegation, or exercise of enforcement or regulatory discretion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any such proceedings or investigations could harm our business, prospects, operating results,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licensed physicians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anesthesiologist assistants, and certified nurse-midwives.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of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participate in the Medicaid Drug Rebate program, the Public Health Service's 340B drug pricing program (the "340B program"), the U.S. Department of Veterans Affairs ("VA") Federal Supply Schedule ("FSS") pricing program, and the Tricare Retail Pharmacy Program.</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120"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Arial" w:cs="Arial" w:eastAsia="Arial" w:hAnsi="Arial"/>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there are significant corporate governance and executive compensation-related provisions in the Dodd-Frank Wall Street Reform and Protection Act that expressly authorized or required the SEC to adopt additional rules in these areas, a number of which have yet to be fully implemented. Our efforts to comply with these requirements and regulations (as well as corporate governance and disclosure expectations of investors and other stakeholders)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20" w:lineRule="exact"/>
        <w:rPr>
          <w:sz w:val="20"/>
          <w:szCs w:val="20"/>
          <w:color w:val="auto"/>
        </w:rPr>
      </w:pPr>
    </w:p>
    <w:p>
      <w:pPr>
        <w:ind w:left="640" w:hanging="313"/>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jc w:val="both"/>
        <w:ind w:left="640" w:hanging="313"/>
        <w:spacing w:after="0" w:line="247"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40" w:right="20" w:hanging="313"/>
        <w:spacing w:after="0" w:line="247"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40" w:hanging="313"/>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 extent</w:t>
      </w:r>
      <w:r>
        <w:rPr>
          <w:rFonts w:ascii="Arial" w:cs="Arial" w:eastAsia="Arial" w:hAnsi="Arial"/>
          <w:sz w:val="16"/>
          <w:szCs w:val="16"/>
          <w:color w:val="auto"/>
        </w:rPr>
        <w:t xml:space="preserve"> </w:t>
      </w:r>
      <w:r>
        <w:rPr>
          <w:rFonts w:ascii="Arial" w:cs="Arial" w:eastAsia="Arial" w:hAnsi="Arial"/>
          <w:sz w:val="16"/>
          <w:szCs w:val="16"/>
          <w:i w:val="1"/>
          <w:iCs w:val="1"/>
          <w:color w:val="auto"/>
        </w:rPr>
        <w:t>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 governing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For example, we recently commenced co-commercialization activities under the Antibody Collaboration related to Dupixent in certain jurisdictions outside the United States. Consequently, we are, and will continue to be, subject to risks related to operating in foreign countries, which include:</w:t>
      </w:r>
    </w:p>
    <w:p>
      <w:pPr>
        <w:spacing w:after="0" w:line="106" w:lineRule="exact"/>
        <w:rPr>
          <w:sz w:val="20"/>
          <w:szCs w:val="20"/>
          <w:color w:val="auto"/>
        </w:rPr>
      </w:pPr>
    </w:p>
    <w:p>
      <w:pPr>
        <w:ind w:left="640" w:hanging="313"/>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 including those with which we and/or our collaborators must comply in order to maintain our marketing authorizations outside of the United States;</w:t>
      </w:r>
    </w:p>
    <w:p>
      <w:pPr>
        <w:jc w:val="both"/>
        <w:ind w:left="640" w:hanging="313"/>
        <w:spacing w:after="0" w:line="24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40" w:hanging="31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9 to our Condensed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There are various U.S. tax law changes under consideration, including increases to the corporate income tax rates on both domestic and foreign income, that could have significant impact on our tax liability. Increases to the income tax rate or other changes to the tax law could materially impact our tax provision, cash tax liability, and effective tax rate. In addition, recommendations by the Organization for Economic Co-operation and Development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2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clinical trial data, are subject to privacy and security regulations promulgated under the Health Insurance Portability and Accountability Act of 1996 ("HIPAA").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potentially be subject to criminal penalties if we, our affiliates, or our agents knowingly obtain, use, or disclose individually identifiable health information maintained by a HIPAA-covered entity in a manner that is not authorized or permitted by HIPAA.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patient assistance programs and product marketing activities as part of which we collect California resident personal data are subject to the California Consumer Privacy Act of 2018 (the "CCPA"). The CCPA, which became effective on January 1, 2020, is a consumer protection law that establishes certain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requirements for data use and sharing transparency and provides California residents with personal data privacy rights regarding the use, disclosure, and retention of their personal data. The CCPA requires us, among other things, to update our notices and develop new processes internally and with our partners. Amendments to the CCPA and legislative proposals at the federal and state level could impose new obligations or limitations in areas affecting our business. These laws and regulations are constantly evolving and may impose limitations on our business activities. Several other U.S. states have introduced similar consumer protection laws that may go into effect in the near future.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clinical trial programs and research collaborations outside the U.S. (such as our consortium with a group of companies to fund the generation of genetic exome sequence data from the UK Biobank health resource) implicate international data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protection laws, including the EU's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and to assist us to comply with the necessary requirements related to Libtayo's regulatory approvals in the EU.</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 products we</w:t>
      </w:r>
      <w:r>
        <w:rPr>
          <w:rFonts w:ascii="Arial" w:cs="Arial" w:eastAsia="Arial" w:hAnsi="Arial"/>
          <w:sz w:val="16"/>
          <w:szCs w:val="16"/>
          <w:color w:val="auto"/>
        </w:rPr>
        <w:t xml:space="preserve"> </w:t>
      </w:r>
      <w:r>
        <w:rPr>
          <w:rFonts w:ascii="Arial" w:cs="Arial" w:eastAsia="Arial" w:hAnsi="Arial"/>
          <w:sz w:val="16"/>
          <w:szCs w:val="16"/>
          <w:i w:val="1"/>
          <w:iCs w:val="1"/>
          <w:color w:val="auto"/>
        </w:rPr>
        <w:t>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commercialization of the products subject to such collaborations, particularly outside the United States.</w:t>
      </w:r>
    </w:p>
    <w:p>
      <w:pPr>
        <w:spacing w:after="0" w:line="8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6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 substantial new and additional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commercialization of EYLEA outside the United States.</w:t>
      </w:r>
    </w:p>
    <w:p>
      <w:pPr>
        <w:spacing w:after="0" w:line="10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government investigations, breach of contract claims, and damage to our reputation, which could have a material adverse effect on our business, prospects, operating results,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the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in March 2022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September 30, 2021, we had an aggregate of $2.699 billion of outstanding indebtedness under the Notes and the lease financing facility. We may also incur additional debt in the future. Any such indebtedness could:</w:t>
      </w:r>
    </w:p>
    <w:p>
      <w:pPr>
        <w:spacing w:after="0" w:line="118" w:lineRule="exact"/>
        <w:rPr>
          <w:sz w:val="20"/>
          <w:szCs w:val="20"/>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9" w:lineRule="exact"/>
        <w:rPr>
          <w:rFonts w:ascii="Arial" w:cs="Arial" w:eastAsia="Arial" w:hAnsi="Arial"/>
          <w:sz w:val="18"/>
          <w:szCs w:val="18"/>
          <w:color w:val="auto"/>
        </w:rPr>
      </w:pPr>
    </w:p>
    <w:p>
      <w:pPr>
        <w:ind w:left="640" w:hanging="313"/>
        <w:spacing w:after="0" w:line="261" w:lineRule="auto"/>
        <w:tabs>
          <w:tab w:leader="none" w:pos="6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40" w:hanging="313"/>
        <w:spacing w:after="0" w:line="238"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revenue from outside of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2021, we had $3.432 billion in cash and cash equivalents and $7.987 billion in marketable securities (including $1.372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subject to risks related to uncertainty regarding the London Interbank Offered Rate ("LIBOR"). LIBOR is the subject of recent national, international, and other regulatory guidance and proposals for reform, which may cause LIBOR to cease to exist, or no longer be available for new contracts, after 2021 or to perform differently than in the past. On March 5, 2021, the Financial Conduct Authority in the U.K. announced that all LIBOR settings will either cease to be provided or no longer be representative (i) immediately after December 31, 2021, in the case of the one-week and two-month U.S. dollar LIBOR terms and all sterling, euro, Swiss franc, and Japanese yen settings, and (ii) immediately after June 30, 2023, in the case of the one-, three-, six-, and 12-month U.S. dollar LIBOR terms. While regulators in various jurisdictions have been working to replace LIBOR prior to the 2021 and 2023 target dates, uncertainty exists in the markets as to the adoption and implementation of alternative reference rates. We cannot predict the consequences and timing of these developments or other market or regulatory changes related to the phase-out of LIBOR. The U.S. Federal Reserve, in conjunction with the Alternative Reference Rates Committee (a steering committee comprised of large U.S. financial institutions), has identified the Secured Overnight Financing Rate ("SOFR"), a new index calculated by short-term repurchase agreements, backed by Treasury securities, as its preferred alternative rate for LIBOR. At this time, it is not possible to predict how markets will respond to SOFR or other alternative reference rates as the transition away from LIBOR is anticipated in coming years. There is currently limited information regarding the future utilization of LIBOR or of any particular replacement rate.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after 2021 or 2023, interest for borrowings (if any) with an interest rate based on LIBOR under our revolving credit facility,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8" w:lineRule="exact"/>
        <w:rPr>
          <w:sz w:val="20"/>
          <w:szCs w:val="20"/>
          <w:color w:val="auto"/>
        </w:rPr>
      </w:pPr>
    </w:p>
    <w:p>
      <w:pPr>
        <w:ind w:left="640" w:hanging="313"/>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impact of the COVID-19 pandemic on our business, including future sales of REGEN-COV;</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29" w:lineRule="exact"/>
        <w:rPr>
          <w:rFonts w:ascii="Arial" w:cs="Arial" w:eastAsia="Arial" w:hAnsi="Arial"/>
          <w:sz w:val="16"/>
          <w:szCs w:val="16"/>
          <w:color w:val="auto"/>
        </w:rPr>
      </w:pPr>
    </w:p>
    <w:p>
      <w:pPr>
        <w:ind w:left="640" w:hanging="313"/>
        <w:spacing w:after="0" w:line="278" w:lineRule="auto"/>
        <w:tabs>
          <w:tab w:leader="none" w:pos="6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 our</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As a result, the public float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resources, and could also require us to make substantial payments to satisfy judgments or to settle litigation, which may harm our business, prospects, operating results, and financial condition.</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2021, our five largest shareholders plus Dr. Schleifer, our Chief Executive Officer, beneficially owned approximately 37.6% of our outstanding shares of Common Stock, assuming, in the case of our Chief Executive Officer, the conversion of his Class A Stock into Common Stock and the exercise of all options held by him which are exercisable within 60 days of September 30, 2021.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2021, our board of directors authorized a share repurchase program to repurchase up to $1.5 billion of our Common Stock.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2021, holders of Class A Stock held 14.8%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2021:</w:t>
      </w:r>
    </w:p>
    <w:p>
      <w:pPr>
        <w:spacing w:after="0" w:line="100" w:lineRule="exact"/>
        <w:rPr>
          <w:sz w:val="20"/>
          <w:szCs w:val="20"/>
          <w:color w:val="auto"/>
        </w:rPr>
      </w:pPr>
    </w:p>
    <w:p>
      <w:pPr>
        <w:jc w:val="both"/>
        <w:ind w:left="640" w:hanging="313"/>
        <w:spacing w:after="0" w:line="266"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current executive officers and directors beneficially owned 7.7% of our outstanding shares of Common Stock, assuming conversion of their Class A Stock into Common Stock and the exercise of all options held by such persons which are exercisable within 60 days of September 30, 2021, and 19.0% of the combined voting power of our outstanding shares of Common Stock and Class A Stock, assuming the exercise of all options held by such persons which are exercisable within 60 days of September 30, 2021; and</w:t>
      </w:r>
    </w:p>
    <w:p>
      <w:pPr>
        <w:jc w:val="both"/>
        <w:ind w:left="640" w:hanging="313"/>
        <w:spacing w:after="0" w:line="288"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five largest shareholders plus Dr. Schleifer, our Chief Executive Officer, beneficially owned approximately 37.6% of our outstanding shares of Common Stock, assuming, in the case of our Chief Executive Officer, the conversion of his Class A Stock into Common Stock and the exercise of all options held by him which are exercisable within 60 days of September 30, 2021. In addition, these five shareholders plus our Chief Executive Officer held approximately 44.9% of the combined voting power of our outstanding shares of Common Stock and Class A Stock, assuming the exercise of all options held by our Chief Executive Officer which are exercisable within 60 days of September 30, 2021.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3" w:lineRule="exact"/>
        <w:rPr>
          <w:sz w:val="20"/>
          <w:szCs w:val="20"/>
          <w:color w:val="auto"/>
        </w:rPr>
      </w:pPr>
    </w:p>
    <w:p>
      <w:pPr>
        <w:ind w:left="640" w:hanging="313"/>
        <w:spacing w:after="0" w:line="25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3"/>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40" w:hanging="313"/>
        <w:spacing w:after="0" w:line="278" w:lineRule="auto"/>
        <w:tabs>
          <w:tab w:leader="none" w:pos="6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40" w:hanging="313"/>
        <w:spacing w:after="0" w:line="247"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40" w:hanging="313"/>
        <w:spacing w:after="0" w:line="250"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4220"/>
        <w:spacing w:after="0" w:line="412"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Issuer Purchases of Equity Securities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September 30, 2021. Refer to Part I, Item 2. "Management's Discussion and Analysis of Financial Condition and Results of Operations – Liquidity and Capital Resources" for further details of the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32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 Dollar Value</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9"/>
              </w:rPr>
              <w:t>Average Price Paid per</w:t>
            </w:r>
          </w:p>
        </w:tc>
        <w:tc>
          <w:tcPr>
            <w:tcW w:w="1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87"/>
              </w:rPr>
              <w:t>Purchased as Part of a</w:t>
            </w:r>
          </w:p>
        </w:tc>
        <w:tc>
          <w:tcPr>
            <w:tcW w:w="320" w:type="dxa"/>
            <w:vAlign w:val="bottom"/>
          </w:tcPr>
          <w:p>
            <w:pPr>
              <w:spacing w:after="0"/>
              <w:rPr>
                <w:sz w:val="15"/>
                <w:szCs w:val="15"/>
                <w:color w:val="auto"/>
              </w:rPr>
            </w:pPr>
          </w:p>
        </w:tc>
        <w:tc>
          <w:tcPr>
            <w:tcW w:w="2180" w:type="dxa"/>
            <w:vAlign w:val="bottom"/>
            <w:gridSpan w:val="2"/>
          </w:tcPr>
          <w:p>
            <w:pPr>
              <w:jc w:val="center"/>
              <w:spacing w:after="0" w:line="174" w:lineRule="exact"/>
              <w:rPr>
                <w:sz w:val="20"/>
                <w:szCs w:val="20"/>
                <w:color w:val="auto"/>
              </w:rPr>
            </w:pPr>
            <w:r>
              <w:rPr>
                <w:rFonts w:ascii="Arial" w:cs="Arial" w:eastAsia="Arial" w:hAnsi="Arial"/>
                <w:sz w:val="18"/>
                <w:szCs w:val="18"/>
                <w:b w:val="1"/>
                <w:bCs w:val="1"/>
                <w:color w:val="auto"/>
                <w:w w:val="89"/>
              </w:rPr>
              <w:t>of Shares that May Yet Be</w:t>
            </w:r>
          </w:p>
        </w:tc>
        <w:tc>
          <w:tcPr>
            <w:tcW w:w="0" w:type="dxa"/>
            <w:vAlign w:val="bottom"/>
          </w:tcPr>
          <w:p>
            <w:pPr>
              <w:spacing w:after="0"/>
              <w:rPr>
                <w:sz w:val="1"/>
                <w:szCs w:val="1"/>
                <w:color w:val="auto"/>
              </w:rPr>
            </w:pPr>
          </w:p>
        </w:tc>
      </w:tr>
      <w:tr>
        <w:trPr>
          <w:trHeight w:val="173"/>
        </w:trPr>
        <w:tc>
          <w:tcPr>
            <w:tcW w:w="220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88"/>
              </w:rPr>
              <w:t>Purchased Under the</w:t>
            </w:r>
          </w:p>
        </w:tc>
        <w:tc>
          <w:tcPr>
            <w:tcW w:w="0" w:type="dxa"/>
            <w:vAlign w:val="bottom"/>
          </w:tcPr>
          <w:p>
            <w:pPr>
              <w:spacing w:after="0"/>
              <w:rPr>
                <w:sz w:val="1"/>
                <w:szCs w:val="1"/>
                <w:color w:val="auto"/>
              </w:rPr>
            </w:pPr>
          </w:p>
        </w:tc>
      </w:tr>
      <w:tr>
        <w:trPr>
          <w:trHeight w:val="227"/>
        </w:trPr>
        <w:tc>
          <w:tcPr>
            <w:tcW w:w="2200" w:type="dxa"/>
            <w:vAlign w:val="bottom"/>
            <w:gridSpan w:val="2"/>
            <w:vMerge w:val="continue"/>
          </w:tcPr>
          <w:p>
            <w:pPr>
              <w:spacing w:after="0"/>
              <w:rPr>
                <w:sz w:val="19"/>
                <w:szCs w:val="19"/>
                <w:color w:val="auto"/>
              </w:rPr>
            </w:pPr>
          </w:p>
        </w:tc>
        <w:tc>
          <w:tcPr>
            <w:tcW w:w="1960" w:type="dxa"/>
            <w:vAlign w:val="bottom"/>
          </w:tcPr>
          <w:p>
            <w:pPr>
              <w:jc w:val="right"/>
              <w:ind w:right="491"/>
              <w:spacing w:after="0"/>
              <w:rPr>
                <w:sz w:val="20"/>
                <w:szCs w:val="20"/>
                <w:color w:val="auto"/>
              </w:rPr>
            </w:pPr>
            <w:r>
              <w:rPr>
                <w:rFonts w:ascii="Arial" w:cs="Arial" w:eastAsia="Arial" w:hAnsi="Arial"/>
                <w:sz w:val="18"/>
                <w:szCs w:val="18"/>
                <w:b w:val="1"/>
                <w:bCs w:val="1"/>
                <w:color w:val="auto"/>
              </w:rPr>
              <w:t>Purchased</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Share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20"/>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8/1/2021–8/31/2021</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599.91</w:t>
            </w:r>
          </w:p>
        </w:tc>
        <w:tc>
          <w:tcPr>
            <w:tcW w:w="3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886,772,558</w:t>
            </w:r>
          </w:p>
        </w:tc>
        <w:tc>
          <w:tcPr>
            <w:tcW w:w="0" w:type="dxa"/>
            <w:vAlign w:val="bottom"/>
          </w:tcPr>
          <w:p>
            <w:pPr>
              <w:spacing w:after="0"/>
              <w:rPr>
                <w:sz w:val="1"/>
                <w:szCs w:val="1"/>
                <w:color w:val="auto"/>
              </w:rPr>
            </w:pPr>
          </w:p>
        </w:tc>
      </w:tr>
      <w:tr>
        <w:trPr>
          <w:trHeight w:val="227"/>
        </w:trPr>
        <w:tc>
          <w:tcPr>
            <w:tcW w:w="2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9/1/2021–9/30/2021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293,617</w:t>
            </w:r>
          </w:p>
        </w:tc>
        <w:tc>
          <w:tcPr>
            <w:tcW w:w="760" w:type="dxa"/>
            <w:vAlign w:val="bottom"/>
            <w:tcBorders>
              <w:bottom w:val="single" w:sz="8" w:color="CCEEFF"/>
            </w:tcBorders>
            <w:gridSpan w:val="2"/>
          </w:tcPr>
          <w:p>
            <w:pPr>
              <w:jc w:val="right"/>
              <w:ind w:right="23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645.24</w:t>
            </w:r>
          </w:p>
        </w:tc>
        <w:tc>
          <w:tcPr>
            <w:tcW w:w="3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293,588</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697,337,089</w:t>
            </w:r>
          </w:p>
        </w:tc>
        <w:tc>
          <w:tcPr>
            <w:tcW w:w="0" w:type="dxa"/>
            <w:vAlign w:val="bottom"/>
          </w:tcPr>
          <w:p>
            <w:pPr>
              <w:spacing w:after="0"/>
              <w:rPr>
                <w:sz w:val="1"/>
                <w:szCs w:val="1"/>
                <w:color w:val="auto"/>
              </w:rPr>
            </w:pPr>
          </w:p>
        </w:tc>
      </w:tr>
      <w:tr>
        <w:trPr>
          <w:trHeight w:val="22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295,441</w:t>
            </w:r>
          </w:p>
        </w:tc>
        <w:tc>
          <w:tcPr>
            <w:tcW w:w="760" w:type="dxa"/>
            <w:vAlign w:val="bottom"/>
            <w:gridSpan w:val="2"/>
            <w:shd w:val="clear" w:color="auto" w:fill="CCEEFF"/>
          </w:tcPr>
          <w:p>
            <w:pPr>
              <w:jc w:val="right"/>
              <w:ind w:right="531"/>
              <w:spacing w:after="0" w:line="128" w:lineRule="exact"/>
              <w:rPr>
                <w:sz w:val="20"/>
                <w:szCs w:val="20"/>
                <w:color w:val="auto"/>
              </w:rPr>
            </w:pPr>
            <w:r>
              <w:rPr>
                <w:rFonts w:ascii="Arial" w:cs="Arial" w:eastAsia="Arial" w:hAnsi="Arial"/>
                <w:sz w:val="12"/>
                <w:szCs w:val="12"/>
                <w:color w:val="auto"/>
                <w:w w:val="81"/>
              </w:rPr>
              <w:t>(a)</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295,412</w:t>
            </w:r>
          </w:p>
        </w:tc>
        <w:tc>
          <w:tcPr>
            <w:tcW w:w="520" w:type="dxa"/>
            <w:vAlign w:val="bottom"/>
            <w:gridSpan w:val="2"/>
            <w:shd w:val="clear" w:color="auto" w:fill="CCEEFF"/>
          </w:tcPr>
          <w:p>
            <w:pPr>
              <w:jc w:val="right"/>
              <w:ind w:right="291"/>
              <w:spacing w:after="0" w:line="128" w:lineRule="exact"/>
              <w:rPr>
                <w:sz w:val="20"/>
                <w:szCs w:val="20"/>
                <w:color w:val="auto"/>
              </w:rPr>
            </w:pPr>
            <w:r>
              <w:rPr>
                <w:rFonts w:ascii="Arial" w:cs="Arial" w:eastAsia="Arial" w:hAnsi="Arial"/>
                <w:sz w:val="12"/>
                <w:szCs w:val="12"/>
                <w:color w:val="auto"/>
                <w:w w:val="81"/>
              </w:rPr>
              <w:t>(a)</w:t>
            </w: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240" w:right="20" w:hanging="2"/>
        <w:spacing w:after="0" w:line="214" w:lineRule="auto"/>
        <w:tabs>
          <w:tab w:leader="none" w:pos="41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92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4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85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8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b w:val="1"/>
                <w:bCs w:val="1"/>
                <w:color w:val="auto"/>
                <w:w w:val="84"/>
              </w:rPr>
              <w:t>Number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 w:type="dxa"/>
            <w:vAlign w:val="bottom"/>
            <w:vMerge w:val="continue"/>
          </w:tcPr>
          <w:p>
            <w:pPr>
              <w:spacing w:after="0"/>
              <w:rPr>
                <w:sz w:val="16"/>
                <w:szCs w:val="16"/>
                <w:color w:val="auto"/>
              </w:rPr>
            </w:pPr>
          </w:p>
        </w:tc>
        <w:tc>
          <w:tcPr>
            <w:tcW w:w="580" w:type="dxa"/>
            <w:vAlign w:val="bottom"/>
            <w:tcBorders>
              <w:left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20" w:type="dxa"/>
            <w:vAlign w:val="bottom"/>
            <w:gridSpan w:val="8"/>
            <w:shd w:val="clear" w:color="auto" w:fill="CCEEFF"/>
          </w:tcPr>
          <w:p>
            <w:pPr>
              <w:spacing w:after="0" w:line="187" w:lineRule="exact"/>
              <w:rPr>
                <w:rFonts w:ascii="Arial" w:cs="Arial" w:eastAsia="Arial" w:hAnsi="Arial"/>
                <w:sz w:val="18"/>
                <w:szCs w:val="18"/>
                <w:color w:val="0000FF"/>
                <w:w w:val="92"/>
              </w:rPr>
            </w:pPr>
            <w:hyperlink w:anchor="page90">
              <w:r>
                <w:rPr>
                  <w:rFonts w:ascii="Arial" w:cs="Arial" w:eastAsia="Arial" w:hAnsi="Arial"/>
                  <w:sz w:val="18"/>
                  <w:szCs w:val="18"/>
                  <w:color w:val="0000FF"/>
                  <w:w w:val="92"/>
                </w:rPr>
                <w:t>Modification P00004 to Supply Agreement, dated as of July 26, 2021, by and between Regeneron Pharmaceuticals,</w:t>
              </w:r>
            </w:hyperlink>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5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5580" w:type="dxa"/>
            <w:vAlign w:val="bottom"/>
            <w:tcBorders>
              <w:top w:val="single" w:sz="8" w:color="0000FF"/>
              <w:bottom w:val="single" w:sz="8" w:color="0000FF"/>
            </w:tcBorders>
            <w:gridSpan w:val="3"/>
            <w:shd w:val="clear" w:color="auto" w:fill="CCEEFF"/>
          </w:tcPr>
          <w:p>
            <w:pPr>
              <w:spacing w:after="0" w:line="154" w:lineRule="exact"/>
              <w:rPr>
                <w:rFonts w:ascii="Arial" w:cs="Arial" w:eastAsia="Arial" w:hAnsi="Arial"/>
                <w:sz w:val="17"/>
                <w:szCs w:val="17"/>
                <w:color w:val="0000FF"/>
                <w:w w:val="95"/>
              </w:rPr>
            </w:pPr>
            <w:hyperlink w:anchor="page90">
              <w:r>
                <w:rPr>
                  <w:rFonts w:ascii="Arial" w:cs="Arial" w:eastAsia="Arial" w:hAnsi="Arial"/>
                  <w:sz w:val="17"/>
                  <w:szCs w:val="17"/>
                  <w:color w:val="0000FF"/>
                  <w:w w:val="95"/>
                </w:rPr>
                <w:t>Inc. (the "Registrant") and the U.S. Army Contracting Command, New Jersey.</w:t>
              </w:r>
            </w:hyperlink>
          </w:p>
        </w:tc>
        <w:tc>
          <w:tcPr>
            <w:tcW w:w="29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Pr>
          <w:p>
            <w:pPr>
              <w:ind w:left="20"/>
              <w:spacing w:after="0" w:line="187"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20" w:type="dxa"/>
            <w:vAlign w:val="bottom"/>
            <w:gridSpan w:val="8"/>
          </w:tcPr>
          <w:p>
            <w:pPr>
              <w:spacing w:after="0" w:line="187" w:lineRule="exact"/>
              <w:rPr>
                <w:rFonts w:ascii="Arial" w:cs="Arial" w:eastAsia="Arial" w:hAnsi="Arial"/>
                <w:sz w:val="18"/>
                <w:szCs w:val="18"/>
                <w:color w:val="0000FF"/>
                <w:w w:val="92"/>
              </w:rPr>
            </w:pPr>
            <w:hyperlink w:anchor="page96">
              <w:r>
                <w:rPr>
                  <w:rFonts w:ascii="Arial" w:cs="Arial" w:eastAsia="Arial" w:hAnsi="Arial"/>
                  <w:sz w:val="18"/>
                  <w:szCs w:val="18"/>
                  <w:color w:val="0000FF"/>
                  <w:w w:val="92"/>
                </w:rPr>
                <w:t>Modification P00005 to Supply Agreement, dated as of September 14, 2021, by and between the Registrant and the</w:t>
              </w:r>
            </w:hyperlink>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8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w:anchor="page96">
              <w:r>
                <w:rPr>
                  <w:rFonts w:ascii="Arial" w:cs="Arial" w:eastAsia="Arial" w:hAnsi="Arial"/>
                  <w:sz w:val="17"/>
                  <w:szCs w:val="17"/>
                  <w:color w:val="0000FF"/>
                </w:rPr>
                <w:t>U.S. Army Contracting Command, New Jersey.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vMerge w:val="continue"/>
          </w:tcPr>
          <w:p>
            <w:pPr>
              <w:spacing w:after="0"/>
              <w:rPr>
                <w:sz w:val="17"/>
                <w:szCs w:val="17"/>
                <w:color w:val="auto"/>
              </w:rPr>
            </w:pPr>
          </w:p>
        </w:tc>
        <w:tc>
          <w:tcPr>
            <w:tcW w:w="580" w:type="dxa"/>
            <w:vAlign w:val="bottom"/>
            <w:tcBorders>
              <w:left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520" w:type="dxa"/>
            <w:vAlign w:val="bottom"/>
            <w:gridSpan w:val="8"/>
            <w:shd w:val="clear" w:color="auto" w:fill="CCEEFF"/>
          </w:tcPr>
          <w:p>
            <w:pPr>
              <w:spacing w:after="0" w:line="187" w:lineRule="exact"/>
              <w:rPr>
                <w:rFonts w:ascii="Arial" w:cs="Arial" w:eastAsia="Arial" w:hAnsi="Arial"/>
                <w:sz w:val="18"/>
                <w:szCs w:val="18"/>
                <w:color w:val="0000FF"/>
                <w:w w:val="94"/>
              </w:rPr>
            </w:pPr>
            <w:hyperlink w:anchor="page109">
              <w:r>
                <w:rPr>
                  <w:rFonts w:ascii="Arial" w:cs="Arial" w:eastAsia="Arial" w:hAnsi="Arial"/>
                  <w:sz w:val="18"/>
                  <w:szCs w:val="18"/>
                  <w:color w:val="0000FF"/>
                  <w:w w:val="94"/>
                </w:rPr>
                <w:t>Certification of Principal Executive Officer pursuant to Rule 13a-14(a) under the Securities Exchange Act of 1934.</w:t>
              </w:r>
            </w:hyperlink>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tcBorders>
          </w:tcPr>
          <w:p>
            <w:pPr>
              <w:ind w:left="20"/>
              <w:spacing w:after="0" w:line="187" w:lineRule="exact"/>
              <w:rPr>
                <w:sz w:val="20"/>
                <w:szCs w:val="20"/>
                <w:color w:val="auto"/>
              </w:rPr>
            </w:pPr>
            <w:r>
              <w:rPr>
                <w:rFonts w:ascii="Arial" w:cs="Arial" w:eastAsia="Arial" w:hAnsi="Arial"/>
                <w:sz w:val="18"/>
                <w:szCs w:val="18"/>
                <w:color w:val="auto"/>
              </w:rPr>
              <w:t>31.2</w:t>
            </w:r>
          </w:p>
        </w:tc>
        <w:tc>
          <w:tcPr>
            <w:tcW w:w="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140" w:type="dxa"/>
            <w:vAlign w:val="bottom"/>
            <w:tcBorders>
              <w:top w:val="single" w:sz="8" w:color="0000FF"/>
              <w:bottom w:val="single" w:sz="8" w:color="0000FF"/>
            </w:tcBorders>
            <w:gridSpan w:val="4"/>
          </w:tcPr>
          <w:p>
            <w:pPr>
              <w:spacing w:after="0" w:line="187"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Certification of Principal Financial Officer pursuant to Rule 13a-14(a) under the Securities Exchange Act of 1934.</w:t>
              </w:r>
            </w:hyperlink>
          </w:p>
        </w:tc>
        <w:tc>
          <w:tcPr>
            <w:tcW w:w="40" w:type="dxa"/>
            <w:vAlign w:val="bottom"/>
            <w:tcBorders>
              <w:top w:val="single" w:sz="8" w:color="0000FF"/>
            </w:tcBorders>
          </w:tcPr>
          <w:p>
            <w:pPr>
              <w:spacing w:after="0"/>
              <w:rPr>
                <w:sz w:val="16"/>
                <w:szCs w:val="16"/>
                <w:color w:val="auto"/>
              </w:rPr>
            </w:pPr>
          </w:p>
        </w:tc>
        <w:tc>
          <w:tcPr>
            <w:tcW w:w="340" w:type="dxa"/>
            <w:vAlign w:val="bottom"/>
            <w:tcBorders>
              <w:top w:val="single" w:sz="8" w:color="CCEEFF"/>
            </w:tcBorders>
            <w:gridSpan w:val="3"/>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920" w:hanging="1068"/>
        <w:spacing w:after="0"/>
        <w:tabs>
          <w:tab w:leader="none" w:pos="1920" w:val="left"/>
        </w:tabs>
        <w:numPr>
          <w:ilvl w:val="0"/>
          <w:numId w:val="35"/>
        </w:numPr>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-130175</wp:posOffset>
            </wp:positionV>
            <wp:extent cx="6083300" cy="14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3300" cy="144145"/>
                    </a:xfrm>
                    <a:prstGeom prst="rect">
                      <a:avLst/>
                    </a:prstGeom>
                    <a:noFill/>
                  </pic:spPr>
                </pic:pic>
              </a:graphicData>
            </a:graphic>
          </wp:anchor>
        </w:drawing>
      </w:r>
    </w:p>
    <w:p>
      <w:pPr>
        <w:ind w:left="1920" w:right="880" w:hanging="1068"/>
        <w:spacing w:after="0" w:line="236" w:lineRule="auto"/>
        <w:tabs>
          <w:tab w:leader="none" w:pos="19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Condensed Consolidated Balance Sheets as of September 30, 2021 and December 31, 2020; (ii) the Registrant's Condensed Consolidated Statements of Operations and Comprehensive Income for the three and nine months ended September 30, 2021 and 2020; (iii) the Registrant's Condensed Consolidated Statements of Stockholders’ Equity for the three and nine months ended September 30, 2021 and 2020; (iv) the Registrant's Condensed Consolidated Statements of Cash Flows for the nine months ended September 30, 2021 and 2020; and (v) the notes to the Registrant's Condensed Consolidated Financial Statements.</w:t>
      </w:r>
    </w:p>
    <w:p>
      <w:pPr>
        <w:spacing w:after="0" w:line="1" w:lineRule="exact"/>
        <w:rPr>
          <w:sz w:val="20"/>
          <w:szCs w:val="20"/>
          <w:color w:val="auto"/>
        </w:rPr>
      </w:pPr>
    </w:p>
    <w:p>
      <w:pPr>
        <w:ind w:left="1920" w:hanging="1068"/>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8"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23"/>
          <w:szCs w:val="23"/>
          <w:color w:val="auto"/>
          <w:vertAlign w:val="superscript"/>
        </w:rPr>
        <w:t>*</w:t>
      </w:r>
      <w:r>
        <w:rPr>
          <w:rFonts w:ascii="Arial" w:cs="Arial" w:eastAsia="Arial" w:hAnsi="Arial"/>
          <w:sz w:val="16"/>
          <w:szCs w:val="16"/>
          <w:color w:val="auto"/>
        </w:rPr>
        <w:t xml:space="preserve"> Certain confidential portions of this exhibit were omitted in accordance with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-366395</wp:posOffset>
            </wp:positionV>
            <wp:extent cx="6083300" cy="144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3300" cy="14414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REGENERON PHARMACEUTICALS, INC.</w:t>
      </w:r>
    </w:p>
    <w:p>
      <w:pPr>
        <w:spacing w:after="0" w:line="287" w:lineRule="exact"/>
        <w:rPr>
          <w:sz w:val="20"/>
          <w:szCs w:val="20"/>
          <w:color w:val="auto"/>
        </w:rPr>
      </w:pPr>
    </w:p>
    <w:p>
      <w:pPr>
        <w:ind w:left="500"/>
        <w:spacing w:after="0"/>
        <w:tabs>
          <w:tab w:leader="none" w:pos="1240" w:val="left"/>
          <w:tab w:leader="none" w:pos="4700" w:val="left"/>
          <w:tab w:leader="none" w:pos="5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Robert E. Landry</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Finance and</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7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10.1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CONFIDENTIAL PORTIONS OF THIS EXHIBIT, MARKED BY BRACKETS, WERE OMITTED BECAUSE THOSE PORTIONS</w:t>
      </w:r>
    </w:p>
    <w:p>
      <w:pPr>
        <w:spacing w:after="0" w:line="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34225" cy="3473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AMENDMENT OF SOLICITATION/MODIFICATION OF CONTRACT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20"/>
                <w:szCs w:val="20"/>
                <w:color w:val="auto"/>
              </w:rPr>
            </w:pPr>
            <w:r>
              <w:rPr>
                <w:rFonts w:ascii="Arial" w:cs="Arial" w:eastAsia="Arial" w:hAnsi="Arial"/>
                <w:sz w:val="14"/>
                <w:szCs w:val="14"/>
                <w:b w:val="1"/>
                <w:bCs w:val="1"/>
                <w:color w:val="auto"/>
              </w:rPr>
              <w:t>1. Contract ID Code</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w w:val="86"/>
              </w:rPr>
              <w:t xml:space="preserve">Page </w:t>
            </w:r>
            <w:r>
              <w:rPr>
                <w:rFonts w:ascii="Arial" w:cs="Arial" w:eastAsia="Arial" w:hAnsi="Arial"/>
                <w:sz w:val="14"/>
                <w:szCs w:val="14"/>
                <w:color w:val="auto"/>
                <w:w w:val="86"/>
              </w:rPr>
              <w:t>1</w:t>
            </w:r>
            <w:r>
              <w:rPr>
                <w:rFonts w:ascii="Arial" w:cs="Arial" w:eastAsia="Arial" w:hAnsi="Arial"/>
                <w:sz w:val="14"/>
                <w:szCs w:val="14"/>
                <w:b w:val="1"/>
                <w:bCs w:val="1"/>
                <w:color w:val="auto"/>
                <w:w w:val="86"/>
              </w:rPr>
              <w:t xml:space="preserve"> of </w:t>
            </w:r>
            <w:r>
              <w:rPr>
                <w:rFonts w:ascii="Arial" w:cs="Arial" w:eastAsia="Arial" w:hAnsi="Arial"/>
                <w:sz w:val="14"/>
                <w:szCs w:val="14"/>
                <w:color w:val="auto"/>
                <w:w w:val="86"/>
              </w:rPr>
              <w:t>6</w:t>
            </w:r>
          </w:p>
        </w:tc>
      </w:tr>
    </w:tbl>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Firm Fixed Price</w:t>
      </w:r>
    </w:p>
    <w:p>
      <w:pPr>
        <w:spacing w:after="0" w:line="121" w:lineRule="exact"/>
        <w:rPr>
          <w:sz w:val="20"/>
          <w:szCs w:val="20"/>
          <w:color w:val="auto"/>
        </w:rPr>
      </w:pPr>
    </w:p>
    <w:p>
      <w:pPr>
        <w:sectPr>
          <w:pgSz w:w="11900" w:h="16838" w:orient="portrait"/>
          <w:cols w:equalWidth="0" w:num="2">
            <w:col w:w="7080" w:space="720"/>
            <w:col w:w="34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2"/>
              </w:rPr>
              <w:t>2. Amendment/Modification No.</w:t>
            </w:r>
          </w:p>
        </w:tc>
        <w:tc>
          <w:tcPr>
            <w:tcW w:w="1300" w:type="dxa"/>
            <w:vAlign w:val="bottom"/>
            <w:tcBorders>
              <w:top w:val="single" w:sz="8" w:color="auto"/>
              <w:right w:val="single" w:sz="8" w:color="auto"/>
            </w:tcBorders>
          </w:tcPr>
          <w:p>
            <w:pPr>
              <w:spacing w:after="0"/>
              <w:rPr>
                <w:sz w:val="17"/>
                <w:szCs w:val="17"/>
                <w:color w:val="auto"/>
              </w:rPr>
            </w:pPr>
          </w:p>
        </w:tc>
        <w:tc>
          <w:tcPr>
            <w:tcW w:w="220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3. Effective Date</w:t>
            </w:r>
          </w:p>
        </w:tc>
        <w:tc>
          <w:tcPr>
            <w:tcW w:w="21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4. Requisition/Purchase Req No.</w:t>
            </w:r>
          </w:p>
        </w:tc>
        <w:tc>
          <w:tcPr>
            <w:tcW w:w="840" w:type="dxa"/>
            <w:vAlign w:val="bottom"/>
            <w:tcBorders>
              <w:top w:val="single" w:sz="8" w:color="auto"/>
              <w:right w:val="single" w:sz="8" w:color="auto"/>
            </w:tcBorders>
          </w:tcPr>
          <w:p>
            <w:pPr>
              <w:spacing w:after="0"/>
              <w:rPr>
                <w:sz w:val="17"/>
                <w:szCs w:val="17"/>
                <w:color w:val="auto"/>
              </w:rPr>
            </w:pPr>
          </w:p>
        </w:tc>
        <w:tc>
          <w:tcPr>
            <w:tcW w:w="27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Project No. (If applicable)</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10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P00004</w:t>
            </w:r>
          </w:p>
        </w:tc>
        <w:tc>
          <w:tcPr>
            <w:tcW w:w="13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gridSpan w:val="2"/>
          </w:tcPr>
          <w:p>
            <w:pPr>
              <w:ind w:left="740"/>
              <w:spacing w:after="0"/>
              <w:rPr>
                <w:sz w:val="20"/>
                <w:szCs w:val="20"/>
                <w:color w:val="auto"/>
              </w:rPr>
            </w:pPr>
            <w:r>
              <w:rPr>
                <w:rFonts w:ascii="Courier New" w:cs="Courier New" w:eastAsia="Courier New" w:hAnsi="Courier New"/>
                <w:sz w:val="12"/>
                <w:szCs w:val="12"/>
                <w:color w:val="auto"/>
              </w:rPr>
              <w:t>2021JUL26</w:t>
            </w:r>
          </w:p>
        </w:tc>
        <w:tc>
          <w:tcPr>
            <w:tcW w:w="2100" w:type="dxa"/>
            <w:vAlign w:val="bottom"/>
            <w:gridSpan w:val="2"/>
          </w:tcPr>
          <w:p>
            <w:pPr>
              <w:ind w:left="1000"/>
              <w:spacing w:after="0"/>
              <w:rPr>
                <w:sz w:val="20"/>
                <w:szCs w:val="20"/>
                <w:color w:val="auto"/>
              </w:rPr>
            </w:pPr>
            <w:r>
              <w:rPr>
                <w:rFonts w:ascii="Courier New" w:cs="Courier New" w:eastAsia="Courier New" w:hAnsi="Courier New"/>
                <w:sz w:val="12"/>
                <w:szCs w:val="12"/>
                <w:color w:val="auto"/>
              </w:rPr>
              <w:t>SEE SCHEDULE</w:t>
            </w:r>
          </w:p>
        </w:tc>
        <w:tc>
          <w:tcPr>
            <w:tcW w:w="840" w:type="dxa"/>
            <w:vAlign w:val="bottom"/>
            <w:tcBorders>
              <w:right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gridSpan w:val="3"/>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6. Issued By</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Borders>
              <w:right w:val="single" w:sz="8" w:color="auto"/>
            </w:tcBorders>
          </w:tcPr>
          <w:p>
            <w:pPr>
              <w:ind w:left="860"/>
              <w:spacing w:after="0"/>
              <w:rPr>
                <w:sz w:val="20"/>
                <w:szCs w:val="20"/>
                <w:color w:val="auto"/>
              </w:rPr>
            </w:pPr>
            <w:r>
              <w:rPr>
                <w:rFonts w:ascii="Arial" w:cs="Arial" w:eastAsia="Arial" w:hAnsi="Arial"/>
                <w:sz w:val="14"/>
                <w:szCs w:val="14"/>
                <w:b w:val="1"/>
                <w:bCs w:val="1"/>
                <w:color w:val="auto"/>
              </w:rPr>
              <w:t>Code</w:t>
            </w:r>
          </w:p>
        </w:tc>
        <w:tc>
          <w:tcPr>
            <w:tcW w:w="920" w:type="dxa"/>
            <w:vAlign w:val="bottom"/>
            <w:tcBorders>
              <w:right w:val="single" w:sz="8" w:color="auto"/>
            </w:tcBorders>
          </w:tcPr>
          <w:p>
            <w:pPr>
              <w:ind w:left="60"/>
              <w:spacing w:after="0"/>
              <w:rPr>
                <w:sz w:val="20"/>
                <w:szCs w:val="20"/>
                <w:color w:val="auto"/>
              </w:rPr>
            </w:pPr>
            <w:r>
              <w:rPr>
                <w:rFonts w:ascii="Courier New" w:cs="Courier New" w:eastAsia="Courier New" w:hAnsi="Courier New"/>
                <w:sz w:val="12"/>
                <w:szCs w:val="12"/>
                <w:color w:val="auto"/>
              </w:rPr>
              <w:t>W58P05</w:t>
            </w:r>
          </w:p>
        </w:tc>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7. Administered By (If other than Item 6)</w:t>
            </w:r>
          </w:p>
        </w:tc>
        <w:tc>
          <w:tcPr>
            <w:tcW w:w="1960" w:type="dxa"/>
            <w:vAlign w:val="bottom"/>
            <w:tcBorders>
              <w:right w:val="single" w:sz="8" w:color="auto"/>
            </w:tcBorders>
          </w:tcPr>
          <w:p>
            <w:pPr>
              <w:ind w:left="1600"/>
              <w:spacing w:after="0"/>
              <w:rPr>
                <w:sz w:val="20"/>
                <w:szCs w:val="20"/>
                <w:color w:val="auto"/>
              </w:rPr>
            </w:pPr>
            <w:r>
              <w:rPr>
                <w:rFonts w:ascii="Arial" w:cs="Arial" w:eastAsia="Arial" w:hAnsi="Arial"/>
                <w:sz w:val="14"/>
                <w:szCs w:val="14"/>
                <w:b w:val="1"/>
                <w:bCs w:val="1"/>
                <w:color w:val="auto"/>
                <w:w w:val="91"/>
              </w:rPr>
              <w:t>Code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40" w:type="dxa"/>
            <w:vAlign w:val="bottom"/>
            <w:gridSpan w:val="3"/>
            <w:vMerge w:val="restart"/>
          </w:tcPr>
          <w:p>
            <w:pPr>
              <w:ind w:left="380"/>
              <w:spacing w:after="0"/>
              <w:rPr>
                <w:sz w:val="20"/>
                <w:szCs w:val="20"/>
                <w:color w:val="auto"/>
              </w:rPr>
            </w:pPr>
            <w:r>
              <w:rPr>
                <w:rFonts w:ascii="Courier New" w:cs="Courier New" w:eastAsia="Courier New" w:hAnsi="Courier New"/>
                <w:sz w:val="12"/>
                <w:szCs w:val="12"/>
                <w:color w:val="auto"/>
              </w:rPr>
              <w:t>U.S. ACC, APG , NCD</w:t>
            </w:r>
          </w:p>
        </w:tc>
        <w:tc>
          <w:tcPr>
            <w:tcW w:w="13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gridSpan w:val="3"/>
            <w:vMerge w:val="continue"/>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40" w:type="dxa"/>
            <w:vAlign w:val="bottom"/>
            <w:gridSpan w:val="3"/>
          </w:tcPr>
          <w:p>
            <w:pPr>
              <w:ind w:left="380"/>
              <w:spacing w:after="0"/>
              <w:rPr>
                <w:sz w:val="20"/>
                <w:szCs w:val="20"/>
                <w:color w:val="auto"/>
              </w:rPr>
            </w:pPr>
            <w:r>
              <w:rPr>
                <w:rFonts w:ascii="Courier New" w:cs="Courier New" w:eastAsia="Courier New" w:hAnsi="Courier New"/>
                <w:sz w:val="12"/>
                <w:szCs w:val="12"/>
                <w:color w:val="auto"/>
              </w:rPr>
              <w:t>NATICK, MA 01760-5011</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940" w:type="dxa"/>
            <w:vAlign w:val="bottom"/>
          </w:tcPr>
          <w:p>
            <w:pPr>
              <w:ind w:left="380"/>
              <w:spacing w:after="0"/>
              <w:rPr>
                <w:sz w:val="20"/>
                <w:szCs w:val="20"/>
                <w:color w:val="auto"/>
              </w:rPr>
            </w:pPr>
            <w:r>
              <w:rPr>
                <w:rFonts w:ascii="Courier New" w:cs="Courier New" w:eastAsia="Courier New" w:hAnsi="Courier New"/>
                <w:sz w:val="12"/>
                <w:szCs w:val="12"/>
                <w:color w:val="auto"/>
              </w:rPr>
              <w:t>EMAIL:</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340" w:type="dxa"/>
            <w:vAlign w:val="bottom"/>
            <w:tcBorders>
              <w:bottom w:val="single" w:sz="8" w:color="auto"/>
            </w:tcBorders>
            <w:gridSpan w:val="4"/>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54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8. Name And Address Of Contractor (No., Street, City, County, State and Zip Code)</w:t>
            </w:r>
          </w:p>
        </w:tc>
        <w:tc>
          <w:tcPr>
            <w:tcW w:w="150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vMerge w:val="restart"/>
          </w:tcPr>
          <w:p>
            <w:pPr>
              <w:ind w:left="60"/>
              <w:spacing w:after="0" w:line="231" w:lineRule="exact"/>
              <w:rPr>
                <w:sz w:val="20"/>
                <w:szCs w:val="20"/>
                <w:color w:val="auto"/>
              </w:rPr>
            </w:pPr>
            <w:r>
              <w:rPr>
                <w:rFonts w:ascii="MS PGothic" w:cs="MS PGothic" w:eastAsia="MS PGothic" w:hAnsi="MS PGothic"/>
                <w:sz w:val="23"/>
                <w:szCs w:val="23"/>
                <w:color w:val="auto"/>
              </w:rPr>
              <w:t>☐</w:t>
            </w:r>
          </w:p>
        </w:tc>
        <w:tc>
          <w:tcPr>
            <w:tcW w:w="3600" w:type="dxa"/>
            <w:vAlign w:val="bottom"/>
            <w:gridSpan w:val="3"/>
          </w:tcPr>
          <w:p>
            <w:pPr>
              <w:ind w:left="80"/>
              <w:spacing w:after="0"/>
              <w:rPr>
                <w:sz w:val="20"/>
                <w:szCs w:val="20"/>
                <w:color w:val="auto"/>
              </w:rPr>
            </w:pPr>
            <w:r>
              <w:rPr>
                <w:rFonts w:ascii="Arial" w:cs="Arial" w:eastAsia="Arial" w:hAnsi="Arial"/>
                <w:sz w:val="14"/>
                <w:szCs w:val="14"/>
                <w:b w:val="1"/>
                <w:bCs w:val="1"/>
                <w:color w:val="auto"/>
              </w:rPr>
              <w:t>9A. Amendment Of Solicitation No.</w:t>
            </w: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vMerge w:val="continue"/>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gridSpan w:val="6"/>
          </w:tcPr>
          <w:p>
            <w:pPr>
              <w:ind w:left="380"/>
              <w:spacing w:after="0"/>
              <w:rPr>
                <w:sz w:val="20"/>
                <w:szCs w:val="20"/>
                <w:color w:val="auto"/>
              </w:rPr>
            </w:pPr>
            <w:r>
              <w:rPr>
                <w:rFonts w:ascii="Courier New" w:cs="Courier New" w:eastAsia="Courier New" w:hAnsi="Courier New"/>
                <w:sz w:val="12"/>
                <w:szCs w:val="12"/>
                <w:color w:val="auto"/>
              </w:rPr>
              <w:t>REGENERON PHARMACEUTICALS, INC.</w:t>
            </w:r>
          </w:p>
        </w:tc>
        <w:tc>
          <w:tcPr>
            <w:tcW w:w="150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5540" w:type="dxa"/>
            <w:vAlign w:val="bottom"/>
            <w:gridSpan w:val="6"/>
            <w:vMerge w:val="restart"/>
          </w:tcPr>
          <w:p>
            <w:pPr>
              <w:ind w:left="380"/>
              <w:spacing w:after="0"/>
              <w:rPr>
                <w:sz w:val="20"/>
                <w:szCs w:val="20"/>
                <w:color w:val="auto"/>
              </w:rPr>
            </w:pPr>
            <w:r>
              <w:rPr>
                <w:rFonts w:ascii="Courier New" w:cs="Courier New" w:eastAsia="Courier New" w:hAnsi="Courier New"/>
                <w:sz w:val="12"/>
                <w:szCs w:val="12"/>
                <w:color w:val="auto"/>
              </w:rPr>
              <w:t>777 OLD SAW MILL RIVER RD</w:t>
            </w:r>
          </w:p>
        </w:tc>
        <w:tc>
          <w:tcPr>
            <w:tcW w:w="150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5540" w:type="dxa"/>
            <w:vAlign w:val="bottom"/>
            <w:gridSpan w:val="6"/>
            <w:vMerge w:val="continue"/>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3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9B. Dated (See Item 11)</w:t>
            </w:r>
          </w:p>
        </w:tc>
        <w:tc>
          <w:tcPr>
            <w:tcW w:w="0" w:type="dxa"/>
            <w:vAlign w:val="bottom"/>
          </w:tcPr>
          <w:p>
            <w:pPr>
              <w:spacing w:after="0"/>
              <w:rPr>
                <w:sz w:val="1"/>
                <w:szCs w:val="1"/>
                <w:color w:val="auto"/>
              </w:rPr>
            </w:pPr>
          </w:p>
        </w:tc>
      </w:tr>
      <w:tr>
        <w:trPr>
          <w:trHeight w:val="86"/>
        </w:trPr>
        <w:tc>
          <w:tcPr>
            <w:tcW w:w="5540" w:type="dxa"/>
            <w:vAlign w:val="bottom"/>
            <w:gridSpan w:val="6"/>
            <w:vMerge w:val="restart"/>
          </w:tcPr>
          <w:p>
            <w:pPr>
              <w:ind w:left="380"/>
              <w:spacing w:after="0"/>
              <w:rPr>
                <w:sz w:val="20"/>
                <w:szCs w:val="20"/>
                <w:color w:val="auto"/>
              </w:rPr>
            </w:pPr>
            <w:r>
              <w:rPr>
                <w:rFonts w:ascii="Courier New" w:cs="Courier New" w:eastAsia="Courier New" w:hAnsi="Courier New"/>
                <w:sz w:val="12"/>
                <w:szCs w:val="12"/>
                <w:color w:val="auto"/>
              </w:rPr>
              <w:t>TARRYTOWN, NY 10591-6717</w:t>
            </w:r>
          </w:p>
        </w:tc>
        <w:tc>
          <w:tcPr>
            <w:tcW w:w="1500" w:type="dxa"/>
            <w:vAlign w:val="bottom"/>
            <w:tcBorders>
              <w:right w:val="single" w:sz="8" w:color="auto"/>
            </w:tcBorders>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3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540" w:type="dxa"/>
            <w:vAlign w:val="bottom"/>
            <w:gridSpan w:val="6"/>
            <w:vMerge w:val="continue"/>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vMerge w:val="restart"/>
          </w:tcPr>
          <w:p>
            <w:pPr>
              <w:ind w:left="60"/>
              <w:spacing w:after="0" w:line="231" w:lineRule="exact"/>
              <w:rPr>
                <w:sz w:val="20"/>
                <w:szCs w:val="20"/>
                <w:color w:val="auto"/>
              </w:rPr>
            </w:pPr>
            <w:r>
              <w:rPr>
                <w:rFonts w:ascii="MS PGothic" w:cs="MS PGothic" w:eastAsia="MS PGothic" w:hAnsi="MS PGothic"/>
                <w:sz w:val="23"/>
                <w:szCs w:val="23"/>
                <w:color w:val="auto"/>
              </w:rPr>
              <w:t>☒</w:t>
            </w:r>
          </w:p>
        </w:tc>
        <w:tc>
          <w:tcPr>
            <w:tcW w:w="3600" w:type="dxa"/>
            <w:vAlign w:val="bottom"/>
            <w:gridSpan w:val="3"/>
          </w:tcPr>
          <w:p>
            <w:pPr>
              <w:ind w:left="80"/>
              <w:spacing w:after="0"/>
              <w:rPr>
                <w:sz w:val="20"/>
                <w:szCs w:val="20"/>
                <w:color w:val="auto"/>
              </w:rPr>
            </w:pPr>
            <w:r>
              <w:rPr>
                <w:rFonts w:ascii="Arial" w:cs="Arial" w:eastAsia="Arial" w:hAnsi="Arial"/>
                <w:sz w:val="14"/>
                <w:szCs w:val="14"/>
                <w:b w:val="1"/>
                <w:bCs w:val="1"/>
                <w:color w:val="auto"/>
              </w:rPr>
              <w:t>10A. Modification Of Contract/Order No.</w:t>
            </w: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vMerge w:val="continue"/>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60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W15QKN-21-C-0014</w:t>
            </w:r>
          </w:p>
        </w:tc>
        <w:tc>
          <w:tcPr>
            <w:tcW w:w="0" w:type="dxa"/>
            <w:vAlign w:val="bottom"/>
          </w:tcPr>
          <w:p>
            <w:pPr>
              <w:spacing w:after="0"/>
              <w:rPr>
                <w:sz w:val="1"/>
                <w:szCs w:val="1"/>
                <w:color w:val="auto"/>
              </w:rPr>
            </w:pPr>
          </w:p>
        </w:tc>
      </w:tr>
      <w:tr>
        <w:trPr>
          <w:trHeight w:val="31"/>
        </w:trPr>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3600" w:type="dxa"/>
            <w:vAlign w:val="bottom"/>
            <w:gridSpan w:val="3"/>
          </w:tcPr>
          <w:p>
            <w:pPr>
              <w:ind w:left="80"/>
              <w:spacing w:after="0"/>
              <w:rPr>
                <w:sz w:val="20"/>
                <w:szCs w:val="20"/>
                <w:color w:val="auto"/>
              </w:rPr>
            </w:pPr>
            <w:r>
              <w:rPr>
                <w:rFonts w:ascii="Arial" w:cs="Arial" w:eastAsia="Arial" w:hAnsi="Arial"/>
                <w:sz w:val="14"/>
                <w:szCs w:val="14"/>
                <w:b w:val="1"/>
                <w:bCs w:val="1"/>
                <w:color w:val="auto"/>
              </w:rPr>
              <w:t>10B. Dated (See Item 13)</w:t>
            </w:r>
          </w:p>
        </w:tc>
        <w:tc>
          <w:tcPr>
            <w:tcW w:w="0" w:type="dxa"/>
            <w:vAlign w:val="bottom"/>
          </w:tcPr>
          <w:p>
            <w:pPr>
              <w:spacing w:after="0"/>
              <w:rPr>
                <w:sz w:val="1"/>
                <w:szCs w:val="1"/>
                <w:color w:val="auto"/>
              </w:rPr>
            </w:pPr>
          </w:p>
        </w:tc>
      </w:tr>
      <w:tr>
        <w:trPr>
          <w:trHeight w:val="25"/>
        </w:trPr>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80"/>
              <w:spacing w:after="0"/>
              <w:rPr>
                <w:sz w:val="20"/>
                <w:szCs w:val="20"/>
                <w:color w:val="auto"/>
              </w:rPr>
            </w:pPr>
            <w:r>
              <w:rPr>
                <w:rFonts w:ascii="Arial" w:cs="Arial" w:eastAsia="Arial" w:hAnsi="Arial"/>
                <w:sz w:val="14"/>
                <w:szCs w:val="14"/>
                <w:color w:val="auto"/>
              </w:rPr>
              <w:t>Code</w:t>
            </w:r>
          </w:p>
        </w:tc>
        <w:tc>
          <w:tcPr>
            <w:tcW w:w="10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544P9</w:t>
            </w:r>
          </w:p>
        </w:tc>
        <w:tc>
          <w:tcPr>
            <w:tcW w:w="60" w:type="dxa"/>
            <w:vAlign w:val="bottom"/>
          </w:tcPr>
          <w:p>
            <w:pPr>
              <w:spacing w:after="0"/>
              <w:rPr>
                <w:sz w:val="15"/>
                <w:szCs w:val="15"/>
                <w:color w:val="auto"/>
              </w:rPr>
            </w:pPr>
          </w:p>
        </w:tc>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Facility Code</w:t>
            </w:r>
          </w:p>
        </w:tc>
        <w:tc>
          <w:tcPr>
            <w:tcW w:w="150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Pr>
          <w:p>
            <w:pPr>
              <w:ind w:left="80"/>
              <w:spacing w:after="0"/>
              <w:rPr>
                <w:sz w:val="20"/>
                <w:szCs w:val="20"/>
                <w:color w:val="auto"/>
              </w:rPr>
            </w:pPr>
            <w:r>
              <w:rPr>
                <w:rFonts w:ascii="Courier New" w:cs="Courier New" w:eastAsia="Courier New" w:hAnsi="Courier New"/>
                <w:sz w:val="12"/>
                <w:szCs w:val="12"/>
                <w:color w:val="auto"/>
              </w:rPr>
              <w:t>2021JAN12</w:t>
            </w:r>
          </w:p>
        </w:tc>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gridSpan w:val="6"/>
          </w:tcPr>
          <w:p>
            <w:pPr>
              <w:ind w:left="1240"/>
              <w:spacing w:after="0"/>
              <w:rPr>
                <w:sz w:val="20"/>
                <w:szCs w:val="20"/>
                <w:color w:val="auto"/>
              </w:rPr>
            </w:pPr>
            <w:r>
              <w:rPr>
                <w:rFonts w:ascii="Arial" w:cs="Arial" w:eastAsia="Arial" w:hAnsi="Arial"/>
                <w:sz w:val="14"/>
                <w:szCs w:val="14"/>
                <w:b w:val="1"/>
                <w:bCs w:val="1"/>
                <w:color w:val="auto"/>
              </w:rPr>
              <w:t>11.THIS ITEM ONLY APPLIES TO AMENDMENTS OF SOLICITATIONS</w:t>
            </w:r>
          </w:p>
        </w:tc>
        <w:tc>
          <w:tcPr>
            <w:tcW w:w="1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240"/>
        <w:spacing w:after="0"/>
        <w:tabs>
          <w:tab w:leader="none" w:pos="320" w:val="left"/>
        </w:tabs>
        <w:numPr>
          <w:ilvl w:val="0"/>
          <w:numId w:val="38"/>
        </w:numPr>
        <w:rPr>
          <w:rFonts w:ascii="MS PGothic" w:cs="MS PGothic" w:eastAsia="MS PGothic" w:hAnsi="MS PGothic"/>
          <w:sz w:val="23"/>
          <w:szCs w:val="23"/>
          <w:color w:val="auto"/>
        </w:rPr>
      </w:pPr>
      <w:r>
        <w:rPr>
          <w:rFonts w:ascii="Arial" w:cs="Arial" w:eastAsia="Arial" w:hAnsi="Arial"/>
          <w:sz w:val="14"/>
          <w:szCs w:val="14"/>
          <w:color w:val="auto"/>
        </w:rPr>
        <w:t>The above numbered solicitation is amended as set forth in item 14. The hour and date specified for receipt of Offers</w:t>
      </w:r>
    </w:p>
    <w:p>
      <w:pPr>
        <w:ind w:left="560" w:hanging="243"/>
        <w:spacing w:after="0" w:line="248" w:lineRule="exact"/>
        <w:tabs>
          <w:tab w:leader="none" w:pos="560" w:val="left"/>
        </w:tabs>
        <w:numPr>
          <w:ilvl w:val="0"/>
          <w:numId w:val="39"/>
        </w:numPr>
        <w:rPr>
          <w:rFonts w:ascii="MS PGothic" w:cs="MS PGothic" w:eastAsia="MS PGothic" w:hAnsi="MS PGothic"/>
          <w:sz w:val="23"/>
          <w:szCs w:val="23"/>
          <w:color w:val="auto"/>
        </w:rPr>
      </w:pPr>
      <w:r>
        <w:rPr>
          <w:rFonts w:ascii="Arial" w:cs="Arial" w:eastAsia="Arial" w:hAnsi="Arial"/>
          <w:sz w:val="14"/>
          <w:szCs w:val="14"/>
          <w:color w:val="auto"/>
        </w:rPr>
        <w:t xml:space="preserve">is extended, </w:t>
      </w:r>
      <w:r>
        <w:rPr>
          <w:rFonts w:ascii="MS PGothic" w:cs="MS PGothic" w:eastAsia="MS PGothic" w:hAnsi="MS PGothic"/>
          <w:sz w:val="23"/>
          <w:szCs w:val="23"/>
          <w:color w:val="auto"/>
        </w:rPr>
        <w:t>☐</w:t>
      </w:r>
      <w:r>
        <w:rPr>
          <w:rFonts w:ascii="Arial" w:cs="Arial" w:eastAsia="Arial" w:hAnsi="Arial"/>
          <w:sz w:val="14"/>
          <w:szCs w:val="14"/>
          <w:color w:val="auto"/>
        </w:rPr>
        <w:t xml:space="preserve"> is not extended.</w:t>
      </w:r>
    </w:p>
    <w:p>
      <w:pPr>
        <w:ind w:left="300"/>
        <w:spacing w:after="0"/>
        <w:rPr>
          <w:sz w:val="20"/>
          <w:szCs w:val="20"/>
          <w:color w:val="auto"/>
        </w:rPr>
      </w:pPr>
      <w:r>
        <w:rPr>
          <w:rFonts w:ascii="Arial" w:cs="Arial" w:eastAsia="Arial" w:hAnsi="Arial"/>
          <w:sz w:val="14"/>
          <w:szCs w:val="14"/>
          <w:color w:val="auto"/>
        </w:rPr>
        <w:t>Offers must acknowledge receipt of this amendment prior to the hour and date specified in the solicitation or as amended by one of the following methods:</w:t>
      </w:r>
    </w:p>
    <w:p>
      <w:pPr>
        <w:ind w:left="300" w:right="1860"/>
        <w:spacing w:after="0"/>
        <w:rPr>
          <w:sz w:val="20"/>
          <w:szCs w:val="20"/>
          <w:color w:val="auto"/>
        </w:rPr>
      </w:pPr>
      <w:r>
        <w:rPr>
          <w:rFonts w:ascii="Arial" w:cs="Arial" w:eastAsia="Arial" w:hAnsi="Arial"/>
          <w:sz w:val="14"/>
          <w:szCs w:val="14"/>
          <w:color w:val="auto"/>
        </w:rPr>
        <w:t xml:space="preserve">(a) By completing items 8 and 15, and returning </w:t>
      </w:r>
      <w:r>
        <w:rPr>
          <w:rFonts w:ascii="Arial" w:cs="Arial" w:eastAsia="Arial" w:hAnsi="Arial"/>
          <w:sz w:val="14"/>
          <w:szCs w:val="14"/>
          <w:u w:val="single" w:color="auto"/>
          <w:color w:val="auto"/>
        </w:rPr>
        <w:t>_</w:t>
      </w:r>
      <w:r>
        <w:rPr>
          <w:rFonts w:ascii="Arial" w:cs="Arial" w:eastAsia="Arial" w:hAnsi="Arial"/>
          <w:sz w:val="14"/>
          <w:szCs w:val="14"/>
          <w:color w:val="auto"/>
        </w:rPr>
        <w:t xml:space="preserve"> copies of the amendments: (b) By acknowledging receipt of this amendment on each copy of the offer submitted; or (c) 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45" w:lineRule="exact"/>
        <w:rPr>
          <w:sz w:val="20"/>
          <w:szCs w:val="20"/>
          <w:color w:val="auto"/>
        </w:rPr>
      </w:pPr>
    </w:p>
    <w:p>
      <w:pPr>
        <w:ind w:left="300" w:hanging="220"/>
        <w:spacing w:after="0"/>
        <w:tabs>
          <w:tab w:leader="none" w:pos="30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Accounting And Appropriation Data (If required)</w:t>
      </w:r>
    </w:p>
    <w:p>
      <w:pPr>
        <w:spacing w:after="0" w:line="78" w:lineRule="exact"/>
        <w:rPr>
          <w:rFonts w:ascii="Arial" w:cs="Arial" w:eastAsia="Arial" w:hAnsi="Arial"/>
          <w:sz w:val="14"/>
          <w:szCs w:val="14"/>
          <w:b w:val="1"/>
          <w:bCs w:val="1"/>
          <w:color w:val="auto"/>
        </w:rPr>
      </w:pPr>
    </w:p>
    <w:p>
      <w:pPr>
        <w:ind w:left="300"/>
        <w:spacing w:after="0"/>
        <w:rPr>
          <w:rFonts w:ascii="Arial" w:cs="Arial" w:eastAsia="Arial" w:hAnsi="Arial"/>
          <w:sz w:val="14"/>
          <w:szCs w:val="14"/>
          <w:b w:val="1"/>
          <w:bCs w:val="1"/>
          <w:color w:val="auto"/>
        </w:rPr>
      </w:pPr>
      <w:r>
        <w:rPr>
          <w:rFonts w:ascii="Courier New" w:cs="Courier New" w:eastAsia="Courier New" w:hAnsi="Courier New"/>
          <w:sz w:val="12"/>
          <w:szCs w:val="12"/>
          <w:color w:val="auto"/>
        </w:rPr>
        <w:t>NO CHANGE TO OBLIGATION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-248285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13. THIS ITEM ONLY APPLIES TO MODIFICATIONS OF CONTRACTS/ORDERS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 Modifies The Contract/Order No. As Described In Item 14.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 w:type="dxa"/>
            <w:vAlign w:val="bottom"/>
            <w:tcBorders>
              <w:top w:val="single" w:sz="8" w:color="auto"/>
              <w:right w:val="single" w:sz="8" w:color="auto"/>
            </w:tcBorders>
            <w:vMerge w:val="restart"/>
          </w:tcPr>
          <w:p>
            <w:pPr>
              <w:ind w:left="80"/>
              <w:spacing w:after="0" w:line="231" w:lineRule="exact"/>
              <w:rPr>
                <w:sz w:val="20"/>
                <w:szCs w:val="20"/>
                <w:color w:val="auto"/>
              </w:rPr>
            </w:pPr>
            <w:r>
              <w:rPr>
                <w:rFonts w:ascii="MS PGothic" w:cs="MS PGothic" w:eastAsia="MS PGothic" w:hAnsi="MS PGothic"/>
                <w:sz w:val="23"/>
                <w:szCs w:val="23"/>
                <w:color w:val="auto"/>
              </w:rPr>
              <w:t>☐</w:t>
            </w:r>
          </w:p>
        </w:tc>
        <w:tc>
          <w:tcPr>
            <w:tcW w:w="52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A. This Change Order is Issued Pursuant To:</w:t>
            </w:r>
          </w:p>
        </w:tc>
        <w:tc>
          <w:tcPr>
            <w:tcW w:w="5480" w:type="dxa"/>
            <w:vAlign w:val="bottom"/>
            <w:tcBorders>
              <w:top w:val="single" w:sz="8" w:color="auto"/>
            </w:tcBorders>
            <w:vMerge w:val="restart"/>
          </w:tcPr>
          <w:p>
            <w:pPr>
              <w:ind w:left="1860"/>
              <w:spacing w:after="0"/>
              <w:rPr>
                <w:sz w:val="20"/>
                <w:szCs w:val="20"/>
                <w:color w:val="auto"/>
              </w:rPr>
            </w:pPr>
            <w:r>
              <w:rPr>
                <w:rFonts w:ascii="Arial" w:cs="Arial" w:eastAsia="Arial" w:hAnsi="Arial"/>
                <w:sz w:val="14"/>
                <w:szCs w:val="14"/>
                <w:b w:val="1"/>
                <w:bCs w:val="1"/>
                <w:color w:val="auto"/>
              </w:rPr>
              <w:t>The Changes Set Forth In Item 14 Are Made In</w:t>
            </w:r>
          </w:p>
        </w:tc>
        <w:tc>
          <w:tcPr>
            <w:tcW w:w="0" w:type="dxa"/>
            <w:vAlign w:val="bottom"/>
          </w:tcPr>
          <w:p>
            <w:pPr>
              <w:spacing w:after="0"/>
              <w:rPr>
                <w:sz w:val="1"/>
                <w:szCs w:val="1"/>
                <w:color w:val="auto"/>
              </w:rPr>
            </w:pPr>
          </w:p>
        </w:tc>
      </w:tr>
      <w:tr>
        <w:trPr>
          <w:trHeight w:val="204"/>
        </w:trPr>
        <w:tc>
          <w:tcPr>
            <w:tcW w:w="540" w:type="dxa"/>
            <w:vAlign w:val="bottom"/>
            <w:tcBorders>
              <w:bottom w:val="single" w:sz="8" w:color="auto"/>
              <w:right w:val="single" w:sz="8" w:color="auto"/>
            </w:tcBorders>
            <w:vMerge w:val="continue"/>
          </w:tcPr>
          <w:p>
            <w:pPr>
              <w:spacing w:after="0"/>
              <w:rPr>
                <w:sz w:val="17"/>
                <w:szCs w:val="17"/>
                <w:color w:val="auto"/>
              </w:rPr>
            </w:pPr>
          </w:p>
        </w:tc>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The Contract/Order No. In Item 10A.</w:t>
            </w:r>
          </w:p>
        </w:tc>
        <w:tc>
          <w:tcPr>
            <w:tcW w:w="5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40" w:type="dxa"/>
            <w:vAlign w:val="bottom"/>
            <w:tcBorders>
              <w:right w:val="single" w:sz="8" w:color="auto"/>
            </w:tcBorders>
            <w:vMerge w:val="restart"/>
          </w:tcPr>
          <w:p>
            <w:pPr>
              <w:ind w:left="80"/>
              <w:spacing w:after="0" w:line="231" w:lineRule="exact"/>
              <w:rPr>
                <w:sz w:val="20"/>
                <w:szCs w:val="20"/>
                <w:color w:val="auto"/>
              </w:rPr>
            </w:pPr>
            <w:r>
              <w:rPr>
                <w:rFonts w:ascii="MS PGothic" w:cs="MS PGothic" w:eastAsia="MS PGothic" w:hAnsi="MS PGothic"/>
                <w:sz w:val="23"/>
                <w:szCs w:val="23"/>
                <w:color w:val="auto"/>
              </w:rPr>
              <w:t>☐</w:t>
            </w:r>
          </w:p>
        </w:tc>
        <w:tc>
          <w:tcPr>
            <w:tcW w:w="107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B. The Above Numbered Contract/Order Is Modified To Reflect The Administrative Changes (such as changes in paying office, appropriation data, etc.) Set Forth In Item 14,</w:t>
            </w:r>
          </w:p>
        </w:tc>
        <w:tc>
          <w:tcPr>
            <w:tcW w:w="0" w:type="dxa"/>
            <w:vAlign w:val="bottom"/>
          </w:tcPr>
          <w:p>
            <w:pPr>
              <w:spacing w:after="0"/>
              <w:rPr>
                <w:sz w:val="1"/>
                <w:szCs w:val="1"/>
                <w:color w:val="auto"/>
              </w:rPr>
            </w:pPr>
          </w:p>
        </w:tc>
      </w:tr>
      <w:tr>
        <w:trPr>
          <w:trHeight w:val="204"/>
        </w:trPr>
        <w:tc>
          <w:tcPr>
            <w:tcW w:w="540" w:type="dxa"/>
            <w:vAlign w:val="bottom"/>
            <w:tcBorders>
              <w:bottom w:val="single" w:sz="8" w:color="auto"/>
              <w:right w:val="single" w:sz="8" w:color="auto"/>
            </w:tcBorders>
            <w:vMerge w:val="continue"/>
          </w:tcPr>
          <w:p>
            <w:pPr>
              <w:spacing w:after="0"/>
              <w:rPr>
                <w:sz w:val="17"/>
                <w:szCs w:val="17"/>
                <w:color w:val="auto"/>
              </w:rPr>
            </w:pPr>
          </w:p>
        </w:tc>
        <w:tc>
          <w:tcPr>
            <w:tcW w:w="5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Pursuant To The Authority of FAR 43.103(b).</w:t>
            </w:r>
          </w:p>
        </w:tc>
        <w:tc>
          <w:tcPr>
            <w:tcW w:w="5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540" w:type="dxa"/>
            <w:vAlign w:val="bottom"/>
            <w:tcBorders>
              <w:bottom w:val="single" w:sz="8" w:color="auto"/>
              <w:right w:val="single" w:sz="8" w:color="auto"/>
            </w:tcBorders>
          </w:tcPr>
          <w:p>
            <w:pPr>
              <w:ind w:left="80"/>
              <w:spacing w:after="0" w:line="231" w:lineRule="exact"/>
              <w:rPr>
                <w:sz w:val="20"/>
                <w:szCs w:val="20"/>
                <w:color w:val="auto"/>
              </w:rPr>
            </w:pPr>
            <w:r>
              <w:rPr>
                <w:rFonts w:ascii="MS PGothic" w:cs="MS PGothic" w:eastAsia="MS PGothic" w:hAnsi="MS PGothic"/>
                <w:sz w:val="23"/>
                <w:szCs w:val="23"/>
                <w:color w:val="auto"/>
              </w:rPr>
              <w:t>☒</w:t>
            </w:r>
          </w:p>
        </w:tc>
        <w:tc>
          <w:tcPr>
            <w:tcW w:w="5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 This Supplemental Agreement Is Entered Into Pursuant To Authority Of:</w:t>
            </w:r>
          </w:p>
        </w:tc>
        <w:tc>
          <w:tcPr>
            <w:tcW w:w="5480" w:type="dxa"/>
            <w:vAlign w:val="bottom"/>
            <w:tcBorders>
              <w:bottom w:val="single" w:sz="8" w:color="auto"/>
            </w:tcBorders>
          </w:tcPr>
          <w:p>
            <w:pPr>
              <w:ind w:left="540"/>
              <w:spacing w:after="0"/>
              <w:rPr>
                <w:sz w:val="20"/>
                <w:szCs w:val="20"/>
                <w:color w:val="auto"/>
              </w:rPr>
            </w:pPr>
            <w:r>
              <w:rPr>
                <w:rFonts w:ascii="Courier New" w:cs="Courier New" w:eastAsia="Courier New" w:hAnsi="Courier New"/>
                <w:sz w:val="12"/>
                <w:szCs w:val="12"/>
                <w:color w:val="auto"/>
              </w:rPr>
              <w:t>FAR 52.243-1</w:t>
            </w:r>
          </w:p>
        </w:tc>
        <w:tc>
          <w:tcPr>
            <w:tcW w:w="0" w:type="dxa"/>
            <w:vAlign w:val="bottom"/>
          </w:tcPr>
          <w:p>
            <w:pPr>
              <w:spacing w:after="0"/>
              <w:rPr>
                <w:sz w:val="1"/>
                <w:szCs w:val="1"/>
                <w:color w:val="auto"/>
              </w:rPr>
            </w:pPr>
          </w:p>
        </w:tc>
      </w:tr>
      <w:tr>
        <w:trPr>
          <w:trHeight w:val="314"/>
        </w:trPr>
        <w:tc>
          <w:tcPr>
            <w:tcW w:w="540" w:type="dxa"/>
            <w:vAlign w:val="bottom"/>
            <w:tcBorders>
              <w:bottom w:val="single" w:sz="8" w:color="auto"/>
              <w:right w:val="single" w:sz="8" w:color="auto"/>
            </w:tcBorders>
          </w:tcPr>
          <w:p>
            <w:pPr>
              <w:ind w:left="80"/>
              <w:spacing w:after="0" w:line="231" w:lineRule="exact"/>
              <w:rPr>
                <w:sz w:val="20"/>
                <w:szCs w:val="20"/>
                <w:color w:val="auto"/>
              </w:rPr>
            </w:pPr>
            <w:r>
              <w:rPr>
                <w:rFonts w:ascii="MS PGothic" w:cs="MS PGothic" w:eastAsia="MS PGothic" w:hAnsi="MS PGothic"/>
                <w:sz w:val="23"/>
                <w:szCs w:val="23"/>
                <w:color w:val="auto"/>
              </w:rPr>
              <w:t>☐</w:t>
            </w:r>
          </w:p>
        </w:tc>
        <w:tc>
          <w:tcPr>
            <w:tcW w:w="5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 Other (Specify type of modification and authority)</w:t>
            </w: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80"/>
        <w:spacing w:after="0" w:line="265" w:lineRule="exact"/>
        <w:rPr>
          <w:sz w:val="20"/>
          <w:szCs w:val="20"/>
          <w:color w:val="auto"/>
        </w:rPr>
      </w:pPr>
      <w:r>
        <w:rPr>
          <w:rFonts w:ascii="Arial" w:cs="Arial" w:eastAsia="Arial" w:hAnsi="Arial"/>
          <w:sz w:val="14"/>
          <w:szCs w:val="14"/>
          <w:b w:val="1"/>
          <w:bCs w:val="1"/>
          <w:color w:val="auto"/>
        </w:rPr>
        <w:t xml:space="preserve">E. IMPORTANT: Contractor </w:t>
      </w:r>
      <w:r>
        <w:rPr>
          <w:rFonts w:ascii="MS PGothic" w:cs="MS PGothic" w:eastAsia="MS PGothic" w:hAnsi="MS PGothic"/>
          <w:sz w:val="23"/>
          <w:szCs w:val="23"/>
          <w:color w:val="auto"/>
        </w:rPr>
        <w:t>☐</w:t>
      </w:r>
      <w:r>
        <w:rPr>
          <w:rFonts w:ascii="Arial" w:cs="Arial" w:eastAsia="Arial" w:hAnsi="Arial"/>
          <w:sz w:val="14"/>
          <w:szCs w:val="14"/>
          <w:b w:val="1"/>
          <w:bCs w:val="1"/>
          <w:color w:val="auto"/>
        </w:rPr>
        <w:t xml:space="preserve"> is not, </w:t>
      </w:r>
      <w:r>
        <w:rPr>
          <w:rFonts w:ascii="MS PGothic" w:cs="MS PGothic" w:eastAsia="MS PGothic" w:hAnsi="MS PGothic"/>
          <w:sz w:val="23"/>
          <w:szCs w:val="23"/>
          <w:color w:val="auto"/>
        </w:rPr>
        <w:t>☒</w:t>
      </w:r>
      <w:r>
        <w:rPr>
          <w:rFonts w:ascii="Arial" w:cs="Arial" w:eastAsia="Arial" w:hAnsi="Arial"/>
          <w:sz w:val="14"/>
          <w:szCs w:val="14"/>
          <w:b w:val="1"/>
          <w:bCs w:val="1"/>
          <w:color w:val="auto"/>
        </w:rPr>
        <w:t xml:space="preserve"> is required to sign this document and return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3" w:lineRule="exact"/>
        <w:rPr>
          <w:sz w:val="20"/>
          <w:szCs w:val="20"/>
          <w:color w:val="auto"/>
        </w:rPr>
      </w:pPr>
    </w:p>
    <w:p>
      <w:pPr>
        <w:ind w:left="300" w:hanging="220"/>
        <w:spacing w:after="0"/>
        <w:tabs>
          <w:tab w:leader="none" w:pos="3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Amendment/Modification (Organized by UCF section headings, including solicitation/contract subject matter where feasible.)</w:t>
      </w:r>
    </w:p>
    <w:p>
      <w:pPr>
        <w:spacing w:after="0" w:line="7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Courier New" w:cs="Courier New" w:eastAsia="Courier New" w:hAnsi="Courier New"/>
          <w:sz w:val="12"/>
          <w:szCs w:val="12"/>
          <w:color w:val="auto"/>
        </w:rPr>
        <w:t>SEE SECOND PAGE FOR DESCRIPTION</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Except as provided herein, all terms and conditions of the document referenced in item 9A or 10A, as heretofore changed, remains unchanged and in full force and effect.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15A. Name And Title Of Signer (Type or print)</w:t>
            </w:r>
          </w:p>
        </w:tc>
        <w:tc>
          <w:tcPr>
            <w:tcW w:w="1260" w:type="dxa"/>
            <w:vAlign w:val="bottom"/>
            <w:tcBorders>
              <w:top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570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16A. Name And Title Of Contracting Officer (Type or print)</w:t>
            </w:r>
          </w:p>
        </w:tc>
      </w:tr>
      <w:tr>
        <w:trPr>
          <w:trHeight w:val="194"/>
        </w:trPr>
        <w:tc>
          <w:tcPr>
            <w:tcW w:w="1200" w:type="dxa"/>
            <w:vAlign w:val="bottom"/>
          </w:tcPr>
          <w:p>
            <w:pPr>
              <w:ind w:left="80"/>
              <w:spacing w:after="0"/>
              <w:rPr>
                <w:sz w:val="20"/>
                <w:szCs w:val="20"/>
                <w:color w:val="auto"/>
              </w:rPr>
            </w:pPr>
            <w:r>
              <w:rPr>
                <w:rFonts w:ascii="Courier New" w:cs="Courier New" w:eastAsia="Courier New" w:hAnsi="Courier New"/>
                <w:sz w:val="12"/>
                <w:szCs w:val="12"/>
                <w:color w:val="auto"/>
              </w:rPr>
              <w:t>Joseph LaRosa</w:t>
            </w:r>
          </w:p>
        </w:tc>
        <w:tc>
          <w:tcPr>
            <w:tcW w:w="2720" w:type="dxa"/>
            <w:vAlign w:val="bottom"/>
          </w:tcPr>
          <w:p>
            <w:pPr>
              <w:ind w:left="140"/>
              <w:spacing w:after="0"/>
              <w:rPr>
                <w:sz w:val="20"/>
                <w:szCs w:val="20"/>
                <w:color w:val="auto"/>
              </w:rPr>
            </w:pPr>
            <w:r>
              <w:rPr>
                <w:rFonts w:ascii="Courier New" w:cs="Courier New" w:eastAsia="Courier New" w:hAnsi="Courier New"/>
                <w:sz w:val="12"/>
                <w:szCs w:val="12"/>
                <w:color w:val="auto"/>
              </w:rPr>
              <w:t>EVP, General Counsel and Secretary</w:t>
            </w:r>
          </w:p>
        </w:tc>
        <w:tc>
          <w:tcPr>
            <w:tcW w:w="1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
        </w:trPr>
        <w:tc>
          <w:tcPr>
            <w:tcW w:w="39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2"/>
        </w:trPr>
        <w:tc>
          <w:tcPr>
            <w:tcW w:w="392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15B. Contractor/Offeror</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15C. Date Signed</w:t>
            </w:r>
          </w:p>
        </w:tc>
        <w:tc>
          <w:tcPr>
            <w:tcW w:w="360" w:type="dxa"/>
            <w:vAlign w:val="bottom"/>
            <w:tcBorders>
              <w:right w:val="single" w:sz="8" w:color="auto"/>
            </w:tcBorders>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16B. United States Of America</w:t>
            </w:r>
          </w:p>
        </w:tc>
        <w:tc>
          <w:tcPr>
            <w:tcW w:w="1960" w:type="dxa"/>
            <w:vAlign w:val="bottom"/>
            <w:tcBorders>
              <w:right w:val="single" w:sz="8" w:color="auto"/>
            </w:tcBorders>
          </w:tcPr>
          <w:p>
            <w:pPr>
              <w:spacing w:after="0"/>
              <w:rPr>
                <w:sz w:val="15"/>
                <w:szCs w:val="15"/>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16C. Date Signed</w:t>
            </w:r>
          </w:p>
        </w:tc>
      </w:tr>
      <w:tr>
        <w:trPr>
          <w:trHeight w:val="213"/>
        </w:trPr>
        <w:tc>
          <w:tcPr>
            <w:tcW w:w="3920" w:type="dxa"/>
            <w:vAlign w:val="bottom"/>
            <w:tcBorders>
              <w:right w:val="single" w:sz="8" w:color="auto"/>
            </w:tcBorders>
            <w:gridSpan w:val="2"/>
          </w:tcPr>
          <w:p>
            <w:pPr>
              <w:ind w:left="140"/>
              <w:spacing w:after="0"/>
              <w:rPr>
                <w:sz w:val="20"/>
                <w:szCs w:val="20"/>
                <w:color w:val="auto"/>
              </w:rPr>
            </w:pPr>
            <w:r>
              <w:rPr>
                <w:rFonts w:ascii="Courier New" w:cs="Courier New" w:eastAsia="Courier New" w:hAnsi="Courier New"/>
                <w:sz w:val="12"/>
                <w:szCs w:val="12"/>
                <w:color w:val="auto"/>
              </w:rPr>
              <w:t>/s/ Joseph LaRosa</w:t>
            </w:r>
          </w:p>
        </w:tc>
        <w:tc>
          <w:tcPr>
            <w:tcW w:w="1260" w:type="dxa"/>
            <w:vAlign w:val="bottom"/>
          </w:tcPr>
          <w:p>
            <w:pPr>
              <w:ind w:left="380"/>
              <w:spacing w:after="0"/>
              <w:rPr>
                <w:sz w:val="20"/>
                <w:szCs w:val="20"/>
                <w:color w:val="auto"/>
              </w:rPr>
            </w:pPr>
            <w:r>
              <w:rPr>
                <w:rFonts w:ascii="Courier New" w:cs="Courier New" w:eastAsia="Courier New" w:hAnsi="Courier New"/>
                <w:sz w:val="12"/>
                <w:szCs w:val="12"/>
                <w:color w:val="auto"/>
              </w:rPr>
              <w:t>23-Jul-2021</w:t>
            </w:r>
          </w:p>
        </w:tc>
        <w:tc>
          <w:tcPr>
            <w:tcW w:w="360" w:type="dxa"/>
            <w:vAlign w:val="bottom"/>
            <w:tcBorders>
              <w:right w:val="single" w:sz="8" w:color="auto"/>
            </w:tcBorders>
          </w:tcPr>
          <w:p>
            <w:pPr>
              <w:spacing w:after="0"/>
              <w:rPr>
                <w:sz w:val="18"/>
                <w:szCs w:val="18"/>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color w:val="auto"/>
              </w:rPr>
              <w:t xml:space="preserve">By    </w:t>
            </w:r>
            <w:r>
              <w:rPr>
                <w:rFonts w:ascii="Courier New" w:cs="Courier New" w:eastAsia="Courier New" w:hAnsi="Courier New"/>
                <w:sz w:val="12"/>
                <w:szCs w:val="12"/>
                <w:color w:val="auto"/>
              </w:rPr>
              <w:t>/s/</w:t>
            </w:r>
          </w:p>
        </w:tc>
        <w:tc>
          <w:tcPr>
            <w:tcW w:w="1960" w:type="dxa"/>
            <w:vAlign w:val="bottom"/>
            <w:tcBorders>
              <w:right w:val="single" w:sz="8" w:color="auto"/>
            </w:tcBorders>
          </w:tcPr>
          <w:p>
            <w:pPr>
              <w:spacing w:after="0"/>
              <w:rPr>
                <w:sz w:val="18"/>
                <w:szCs w:val="18"/>
                <w:color w:val="auto"/>
              </w:rPr>
            </w:pPr>
          </w:p>
        </w:tc>
        <w:tc>
          <w:tcPr>
            <w:tcW w:w="1560" w:type="dxa"/>
            <w:vAlign w:val="bottom"/>
          </w:tcPr>
          <w:p>
            <w:pPr>
              <w:jc w:val="right"/>
              <w:ind w:right="373"/>
              <w:spacing w:after="0"/>
              <w:rPr>
                <w:sz w:val="20"/>
                <w:szCs w:val="20"/>
                <w:color w:val="auto"/>
              </w:rPr>
            </w:pPr>
            <w:r>
              <w:rPr>
                <w:rFonts w:ascii="Courier New" w:cs="Courier New" w:eastAsia="Courier New" w:hAnsi="Courier New"/>
                <w:sz w:val="12"/>
                <w:szCs w:val="12"/>
                <w:color w:val="auto"/>
              </w:rPr>
              <w:t>2021JUL26</w:t>
            </w:r>
          </w:p>
        </w:tc>
      </w:tr>
      <w:tr>
        <w:trPr>
          <w:trHeight w:val="25"/>
        </w:trPr>
        <w:tc>
          <w:tcPr>
            <w:tcW w:w="3920" w:type="dxa"/>
            <w:vAlign w:val="bottom"/>
            <w:tcBorders>
              <w:bottom w:val="single" w:sz="8" w:color="auto"/>
              <w:right w:val="single" w:sz="8" w:color="auto"/>
            </w:tcBorders>
            <w:gridSpan w:val="2"/>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80" w:type="dxa"/>
            <w:vAlign w:val="bottom"/>
            <w:tcBorders>
              <w:bottom w:val="single" w:sz="8" w:color="auto"/>
              <w:right w:val="single" w:sz="8" w:color="auto"/>
            </w:tcBorders>
            <w:gridSpan w:val="2"/>
          </w:tcPr>
          <w:p>
            <w:pPr>
              <w:spacing w:after="0"/>
              <w:rPr>
                <w:sz w:val="2"/>
                <w:szCs w:val="2"/>
                <w:color w:val="auto"/>
              </w:rPr>
            </w:pPr>
          </w:p>
        </w:tc>
        <w:tc>
          <w:tcPr>
            <w:tcW w:w="1560" w:type="dxa"/>
            <w:vAlign w:val="bottom"/>
          </w:tcPr>
          <w:p>
            <w:pPr>
              <w:spacing w:after="0"/>
              <w:rPr>
                <w:sz w:val="2"/>
                <w:szCs w:val="2"/>
                <w:color w:val="auto"/>
              </w:rPr>
            </w:pPr>
          </w:p>
        </w:tc>
      </w:tr>
      <w:tr>
        <w:trPr>
          <w:trHeight w:val="182"/>
        </w:trPr>
        <w:tc>
          <w:tcPr>
            <w:tcW w:w="3920" w:type="dxa"/>
            <w:vAlign w:val="bottom"/>
            <w:tcBorders>
              <w:right w:val="single" w:sz="8" w:color="auto"/>
            </w:tcBorders>
            <w:gridSpan w:val="2"/>
          </w:tcPr>
          <w:p>
            <w:pPr>
              <w:ind w:left="820"/>
              <w:spacing w:after="0"/>
              <w:rPr>
                <w:sz w:val="20"/>
                <w:szCs w:val="20"/>
                <w:color w:val="auto"/>
              </w:rPr>
            </w:pPr>
            <w:r>
              <w:rPr>
                <w:rFonts w:ascii="Arial" w:cs="Arial" w:eastAsia="Arial" w:hAnsi="Arial"/>
                <w:sz w:val="14"/>
                <w:szCs w:val="14"/>
                <w:color w:val="auto"/>
              </w:rPr>
              <w:t>(Signature of person authorized to sign)</w:t>
            </w:r>
          </w:p>
        </w:tc>
        <w:tc>
          <w:tcPr>
            <w:tcW w:w="12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680" w:type="dxa"/>
            <w:vAlign w:val="bottom"/>
            <w:tcBorders>
              <w:right w:val="single" w:sz="8" w:color="auto"/>
            </w:tcBorders>
            <w:gridSpan w:val="2"/>
          </w:tcPr>
          <w:p>
            <w:pPr>
              <w:ind w:left="620"/>
              <w:spacing w:after="0"/>
              <w:rPr>
                <w:sz w:val="20"/>
                <w:szCs w:val="20"/>
                <w:color w:val="auto"/>
              </w:rPr>
            </w:pPr>
            <w:r>
              <w:rPr>
                <w:rFonts w:ascii="Arial" w:cs="Arial" w:eastAsia="Arial" w:hAnsi="Arial"/>
                <w:sz w:val="14"/>
                <w:szCs w:val="14"/>
                <w:color w:val="auto"/>
              </w:rPr>
              <w:t>(Signature of Contracting Officer)</w:t>
            </w:r>
          </w:p>
        </w:tc>
        <w:tc>
          <w:tcPr>
            <w:tcW w:w="1560" w:type="dxa"/>
            <w:vAlign w:val="bottom"/>
          </w:tcPr>
          <w:p>
            <w:pPr>
              <w:spacing w:after="0"/>
              <w:rPr>
                <w:sz w:val="15"/>
                <w:szCs w:val="15"/>
                <w:color w:val="auto"/>
              </w:rPr>
            </w:pPr>
          </w:p>
        </w:tc>
      </w:tr>
      <w:tr>
        <w:trPr>
          <w:trHeight w:val="25"/>
        </w:trPr>
        <w:tc>
          <w:tcPr>
            <w:tcW w:w="3920" w:type="dxa"/>
            <w:vAlign w:val="bottom"/>
            <w:tcBorders>
              <w:bottom w:val="single" w:sz="8" w:color="auto"/>
              <w:right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2"/>
        </w:trPr>
        <w:tc>
          <w:tcPr>
            <w:tcW w:w="3920" w:type="dxa"/>
            <w:vAlign w:val="bottom"/>
            <w:gridSpan w:val="2"/>
          </w:tcPr>
          <w:p>
            <w:pPr>
              <w:ind w:left="80"/>
              <w:spacing w:after="0"/>
              <w:rPr>
                <w:sz w:val="20"/>
                <w:szCs w:val="20"/>
                <w:color w:val="auto"/>
              </w:rPr>
            </w:pPr>
            <w:r>
              <w:rPr>
                <w:rFonts w:ascii="Arial" w:cs="Arial" w:eastAsia="Arial" w:hAnsi="Arial"/>
                <w:sz w:val="14"/>
                <w:szCs w:val="14"/>
                <w:b w:val="1"/>
                <w:bCs w:val="1"/>
                <w:color w:val="auto"/>
              </w:rPr>
              <w:t>NSN 7540-01-152-8070</w:t>
            </w:r>
          </w:p>
        </w:tc>
        <w:tc>
          <w:tcPr>
            <w:tcW w:w="1260" w:type="dxa"/>
            <w:vAlign w:val="bottom"/>
          </w:tcPr>
          <w:p>
            <w:pPr>
              <w:spacing w:after="0"/>
              <w:rPr>
                <w:sz w:val="15"/>
                <w:szCs w:val="15"/>
                <w:color w:val="auto"/>
              </w:rPr>
            </w:pPr>
          </w:p>
        </w:tc>
        <w:tc>
          <w:tcPr>
            <w:tcW w:w="8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3"/>
              </w:rPr>
              <w:t>30-105-02</w:t>
            </w:r>
          </w:p>
        </w:tc>
        <w:tc>
          <w:tcPr>
            <w:tcW w:w="1720" w:type="dxa"/>
            <w:vAlign w:val="bottom"/>
          </w:tcPr>
          <w:p>
            <w:pPr>
              <w:spacing w:after="0"/>
              <w:rPr>
                <w:sz w:val="15"/>
                <w:szCs w:val="15"/>
                <w:color w:val="auto"/>
              </w:rPr>
            </w:pPr>
          </w:p>
        </w:tc>
        <w:tc>
          <w:tcPr>
            <w:tcW w:w="352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STANDARD FORM 30 (REV. 10-83)</w:t>
            </w:r>
          </w:p>
        </w:tc>
      </w:tr>
      <w:tr>
        <w:trPr>
          <w:trHeight w:val="213"/>
        </w:trPr>
        <w:tc>
          <w:tcPr>
            <w:tcW w:w="3920" w:type="dxa"/>
            <w:vAlign w:val="bottom"/>
            <w:gridSpan w:val="2"/>
          </w:tcPr>
          <w:p>
            <w:pPr>
              <w:ind w:left="80"/>
              <w:spacing w:after="0"/>
              <w:rPr>
                <w:sz w:val="20"/>
                <w:szCs w:val="20"/>
                <w:color w:val="auto"/>
              </w:rPr>
            </w:pPr>
            <w:r>
              <w:rPr>
                <w:rFonts w:ascii="Arial" w:cs="Arial" w:eastAsia="Arial" w:hAnsi="Arial"/>
                <w:sz w:val="14"/>
                <w:szCs w:val="14"/>
                <w:b w:val="1"/>
                <w:bCs w:val="1"/>
                <w:color w:val="auto"/>
              </w:rPr>
              <w:t>PREVIOUS EDITIONS UNUSABLE</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52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Prescribed by GSA FAR (48 CFR) 53.243</w:t>
            </w:r>
          </w:p>
        </w:tc>
      </w:tr>
    </w:tbl>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line="19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CONTINUATION SHEET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298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1240" w:type="dxa"/>
            <w:vAlign w:val="bottom"/>
            <w:tcBorders>
              <w:right w:val="single" w:sz="8" w:color="auto"/>
            </w:tcBorders>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6"/>
              </w:rPr>
              <w:t xml:space="preserve">Page </w:t>
            </w:r>
            <w:r>
              <w:rPr>
                <w:rFonts w:ascii="Arial" w:cs="Arial" w:eastAsia="Arial" w:hAnsi="Arial"/>
                <w:sz w:val="14"/>
                <w:szCs w:val="14"/>
                <w:color w:val="auto"/>
                <w:w w:val="86"/>
              </w:rPr>
              <w:t>2</w:t>
            </w:r>
            <w:r>
              <w:rPr>
                <w:rFonts w:ascii="Arial" w:cs="Arial" w:eastAsia="Arial" w:hAnsi="Arial"/>
                <w:sz w:val="14"/>
                <w:szCs w:val="14"/>
                <w:b w:val="1"/>
                <w:bCs w:val="1"/>
                <w:color w:val="auto"/>
                <w:w w:val="86"/>
              </w:rPr>
              <w:t xml:space="preserve"> of </w:t>
            </w:r>
            <w:r>
              <w:rPr>
                <w:rFonts w:ascii="Arial" w:cs="Arial" w:eastAsia="Arial" w:hAnsi="Arial"/>
                <w:sz w:val="14"/>
                <w:szCs w:val="14"/>
                <w:color w:val="auto"/>
                <w:w w:val="86"/>
              </w:rPr>
              <w:t>6</w:t>
            </w:r>
          </w:p>
        </w:tc>
      </w:tr>
      <w:tr>
        <w:trPr>
          <w:trHeight w:val="192"/>
        </w:trPr>
        <w:tc>
          <w:tcPr>
            <w:tcW w:w="880" w:type="dxa"/>
            <w:vAlign w:val="bottom"/>
          </w:tcPr>
          <w:p>
            <w:pPr>
              <w:spacing w:after="0"/>
              <w:rPr>
                <w:sz w:val="16"/>
                <w:szCs w:val="16"/>
                <w:color w:val="auto"/>
              </w:rPr>
            </w:pPr>
          </w:p>
        </w:tc>
        <w:tc>
          <w:tcPr>
            <w:tcW w:w="2980" w:type="dxa"/>
            <w:vAlign w:val="bottom"/>
          </w:tcPr>
          <w:p>
            <w:pPr>
              <w:jc w:val="center"/>
              <w:ind w:left="192"/>
              <w:spacing w:after="0"/>
              <w:rPr>
                <w:sz w:val="20"/>
                <w:szCs w:val="20"/>
                <w:color w:val="auto"/>
              </w:rPr>
            </w:pPr>
            <w:r>
              <w:rPr>
                <w:rFonts w:ascii="Courier New" w:cs="Courier New" w:eastAsia="Courier New" w:hAnsi="Courier New"/>
                <w:sz w:val="12"/>
                <w:szCs w:val="12"/>
                <w:color w:val="auto"/>
              </w:rPr>
              <w:t>W15QKN-21-C-0014</w:t>
            </w:r>
          </w:p>
        </w:tc>
        <w:tc>
          <w:tcPr>
            <w:tcW w:w="124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880" w:type="dxa"/>
            <w:vAlign w:val="bottom"/>
          </w:tcPr>
          <w:p>
            <w:pPr>
              <w:spacing w:after="0"/>
              <w:rPr>
                <w:sz w:val="20"/>
                <w:szCs w:val="20"/>
                <w:color w:val="auto"/>
              </w:rPr>
            </w:pPr>
            <w:r>
              <w:rPr>
                <w:rFonts w:ascii="Arial" w:cs="Arial" w:eastAsia="Arial" w:hAnsi="Arial"/>
                <w:sz w:val="14"/>
                <w:szCs w:val="14"/>
                <w:b w:val="1"/>
                <w:bCs w:val="1"/>
                <w:color w:val="auto"/>
              </w:rPr>
              <w:t>PIIN/SIIN</w:t>
            </w:r>
          </w:p>
        </w:tc>
        <w:tc>
          <w:tcPr>
            <w:tcW w:w="2980" w:type="dxa"/>
            <w:vAlign w:val="bottom"/>
          </w:tcPr>
          <w:p>
            <w:pPr>
              <w:ind w:left="1700"/>
              <w:spacing w:after="0"/>
              <w:rPr>
                <w:sz w:val="20"/>
                <w:szCs w:val="20"/>
                <w:color w:val="auto"/>
              </w:rPr>
            </w:pPr>
            <w:r>
              <w:rPr>
                <w:rFonts w:ascii="Arial" w:cs="Arial" w:eastAsia="Arial" w:hAnsi="Arial"/>
                <w:sz w:val="14"/>
                <w:szCs w:val="14"/>
                <w:b w:val="1"/>
                <w:bCs w:val="1"/>
                <w:color w:val="auto"/>
              </w:rPr>
              <w:t>MOD/AMD</w:t>
            </w:r>
          </w:p>
        </w:tc>
        <w:tc>
          <w:tcPr>
            <w:tcW w:w="1240" w:type="dxa"/>
            <w:vAlign w:val="bottom"/>
            <w:tcBorders>
              <w:right w:val="single" w:sz="8" w:color="auto"/>
            </w:tcBorders>
          </w:tcPr>
          <w:p>
            <w:pPr>
              <w:spacing w:after="0"/>
              <w:rPr>
                <w:sz w:val="20"/>
                <w:szCs w:val="20"/>
                <w:color w:val="auto"/>
              </w:rPr>
            </w:pPr>
            <w:r>
              <w:rPr>
                <w:rFonts w:ascii="Courier New" w:cs="Courier New" w:eastAsia="Courier New" w:hAnsi="Courier New"/>
                <w:sz w:val="12"/>
                <w:szCs w:val="12"/>
                <w:color w:val="auto"/>
              </w:rPr>
              <w:t>P00004</w:t>
            </w:r>
          </w:p>
        </w:tc>
        <w:tc>
          <w:tcPr>
            <w:tcW w:w="680" w:type="dxa"/>
            <w:vAlign w:val="bottom"/>
          </w:tcPr>
          <w:p>
            <w:pPr>
              <w:spacing w:after="0"/>
              <w:rPr>
                <w:sz w:val="19"/>
                <w:szCs w:val="19"/>
                <w:color w:val="auto"/>
              </w:rPr>
            </w:pPr>
          </w:p>
        </w:tc>
      </w:tr>
      <w:tr>
        <w:trPr>
          <w:trHeight w:val="38"/>
        </w:trPr>
        <w:tc>
          <w:tcPr>
            <w:tcW w:w="8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-414655</wp:posOffset>
            </wp:positionV>
            <wp:extent cx="7134225" cy="415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4152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100" w:space="720"/>
            <w:col w:w="7420"/>
          </w:cols>
          <w:pgMar w:left="320" w:top="1127"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2960" w:type="dxa"/>
            <w:vAlign w:val="bottom"/>
          </w:tcPr>
          <w:p>
            <w:pPr>
              <w:ind w:left="80"/>
              <w:spacing w:after="0"/>
              <w:rPr>
                <w:sz w:val="20"/>
                <w:szCs w:val="20"/>
                <w:color w:val="auto"/>
              </w:rPr>
            </w:pPr>
            <w:r>
              <w:rPr>
                <w:rFonts w:ascii="Arial" w:cs="Arial" w:eastAsia="Arial" w:hAnsi="Arial"/>
                <w:sz w:val="18"/>
                <w:szCs w:val="18"/>
                <w:b w:val="1"/>
                <w:bCs w:val="1"/>
                <w:color w:val="auto"/>
              </w:rPr>
              <w:t>Name of Offeror or Contractor:</w:t>
            </w:r>
          </w:p>
        </w:tc>
        <w:tc>
          <w:tcPr>
            <w:tcW w:w="8280" w:type="dxa"/>
            <w:vAlign w:val="bottom"/>
          </w:tcPr>
          <w:p>
            <w:pPr>
              <w:ind w:left="180"/>
              <w:spacing w:after="0"/>
              <w:rPr>
                <w:sz w:val="20"/>
                <w:szCs w:val="20"/>
                <w:color w:val="auto"/>
              </w:rPr>
            </w:pPr>
            <w:r>
              <w:rPr>
                <w:rFonts w:ascii="Courier New" w:cs="Courier New" w:eastAsia="Courier New" w:hAnsi="Courier New"/>
                <w:sz w:val="12"/>
                <w:szCs w:val="12"/>
                <w:color w:val="auto"/>
              </w:rPr>
              <w:t>REGENERON PHARMACEUTICALS, INC.</w:t>
            </w:r>
          </w:p>
        </w:tc>
      </w:tr>
      <w:tr>
        <w:trPr>
          <w:trHeight w:val="28"/>
        </w:trPr>
        <w:tc>
          <w:tcPr>
            <w:tcW w:w="2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r>
      <w:tr>
        <w:trPr>
          <w:trHeight w:val="163"/>
        </w:trPr>
        <w:tc>
          <w:tcPr>
            <w:tcW w:w="2960" w:type="dxa"/>
            <w:vAlign w:val="bottom"/>
          </w:tcPr>
          <w:p>
            <w:pPr>
              <w:ind w:left="80"/>
              <w:spacing w:after="0"/>
              <w:rPr>
                <w:sz w:val="20"/>
                <w:szCs w:val="20"/>
                <w:color w:val="auto"/>
              </w:rPr>
            </w:pPr>
            <w:r>
              <w:rPr>
                <w:rFonts w:ascii="Courier New" w:cs="Courier New" w:eastAsia="Courier New" w:hAnsi="Courier New"/>
                <w:sz w:val="12"/>
                <w:szCs w:val="12"/>
                <w:color w:val="auto"/>
              </w:rPr>
              <w:t>SECTION A - SUPPLEMENTAL INFORMATION</w:t>
            </w:r>
          </w:p>
        </w:tc>
        <w:tc>
          <w:tcPr>
            <w:tcW w:w="8280" w:type="dxa"/>
            <w:vAlign w:val="bottom"/>
          </w:tcPr>
          <w:p>
            <w:pPr>
              <w:spacing w:after="0"/>
              <w:rPr>
                <w:sz w:val="14"/>
                <w:szCs w:val="14"/>
                <w:color w:val="auto"/>
              </w:rPr>
            </w:pPr>
          </w:p>
        </w:tc>
      </w:tr>
    </w:tbl>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Buyer Name:</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Buyer Office Symbol/Telephone Number: CCAP/</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Kind of Contract: Other</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Kind of Modification: G</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Type of Business: Large Business Performing in U.S.</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Surveillance Criticality Designator: A</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Weapon System: No Identified Army Weapons Systems</w:t>
      </w:r>
    </w:p>
    <w:p>
      <w:pPr>
        <w:spacing w:after="0" w:line="2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Contract Expiration Date: 2022JAN11</w:t>
      </w:r>
    </w:p>
    <w:p>
      <w:pPr>
        <w:spacing w:after="0" w:line="26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Paying Office: HQ0490</w:t>
      </w:r>
    </w:p>
    <w:p>
      <w:pPr>
        <w:spacing w:after="0" w:line="24"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DFAS-INDY VP GFEBS</w:t>
      </w:r>
    </w:p>
    <w:p>
      <w:pPr>
        <w:spacing w:after="0" w:line="24"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8899 E. 56TH STREET</w:t>
      </w:r>
    </w:p>
    <w:p>
      <w:pPr>
        <w:spacing w:after="0" w:line="24"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INDIANAPOLIS IN 46249-3800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 End of Narrative A0000 ***</w:t>
      </w: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The purpose of this modification is to:</w:t>
      </w:r>
    </w:p>
    <w:p>
      <w:pPr>
        <w:spacing w:after="0" w:line="264" w:lineRule="exact"/>
        <w:rPr>
          <w:sz w:val="20"/>
          <w:szCs w:val="20"/>
          <w:color w:val="auto"/>
        </w:rPr>
      </w:pPr>
    </w:p>
    <w:p>
      <w:pPr>
        <w:ind w:left="80" w:right="260"/>
        <w:spacing w:after="0" w:line="289" w:lineRule="auto"/>
        <w:tabs>
          <w:tab w:leader="none" w:pos="304"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Revise CLIN 0001AC delivery date from [* * *] to [* * *]. This change is for administrative purposes only as delivery was complete on or before [* * *].</w:t>
      </w:r>
    </w:p>
    <w:p>
      <w:pPr>
        <w:spacing w:after="0" w:line="233" w:lineRule="exact"/>
        <w:rPr>
          <w:rFonts w:ascii="Courier New" w:cs="Courier New" w:eastAsia="Courier New" w:hAnsi="Courier New"/>
          <w:sz w:val="12"/>
          <w:szCs w:val="12"/>
          <w:color w:val="auto"/>
        </w:rPr>
      </w:pPr>
    </w:p>
    <w:p>
      <w:pPr>
        <w:ind w:left="80" w:right="180"/>
        <w:spacing w:after="0" w:line="286" w:lineRule="auto"/>
        <w:tabs>
          <w:tab w:leader="none" w:pos="304"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the following sentences to paragraph C.3.1: "The Government will make every effort to ensure appropriate utilization of Government purchased product based on clinical need. Prior to the anticipated time of FDA approval of a Biologics License Application (BLA) for REGEN-COV, the parties will plan and coordinate to ensure efficient and effective distribution of commercial and non- commercial product."</w:t>
      </w:r>
    </w:p>
    <w:p>
      <w:pPr>
        <w:spacing w:after="0" w:line="234" w:lineRule="exact"/>
        <w:rPr>
          <w:rFonts w:ascii="Courier New" w:cs="Courier New" w:eastAsia="Courier New" w:hAnsi="Courier New"/>
          <w:sz w:val="12"/>
          <w:szCs w:val="12"/>
          <w:color w:val="auto"/>
        </w:rPr>
      </w:pPr>
    </w:p>
    <w:p>
      <w:pPr>
        <w:ind w:left="80" w:right="100"/>
        <w:spacing w:after="0" w:line="289" w:lineRule="auto"/>
        <w:tabs>
          <w:tab w:leader="none" w:pos="304"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Revise paragraph C.8 to state, "Authorized or Approved Uses: Product sold to the Government may be distributed for use in any indication approved or authorized by the FDA."</w:t>
      </w:r>
    </w:p>
    <w:p>
      <w:pPr>
        <w:spacing w:after="0" w:line="23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All other terms and conditions of this contract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 END OF NARRATIVE A0005 ***</w:t>
      </w:r>
    </w:p>
    <w:p>
      <w:pPr>
        <w:sectPr>
          <w:pgSz w:w="11900" w:h="16838" w:orient="portrait"/>
          <w:cols w:equalWidth="0" w:num="1">
            <w:col w:w="11240"/>
          </w:cols>
          <w:pgMar w:left="320" w:top="1127" w:right="339" w:bottom="1440" w:gutter="0" w:footer="0" w:header="0"/>
          <w:type w:val="continuous"/>
        </w:sectPr>
      </w:pPr>
    </w:p>
    <w:bookmarkStart w:id="91" w:name="page92"/>
    <w:bookmarkEnd w:id="91"/>
    <w:p>
      <w:pPr>
        <w:spacing w:after="0" w:line="191" w:lineRule="exact"/>
        <w:rPr>
          <w:sz w:val="20"/>
          <w:szCs w:val="20"/>
          <w:color w:val="auto"/>
        </w:rPr>
      </w:pPr>
    </w:p>
    <w:p>
      <w:pPr>
        <w:jc w:val="center"/>
        <w:ind w:left="700"/>
        <w:spacing w:after="0"/>
        <w:rPr>
          <w:sz w:val="20"/>
          <w:szCs w:val="20"/>
          <w:color w:val="auto"/>
        </w:rPr>
      </w:pPr>
      <w:r>
        <w:rPr>
          <w:rFonts w:ascii="Arial" w:cs="Arial" w:eastAsia="Arial" w:hAnsi="Arial"/>
          <w:sz w:val="20"/>
          <w:szCs w:val="20"/>
          <w:b w:val="1"/>
          <w:bCs w:val="1"/>
          <w:color w:val="auto"/>
        </w:rPr>
        <w:t>CONTINUATION SHEET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4260" w:type="dxa"/>
            <w:vAlign w:val="bottom"/>
            <w:tcBorders>
              <w:right w:val="single" w:sz="8" w:color="auto"/>
            </w:tcBorders>
            <w:gridSpan w:val="2"/>
          </w:tcPr>
          <w:p>
            <w:pPr>
              <w:jc w:val="center"/>
              <w:ind w:right="878"/>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6"/>
              </w:rPr>
              <w:t xml:space="preserve">Page </w:t>
            </w:r>
            <w:r>
              <w:rPr>
                <w:rFonts w:ascii="Arial" w:cs="Arial" w:eastAsia="Arial" w:hAnsi="Arial"/>
                <w:sz w:val="14"/>
                <w:szCs w:val="14"/>
                <w:color w:val="auto"/>
                <w:w w:val="86"/>
              </w:rPr>
              <w:t>3</w:t>
            </w:r>
            <w:r>
              <w:rPr>
                <w:rFonts w:ascii="Arial" w:cs="Arial" w:eastAsia="Arial" w:hAnsi="Arial"/>
                <w:sz w:val="14"/>
                <w:szCs w:val="14"/>
                <w:b w:val="1"/>
                <w:bCs w:val="1"/>
                <w:color w:val="auto"/>
                <w:w w:val="86"/>
              </w:rPr>
              <w:t xml:space="preserve"> of </w:t>
            </w:r>
            <w:r>
              <w:rPr>
                <w:rFonts w:ascii="Arial" w:cs="Arial" w:eastAsia="Arial" w:hAnsi="Arial"/>
                <w:sz w:val="14"/>
                <w:szCs w:val="14"/>
                <w:color w:val="auto"/>
                <w:w w:val="86"/>
              </w:rPr>
              <w:t>6</w:t>
            </w:r>
          </w:p>
        </w:tc>
      </w:tr>
      <w:tr>
        <w:trPr>
          <w:trHeight w:val="192"/>
        </w:trPr>
        <w:tc>
          <w:tcPr>
            <w:tcW w:w="920" w:type="dxa"/>
            <w:vAlign w:val="bottom"/>
          </w:tcPr>
          <w:p>
            <w:pPr>
              <w:spacing w:after="0"/>
              <w:rPr>
                <w:sz w:val="16"/>
                <w:szCs w:val="16"/>
                <w:color w:val="auto"/>
              </w:rPr>
            </w:pPr>
          </w:p>
        </w:tc>
        <w:tc>
          <w:tcPr>
            <w:tcW w:w="2680" w:type="dxa"/>
            <w:vAlign w:val="bottom"/>
          </w:tcPr>
          <w:p>
            <w:pPr>
              <w:jc w:val="center"/>
              <w:ind w:left="552"/>
              <w:spacing w:after="0"/>
              <w:rPr>
                <w:sz w:val="20"/>
                <w:szCs w:val="20"/>
                <w:color w:val="auto"/>
              </w:rPr>
            </w:pPr>
            <w:r>
              <w:rPr>
                <w:rFonts w:ascii="Courier New" w:cs="Courier New" w:eastAsia="Courier New" w:hAnsi="Courier New"/>
                <w:sz w:val="12"/>
                <w:szCs w:val="12"/>
                <w:color w:val="auto"/>
              </w:rPr>
              <w:t>W15QKN-21-C-0014</w:t>
            </w:r>
          </w:p>
        </w:tc>
        <w:tc>
          <w:tcPr>
            <w:tcW w:w="15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920" w:type="dxa"/>
            <w:vAlign w:val="bottom"/>
          </w:tcPr>
          <w:p>
            <w:pPr>
              <w:spacing w:after="0"/>
              <w:rPr>
                <w:sz w:val="20"/>
                <w:szCs w:val="20"/>
                <w:color w:val="auto"/>
              </w:rPr>
            </w:pPr>
            <w:r>
              <w:rPr>
                <w:rFonts w:ascii="Arial" w:cs="Arial" w:eastAsia="Arial" w:hAnsi="Arial"/>
                <w:sz w:val="14"/>
                <w:szCs w:val="14"/>
                <w:b w:val="1"/>
                <w:bCs w:val="1"/>
                <w:color w:val="auto"/>
              </w:rPr>
              <w:t>PIIN/SIIN</w:t>
            </w:r>
          </w:p>
        </w:tc>
        <w:tc>
          <w:tcPr>
            <w:tcW w:w="2680" w:type="dxa"/>
            <w:vAlign w:val="bottom"/>
          </w:tcPr>
          <w:p>
            <w:pPr>
              <w:ind w:left="1660"/>
              <w:spacing w:after="0"/>
              <w:rPr>
                <w:sz w:val="20"/>
                <w:szCs w:val="20"/>
                <w:color w:val="auto"/>
              </w:rPr>
            </w:pPr>
            <w:r>
              <w:rPr>
                <w:rFonts w:ascii="Arial" w:cs="Arial" w:eastAsia="Arial" w:hAnsi="Arial"/>
                <w:sz w:val="14"/>
                <w:szCs w:val="14"/>
                <w:b w:val="1"/>
                <w:bCs w:val="1"/>
                <w:color w:val="auto"/>
              </w:rPr>
              <w:t>MOD/AMD</w:t>
            </w:r>
          </w:p>
        </w:tc>
        <w:tc>
          <w:tcPr>
            <w:tcW w:w="1580" w:type="dxa"/>
            <w:vAlign w:val="bottom"/>
            <w:tcBorders>
              <w:right w:val="single" w:sz="8" w:color="auto"/>
            </w:tcBorders>
          </w:tcPr>
          <w:p>
            <w:pPr>
              <w:ind w:left="280"/>
              <w:spacing w:after="0"/>
              <w:rPr>
                <w:sz w:val="20"/>
                <w:szCs w:val="20"/>
                <w:color w:val="auto"/>
              </w:rPr>
            </w:pPr>
            <w:r>
              <w:rPr>
                <w:rFonts w:ascii="Courier New" w:cs="Courier New" w:eastAsia="Courier New" w:hAnsi="Courier New"/>
                <w:sz w:val="12"/>
                <w:szCs w:val="12"/>
                <w:color w:val="auto"/>
              </w:rPr>
              <w:t>P00004</w:t>
            </w:r>
          </w:p>
        </w:tc>
        <w:tc>
          <w:tcPr>
            <w:tcW w:w="680" w:type="dxa"/>
            <w:vAlign w:val="bottom"/>
          </w:tcPr>
          <w:p>
            <w:pPr>
              <w:spacing w:after="0"/>
              <w:rPr>
                <w:sz w:val="19"/>
                <w:szCs w:val="19"/>
                <w:color w:val="auto"/>
              </w:rPr>
            </w:pPr>
          </w:p>
        </w:tc>
      </w:tr>
      <w:tr>
        <w:trPr>
          <w:trHeight w:val="38"/>
        </w:trPr>
        <w:tc>
          <w:tcPr>
            <w:tcW w:w="9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-414655</wp:posOffset>
            </wp:positionV>
            <wp:extent cx="7134225" cy="415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4152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040" w:space="720"/>
            <w:col w:w="7480"/>
          </w:cols>
          <w:pgMar w:left="320" w:top="1127"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Name of Offeror or Contractor: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47625</wp:posOffset>
            </wp:positionV>
            <wp:extent cx="7134225" cy="5541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554101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480" w:space="720"/>
            <w:col w:w="8040"/>
          </w:cols>
          <w:pgMar w:left="320" w:top="1127"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1720" w:type="dxa"/>
            <w:vAlign w:val="bottom"/>
            <w:gridSpan w:val="3"/>
          </w:tcPr>
          <w:p>
            <w:pPr>
              <w:jc w:val="center"/>
              <w:ind w:right="678"/>
              <w:spacing w:after="0"/>
              <w:rPr>
                <w:sz w:val="20"/>
                <w:szCs w:val="20"/>
                <w:color w:val="auto"/>
              </w:rPr>
            </w:pPr>
            <w:r>
              <w:rPr>
                <w:rFonts w:ascii="Arial" w:cs="Arial" w:eastAsia="Arial" w:hAnsi="Arial"/>
                <w:sz w:val="14"/>
                <w:szCs w:val="14"/>
                <w:b w:val="1"/>
                <w:bCs w:val="1"/>
                <w:color w:val="auto"/>
              </w:rPr>
              <w:t>ITEM NO</w:t>
            </w:r>
          </w:p>
        </w:tc>
        <w:tc>
          <w:tcPr>
            <w:tcW w:w="860" w:type="dxa"/>
            <w:vAlign w:val="bottom"/>
          </w:tcPr>
          <w:p>
            <w:pPr>
              <w:spacing w:after="0"/>
              <w:rPr>
                <w:sz w:val="16"/>
                <w:szCs w:val="16"/>
                <w:color w:val="auto"/>
              </w:rPr>
            </w:pPr>
          </w:p>
        </w:tc>
        <w:tc>
          <w:tcPr>
            <w:tcW w:w="3000" w:type="dxa"/>
            <w:vAlign w:val="bottom"/>
            <w:gridSpan w:val="2"/>
          </w:tcPr>
          <w:p>
            <w:pPr>
              <w:ind w:left="320"/>
              <w:spacing w:after="0"/>
              <w:rPr>
                <w:sz w:val="20"/>
                <w:szCs w:val="20"/>
                <w:color w:val="auto"/>
              </w:rPr>
            </w:pPr>
            <w:r>
              <w:rPr>
                <w:rFonts w:ascii="Arial" w:cs="Arial" w:eastAsia="Arial" w:hAnsi="Arial"/>
                <w:sz w:val="14"/>
                <w:szCs w:val="14"/>
                <w:b w:val="1"/>
                <w:bCs w:val="1"/>
                <w:color w:val="auto"/>
              </w:rPr>
              <w:t>SUPPLIES/SERVICES</w:t>
            </w:r>
          </w:p>
        </w:tc>
        <w:tc>
          <w:tcPr>
            <w:tcW w:w="1960" w:type="dxa"/>
            <w:vAlign w:val="bottom"/>
          </w:tcPr>
          <w:p>
            <w:pPr>
              <w:jc w:val="center"/>
              <w:ind w:left="541"/>
              <w:spacing w:after="0"/>
              <w:rPr>
                <w:sz w:val="20"/>
                <w:szCs w:val="20"/>
                <w:color w:val="auto"/>
              </w:rPr>
            </w:pPr>
            <w:r>
              <w:rPr>
                <w:rFonts w:ascii="Arial" w:cs="Arial" w:eastAsia="Arial" w:hAnsi="Arial"/>
                <w:sz w:val="14"/>
                <w:szCs w:val="14"/>
                <w:b w:val="1"/>
                <w:bCs w:val="1"/>
                <w:color w:val="auto"/>
              </w:rPr>
              <w:t>QUANTITY</w:t>
            </w:r>
          </w:p>
        </w:tc>
        <w:tc>
          <w:tcPr>
            <w:tcW w:w="1020" w:type="dxa"/>
            <w:vAlign w:val="bottom"/>
          </w:tcPr>
          <w:p>
            <w:pPr>
              <w:jc w:val="center"/>
              <w:ind w:right="1"/>
              <w:spacing w:after="0"/>
              <w:rPr>
                <w:sz w:val="20"/>
                <w:szCs w:val="20"/>
                <w:color w:val="auto"/>
              </w:rPr>
            </w:pPr>
            <w:r>
              <w:rPr>
                <w:rFonts w:ascii="Arial" w:cs="Arial" w:eastAsia="Arial" w:hAnsi="Arial"/>
                <w:sz w:val="14"/>
                <w:szCs w:val="14"/>
                <w:b w:val="1"/>
                <w:bCs w:val="1"/>
                <w:color w:val="auto"/>
              </w:rPr>
              <w:t>UNIT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UNIT PRICE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329"/>
              <w:spacing w:after="0"/>
              <w:rPr>
                <w:sz w:val="20"/>
                <w:szCs w:val="20"/>
                <w:color w:val="auto"/>
              </w:rPr>
            </w:pPr>
            <w:r>
              <w:rPr>
                <w:rFonts w:ascii="Arial" w:cs="Arial" w:eastAsia="Arial" w:hAnsi="Arial"/>
                <w:sz w:val="14"/>
                <w:szCs w:val="14"/>
                <w:b w:val="1"/>
                <w:bCs w:val="1"/>
                <w:color w:val="auto"/>
              </w:rPr>
              <w:t>AMOUNT</w:t>
            </w:r>
          </w:p>
        </w:tc>
      </w:tr>
      <w:tr>
        <w:trPr>
          <w:trHeight w:val="25"/>
        </w:trPr>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10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2"/>
                <w:szCs w:val="12"/>
                <w:color w:val="auto"/>
              </w:rPr>
              <w:t>SECTION B</w:t>
            </w:r>
          </w:p>
        </w:tc>
        <w:tc>
          <w:tcPr>
            <w:tcW w:w="386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 SUPPLIES OR SERVICES AND PRICES/COSTS</w:t>
            </w: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758"/>
        </w:trPr>
        <w:tc>
          <w:tcPr>
            <w:tcW w:w="100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Courier New" w:cs="Courier New" w:eastAsia="Courier New" w:hAnsi="Courier New"/>
                <w:sz w:val="12"/>
                <w:szCs w:val="12"/>
                <w:color w:val="auto"/>
              </w:rPr>
              <w:t>COVID-19 THERAPEUTIC (REGN10987 AND REGN1093</w:t>
            </w: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0"/>
        </w:trPr>
        <w:tc>
          <w:tcPr>
            <w:tcW w:w="1020" w:type="dxa"/>
            <w:vAlign w:val="bottom"/>
            <w:gridSpan w:val="2"/>
          </w:tcPr>
          <w:p>
            <w:pPr>
              <w:jc w:val="center"/>
              <w:spacing w:after="0" w:line="80" w:lineRule="exact"/>
              <w:rPr>
                <w:sz w:val="20"/>
                <w:szCs w:val="20"/>
                <w:color w:val="auto"/>
              </w:rPr>
            </w:pPr>
            <w:r>
              <w:rPr>
                <w:rFonts w:ascii="Courier New" w:cs="Courier New" w:eastAsia="Courier New" w:hAnsi="Courier New"/>
                <w:sz w:val="9"/>
                <w:szCs w:val="9"/>
                <w:color w:val="auto"/>
              </w:rPr>
              <w:t>0001AC</w:t>
            </w:r>
          </w:p>
        </w:tc>
        <w:tc>
          <w:tcPr>
            <w:tcW w:w="7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jc w:val="right"/>
              <w:ind w:right="361"/>
              <w:spacing w:after="0" w:line="80" w:lineRule="exact"/>
              <w:rPr>
                <w:sz w:val="20"/>
                <w:szCs w:val="20"/>
                <w:color w:val="auto"/>
              </w:rPr>
            </w:pPr>
            <w:r>
              <w:rPr>
                <w:rFonts w:ascii="Courier New" w:cs="Courier New" w:eastAsia="Courier New" w:hAnsi="Courier New"/>
                <w:sz w:val="9"/>
                <w:szCs w:val="9"/>
                <w:color w:val="auto"/>
              </w:rPr>
              <w:t>[* * *]</w:t>
            </w:r>
          </w:p>
        </w:tc>
        <w:tc>
          <w:tcPr>
            <w:tcW w:w="1020" w:type="dxa"/>
            <w:vAlign w:val="bottom"/>
          </w:tcPr>
          <w:p>
            <w:pPr>
              <w:jc w:val="center"/>
              <w:ind w:right="21"/>
              <w:spacing w:after="0" w:line="80" w:lineRule="exact"/>
              <w:rPr>
                <w:sz w:val="20"/>
                <w:szCs w:val="20"/>
                <w:color w:val="auto"/>
              </w:rPr>
            </w:pPr>
            <w:r>
              <w:rPr>
                <w:rFonts w:ascii="Courier New" w:cs="Courier New" w:eastAsia="Courier New" w:hAnsi="Courier New"/>
                <w:sz w:val="9"/>
                <w:szCs w:val="9"/>
                <w:color w:val="auto"/>
              </w:rPr>
              <w:t>EA</w:t>
            </w:r>
          </w:p>
        </w:tc>
        <w:tc>
          <w:tcPr>
            <w:tcW w:w="1120" w:type="dxa"/>
            <w:vAlign w:val="bottom"/>
            <w:gridSpan w:val="2"/>
          </w:tcPr>
          <w:p>
            <w:pPr>
              <w:jc w:val="right"/>
              <w:ind w:right="220"/>
              <w:spacing w:after="0" w:line="80" w:lineRule="exact"/>
              <w:rPr>
                <w:sz w:val="20"/>
                <w:szCs w:val="20"/>
                <w:color w:val="auto"/>
              </w:rPr>
            </w:pPr>
            <w:r>
              <w:rPr>
                <w:rFonts w:ascii="Courier New" w:cs="Courier New" w:eastAsia="Courier New" w:hAnsi="Courier New"/>
                <w:sz w:val="9"/>
                <w:szCs w:val="9"/>
                <w:u w:val="single" w:color="auto"/>
                <w:color w:val="auto"/>
              </w:rPr>
              <w:t>$</w:t>
            </w:r>
            <w:r>
              <w:rPr>
                <w:rFonts w:ascii="Courier New" w:cs="Courier New" w:eastAsia="Courier New" w:hAnsi="Courier New"/>
                <w:sz w:val="9"/>
                <w:szCs w:val="9"/>
                <w:color w:val="auto"/>
              </w:rPr>
              <w:t>2,100.00000</w:t>
            </w:r>
          </w:p>
        </w:tc>
        <w:tc>
          <w:tcPr>
            <w:tcW w:w="1560" w:type="dxa"/>
            <w:vAlign w:val="bottom"/>
            <w:gridSpan w:val="3"/>
          </w:tcPr>
          <w:p>
            <w:pPr>
              <w:jc w:val="right"/>
              <w:ind w:right="769"/>
              <w:spacing w:after="0" w:line="80" w:lineRule="exact"/>
              <w:rPr>
                <w:sz w:val="20"/>
                <w:szCs w:val="20"/>
                <w:color w:val="auto"/>
              </w:rPr>
            </w:pPr>
            <w:r>
              <w:rPr>
                <w:rFonts w:ascii="Courier New" w:cs="Courier New" w:eastAsia="Courier New" w:hAnsi="Courier New"/>
                <w:sz w:val="9"/>
                <w:szCs w:val="9"/>
                <w:color w:val="auto"/>
              </w:rPr>
              <w:t>$[* * *]</w:t>
            </w:r>
          </w:p>
        </w:tc>
      </w:tr>
      <w:tr>
        <w:trPr>
          <w:trHeight w:val="937"/>
        </w:trPr>
        <w:tc>
          <w:tcPr>
            <w:tcW w:w="10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2"/>
                <w:szCs w:val="12"/>
                <w:color w:val="auto"/>
              </w:rPr>
              <w:t>COMMODITY</w:t>
            </w:r>
          </w:p>
        </w:tc>
        <w:tc>
          <w:tcPr>
            <w:tcW w:w="386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NAME: COVID THERAPEUTIC</w:t>
            </w: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147"/>
        </w:trPr>
        <w:tc>
          <w:tcPr>
            <w:tcW w:w="100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Courier New" w:cs="Courier New" w:eastAsia="Courier New" w:hAnsi="Courier New"/>
                <w:sz w:val="12"/>
                <w:szCs w:val="12"/>
                <w:color w:val="auto"/>
              </w:rPr>
              <w:t>CLIN CONTRACT TYPE:</w:t>
            </w:r>
          </w:p>
        </w:tc>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2"/>
                <w:szCs w:val="12"/>
                <w:color w:val="auto"/>
              </w:rPr>
              <w:t>Firm</w:t>
            </w:r>
          </w:p>
        </w:tc>
        <w:tc>
          <w:tcPr>
            <w:tcW w:w="860" w:type="dxa"/>
            <w:vAlign w:val="bottom"/>
          </w:tcPr>
          <w:p>
            <w:pPr>
              <w:ind w:left="20"/>
              <w:spacing w:after="0"/>
              <w:rPr>
                <w:sz w:val="20"/>
                <w:szCs w:val="20"/>
                <w:color w:val="auto"/>
              </w:rPr>
            </w:pPr>
            <w:r>
              <w:rPr>
                <w:rFonts w:ascii="Courier New" w:cs="Courier New" w:eastAsia="Courier New" w:hAnsi="Courier New"/>
                <w:sz w:val="12"/>
                <w:szCs w:val="12"/>
                <w:color w:val="auto"/>
              </w:rPr>
              <w:t>Fixed Price</w:t>
            </w:r>
          </w:p>
        </w:tc>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1000" w:type="dxa"/>
            <w:vAlign w:val="bottom"/>
          </w:tcPr>
          <w:p>
            <w:pPr>
              <w:spacing w:after="0"/>
              <w:rPr>
                <w:sz w:val="12"/>
                <w:szCs w:val="12"/>
                <w:color w:val="auto"/>
              </w:rPr>
            </w:pPr>
          </w:p>
        </w:tc>
        <w:tc>
          <w:tcPr>
            <w:tcW w:w="1580" w:type="dxa"/>
            <w:vAlign w:val="bottom"/>
            <w:gridSpan w:val="3"/>
          </w:tcPr>
          <w:p>
            <w:pPr>
              <w:spacing w:after="0"/>
              <w:rPr>
                <w:sz w:val="20"/>
                <w:szCs w:val="20"/>
                <w:color w:val="auto"/>
              </w:rPr>
            </w:pPr>
            <w:r>
              <w:rPr>
                <w:rFonts w:ascii="Courier New" w:cs="Courier New" w:eastAsia="Courier New" w:hAnsi="Courier New"/>
                <w:sz w:val="12"/>
                <w:szCs w:val="12"/>
                <w:color w:val="auto"/>
              </w:rPr>
              <w:t>PRON: CB1RD41544</w:t>
            </w:r>
          </w:p>
        </w:tc>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PRON AMD: 04 ACRN: AC</w:t>
            </w: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10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2"/>
                <w:szCs w:val="12"/>
                <w:color w:val="auto"/>
              </w:rPr>
              <w:t>PSC: 6505</w:t>
            </w:r>
          </w:p>
        </w:tc>
        <w:tc>
          <w:tcPr>
            <w:tcW w:w="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005"/>
        </w:trPr>
        <w:tc>
          <w:tcPr>
            <w:tcW w:w="10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Courier New" w:cs="Courier New" w:eastAsia="Courier New" w:hAnsi="Courier New"/>
                <w:sz w:val="12"/>
                <w:szCs w:val="12"/>
                <w:color w:val="auto"/>
              </w:rPr>
              <w:t>Packaging</w:t>
            </w:r>
          </w:p>
        </w:tc>
        <w:tc>
          <w:tcPr>
            <w:tcW w:w="860" w:type="dxa"/>
            <w:vAlign w:val="bottom"/>
            <w:tcBorders>
              <w:bottom w:val="single" w:sz="8" w:color="auto"/>
            </w:tcBorders>
          </w:tcPr>
          <w:p>
            <w:pPr>
              <w:ind w:left="20"/>
              <w:spacing w:after="0"/>
              <w:rPr>
                <w:sz w:val="20"/>
                <w:szCs w:val="20"/>
                <w:color w:val="auto"/>
              </w:rPr>
            </w:pPr>
            <w:r>
              <w:rPr>
                <w:rFonts w:ascii="Courier New" w:cs="Courier New" w:eastAsia="Courier New" w:hAnsi="Courier New"/>
                <w:sz w:val="12"/>
                <w:szCs w:val="12"/>
                <w:color w:val="auto"/>
              </w:rPr>
              <w:t>and Marking</w:t>
            </w: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0"/>
        <w:spacing w:after="0"/>
        <w:rPr>
          <w:sz w:val="20"/>
          <w:szCs w:val="20"/>
          <w:color w:val="auto"/>
        </w:rPr>
      </w:pPr>
      <w:r>
        <w:rPr>
          <w:rFonts w:ascii="Courier New" w:cs="Courier New" w:eastAsia="Courier New" w:hAnsi="Courier New"/>
          <w:sz w:val="12"/>
          <w:szCs w:val="12"/>
          <w:color w:val="auto"/>
        </w:rPr>
        <w:t>Inspection and Acceptance</w:t>
      </w:r>
    </w:p>
    <w:p>
      <w:pPr>
        <w:spacing w:after="0" w:line="11" w:lineRule="exact"/>
        <w:rPr>
          <w:sz w:val="20"/>
          <w:szCs w:val="20"/>
          <w:color w:val="auto"/>
        </w:rPr>
      </w:pPr>
    </w:p>
    <w:p>
      <w:pPr>
        <w:ind w:left="1000"/>
        <w:spacing w:after="0"/>
        <w:rPr>
          <w:sz w:val="20"/>
          <w:szCs w:val="20"/>
          <w:color w:val="auto"/>
        </w:rPr>
      </w:pPr>
      <w:r>
        <w:rPr>
          <w:rFonts w:ascii="Courier New" w:cs="Courier New" w:eastAsia="Courier New" w:hAnsi="Courier New"/>
          <w:sz w:val="12"/>
          <w:szCs w:val="12"/>
          <w:color w:val="auto"/>
        </w:rPr>
        <w:t>INSPECTION: Destination ACCEPTANCE: Destination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00" w:type="dxa"/>
        <w:tblCellMar>
          <w:top w:w="0" w:type="dxa"/>
          <w:left w:w="0" w:type="dxa"/>
          <w:bottom w:w="0" w:type="dxa"/>
          <w:right w:w="0" w:type="dxa"/>
        </w:tblCellMar>
      </w:tblPr>
      <w:tr>
        <w:trPr>
          <w:trHeight w:val="136"/>
        </w:trPr>
        <w:tc>
          <w:tcPr>
            <w:tcW w:w="1940" w:type="dxa"/>
            <w:vAlign w:val="bottom"/>
            <w:gridSpan w:val="9"/>
          </w:tcPr>
          <w:p>
            <w:pPr>
              <w:spacing w:after="0"/>
              <w:rPr>
                <w:sz w:val="20"/>
                <w:szCs w:val="20"/>
                <w:color w:val="auto"/>
              </w:rPr>
            </w:pPr>
            <w:r>
              <w:rPr>
                <w:rFonts w:ascii="Courier New" w:cs="Courier New" w:eastAsia="Courier New" w:hAnsi="Courier New"/>
                <w:sz w:val="12"/>
                <w:szCs w:val="12"/>
                <w:color w:val="auto"/>
              </w:rPr>
              <w:t>Deliveries or Performance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640" w:type="dxa"/>
            <w:vAlign w:val="bottom"/>
            <w:tcBorders>
              <w:top w:val="single" w:sz="8" w:color="auto"/>
            </w:tcBorders>
            <w:gridSpan w:val="3"/>
          </w:tcPr>
          <w:p>
            <w:pPr>
              <w:spacing w:after="0"/>
              <w:rPr>
                <w:sz w:val="20"/>
                <w:szCs w:val="20"/>
                <w:color w:val="auto"/>
              </w:rPr>
            </w:pPr>
            <w:r>
              <w:rPr>
                <w:rFonts w:ascii="Courier New" w:cs="Courier New" w:eastAsia="Courier New" w:hAnsi="Courier New"/>
                <w:sz w:val="12"/>
                <w:szCs w:val="12"/>
                <w:color w:val="auto"/>
              </w:rPr>
              <w:t>DOC</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Courier New" w:cs="Courier New" w:eastAsia="Courier New" w:hAnsi="Courier New"/>
                <w:sz w:val="12"/>
                <w:szCs w:val="12"/>
                <w:color w:val="auto"/>
              </w:rPr>
              <w:t>SUPPL</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24"/>
        </w:trPr>
        <w:tc>
          <w:tcPr>
            <w:tcW w:w="20" w:type="dxa"/>
            <w:vAlign w:val="bottom"/>
          </w:tcPr>
          <w:p>
            <w:pPr>
              <w:spacing w:after="0"/>
              <w:rPr>
                <w:sz w:val="10"/>
                <w:szCs w:val="10"/>
                <w:color w:val="auto"/>
              </w:rPr>
            </w:pPr>
          </w:p>
        </w:tc>
        <w:tc>
          <w:tcPr>
            <w:tcW w:w="440" w:type="dxa"/>
            <w:vAlign w:val="bottom"/>
            <w:tcBorders>
              <w:bottom w:val="single" w:sz="8" w:color="auto"/>
            </w:tcBorders>
          </w:tcPr>
          <w:p>
            <w:pPr>
              <w:spacing w:after="0" w:line="104" w:lineRule="exact"/>
              <w:rPr>
                <w:sz w:val="20"/>
                <w:szCs w:val="20"/>
                <w:color w:val="auto"/>
              </w:rPr>
            </w:pPr>
            <w:r>
              <w:rPr>
                <w:rFonts w:ascii="Courier New" w:cs="Courier New" w:eastAsia="Courier New" w:hAnsi="Courier New"/>
                <w:sz w:val="12"/>
                <w:szCs w:val="12"/>
                <w:color w:val="auto"/>
                <w:w w:val="97"/>
              </w:rPr>
              <w:t>REL CD</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Courier New" w:cs="Courier New" w:eastAsia="Courier New" w:hAnsi="Courier New"/>
                <w:sz w:val="12"/>
                <w:szCs w:val="12"/>
                <w:color w:val="auto"/>
              </w:rPr>
              <w:t>MILSTRIP</w:t>
            </w:r>
          </w:p>
        </w:tc>
        <w:tc>
          <w:tcPr>
            <w:tcW w:w="460" w:type="dxa"/>
            <w:vAlign w:val="bottom"/>
            <w:tcBorders>
              <w:bottom w:val="single" w:sz="8" w:color="auto"/>
            </w:tcBorders>
            <w:gridSpan w:val="3"/>
          </w:tcPr>
          <w:p>
            <w:pPr>
              <w:spacing w:after="0" w:line="104" w:lineRule="exact"/>
              <w:rPr>
                <w:sz w:val="20"/>
                <w:szCs w:val="20"/>
                <w:color w:val="auto"/>
              </w:rPr>
            </w:pPr>
            <w:r>
              <w:rPr>
                <w:rFonts w:ascii="Courier New" w:cs="Courier New" w:eastAsia="Courier New" w:hAnsi="Courier New"/>
                <w:sz w:val="12"/>
                <w:szCs w:val="12"/>
                <w:color w:val="auto"/>
              </w:rPr>
              <w:t>ADDR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3"/>
          </w:tcPr>
          <w:p>
            <w:pPr>
              <w:jc w:val="center"/>
              <w:ind w:right="300"/>
              <w:spacing w:after="0" w:line="118" w:lineRule="exact"/>
              <w:rPr>
                <w:sz w:val="20"/>
                <w:szCs w:val="20"/>
                <w:color w:val="auto"/>
              </w:rPr>
            </w:pPr>
            <w:r>
              <w:rPr>
                <w:rFonts w:ascii="Courier New" w:cs="Courier New" w:eastAsia="Courier New" w:hAnsi="Courier New"/>
                <w:sz w:val="12"/>
                <w:szCs w:val="12"/>
                <w:color w:val="auto"/>
              </w:rPr>
              <w:t>SIG CD</w:t>
            </w:r>
          </w:p>
        </w:tc>
        <w:tc>
          <w:tcPr>
            <w:tcW w:w="980" w:type="dxa"/>
            <w:vAlign w:val="bottom"/>
            <w:gridSpan w:val="3"/>
          </w:tcPr>
          <w:p>
            <w:pPr>
              <w:spacing w:after="0" w:line="118" w:lineRule="exact"/>
              <w:rPr>
                <w:sz w:val="20"/>
                <w:szCs w:val="20"/>
                <w:color w:val="auto"/>
              </w:rPr>
            </w:pPr>
            <w:r>
              <w:rPr>
                <w:rFonts w:ascii="Courier New" w:cs="Courier New" w:eastAsia="Courier New" w:hAnsi="Courier New"/>
                <w:sz w:val="12"/>
                <w:szCs w:val="12"/>
                <w:color w:val="auto"/>
              </w:rPr>
              <w:t>MARK FOR</w:t>
            </w:r>
          </w:p>
        </w:tc>
        <w:tc>
          <w:tcPr>
            <w:tcW w:w="380" w:type="dxa"/>
            <w:vAlign w:val="bottom"/>
            <w:gridSpan w:val="2"/>
          </w:tcPr>
          <w:p>
            <w:pPr>
              <w:jc w:val="center"/>
              <w:spacing w:after="0" w:line="118" w:lineRule="exact"/>
              <w:rPr>
                <w:sz w:val="20"/>
                <w:szCs w:val="20"/>
                <w:color w:val="auto"/>
              </w:rPr>
            </w:pPr>
            <w:r>
              <w:rPr>
                <w:rFonts w:ascii="Courier New" w:cs="Courier New" w:eastAsia="Courier New" w:hAnsi="Courier New"/>
                <w:sz w:val="12"/>
                <w:szCs w:val="12"/>
                <w:color w:val="auto"/>
              </w:rPr>
              <w:t>TP CD</w:t>
            </w:r>
          </w:p>
        </w:tc>
      </w:tr>
      <w:tr>
        <w:trPr>
          <w:trHeight w:val="20"/>
        </w:trPr>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9"/>
        </w:trPr>
        <w:tc>
          <w:tcPr>
            <w:tcW w:w="46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001</w:t>
            </w:r>
          </w:p>
        </w:tc>
        <w:tc>
          <w:tcPr>
            <w:tcW w:w="180" w:type="dxa"/>
            <w:vAlign w:val="bottom"/>
          </w:tcPr>
          <w:p>
            <w:pPr>
              <w:spacing w:after="0"/>
              <w:rPr>
                <w:sz w:val="16"/>
                <w:szCs w:val="16"/>
                <w:color w:val="auto"/>
              </w:rPr>
            </w:pPr>
          </w:p>
        </w:tc>
        <w:tc>
          <w:tcPr>
            <w:tcW w:w="1300" w:type="dxa"/>
            <w:vAlign w:val="bottom"/>
            <w:gridSpan w:val="6"/>
          </w:tcPr>
          <w:p>
            <w:pPr>
              <w:ind w:left="120"/>
              <w:spacing w:after="0"/>
              <w:rPr>
                <w:sz w:val="20"/>
                <w:szCs w:val="20"/>
                <w:color w:val="auto"/>
              </w:rPr>
            </w:pPr>
            <w:r>
              <w:rPr>
                <w:rFonts w:ascii="Courier New" w:cs="Courier New" w:eastAsia="Courier New" w:hAnsi="Courier New"/>
                <w:sz w:val="12"/>
                <w:szCs w:val="12"/>
                <w:color w:val="auto"/>
              </w:rPr>
              <w:t>W56XNH10011003</w:t>
            </w:r>
          </w:p>
        </w:tc>
        <w:tc>
          <w:tcPr>
            <w:tcW w:w="94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W90ZQ2</w:t>
            </w:r>
          </w:p>
        </w:tc>
        <w:tc>
          <w:tcPr>
            <w:tcW w:w="20" w:type="dxa"/>
            <w:vAlign w:val="bottom"/>
          </w:tcPr>
          <w:p>
            <w:pPr>
              <w:spacing w:after="0"/>
              <w:rPr>
                <w:sz w:val="16"/>
                <w:szCs w:val="16"/>
                <w:color w:val="auto"/>
              </w:rPr>
            </w:pPr>
          </w:p>
        </w:tc>
        <w:tc>
          <w:tcPr>
            <w:tcW w:w="740" w:type="dxa"/>
            <w:vAlign w:val="bottom"/>
            <w:gridSpan w:val="2"/>
          </w:tcPr>
          <w:p>
            <w:pPr>
              <w:jc w:val="center"/>
              <w:ind w:right="320"/>
              <w:spacing w:after="0"/>
              <w:rPr>
                <w:sz w:val="20"/>
                <w:szCs w:val="20"/>
                <w:color w:val="auto"/>
              </w:rPr>
            </w:pPr>
            <w:r>
              <w:rPr>
                <w:rFonts w:ascii="Courier New" w:cs="Courier New" w:eastAsia="Courier New" w:hAnsi="Courier New"/>
                <w:sz w:val="12"/>
                <w:szCs w:val="12"/>
                <w:color w:val="auto"/>
                <w:w w:val="82"/>
              </w:rPr>
              <w:t>J</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Courier New" w:cs="Courier New" w:eastAsia="Courier New" w:hAnsi="Courier New"/>
                <w:sz w:val="12"/>
                <w:szCs w:val="12"/>
                <w:color w:val="auto"/>
              </w:rPr>
              <w:t>3</w:t>
            </w: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DEL REL CD</w:t>
            </w:r>
          </w:p>
        </w:tc>
        <w:tc>
          <w:tcPr>
            <w:tcW w:w="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Courier New" w:cs="Courier New" w:eastAsia="Courier New" w:hAnsi="Courier New"/>
                <w:sz w:val="12"/>
                <w:szCs w:val="12"/>
                <w:color w:val="auto"/>
              </w:rPr>
              <w:t>QUANTITY</w:t>
            </w:r>
          </w:p>
        </w:tc>
        <w:tc>
          <w:tcPr>
            <w:tcW w:w="7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4"/>
          </w:tcPr>
          <w:p>
            <w:pPr>
              <w:jc w:val="center"/>
              <w:ind w:right="340"/>
              <w:spacing w:after="0"/>
              <w:rPr>
                <w:sz w:val="20"/>
                <w:szCs w:val="20"/>
                <w:color w:val="auto"/>
              </w:rPr>
            </w:pPr>
            <w:r>
              <w:rPr>
                <w:rFonts w:ascii="Courier New" w:cs="Courier New" w:eastAsia="Courier New" w:hAnsi="Courier New"/>
                <w:sz w:val="12"/>
                <w:szCs w:val="12"/>
                <w:color w:val="auto"/>
              </w:rPr>
              <w:t>DEL DATE</w:t>
            </w: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198"/>
              <w:spacing w:after="0"/>
              <w:rPr>
                <w:sz w:val="20"/>
                <w:szCs w:val="20"/>
                <w:color w:val="auto"/>
              </w:rPr>
            </w:pPr>
            <w:r>
              <w:rPr>
                <w:rFonts w:ascii="Courier New" w:cs="Courier New" w:eastAsia="Courier New" w:hAnsi="Courier New"/>
                <w:sz w:val="12"/>
                <w:szCs w:val="12"/>
                <w:color w:val="auto"/>
              </w:rPr>
              <w:t>001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2"/>
                <w:szCs w:val="12"/>
                <w:color w:val="auto"/>
              </w:rPr>
              <w:t>[* * *]</w:t>
            </w:r>
          </w:p>
        </w:tc>
        <w:tc>
          <w:tcPr>
            <w:tcW w:w="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Courier New" w:cs="Courier New" w:eastAsia="Courier New" w:hAnsi="Courier New"/>
                <w:sz w:val="12"/>
                <w:szCs w:val="12"/>
                <w:color w:val="auto"/>
              </w:rPr>
              <w:t>[* * *]</w:t>
            </w:r>
          </w:p>
        </w:tc>
        <w:tc>
          <w:tcPr>
            <w:tcW w:w="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574"/>
        </w:trPr>
        <w:tc>
          <w:tcPr>
            <w:tcW w:w="1720" w:type="dxa"/>
            <w:vAlign w:val="bottom"/>
            <w:gridSpan w:val="7"/>
          </w:tcPr>
          <w:p>
            <w:pPr>
              <w:spacing w:after="0"/>
              <w:rPr>
                <w:sz w:val="20"/>
                <w:szCs w:val="20"/>
                <w:color w:val="auto"/>
              </w:rPr>
            </w:pPr>
            <w:r>
              <w:rPr>
                <w:rFonts w:ascii="Courier New" w:cs="Courier New" w:eastAsia="Courier New" w:hAnsi="Courier New"/>
                <w:sz w:val="12"/>
                <w:szCs w:val="12"/>
                <w:color w:val="auto"/>
              </w:rPr>
              <w:t>FOB POINT: Destination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0"/>
        </w:trPr>
        <w:tc>
          <w:tcPr>
            <w:tcW w:w="640" w:type="dxa"/>
            <w:vAlign w:val="bottom"/>
            <w:gridSpan w:val="3"/>
          </w:tcPr>
          <w:p>
            <w:pPr>
              <w:spacing w:after="0"/>
              <w:rPr>
                <w:sz w:val="20"/>
                <w:szCs w:val="20"/>
                <w:color w:val="auto"/>
              </w:rPr>
            </w:pPr>
            <w:r>
              <w:rPr>
                <w:rFonts w:ascii="Courier New" w:cs="Courier New" w:eastAsia="Courier New" w:hAnsi="Courier New"/>
                <w:sz w:val="12"/>
                <w:szCs w:val="12"/>
                <w:color w:val="auto"/>
              </w:rPr>
              <w:t>SHIP TO:</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7"/>
        </w:trPr>
        <w:tc>
          <w:tcPr>
            <w:tcW w:w="640" w:type="dxa"/>
            <w:vAlign w:val="bottom"/>
            <w:gridSpan w:val="3"/>
          </w:tcPr>
          <w:p>
            <w:pPr>
              <w:spacing w:after="0"/>
              <w:rPr>
                <w:sz w:val="20"/>
                <w:szCs w:val="20"/>
                <w:color w:val="auto"/>
              </w:rPr>
            </w:pPr>
            <w:r>
              <w:rPr>
                <w:rFonts w:ascii="Courier New" w:cs="Courier New" w:eastAsia="Courier New" w:hAnsi="Courier New"/>
                <w:sz w:val="12"/>
                <w:szCs w:val="12"/>
                <w:color w:val="auto"/>
              </w:rPr>
              <w:t>(W90ZQ2)</w:t>
            </w:r>
          </w:p>
        </w:tc>
        <w:tc>
          <w:tcPr>
            <w:tcW w:w="240" w:type="dxa"/>
            <w:vAlign w:val="bottom"/>
          </w:tcPr>
          <w:p>
            <w:pPr>
              <w:spacing w:after="0"/>
              <w:rPr>
                <w:sz w:val="12"/>
                <w:szCs w:val="12"/>
                <w:color w:val="auto"/>
              </w:rPr>
            </w:pPr>
          </w:p>
        </w:tc>
        <w:tc>
          <w:tcPr>
            <w:tcW w:w="2760" w:type="dxa"/>
            <w:vAlign w:val="bottom"/>
            <w:gridSpan w:val="11"/>
          </w:tcPr>
          <w:p>
            <w:pPr>
              <w:ind w:left="20"/>
              <w:spacing w:after="0"/>
              <w:rPr>
                <w:sz w:val="20"/>
                <w:szCs w:val="20"/>
                <w:color w:val="auto"/>
              </w:rPr>
            </w:pPr>
            <w:r>
              <w:rPr>
                <w:rFonts w:ascii="Courier New" w:cs="Courier New" w:eastAsia="Courier New" w:hAnsi="Courier New"/>
                <w:sz w:val="12"/>
                <w:szCs w:val="12"/>
                <w:color w:val="auto"/>
              </w:rPr>
              <w:t>XR JOINT PROGRAM EX OFC FOR CHEM, B</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HQ JPEO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6"/>
          </w:tcPr>
          <w:p>
            <w:pPr>
              <w:ind w:left="40"/>
              <w:spacing w:after="0"/>
              <w:rPr>
                <w:sz w:val="20"/>
                <w:szCs w:val="20"/>
                <w:color w:val="auto"/>
              </w:rPr>
            </w:pPr>
            <w:r>
              <w:rPr>
                <w:rFonts w:ascii="Courier New" w:cs="Courier New" w:eastAsia="Courier New" w:hAnsi="Courier New"/>
                <w:sz w:val="12"/>
                <w:szCs w:val="12"/>
                <w:color w:val="auto"/>
              </w:rPr>
              <w:t>5101 HOADLEY ROAD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0" w:type="dxa"/>
            <w:vAlign w:val="bottom"/>
            <w:gridSpan w:val="12"/>
          </w:tcPr>
          <w:p>
            <w:pPr>
              <w:ind w:left="40"/>
              <w:spacing w:after="0"/>
              <w:rPr>
                <w:sz w:val="20"/>
                <w:szCs w:val="20"/>
                <w:color w:val="auto"/>
              </w:rPr>
            </w:pPr>
            <w:r>
              <w:rPr>
                <w:rFonts w:ascii="Courier New" w:cs="Courier New" w:eastAsia="Courier New" w:hAnsi="Courier New"/>
                <w:sz w:val="12"/>
                <w:szCs w:val="12"/>
                <w:color w:val="auto"/>
              </w:rPr>
              <w:t>ABERDEEN PROVING GROUND,MD,21010-54</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r>
    </w:tbl>
    <w:p>
      <w:pPr>
        <w:sectPr>
          <w:pgSz w:w="11900" w:h="16838" w:orient="portrait"/>
          <w:cols w:equalWidth="0" w:num="1">
            <w:col w:w="11240"/>
          </w:cols>
          <w:pgMar w:left="320" w:top="1127" w:right="339" w:bottom="1440" w:gutter="0" w:footer="0" w:header="0"/>
          <w:type w:val="continuous"/>
        </w:sectPr>
      </w:pPr>
    </w:p>
    <w:bookmarkStart w:id="92" w:name="page93"/>
    <w:bookmarkEnd w:id="92"/>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CONTINUATION SHEET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298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1260" w:type="dxa"/>
            <w:vAlign w:val="bottom"/>
            <w:tcBorders>
              <w:right w:val="single" w:sz="8" w:color="auto"/>
            </w:tcBorders>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86"/>
              </w:rPr>
              <w:t>Page 4 of 6</w:t>
            </w:r>
          </w:p>
        </w:tc>
      </w:tr>
      <w:tr>
        <w:trPr>
          <w:trHeight w:val="192"/>
        </w:trPr>
        <w:tc>
          <w:tcPr>
            <w:tcW w:w="900" w:type="dxa"/>
            <w:vAlign w:val="bottom"/>
          </w:tcPr>
          <w:p>
            <w:pPr>
              <w:spacing w:after="0"/>
              <w:rPr>
                <w:sz w:val="16"/>
                <w:szCs w:val="16"/>
                <w:color w:val="auto"/>
              </w:rPr>
            </w:pPr>
          </w:p>
        </w:tc>
        <w:tc>
          <w:tcPr>
            <w:tcW w:w="2980" w:type="dxa"/>
            <w:vAlign w:val="bottom"/>
          </w:tcPr>
          <w:p>
            <w:pPr>
              <w:jc w:val="center"/>
              <w:ind w:left="192"/>
              <w:spacing w:after="0"/>
              <w:rPr>
                <w:sz w:val="20"/>
                <w:szCs w:val="20"/>
                <w:color w:val="auto"/>
              </w:rPr>
            </w:pPr>
            <w:r>
              <w:rPr>
                <w:rFonts w:ascii="Courier New" w:cs="Courier New" w:eastAsia="Courier New" w:hAnsi="Courier New"/>
                <w:sz w:val="12"/>
                <w:szCs w:val="12"/>
                <w:color w:val="auto"/>
              </w:rPr>
              <w:t>W15QKN-21-C-0014</w:t>
            </w:r>
          </w:p>
        </w:tc>
        <w:tc>
          <w:tcPr>
            <w:tcW w:w="126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4"/>
                <w:szCs w:val="14"/>
                <w:b w:val="1"/>
                <w:bCs w:val="1"/>
                <w:color w:val="auto"/>
              </w:rPr>
              <w:t>PIIN/SIIN</w:t>
            </w:r>
          </w:p>
        </w:tc>
        <w:tc>
          <w:tcPr>
            <w:tcW w:w="2980" w:type="dxa"/>
            <w:vAlign w:val="bottom"/>
          </w:tcPr>
          <w:p>
            <w:pPr>
              <w:ind w:left="1680"/>
              <w:spacing w:after="0"/>
              <w:rPr>
                <w:sz w:val="20"/>
                <w:szCs w:val="20"/>
                <w:color w:val="auto"/>
              </w:rPr>
            </w:pPr>
            <w:r>
              <w:rPr>
                <w:rFonts w:ascii="Arial" w:cs="Arial" w:eastAsia="Arial" w:hAnsi="Arial"/>
                <w:sz w:val="14"/>
                <w:szCs w:val="14"/>
                <w:b w:val="1"/>
                <w:bCs w:val="1"/>
                <w:color w:val="auto"/>
              </w:rPr>
              <w:t>MOD/AMD</w:t>
            </w:r>
          </w:p>
        </w:tc>
        <w:tc>
          <w:tcPr>
            <w:tcW w:w="1260" w:type="dxa"/>
            <w:vAlign w:val="bottom"/>
            <w:tcBorders>
              <w:right w:val="single" w:sz="8" w:color="auto"/>
            </w:tcBorders>
          </w:tcPr>
          <w:p>
            <w:pPr>
              <w:ind w:left="20"/>
              <w:spacing w:after="0"/>
              <w:rPr>
                <w:sz w:val="20"/>
                <w:szCs w:val="20"/>
                <w:color w:val="auto"/>
              </w:rPr>
            </w:pPr>
            <w:r>
              <w:rPr>
                <w:rFonts w:ascii="Courier New" w:cs="Courier New" w:eastAsia="Courier New" w:hAnsi="Courier New"/>
                <w:sz w:val="12"/>
                <w:szCs w:val="12"/>
                <w:color w:val="auto"/>
              </w:rPr>
              <w:t>P00004</w:t>
            </w:r>
          </w:p>
        </w:tc>
        <w:tc>
          <w:tcPr>
            <w:tcW w:w="660" w:type="dxa"/>
            <w:vAlign w:val="bottom"/>
          </w:tcPr>
          <w:p>
            <w:pPr>
              <w:spacing w:after="0"/>
              <w:rPr>
                <w:sz w:val="19"/>
                <w:szCs w:val="19"/>
                <w:color w:val="auto"/>
              </w:rPr>
            </w:pPr>
          </w:p>
        </w:tc>
      </w:tr>
      <w:tr>
        <w:trPr>
          <w:trHeight w:val="38"/>
        </w:trPr>
        <w:tc>
          <w:tcPr>
            <w:tcW w:w="9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-414655</wp:posOffset>
            </wp:positionV>
            <wp:extent cx="7134225" cy="415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4152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060" w:space="720"/>
            <w:col w:w="7460"/>
          </w:cols>
          <w:pgMar w:left="320" w:top="1127"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26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Name of Offeror or Contractor:</w:t>
            </w:r>
          </w:p>
        </w:tc>
        <w:tc>
          <w:tcPr>
            <w:tcW w:w="3220" w:type="dxa"/>
            <w:vAlign w:val="bottom"/>
          </w:tcPr>
          <w:p>
            <w:pPr>
              <w:ind w:left="540"/>
              <w:spacing w:after="0"/>
              <w:rPr>
                <w:sz w:val="20"/>
                <w:szCs w:val="20"/>
                <w:color w:val="auto"/>
              </w:rPr>
            </w:pPr>
            <w:r>
              <w:rPr>
                <w:rFonts w:ascii="Courier New" w:cs="Courier New" w:eastAsia="Courier New" w:hAnsi="Courier New"/>
                <w:sz w:val="12"/>
                <w:szCs w:val="12"/>
                <w:color w:val="auto"/>
              </w:rPr>
              <w:t>REGENERON PHARMACEUTICALS, INC.</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2"/>
        </w:trPr>
        <w:tc>
          <w:tcPr>
            <w:tcW w:w="12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ITEM NO</w:t>
            </w:r>
          </w:p>
        </w:tc>
        <w:tc>
          <w:tcPr>
            <w:tcW w:w="1440" w:type="dxa"/>
            <w:vAlign w:val="bottom"/>
          </w:tcPr>
          <w:p>
            <w:pPr>
              <w:spacing w:after="0"/>
              <w:rPr>
                <w:sz w:val="15"/>
                <w:szCs w:val="15"/>
                <w:color w:val="auto"/>
              </w:rPr>
            </w:pPr>
          </w:p>
        </w:tc>
        <w:tc>
          <w:tcPr>
            <w:tcW w:w="322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SUPPLIES/SERVICES</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QUANTITY</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UNIT</w:t>
            </w: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UNIT PRICE</w:t>
            </w:r>
          </w:p>
        </w:tc>
        <w:tc>
          <w:tcPr>
            <w:tcW w:w="1760" w:type="dxa"/>
            <w:vAlign w:val="bottom"/>
          </w:tcPr>
          <w:p>
            <w:pPr>
              <w:ind w:left="560"/>
              <w:spacing w:after="0"/>
              <w:rPr>
                <w:sz w:val="20"/>
                <w:szCs w:val="20"/>
                <w:color w:val="auto"/>
              </w:rPr>
            </w:pPr>
            <w:r>
              <w:rPr>
                <w:rFonts w:ascii="Arial" w:cs="Arial" w:eastAsia="Arial" w:hAnsi="Arial"/>
                <w:sz w:val="14"/>
                <w:szCs w:val="14"/>
                <w:b w:val="1"/>
                <w:bCs w:val="1"/>
                <w:color w:val="auto"/>
              </w:rPr>
              <w:t>AMOUNT</w:t>
            </w:r>
          </w:p>
        </w:tc>
      </w:tr>
      <w:tr>
        <w:trPr>
          <w:trHeight w:val="25"/>
        </w:trPr>
        <w:tc>
          <w:tcPr>
            <w:tcW w:w="122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gridSpan w:val="2"/>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63"/>
        </w:trPr>
        <w:tc>
          <w:tcPr>
            <w:tcW w:w="58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SECTION C - DESCRIPTION/SPECIFICATIONS/WORK STATEMENT</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STATEMENT OF WORK</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Production of Regeneron Therapeutic in Support of National Emergency Response to Coronavirus 2019 (COVID-19)</w:t>
      </w:r>
    </w:p>
    <w:p>
      <w:pPr>
        <w:spacing w:after="0" w:line="171" w:lineRule="exact"/>
        <w:rPr>
          <w:sz w:val="20"/>
          <w:szCs w:val="20"/>
          <w:color w:val="auto"/>
        </w:rPr>
      </w:pPr>
    </w:p>
    <w:p>
      <w:pPr>
        <w:jc w:val="both"/>
        <w:ind w:left="80" w:right="480"/>
        <w:spacing w:after="0" w:line="261" w:lineRule="auto"/>
        <w:rPr>
          <w:sz w:val="20"/>
          <w:szCs w:val="20"/>
          <w:color w:val="auto"/>
        </w:rPr>
      </w:pPr>
      <w:r>
        <w:rPr>
          <w:rFonts w:ascii="Courier New" w:cs="Courier New" w:eastAsia="Courier New" w:hAnsi="Courier New"/>
          <w:sz w:val="12"/>
          <w:szCs w:val="12"/>
          <w:color w:val="auto"/>
        </w:rPr>
        <w:t>C.1 Scope: The Department of Defense (DoD) and Department of Health and Human Services (DHHS), in support of Operation Warp Speed (OWS) and national emergency response to the Coronavirus Disease 2019 (COVID-19), requires the production of Regeneron therapeutic cocktail REGN10987 and REGN10933 (casirivimab and imdevimab) on a commercial item basis, up to 1,250,000 doses to treat members of the DoD and the general population infected with the SARS CoV-2 Virus.</w:t>
      </w:r>
    </w:p>
    <w:p>
      <w:pPr>
        <w:spacing w:after="0" w:line="156" w:lineRule="exact"/>
        <w:rPr>
          <w:sz w:val="20"/>
          <w:szCs w:val="20"/>
          <w:color w:val="auto"/>
        </w:rPr>
      </w:pPr>
    </w:p>
    <w:p>
      <w:pPr>
        <w:ind w:left="80" w:right="180"/>
        <w:spacing w:after="0" w:line="261" w:lineRule="auto"/>
        <w:rPr>
          <w:sz w:val="20"/>
          <w:szCs w:val="20"/>
          <w:color w:val="auto"/>
        </w:rPr>
      </w:pPr>
      <w:r>
        <w:rPr>
          <w:rFonts w:ascii="Courier New" w:cs="Courier New" w:eastAsia="Courier New" w:hAnsi="Courier New"/>
          <w:sz w:val="12"/>
          <w:szCs w:val="12"/>
          <w:color w:val="auto"/>
        </w:rPr>
        <w:t>C.1.1 Background: The DHHS continuously monitors emerging infectious disease risk and prepares to respond to the threat of novel emerging infectious disease outbreaks in the United States. DHHS is responding to an outbreak of respiratory disease caused by a novel coronavirus that was first detected in China, and which has now spread worldwide, including in the United States. The virus has been named SARS-CoV-2 and the disease it causes has been named Coronavirus Disease 2019 (abbreviated COVID-19).</w:t>
      </w:r>
    </w:p>
    <w:p>
      <w:pPr>
        <w:spacing w:after="0" w:line="156" w:lineRule="exact"/>
        <w:rPr>
          <w:sz w:val="20"/>
          <w:szCs w:val="20"/>
          <w:color w:val="auto"/>
        </w:rPr>
      </w:pPr>
    </w:p>
    <w:p>
      <w:pPr>
        <w:ind w:left="80" w:right="180"/>
        <w:spacing w:after="0" w:line="261" w:lineRule="auto"/>
        <w:rPr>
          <w:sz w:val="20"/>
          <w:szCs w:val="20"/>
          <w:color w:val="auto"/>
        </w:rPr>
      </w:pPr>
      <w:r>
        <w:rPr>
          <w:rFonts w:ascii="Courier New" w:cs="Courier New" w:eastAsia="Courier New" w:hAnsi="Courier New"/>
          <w:sz w:val="12"/>
          <w:szCs w:val="12"/>
          <w:color w:val="auto"/>
        </w:rPr>
        <w:t>On January 30, 2020, the International Health Regulations Emergency Committee of the World Health Organization (WHO) declared the outbreak a Public Health Emergency of International Concern (PHEIC). On January 31, Health and Human Services Secretary Alex M. Azar II declared a Public Health Emergency (PHE) for the United States to aid the nations healthcare community in responding to COVID-19. On March 11, WHO publicly characterized COVID-19 as a pandemic. On March 13, the President of the United States declared the COVID-19 outbreak a national emergency.</w:t>
      </w:r>
    </w:p>
    <w:p>
      <w:pPr>
        <w:spacing w:after="0" w:line="156" w:lineRule="exact"/>
        <w:rPr>
          <w:sz w:val="20"/>
          <w:szCs w:val="20"/>
          <w:color w:val="auto"/>
        </w:rPr>
      </w:pPr>
    </w:p>
    <w:p>
      <w:pPr>
        <w:ind w:left="80" w:right="260"/>
        <w:spacing w:after="0" w:line="260" w:lineRule="auto"/>
        <w:rPr>
          <w:sz w:val="20"/>
          <w:szCs w:val="20"/>
          <w:color w:val="auto"/>
        </w:rPr>
      </w:pPr>
      <w:r>
        <w:rPr>
          <w:rFonts w:ascii="Courier New" w:cs="Courier New" w:eastAsia="Courier New" w:hAnsi="Courier New"/>
          <w:sz w:val="12"/>
          <w:szCs w:val="12"/>
          <w:color w:val="auto"/>
        </w:rPr>
        <w:t>In July 2020, the DoD awarded an Other Transaction Agreement under the authority of 10 USC 2371b to Regeneron to manufacture and sell drug product to the Government, and to distribute such drug product for the Government in the U.S. These manufacturing production activities included manufacturing at-scale, filling and finishing, and storage and shipping of REGN10987 and REGN10933 as a therapeutic cocktail to treat COVID-19 infected patients. On November 21, 2020, Regeneron announced that the antibody cocktail casirivimab and imdevimab administered together, has received Emergency Use Authorization (EUA) from the U.S. Food and Drug Administration (FDA).</w:t>
      </w:r>
    </w:p>
    <w:p>
      <w:pPr>
        <w:spacing w:after="0" w:line="158" w:lineRule="exact"/>
        <w:rPr>
          <w:sz w:val="20"/>
          <w:szCs w:val="20"/>
          <w:color w:val="auto"/>
        </w:rPr>
      </w:pPr>
    </w:p>
    <w:p>
      <w:pPr>
        <w:ind w:left="80" w:right="260"/>
        <w:spacing w:after="0" w:line="262" w:lineRule="auto"/>
        <w:rPr>
          <w:sz w:val="20"/>
          <w:szCs w:val="20"/>
          <w:color w:val="auto"/>
        </w:rPr>
      </w:pPr>
      <w:r>
        <w:rPr>
          <w:rFonts w:ascii="Courier New" w:cs="Courier New" w:eastAsia="Courier New" w:hAnsi="Courier New"/>
          <w:sz w:val="12"/>
          <w:szCs w:val="12"/>
          <w:color w:val="auto"/>
        </w:rPr>
        <w:t>As part of DHHS preparedness and response activities, DHHS seeks to purchase up to 1,250,000 doses of the EUA authorized (or Biologics License Application (BLA) approved) casirivimab and imdevimab therapeutic, enough to treat much of the targeted US population currently or projected to be infected over the coming months.</w:t>
      </w:r>
    </w:p>
    <w:p>
      <w:pPr>
        <w:spacing w:after="0" w:line="155" w:lineRule="exact"/>
        <w:rPr>
          <w:sz w:val="20"/>
          <w:szCs w:val="20"/>
          <w:color w:val="auto"/>
        </w:rPr>
      </w:pPr>
    </w:p>
    <w:p>
      <w:pPr>
        <w:ind w:left="80" w:right="260"/>
        <w:spacing w:after="0" w:line="265" w:lineRule="auto"/>
        <w:rPr>
          <w:sz w:val="20"/>
          <w:szCs w:val="20"/>
          <w:color w:val="auto"/>
        </w:rPr>
      </w:pPr>
      <w:r>
        <w:rPr>
          <w:rFonts w:ascii="Courier New" w:cs="Courier New" w:eastAsia="Courier New" w:hAnsi="Courier New"/>
          <w:sz w:val="12"/>
          <w:szCs w:val="12"/>
          <w:color w:val="auto"/>
        </w:rPr>
        <w:t>C.2 Objectives and Quantity: The contractor shall produce up to 1,250,000 doses of therapeutic, and the Government will purchase all such doses available in Vendor-Managed Inventory (VMI) by the applicable date set forth below:</w:t>
      </w:r>
    </w:p>
    <w:p>
      <w:pPr>
        <w:spacing w:after="0" w:line="153" w:lineRule="exact"/>
        <w:rPr>
          <w:sz w:val="20"/>
          <w:szCs w:val="20"/>
          <w:color w:val="auto"/>
        </w:rPr>
      </w:pPr>
    </w:p>
    <w:p>
      <w:pPr>
        <w:ind w:left="80" w:right="480"/>
        <w:spacing w:after="0" w:line="261" w:lineRule="auto"/>
        <w:rPr>
          <w:sz w:val="20"/>
          <w:szCs w:val="20"/>
          <w:color w:val="auto"/>
        </w:rPr>
      </w:pPr>
      <w:r>
        <w:rPr>
          <w:rFonts w:ascii="Courier New" w:cs="Courier New" w:eastAsia="Courier New" w:hAnsi="Courier New"/>
          <w:sz w:val="12"/>
          <w:szCs w:val="12"/>
          <w:color w:val="auto"/>
        </w:rPr>
        <w:t>No Later Than (NLT) June 30, 2021. The Government will consider extending the time for delivery to NLT September 30, 2021, if the contractor is unable to complete delivery to VMI by June 30, 2021, after making a good faith effort to do so. However, prior to any extension to the delivery schedule, the contractor shall coordinate with the Government to determine an appropriate path forward, aligning with Government needs. The contractor shall comply with the procedures of FAR 52.212-4(f), Excusable Delays.</w:t>
      </w:r>
    </w:p>
    <w:p>
      <w:pPr>
        <w:spacing w:after="0" w:line="156"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C.3</w:t>
      </w:r>
      <w:r>
        <w:rPr>
          <w:sz w:val="20"/>
          <w:szCs w:val="20"/>
          <w:color w:val="auto"/>
        </w:rPr>
        <w:tab/>
      </w:r>
      <w:r>
        <w:rPr>
          <w:rFonts w:ascii="Courier New" w:cs="Courier New" w:eastAsia="Courier New" w:hAnsi="Courier New"/>
          <w:sz w:val="12"/>
          <w:szCs w:val="12"/>
          <w:color w:val="auto"/>
        </w:rPr>
        <w:t>Requirements:</w:t>
      </w:r>
    </w:p>
    <w:p>
      <w:pPr>
        <w:spacing w:after="0" w:line="171" w:lineRule="exact"/>
        <w:rPr>
          <w:sz w:val="20"/>
          <w:szCs w:val="20"/>
          <w:color w:val="auto"/>
        </w:rPr>
      </w:pPr>
    </w:p>
    <w:p>
      <w:pPr>
        <w:ind w:left="80" w:right="100"/>
        <w:spacing w:after="0" w:line="259" w:lineRule="auto"/>
        <w:rPr>
          <w:sz w:val="20"/>
          <w:szCs w:val="20"/>
          <w:color w:val="auto"/>
        </w:rPr>
      </w:pPr>
      <w:r>
        <w:rPr>
          <w:rFonts w:ascii="Courier New" w:cs="Courier New" w:eastAsia="Courier New" w:hAnsi="Courier New"/>
          <w:sz w:val="12"/>
          <w:szCs w:val="12"/>
          <w:color w:val="auto"/>
        </w:rPr>
        <w:t>C.3.1 Therapeutic: The contractor shall distribute the product to Government designated sites as directed by the Government, EUA authorized finished drug product in vials in accordance with the products storage and handling requirements in the EUA, including temperature controls. This shall include storage and distribution activities. Regeneron will engage one or more third party service providers (each a Distributor) to perform storage and distribution activities for drug product at the direction of the Government. The Government will be solely responsible for all allocation determinations related to drug product, including allocation to end users and communication of such allocation determinations to the Distributor. Unless otherwise mutually agreed upon by the parties, drug product shall be shipped to the Government or distributed, as applicable, solely within the United States (including its territories and possessions). The contractor shall [* * *], until the product is distributed to the end user (e.g., the hospital, infusion center or other end-user). To the extent that Regeneron is responsible for the correction, repair or replacement of Government property held in vendor-managed inventory or in distribution and in the possession of the Distributor, [* * *] the Government [* * *] of such property. The parties will coordinate ordering through centralized distribution via the established Memorandum of Understanding between Regeneron, Assistant Secretary for Preparedness and Response (ASPR), and AmerisourceBergen. Storage and distribution activities under the EUA shall be supported under this agreement through the end of the period of performance. The Government will make every effort to ensure appropriate utilization of Government purchased product based on clinical need. Prior to the anticipated time of FDA approval of a Biologics License Application (BLA) for REGEN-COV, the parties will plan and coordinate to ensure efficient and effective distribution of commercial and non-commercial product.</w:t>
      </w:r>
    </w:p>
    <w:p>
      <w:pPr>
        <w:spacing w:after="0" w:line="308" w:lineRule="exact"/>
        <w:rPr>
          <w:sz w:val="20"/>
          <w:szCs w:val="20"/>
          <w:color w:val="auto"/>
        </w:rPr>
      </w:pPr>
    </w:p>
    <w:p>
      <w:pPr>
        <w:ind w:left="80" w:right="100"/>
        <w:spacing w:after="0" w:line="259" w:lineRule="auto"/>
        <w:rPr>
          <w:sz w:val="20"/>
          <w:szCs w:val="20"/>
          <w:color w:val="auto"/>
        </w:rPr>
      </w:pPr>
      <w:r>
        <w:rPr>
          <w:rFonts w:ascii="Courier New" w:cs="Courier New" w:eastAsia="Courier New" w:hAnsi="Courier New"/>
          <w:sz w:val="12"/>
          <w:szCs w:val="12"/>
          <w:color w:val="auto"/>
        </w:rPr>
        <w:t>C.3.2 Product Development Manufacturing Reports and Projections: Regeneron will provide manufacturing reports and manufacturing dose tracking projections/actuals, in the format and having the content mutually agreed upon by the Government and Regeneron. Regeneron will update the reports [*</w:t>
      </w:r>
    </w:p>
    <w:p>
      <w:pPr>
        <w:ind w:left="80" w:right="480"/>
        <w:spacing w:after="0" w:line="261" w:lineRule="auto"/>
        <w:tabs>
          <w:tab w:leader="none" w:pos="229"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during manufacturing campaigns and upon manufacturing deliverable submission during COVID-19 response operations (where a Public Health Emergency has been declared), with the first deliverable submission within [* * *] of award. For clarity, the reports described in this section apply to Formulated Drug Substance and Drug Product prior to delivery and acceptance by the Government. Tracking reports for product following delivery and acceptance, shall be set forth in the Memorandum of Understanding between Regeneron, ASPR, and AmerisourceBergen.</w:t>
      </w:r>
    </w:p>
    <w:p>
      <w:pPr>
        <w:sectPr>
          <w:pgSz w:w="11900" w:h="16838" w:orient="portrait"/>
          <w:cols w:equalWidth="0" w:num="1">
            <w:col w:w="11240"/>
          </w:cols>
          <w:pgMar w:left="320" w:top="1127" w:right="339" w:bottom="1440" w:gutter="0" w:footer="0" w:header="0"/>
          <w:type w:val="continuous"/>
        </w:sectPr>
      </w:pPr>
    </w:p>
    <w:bookmarkStart w:id="93" w:name="page94"/>
    <w:bookmarkEnd w:id="93"/>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CONTINUATION SHEET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298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1260" w:type="dxa"/>
            <w:vAlign w:val="bottom"/>
            <w:tcBorders>
              <w:right w:val="single" w:sz="8" w:color="auto"/>
            </w:tcBorders>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86"/>
              </w:rPr>
              <w:t>Page 5 of 6</w:t>
            </w:r>
          </w:p>
        </w:tc>
      </w:tr>
      <w:tr>
        <w:trPr>
          <w:trHeight w:val="192"/>
        </w:trPr>
        <w:tc>
          <w:tcPr>
            <w:tcW w:w="900" w:type="dxa"/>
            <w:vAlign w:val="bottom"/>
          </w:tcPr>
          <w:p>
            <w:pPr>
              <w:spacing w:after="0"/>
              <w:rPr>
                <w:sz w:val="16"/>
                <w:szCs w:val="16"/>
                <w:color w:val="auto"/>
              </w:rPr>
            </w:pPr>
          </w:p>
        </w:tc>
        <w:tc>
          <w:tcPr>
            <w:tcW w:w="2980" w:type="dxa"/>
            <w:vAlign w:val="bottom"/>
          </w:tcPr>
          <w:p>
            <w:pPr>
              <w:jc w:val="center"/>
              <w:ind w:left="192"/>
              <w:spacing w:after="0"/>
              <w:rPr>
                <w:sz w:val="20"/>
                <w:szCs w:val="20"/>
                <w:color w:val="auto"/>
              </w:rPr>
            </w:pPr>
            <w:r>
              <w:rPr>
                <w:rFonts w:ascii="Courier New" w:cs="Courier New" w:eastAsia="Courier New" w:hAnsi="Courier New"/>
                <w:sz w:val="12"/>
                <w:szCs w:val="12"/>
                <w:color w:val="auto"/>
              </w:rPr>
              <w:t>W15QKN-21-C-0014</w:t>
            </w:r>
          </w:p>
        </w:tc>
        <w:tc>
          <w:tcPr>
            <w:tcW w:w="126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4"/>
                <w:szCs w:val="14"/>
                <w:b w:val="1"/>
                <w:bCs w:val="1"/>
                <w:color w:val="auto"/>
              </w:rPr>
              <w:t>PIIN/SIIN</w:t>
            </w:r>
          </w:p>
        </w:tc>
        <w:tc>
          <w:tcPr>
            <w:tcW w:w="2980" w:type="dxa"/>
            <w:vAlign w:val="bottom"/>
          </w:tcPr>
          <w:p>
            <w:pPr>
              <w:ind w:left="1680"/>
              <w:spacing w:after="0"/>
              <w:rPr>
                <w:sz w:val="20"/>
                <w:szCs w:val="20"/>
                <w:color w:val="auto"/>
              </w:rPr>
            </w:pPr>
            <w:r>
              <w:rPr>
                <w:rFonts w:ascii="Arial" w:cs="Arial" w:eastAsia="Arial" w:hAnsi="Arial"/>
                <w:sz w:val="14"/>
                <w:szCs w:val="14"/>
                <w:b w:val="1"/>
                <w:bCs w:val="1"/>
                <w:color w:val="auto"/>
              </w:rPr>
              <w:t>MOD/AMD</w:t>
            </w:r>
          </w:p>
        </w:tc>
        <w:tc>
          <w:tcPr>
            <w:tcW w:w="1260" w:type="dxa"/>
            <w:vAlign w:val="bottom"/>
            <w:tcBorders>
              <w:right w:val="single" w:sz="8" w:color="auto"/>
            </w:tcBorders>
          </w:tcPr>
          <w:p>
            <w:pPr>
              <w:ind w:left="20"/>
              <w:spacing w:after="0"/>
              <w:rPr>
                <w:sz w:val="20"/>
                <w:szCs w:val="20"/>
                <w:color w:val="auto"/>
              </w:rPr>
            </w:pPr>
            <w:r>
              <w:rPr>
                <w:rFonts w:ascii="Courier New" w:cs="Courier New" w:eastAsia="Courier New" w:hAnsi="Courier New"/>
                <w:sz w:val="12"/>
                <w:szCs w:val="12"/>
                <w:color w:val="auto"/>
              </w:rPr>
              <w:t>P00004</w:t>
            </w:r>
          </w:p>
        </w:tc>
        <w:tc>
          <w:tcPr>
            <w:tcW w:w="660" w:type="dxa"/>
            <w:vAlign w:val="bottom"/>
          </w:tcPr>
          <w:p>
            <w:pPr>
              <w:spacing w:after="0"/>
              <w:rPr>
                <w:sz w:val="19"/>
                <w:szCs w:val="19"/>
                <w:color w:val="auto"/>
              </w:rPr>
            </w:pPr>
          </w:p>
        </w:tc>
      </w:tr>
      <w:tr>
        <w:trPr>
          <w:trHeight w:val="38"/>
        </w:trPr>
        <w:tc>
          <w:tcPr>
            <w:tcW w:w="9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-414655</wp:posOffset>
            </wp:positionV>
            <wp:extent cx="7134225" cy="415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4152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060" w:space="720"/>
            <w:col w:w="7460"/>
          </w:cols>
          <w:pgMar w:left="320" w:top="1127"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26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Name of Offeror or Contractor:</w:t>
            </w:r>
          </w:p>
        </w:tc>
        <w:tc>
          <w:tcPr>
            <w:tcW w:w="3220" w:type="dxa"/>
            <w:vAlign w:val="bottom"/>
          </w:tcPr>
          <w:p>
            <w:pPr>
              <w:ind w:left="440"/>
              <w:spacing w:after="0"/>
              <w:rPr>
                <w:sz w:val="20"/>
                <w:szCs w:val="20"/>
                <w:color w:val="auto"/>
              </w:rPr>
            </w:pPr>
            <w:r>
              <w:rPr>
                <w:rFonts w:ascii="Courier New" w:cs="Courier New" w:eastAsia="Courier New" w:hAnsi="Courier New"/>
                <w:sz w:val="12"/>
                <w:szCs w:val="12"/>
                <w:b w:val="1"/>
                <w:bCs w:val="1"/>
                <w:color w:val="auto"/>
              </w:rPr>
              <w:t>REGENERON PHARMACEUTICALS, INC.</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2"/>
        </w:trPr>
        <w:tc>
          <w:tcPr>
            <w:tcW w:w="12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ITEM NO</w:t>
            </w:r>
          </w:p>
        </w:tc>
        <w:tc>
          <w:tcPr>
            <w:tcW w:w="1440" w:type="dxa"/>
            <w:vAlign w:val="bottom"/>
          </w:tcPr>
          <w:p>
            <w:pPr>
              <w:spacing w:after="0"/>
              <w:rPr>
                <w:sz w:val="15"/>
                <w:szCs w:val="15"/>
                <w:color w:val="auto"/>
              </w:rPr>
            </w:pPr>
          </w:p>
        </w:tc>
        <w:tc>
          <w:tcPr>
            <w:tcW w:w="322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SUPPLIES/SERVICES</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QUANTITY</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UNIT</w:t>
            </w: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UNIT PRICE</w:t>
            </w:r>
          </w:p>
        </w:tc>
        <w:tc>
          <w:tcPr>
            <w:tcW w:w="1760" w:type="dxa"/>
            <w:vAlign w:val="bottom"/>
          </w:tcPr>
          <w:p>
            <w:pPr>
              <w:ind w:left="560"/>
              <w:spacing w:after="0"/>
              <w:rPr>
                <w:sz w:val="20"/>
                <w:szCs w:val="20"/>
                <w:color w:val="auto"/>
              </w:rPr>
            </w:pPr>
            <w:r>
              <w:rPr>
                <w:rFonts w:ascii="Arial" w:cs="Arial" w:eastAsia="Arial" w:hAnsi="Arial"/>
                <w:sz w:val="14"/>
                <w:szCs w:val="14"/>
                <w:b w:val="1"/>
                <w:bCs w:val="1"/>
                <w:color w:val="auto"/>
              </w:rPr>
              <w:t>AMOUNT</w:t>
            </w:r>
          </w:p>
        </w:tc>
      </w:tr>
      <w:tr>
        <w:trPr>
          <w:trHeight w:val="25"/>
        </w:trPr>
        <w:tc>
          <w:tcPr>
            <w:tcW w:w="12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C.4</w:t>
      </w:r>
      <w:r>
        <w:rPr>
          <w:sz w:val="20"/>
          <w:szCs w:val="20"/>
          <w:color w:val="auto"/>
        </w:rPr>
        <w:tab/>
      </w:r>
      <w:r>
        <w:rPr>
          <w:rFonts w:ascii="Courier New" w:cs="Courier New" w:eastAsia="Courier New" w:hAnsi="Courier New"/>
          <w:sz w:val="12"/>
          <w:szCs w:val="12"/>
          <w:color w:val="auto"/>
        </w:rPr>
        <w:t>Reporting: The contractor shall provide the following reports/deliverables in accordance with Exhibit A:</w:t>
      </w:r>
    </w:p>
    <w:p>
      <w:pPr>
        <w:spacing w:after="0" w:line="200" w:lineRule="exact"/>
        <w:rPr>
          <w:sz w:val="20"/>
          <w:szCs w:val="20"/>
          <w:color w:val="auto"/>
        </w:rPr>
      </w:pPr>
    </w:p>
    <w:p>
      <w:pPr>
        <w:spacing w:after="0" w:line="264" w:lineRule="exact"/>
        <w:rPr>
          <w:sz w:val="20"/>
          <w:szCs w:val="20"/>
          <w:color w:val="auto"/>
        </w:rPr>
      </w:pPr>
    </w:p>
    <w:p>
      <w:pPr>
        <w:ind w:left="80"/>
        <w:spacing w:after="0"/>
        <w:tabs>
          <w:tab w:leader="none" w:pos="800" w:val="left"/>
        </w:tabs>
        <w:rPr>
          <w:sz w:val="20"/>
          <w:szCs w:val="20"/>
          <w:color w:val="auto"/>
        </w:rPr>
      </w:pPr>
      <w:r>
        <w:rPr>
          <w:rFonts w:ascii="Courier New" w:cs="Courier New" w:eastAsia="Courier New" w:hAnsi="Courier New"/>
          <w:sz w:val="12"/>
          <w:szCs w:val="12"/>
          <w:u w:val="single" w:color="auto"/>
          <w:color w:val="auto"/>
        </w:rPr>
        <w:t>CDRL #</w:t>
      </w:r>
      <w:r>
        <w:rPr>
          <w:sz w:val="20"/>
          <w:szCs w:val="20"/>
          <w:color w:val="auto"/>
        </w:rPr>
        <w:tab/>
      </w:r>
      <w:r>
        <w:rPr>
          <w:rFonts w:ascii="Courier New" w:cs="Courier New" w:eastAsia="Courier New" w:hAnsi="Courier New"/>
          <w:sz w:val="12"/>
          <w:szCs w:val="12"/>
          <w:u w:val="single" w:color="auto"/>
          <w:color w:val="auto"/>
        </w:rPr>
        <w:t>Title</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A001</w:t>
      </w:r>
      <w:r>
        <w:rPr>
          <w:sz w:val="20"/>
          <w:szCs w:val="20"/>
          <w:color w:val="auto"/>
        </w:rPr>
        <w:tab/>
      </w:r>
      <w:r>
        <w:rPr>
          <w:rFonts w:ascii="Courier New" w:cs="Courier New" w:eastAsia="Courier New" w:hAnsi="Courier New"/>
          <w:sz w:val="12"/>
          <w:szCs w:val="12"/>
          <w:color w:val="auto"/>
        </w:rPr>
        <w:t>Post Award Teleconference Minutes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A002</w:t>
      </w:r>
      <w:r>
        <w:rPr>
          <w:sz w:val="20"/>
          <w:szCs w:val="20"/>
          <w:color w:val="auto"/>
        </w:rPr>
        <w:tab/>
      </w:r>
      <w:r>
        <w:rPr>
          <w:rFonts w:ascii="Courier New" w:cs="Courier New" w:eastAsia="Courier New" w:hAnsi="Courier New"/>
          <w:sz w:val="12"/>
          <w:szCs w:val="12"/>
          <w:color w:val="auto"/>
        </w:rPr>
        <w:t>Kickoff Meeting Agenda and Minutes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A003</w:t>
      </w:r>
      <w:r>
        <w:rPr>
          <w:sz w:val="20"/>
          <w:szCs w:val="20"/>
          <w:color w:val="auto"/>
        </w:rPr>
        <w:tab/>
      </w:r>
      <w:r>
        <w:rPr>
          <w:rFonts w:ascii="Courier New" w:cs="Courier New" w:eastAsia="Courier New" w:hAnsi="Courier New"/>
          <w:sz w:val="12"/>
          <w:szCs w:val="12"/>
          <w:color w:val="auto"/>
        </w:rPr>
        <w:t>Teleconference Minutes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A004</w:t>
      </w:r>
      <w:r>
        <w:rPr>
          <w:sz w:val="20"/>
          <w:szCs w:val="20"/>
          <w:color w:val="auto"/>
        </w:rPr>
        <w:tab/>
      </w:r>
      <w:r>
        <w:rPr>
          <w:rFonts w:ascii="Courier New" w:cs="Courier New" w:eastAsia="Courier New" w:hAnsi="Courier New"/>
          <w:sz w:val="12"/>
          <w:szCs w:val="12"/>
          <w:color w:val="auto"/>
        </w:rPr>
        <w:t>Quarterly Meetings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A005</w:t>
      </w:r>
      <w:r>
        <w:rPr>
          <w:sz w:val="20"/>
          <w:szCs w:val="20"/>
          <w:color w:val="auto"/>
        </w:rPr>
        <w:tab/>
      </w:r>
      <w:r>
        <w:rPr>
          <w:rFonts w:ascii="Courier New" w:cs="Courier New" w:eastAsia="Courier New" w:hAnsi="Courier New"/>
          <w:sz w:val="12"/>
          <w:szCs w:val="12"/>
          <w:color w:val="auto"/>
        </w:rPr>
        <w:t>FDA Meeting Minutes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A006</w:t>
      </w:r>
      <w:r>
        <w:rPr>
          <w:sz w:val="20"/>
          <w:szCs w:val="20"/>
          <w:color w:val="auto"/>
        </w:rPr>
        <w:tab/>
      </w:r>
      <w:r>
        <w:rPr>
          <w:rFonts w:ascii="Courier New" w:cs="Courier New" w:eastAsia="Courier New" w:hAnsi="Courier New"/>
          <w:sz w:val="12"/>
          <w:szCs w:val="12"/>
          <w:color w:val="auto"/>
        </w:rPr>
        <w:t>Daily Check-in with Project Staff for COVID-19 Agreement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A007</w:t>
      </w:r>
      <w:r>
        <w:rPr>
          <w:sz w:val="20"/>
          <w:szCs w:val="20"/>
          <w:color w:val="auto"/>
        </w:rPr>
        <w:tab/>
      </w:r>
      <w:r>
        <w:rPr>
          <w:rFonts w:ascii="Courier New" w:cs="Courier New" w:eastAsia="Courier New" w:hAnsi="Courier New"/>
          <w:sz w:val="12"/>
          <w:szCs w:val="12"/>
          <w:color w:val="auto"/>
        </w:rPr>
        <w:t>Monthly Progress Reports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A008</w:t>
      </w:r>
      <w:r>
        <w:rPr>
          <w:sz w:val="20"/>
          <w:szCs w:val="20"/>
          <w:color w:val="auto"/>
        </w:rPr>
        <w:tab/>
      </w:r>
      <w:r>
        <w:rPr>
          <w:rFonts w:ascii="Courier New" w:cs="Courier New" w:eastAsia="Courier New" w:hAnsi="Courier New"/>
          <w:sz w:val="12"/>
          <w:szCs w:val="12"/>
          <w:color w:val="auto"/>
        </w:rPr>
        <w:t>Milestone Reports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A009</w:t>
      </w:r>
      <w:r>
        <w:rPr>
          <w:sz w:val="20"/>
          <w:szCs w:val="20"/>
          <w:color w:val="auto"/>
        </w:rPr>
        <w:tab/>
      </w:r>
      <w:r>
        <w:rPr>
          <w:rFonts w:ascii="Courier New" w:cs="Courier New" w:eastAsia="Courier New" w:hAnsi="Courier New"/>
          <w:sz w:val="12"/>
          <w:szCs w:val="12"/>
          <w:color w:val="auto"/>
        </w:rPr>
        <w:t>Draft Technical Progress Report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A010</w:t>
      </w:r>
      <w:r>
        <w:rPr>
          <w:sz w:val="20"/>
          <w:szCs w:val="20"/>
          <w:color w:val="auto"/>
        </w:rPr>
        <w:tab/>
      </w:r>
      <w:r>
        <w:rPr>
          <w:rFonts w:ascii="Courier New" w:cs="Courier New" w:eastAsia="Courier New" w:hAnsi="Courier New"/>
          <w:sz w:val="12"/>
          <w:szCs w:val="12"/>
          <w:color w:val="auto"/>
        </w:rPr>
        <w:t>Final Technical Progress Report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A011</w:t>
      </w:r>
      <w:r>
        <w:rPr>
          <w:sz w:val="20"/>
          <w:szCs w:val="20"/>
          <w:color w:val="auto"/>
        </w:rPr>
        <w:tab/>
      </w:r>
      <w:r>
        <w:rPr>
          <w:rFonts w:ascii="Courier New" w:cs="Courier New" w:eastAsia="Courier New" w:hAnsi="Courier New"/>
          <w:sz w:val="12"/>
          <w:szCs w:val="12"/>
          <w:color w:val="auto"/>
        </w:rPr>
        <w:t>Product Development Source Material and Manufacturing Report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A012</w:t>
      </w:r>
      <w:r>
        <w:rPr>
          <w:sz w:val="20"/>
          <w:szCs w:val="20"/>
          <w:color w:val="auto"/>
        </w:rPr>
        <w:tab/>
      </w:r>
      <w:r>
        <w:rPr>
          <w:rFonts w:ascii="Courier New" w:cs="Courier New" w:eastAsia="Courier New" w:hAnsi="Courier New"/>
          <w:sz w:val="12"/>
          <w:szCs w:val="12"/>
          <w:color w:val="auto"/>
        </w:rPr>
        <w:t>Contractor Locations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A013</w:t>
      </w:r>
      <w:r>
        <w:rPr>
          <w:sz w:val="20"/>
          <w:szCs w:val="20"/>
          <w:color w:val="auto"/>
        </w:rPr>
        <w:tab/>
      </w:r>
      <w:r>
        <w:rPr>
          <w:rFonts w:ascii="Courier New" w:cs="Courier New" w:eastAsia="Courier New" w:hAnsi="Courier New"/>
          <w:sz w:val="12"/>
          <w:szCs w:val="12"/>
          <w:color w:val="auto"/>
        </w:rPr>
        <w:t>Pandemic Management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A014</w:t>
      </w:r>
      <w:r>
        <w:rPr>
          <w:sz w:val="20"/>
          <w:szCs w:val="20"/>
          <w:color w:val="auto"/>
        </w:rPr>
        <w:tab/>
      </w:r>
      <w:r>
        <w:rPr>
          <w:rFonts w:ascii="Courier New" w:cs="Courier New" w:eastAsia="Courier New" w:hAnsi="Courier New"/>
          <w:sz w:val="12"/>
          <w:szCs w:val="12"/>
          <w:color w:val="auto"/>
        </w:rPr>
        <w:t>Supply Chain and Distribution Tracking</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A015</w:t>
      </w:r>
      <w:r>
        <w:rPr>
          <w:sz w:val="20"/>
          <w:szCs w:val="20"/>
          <w:color w:val="auto"/>
        </w:rPr>
        <w:tab/>
      </w:r>
      <w:r>
        <w:rPr>
          <w:rFonts w:ascii="Courier New" w:cs="Courier New" w:eastAsia="Courier New" w:hAnsi="Courier New"/>
          <w:sz w:val="12"/>
          <w:szCs w:val="12"/>
          <w:color w:val="auto"/>
        </w:rPr>
        <w:t>Distribution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A016</w:t>
      </w:r>
      <w:r>
        <w:rPr>
          <w:sz w:val="20"/>
          <w:szCs w:val="20"/>
          <w:color w:val="auto"/>
        </w:rPr>
        <w:tab/>
      </w:r>
      <w:r>
        <w:rPr>
          <w:rFonts w:ascii="Courier New" w:cs="Courier New" w:eastAsia="Courier New" w:hAnsi="Courier New"/>
          <w:sz w:val="12"/>
          <w:szCs w:val="12"/>
          <w:color w:val="auto"/>
        </w:rPr>
        <w:t>Manufacturing Development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A017</w:t>
      </w:r>
      <w:r>
        <w:rPr>
          <w:sz w:val="20"/>
          <w:szCs w:val="20"/>
          <w:color w:val="auto"/>
        </w:rPr>
        <w:tab/>
      </w:r>
      <w:r>
        <w:rPr>
          <w:rFonts w:ascii="Courier New" w:cs="Courier New" w:eastAsia="Courier New" w:hAnsi="Courier New"/>
          <w:sz w:val="12"/>
          <w:szCs w:val="12"/>
          <w:color w:val="auto"/>
        </w:rPr>
        <w:t>Quality Management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A018</w:t>
      </w:r>
      <w:r>
        <w:rPr>
          <w:sz w:val="20"/>
          <w:szCs w:val="20"/>
          <w:color w:val="auto"/>
        </w:rPr>
        <w:tab/>
      </w:r>
      <w:r>
        <w:rPr>
          <w:rFonts w:ascii="Courier New" w:cs="Courier New" w:eastAsia="Courier New" w:hAnsi="Courier New"/>
          <w:sz w:val="12"/>
          <w:szCs w:val="12"/>
          <w:color w:val="auto"/>
        </w:rPr>
        <w:t>Quality Agreement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A019</w:t>
      </w:r>
      <w:r>
        <w:rPr>
          <w:sz w:val="20"/>
          <w:szCs w:val="20"/>
          <w:color w:val="auto"/>
        </w:rPr>
        <w:tab/>
      </w:r>
      <w:r>
        <w:rPr>
          <w:rFonts w:ascii="Courier New" w:cs="Courier New" w:eastAsia="Courier New" w:hAnsi="Courier New"/>
          <w:sz w:val="12"/>
          <w:szCs w:val="12"/>
          <w:color w:val="auto"/>
        </w:rPr>
        <w:t>Release Documentation for Doses to be Delivered</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A020</w:t>
      </w:r>
      <w:r>
        <w:rPr>
          <w:sz w:val="20"/>
          <w:szCs w:val="20"/>
          <w:color w:val="auto"/>
        </w:rPr>
        <w:tab/>
      </w:r>
      <w:r>
        <w:rPr>
          <w:rFonts w:ascii="Courier New" w:cs="Courier New" w:eastAsia="Courier New" w:hAnsi="Courier New"/>
          <w:sz w:val="12"/>
          <w:szCs w:val="12"/>
          <w:color w:val="auto"/>
        </w:rPr>
        <w:t>Manufacturing and Distribution Records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A021</w:t>
      </w:r>
      <w:r>
        <w:rPr>
          <w:sz w:val="20"/>
          <w:szCs w:val="20"/>
          <w:color w:val="auto"/>
        </w:rPr>
        <w:tab/>
      </w:r>
      <w:r>
        <w:rPr>
          <w:rFonts w:ascii="Courier New" w:cs="Courier New" w:eastAsia="Courier New" w:hAnsi="Courier New"/>
          <w:sz w:val="12"/>
          <w:szCs w:val="12"/>
          <w:color w:val="auto"/>
        </w:rPr>
        <w:t>Security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A022</w:t>
      </w:r>
      <w:r>
        <w:rPr>
          <w:sz w:val="20"/>
          <w:szCs w:val="20"/>
          <w:color w:val="auto"/>
        </w:rPr>
        <w:tab/>
      </w:r>
      <w:r>
        <w:rPr>
          <w:rFonts w:ascii="Courier New" w:cs="Courier New" w:eastAsia="Courier New" w:hAnsi="Courier New"/>
          <w:sz w:val="12"/>
          <w:szCs w:val="12"/>
          <w:color w:val="auto"/>
        </w:rPr>
        <w:t>Supply Chain Resiliency Plan</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A023</w:t>
      </w:r>
      <w:r>
        <w:rPr>
          <w:sz w:val="20"/>
          <w:szCs w:val="20"/>
          <w:color w:val="auto"/>
        </w:rPr>
        <w:tab/>
      </w:r>
      <w:r>
        <w:rPr>
          <w:rFonts w:ascii="Courier New" w:cs="Courier New" w:eastAsia="Courier New" w:hAnsi="Courier New"/>
          <w:sz w:val="12"/>
          <w:szCs w:val="12"/>
          <w:color w:val="auto"/>
        </w:rPr>
        <w:t>Manufacturing Data Requirements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A024</w:t>
      </w:r>
      <w:r>
        <w:rPr>
          <w:sz w:val="20"/>
          <w:szCs w:val="20"/>
          <w:color w:val="auto"/>
        </w:rPr>
        <w:tab/>
      </w:r>
      <w:r>
        <w:rPr>
          <w:rFonts w:ascii="Courier New" w:cs="Courier New" w:eastAsia="Courier New" w:hAnsi="Courier New"/>
          <w:sz w:val="12"/>
          <w:szCs w:val="12"/>
          <w:color w:val="auto"/>
        </w:rPr>
        <w:t>BARDA Audit</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A025</w:t>
      </w:r>
      <w:r>
        <w:rPr>
          <w:sz w:val="20"/>
          <w:szCs w:val="20"/>
          <w:color w:val="auto"/>
        </w:rPr>
        <w:tab/>
      </w:r>
      <w:r>
        <w:rPr>
          <w:rFonts w:ascii="Courier New" w:cs="Courier New" w:eastAsia="Courier New" w:hAnsi="Courier New"/>
          <w:sz w:val="12"/>
          <w:szCs w:val="12"/>
          <w:color w:val="auto"/>
        </w:rPr>
        <w:t>FDA Inspections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A026</w:t>
      </w:r>
      <w:r>
        <w:rPr>
          <w:sz w:val="20"/>
          <w:szCs w:val="20"/>
          <w:color w:val="auto"/>
        </w:rPr>
        <w:tab/>
      </w:r>
      <w:r>
        <w:rPr>
          <w:rFonts w:ascii="Courier New" w:cs="Courier New" w:eastAsia="Courier New" w:hAnsi="Courier New"/>
          <w:sz w:val="12"/>
          <w:szCs w:val="12"/>
          <w:color w:val="auto"/>
        </w:rPr>
        <w:t>QA Audits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A027</w:t>
      </w:r>
      <w:r>
        <w:rPr>
          <w:sz w:val="20"/>
          <w:szCs w:val="20"/>
          <w:color w:val="auto"/>
        </w:rPr>
        <w:tab/>
      </w:r>
      <w:r>
        <w:rPr>
          <w:rFonts w:ascii="Courier New" w:cs="Courier New" w:eastAsia="Courier New" w:hAnsi="Courier New"/>
          <w:sz w:val="12"/>
          <w:szCs w:val="12"/>
          <w:color w:val="auto"/>
        </w:rPr>
        <w:t>FDA Submissions</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A028</w:t>
      </w:r>
      <w:r>
        <w:rPr>
          <w:sz w:val="20"/>
          <w:szCs w:val="20"/>
          <w:color w:val="auto"/>
        </w:rPr>
        <w:tab/>
      </w:r>
      <w:r>
        <w:rPr>
          <w:rFonts w:ascii="Courier New" w:cs="Courier New" w:eastAsia="Courier New" w:hAnsi="Courier New"/>
          <w:sz w:val="12"/>
          <w:szCs w:val="12"/>
          <w:color w:val="auto"/>
        </w:rPr>
        <w:t>EUA Filing</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A029</w:t>
      </w:r>
      <w:r>
        <w:rPr>
          <w:sz w:val="20"/>
          <w:szCs w:val="20"/>
          <w:color w:val="auto"/>
        </w:rPr>
        <w:tab/>
      </w:r>
      <w:r>
        <w:rPr>
          <w:rFonts w:ascii="Courier New" w:cs="Courier New" w:eastAsia="Courier New" w:hAnsi="Courier New"/>
          <w:sz w:val="12"/>
          <w:szCs w:val="12"/>
          <w:color w:val="auto"/>
        </w:rPr>
        <w:t>Provision of Public Law 115-92 SPONSOR Authorization Letter</w:t>
      </w:r>
    </w:p>
    <w:p>
      <w:pPr>
        <w:spacing w:after="0" w:line="64" w:lineRule="exact"/>
        <w:rPr>
          <w:sz w:val="20"/>
          <w:szCs w:val="20"/>
          <w:color w:val="auto"/>
        </w:rPr>
      </w:pPr>
    </w:p>
    <w:p>
      <w:pPr>
        <w:ind w:left="80"/>
        <w:spacing w:after="0"/>
        <w:tabs>
          <w:tab w:leader="none" w:pos="660" w:val="left"/>
        </w:tabs>
        <w:rPr>
          <w:sz w:val="20"/>
          <w:szCs w:val="20"/>
          <w:color w:val="auto"/>
        </w:rPr>
      </w:pPr>
      <w:r>
        <w:rPr>
          <w:rFonts w:ascii="Courier New" w:cs="Courier New" w:eastAsia="Courier New" w:hAnsi="Courier New"/>
          <w:sz w:val="12"/>
          <w:szCs w:val="12"/>
          <w:color w:val="auto"/>
        </w:rPr>
        <w:t>A030</w:t>
      </w:r>
      <w:r>
        <w:rPr>
          <w:sz w:val="20"/>
          <w:szCs w:val="20"/>
          <w:color w:val="auto"/>
        </w:rPr>
        <w:tab/>
      </w:r>
      <w:r>
        <w:rPr>
          <w:rFonts w:ascii="Courier New" w:cs="Courier New" w:eastAsia="Courier New" w:hAnsi="Courier New"/>
          <w:sz w:val="12"/>
          <w:szCs w:val="12"/>
          <w:color w:val="auto"/>
        </w:rPr>
        <w:t>Press Releases</w:t>
      </w:r>
    </w:p>
    <w:p>
      <w:pPr>
        <w:spacing w:after="0" w:line="304"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C.5</w:t>
      </w:r>
      <w:r>
        <w:rPr>
          <w:sz w:val="20"/>
          <w:szCs w:val="20"/>
          <w:color w:val="auto"/>
        </w:rPr>
        <w:tab/>
      </w:r>
      <w:r>
        <w:rPr>
          <w:rFonts w:ascii="Courier New" w:cs="Courier New" w:eastAsia="Courier New" w:hAnsi="Courier New"/>
          <w:sz w:val="12"/>
          <w:szCs w:val="12"/>
          <w:color w:val="auto"/>
        </w:rPr>
        <w:t>Period of Performance: The period of performance for this contract is twelve (12) months.</w:t>
      </w:r>
    </w:p>
    <w:p>
      <w:pPr>
        <w:spacing w:after="0" w:line="118"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C.6</w:t>
      </w:r>
      <w:r>
        <w:rPr>
          <w:sz w:val="20"/>
          <w:szCs w:val="20"/>
          <w:color w:val="auto"/>
        </w:rPr>
        <w:tab/>
      </w:r>
      <w:r>
        <w:rPr>
          <w:rFonts w:ascii="Courier New" w:cs="Courier New" w:eastAsia="Courier New" w:hAnsi="Courier New"/>
          <w:sz w:val="12"/>
          <w:szCs w:val="12"/>
          <w:color w:val="auto"/>
        </w:rPr>
        <w:t>Inspection/Acceptance:</w:t>
      </w:r>
    </w:p>
    <w:p>
      <w:pPr>
        <w:spacing w:after="0" w:line="104" w:lineRule="exact"/>
        <w:rPr>
          <w:sz w:val="20"/>
          <w:szCs w:val="20"/>
          <w:color w:val="auto"/>
        </w:rPr>
      </w:pPr>
    </w:p>
    <w:p>
      <w:pPr>
        <w:ind w:left="80" w:right="180"/>
        <w:spacing w:after="0" w:line="284" w:lineRule="auto"/>
        <w:rPr>
          <w:sz w:val="20"/>
          <w:szCs w:val="20"/>
          <w:color w:val="auto"/>
        </w:rPr>
      </w:pPr>
      <w:r>
        <w:rPr>
          <w:rFonts w:ascii="Courier New" w:cs="Courier New" w:eastAsia="Courier New" w:hAnsi="Courier New"/>
          <w:sz w:val="12"/>
          <w:szCs w:val="12"/>
          <w:color w:val="auto"/>
        </w:rPr>
        <w:t>C.6.1 Inspection: The Technical Point of Contact (TPOC) is a duly authorized representative of the Government, and is responsible for the inspection and/or acceptance of all items/activities to be delivered and/or completed under this contract. The parties acknowledge that acceptance may depend on the compliance with FDA regulations at 21 CFR 600-680 regarding the BLA, current Good Manufacturing Practice (cGMP) regulations at 21 CFR 210, 211, and other FDA regulations.</w:t>
      </w:r>
    </w:p>
    <w:p>
      <w:pPr>
        <w:spacing w:after="0" w:line="90" w:lineRule="exact"/>
        <w:rPr>
          <w:sz w:val="20"/>
          <w:szCs w:val="20"/>
          <w:color w:val="auto"/>
        </w:rPr>
      </w:pPr>
    </w:p>
    <w:p>
      <w:pPr>
        <w:ind w:left="80" w:right="180"/>
        <w:spacing w:after="0" w:line="283" w:lineRule="auto"/>
        <w:rPr>
          <w:sz w:val="20"/>
          <w:szCs w:val="20"/>
          <w:color w:val="auto"/>
        </w:rPr>
      </w:pPr>
      <w:r>
        <w:rPr>
          <w:rFonts w:ascii="Courier New" w:cs="Courier New" w:eastAsia="Courier New" w:hAnsi="Courier New"/>
          <w:sz w:val="12"/>
          <w:szCs w:val="12"/>
          <w:color w:val="auto"/>
        </w:rPr>
        <w:t>C.6.2 Acceptance: Title to drug product will pass to the Government upon delivery of such drug product to VMI, and the Governments corresponding written acceptance of such drug product. The Government shall accept product that conforms to contract requirements based on a Certificate of Analysis (COA) and any other quality documentation required to be provided by Regeneron, as set forth in the Quality Agreement ("Required Documents"), and the parties shall perform their obligations relating to product delivery set forth in the applicable Quality Agreement for the product. The Government's acceptance of drug product will be [* * *] provide written notice of acceptance or rejection within [* * *]. Any visibly damaged product will be rejected immediately. The contractor will transfer product from VMI to the Distributor for distribution directed by the Government; provided that, product shall not be provided to the Distributor until it is accepted by the Government. The contractor shall provide a shipment temperature tracking report within [* * *] of contractors receipt of such report from its storage vendor, or otherwise in accordance with the applicable Quality Agreement. Any product subject to a temperature excursion outside of acceptable tolerances, shall be rejected. Any rejected product shall be returned to the contractor or otherwise disposed of according to contractor instructions. The Government will not be obligated to pay for rejected vials, nor will rejected vials count toward the delivery requirement. The contractor shall establish a notification mechanism for delivery sites to contact the Government regarding rejected vials.</w:t>
      </w:r>
    </w:p>
    <w:p>
      <w:pPr>
        <w:spacing w:after="0" w:line="91" w:lineRule="exact"/>
        <w:rPr>
          <w:sz w:val="20"/>
          <w:szCs w:val="20"/>
          <w:color w:val="auto"/>
        </w:rPr>
      </w:pPr>
    </w:p>
    <w:p>
      <w:pPr>
        <w:ind w:left="80" w:right="260"/>
        <w:spacing w:after="0" w:line="289" w:lineRule="auto"/>
        <w:rPr>
          <w:sz w:val="20"/>
          <w:szCs w:val="20"/>
          <w:color w:val="auto"/>
        </w:rPr>
      </w:pPr>
      <w:r>
        <w:rPr>
          <w:rFonts w:ascii="Courier New" w:cs="Courier New" w:eastAsia="Courier New" w:hAnsi="Courier New"/>
          <w:sz w:val="12"/>
          <w:szCs w:val="12"/>
          <w:color w:val="auto"/>
        </w:rPr>
        <w:t>C.7 Packaging and Marking: The contractor shall label product according to FDA guidance/instructions. Packaging shall be in shipping containers according to the contractors standard commercial practice.</w:t>
      </w:r>
    </w:p>
    <w:p>
      <w:pPr>
        <w:spacing w:after="0" w:line="73"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C.8</w:t>
      </w:r>
      <w:r>
        <w:rPr>
          <w:sz w:val="20"/>
          <w:szCs w:val="20"/>
          <w:color w:val="auto"/>
        </w:rPr>
        <w:tab/>
      </w:r>
      <w:r>
        <w:rPr>
          <w:rFonts w:ascii="Courier New" w:cs="Courier New" w:eastAsia="Courier New" w:hAnsi="Courier New"/>
          <w:sz w:val="12"/>
          <w:szCs w:val="12"/>
          <w:color w:val="auto"/>
        </w:rPr>
        <w:t>Authorized and Approved Uses: Product sold to the Government may be distributed for use in any indication approved or authorized by the FDA.</w:t>
      </w:r>
    </w:p>
    <w:p>
      <w:pPr>
        <w:sectPr>
          <w:pgSz w:w="11900" w:h="16838" w:orient="portrait"/>
          <w:cols w:equalWidth="0" w:num="1">
            <w:col w:w="11240"/>
          </w:cols>
          <w:pgMar w:left="320" w:top="1127" w:right="339" w:bottom="1440" w:gutter="0" w:footer="0" w:header="0"/>
          <w:type w:val="continuous"/>
        </w:sectPr>
      </w:pPr>
    </w:p>
    <w:bookmarkStart w:id="94" w:name="page95"/>
    <w:bookmarkEnd w:id="94"/>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CONTINUATION SHEET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298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1260" w:type="dxa"/>
            <w:vAlign w:val="bottom"/>
            <w:tcBorders>
              <w:right w:val="single" w:sz="8" w:color="auto"/>
            </w:tcBorders>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w w:val="86"/>
              </w:rPr>
              <w:t>Page 6 of 6</w:t>
            </w:r>
          </w:p>
        </w:tc>
      </w:tr>
      <w:tr>
        <w:trPr>
          <w:trHeight w:val="192"/>
        </w:trPr>
        <w:tc>
          <w:tcPr>
            <w:tcW w:w="900" w:type="dxa"/>
            <w:vAlign w:val="bottom"/>
          </w:tcPr>
          <w:p>
            <w:pPr>
              <w:spacing w:after="0"/>
              <w:rPr>
                <w:sz w:val="16"/>
                <w:szCs w:val="16"/>
                <w:color w:val="auto"/>
              </w:rPr>
            </w:pPr>
          </w:p>
        </w:tc>
        <w:tc>
          <w:tcPr>
            <w:tcW w:w="2980" w:type="dxa"/>
            <w:vAlign w:val="bottom"/>
          </w:tcPr>
          <w:p>
            <w:pPr>
              <w:jc w:val="center"/>
              <w:ind w:left="192"/>
              <w:spacing w:after="0"/>
              <w:rPr>
                <w:sz w:val="20"/>
                <w:szCs w:val="20"/>
                <w:color w:val="auto"/>
              </w:rPr>
            </w:pPr>
            <w:r>
              <w:rPr>
                <w:rFonts w:ascii="Courier New" w:cs="Courier New" w:eastAsia="Courier New" w:hAnsi="Courier New"/>
                <w:sz w:val="12"/>
                <w:szCs w:val="12"/>
                <w:color w:val="auto"/>
              </w:rPr>
              <w:t>W15QKN-21-C-0014</w:t>
            </w:r>
          </w:p>
        </w:tc>
        <w:tc>
          <w:tcPr>
            <w:tcW w:w="126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900" w:type="dxa"/>
            <w:vAlign w:val="bottom"/>
          </w:tcPr>
          <w:p>
            <w:pPr>
              <w:spacing w:after="0"/>
              <w:rPr>
                <w:sz w:val="20"/>
                <w:szCs w:val="20"/>
                <w:color w:val="auto"/>
              </w:rPr>
            </w:pPr>
            <w:r>
              <w:rPr>
                <w:rFonts w:ascii="Arial" w:cs="Arial" w:eastAsia="Arial" w:hAnsi="Arial"/>
                <w:sz w:val="14"/>
                <w:szCs w:val="14"/>
                <w:b w:val="1"/>
                <w:bCs w:val="1"/>
                <w:color w:val="auto"/>
              </w:rPr>
              <w:t>PIIN/SIIN</w:t>
            </w:r>
          </w:p>
        </w:tc>
        <w:tc>
          <w:tcPr>
            <w:tcW w:w="2980" w:type="dxa"/>
            <w:vAlign w:val="bottom"/>
          </w:tcPr>
          <w:p>
            <w:pPr>
              <w:ind w:left="1680"/>
              <w:spacing w:after="0"/>
              <w:rPr>
                <w:sz w:val="20"/>
                <w:szCs w:val="20"/>
                <w:color w:val="auto"/>
              </w:rPr>
            </w:pPr>
            <w:r>
              <w:rPr>
                <w:rFonts w:ascii="Arial" w:cs="Arial" w:eastAsia="Arial" w:hAnsi="Arial"/>
                <w:sz w:val="14"/>
                <w:szCs w:val="14"/>
                <w:b w:val="1"/>
                <w:bCs w:val="1"/>
                <w:color w:val="auto"/>
              </w:rPr>
              <w:t>MOD/AMD</w:t>
            </w:r>
          </w:p>
        </w:tc>
        <w:tc>
          <w:tcPr>
            <w:tcW w:w="1260" w:type="dxa"/>
            <w:vAlign w:val="bottom"/>
            <w:tcBorders>
              <w:right w:val="single" w:sz="8" w:color="auto"/>
            </w:tcBorders>
          </w:tcPr>
          <w:p>
            <w:pPr>
              <w:ind w:left="20"/>
              <w:spacing w:after="0"/>
              <w:rPr>
                <w:sz w:val="20"/>
                <w:szCs w:val="20"/>
                <w:color w:val="auto"/>
              </w:rPr>
            </w:pPr>
            <w:r>
              <w:rPr>
                <w:rFonts w:ascii="Courier New" w:cs="Courier New" w:eastAsia="Courier New" w:hAnsi="Courier New"/>
                <w:sz w:val="12"/>
                <w:szCs w:val="12"/>
                <w:color w:val="auto"/>
              </w:rPr>
              <w:t>P00004</w:t>
            </w:r>
          </w:p>
        </w:tc>
        <w:tc>
          <w:tcPr>
            <w:tcW w:w="660" w:type="dxa"/>
            <w:vAlign w:val="bottom"/>
          </w:tcPr>
          <w:p>
            <w:pPr>
              <w:spacing w:after="0"/>
              <w:rPr>
                <w:sz w:val="19"/>
                <w:szCs w:val="19"/>
                <w:color w:val="auto"/>
              </w:rPr>
            </w:pPr>
          </w:p>
        </w:tc>
      </w:tr>
      <w:tr>
        <w:trPr>
          <w:trHeight w:val="38"/>
        </w:trPr>
        <w:tc>
          <w:tcPr>
            <w:tcW w:w="9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-414655</wp:posOffset>
            </wp:positionV>
            <wp:extent cx="7134225" cy="415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4152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060" w:space="720"/>
            <w:col w:w="7460"/>
          </w:cols>
          <w:pgMar w:left="320" w:top="1127"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266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Name of Offeror or Contractor:</w:t>
            </w:r>
          </w:p>
        </w:tc>
        <w:tc>
          <w:tcPr>
            <w:tcW w:w="3220" w:type="dxa"/>
            <w:vAlign w:val="bottom"/>
          </w:tcPr>
          <w:p>
            <w:pPr>
              <w:ind w:left="440"/>
              <w:spacing w:after="0"/>
              <w:rPr>
                <w:sz w:val="20"/>
                <w:szCs w:val="20"/>
                <w:color w:val="auto"/>
              </w:rPr>
            </w:pPr>
            <w:r>
              <w:rPr>
                <w:rFonts w:ascii="Courier New" w:cs="Courier New" w:eastAsia="Courier New" w:hAnsi="Courier New"/>
                <w:sz w:val="12"/>
                <w:szCs w:val="12"/>
                <w:color w:val="auto"/>
              </w:rPr>
              <w:t>REGENERON PHARMACEUTICALS, INC.</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2"/>
        </w:trPr>
        <w:tc>
          <w:tcPr>
            <w:tcW w:w="122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ITEM NO</w:t>
            </w:r>
          </w:p>
        </w:tc>
        <w:tc>
          <w:tcPr>
            <w:tcW w:w="1440" w:type="dxa"/>
            <w:vAlign w:val="bottom"/>
          </w:tcPr>
          <w:p>
            <w:pPr>
              <w:spacing w:after="0"/>
              <w:rPr>
                <w:sz w:val="15"/>
                <w:szCs w:val="15"/>
                <w:color w:val="auto"/>
              </w:rPr>
            </w:pPr>
          </w:p>
        </w:tc>
        <w:tc>
          <w:tcPr>
            <w:tcW w:w="322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auto"/>
              </w:rPr>
              <w:t>SUPPLIES/SERVICES</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QUANTITY</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UNIT</w:t>
            </w: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UNIT PRICE</w:t>
            </w:r>
          </w:p>
        </w:tc>
        <w:tc>
          <w:tcPr>
            <w:tcW w:w="1760" w:type="dxa"/>
            <w:vAlign w:val="bottom"/>
          </w:tcPr>
          <w:p>
            <w:pPr>
              <w:ind w:left="560"/>
              <w:spacing w:after="0"/>
              <w:rPr>
                <w:sz w:val="20"/>
                <w:szCs w:val="20"/>
                <w:color w:val="auto"/>
              </w:rPr>
            </w:pPr>
            <w:r>
              <w:rPr>
                <w:rFonts w:ascii="Arial" w:cs="Arial" w:eastAsia="Arial" w:hAnsi="Arial"/>
                <w:sz w:val="14"/>
                <w:szCs w:val="14"/>
                <w:b w:val="1"/>
                <w:bCs w:val="1"/>
                <w:color w:val="auto"/>
              </w:rPr>
              <w:t>AMOUNT</w:t>
            </w:r>
          </w:p>
        </w:tc>
      </w:tr>
      <w:tr>
        <w:trPr>
          <w:trHeight w:val="25"/>
        </w:trPr>
        <w:tc>
          <w:tcPr>
            <w:tcW w:w="12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ind w:left="80" w:right="100"/>
        <w:spacing w:after="0" w:line="286" w:lineRule="auto"/>
        <w:rPr>
          <w:sz w:val="20"/>
          <w:szCs w:val="20"/>
          <w:color w:val="auto"/>
        </w:rPr>
      </w:pPr>
      <w:r>
        <w:rPr>
          <w:rFonts w:ascii="Courier New" w:cs="Courier New" w:eastAsia="Courier New" w:hAnsi="Courier New"/>
          <w:sz w:val="12"/>
          <w:szCs w:val="12"/>
          <w:color w:val="auto"/>
        </w:rPr>
        <w:t>Public Disclosures: Notwithstanding any other provision in this contract, the contractor may publicly release any information related to this contract without prior approval to the extent necessary to satisfy or address regulatory requirements, contractual obligations to third parties, and the public interest in data about the safety or efficacy of the product.</w:t>
      </w:r>
    </w:p>
    <w:p>
      <w:pPr>
        <w:spacing w:after="0" w:line="181" w:lineRule="exact"/>
        <w:rPr>
          <w:sz w:val="20"/>
          <w:szCs w:val="20"/>
          <w:color w:val="auto"/>
        </w:rPr>
      </w:pPr>
    </w:p>
    <w:p>
      <w:pPr>
        <w:jc w:val="both"/>
        <w:ind w:left="80" w:right="100"/>
        <w:spacing w:after="0" w:line="286" w:lineRule="auto"/>
        <w:rPr>
          <w:sz w:val="20"/>
          <w:szCs w:val="20"/>
          <w:color w:val="auto"/>
        </w:rPr>
      </w:pPr>
      <w:r>
        <w:rPr>
          <w:rFonts w:ascii="Courier New" w:cs="Courier New" w:eastAsia="Courier New" w:hAnsi="Courier New"/>
          <w:sz w:val="12"/>
          <w:szCs w:val="12"/>
          <w:color w:val="auto"/>
        </w:rPr>
        <w:t>Public Readiness and Emergency Preparedness (PREP) Act: The Government will ensure that no product purchased under this contract is used outside the United States (including its territories or possessions) or in a way that is not protected from liability by a declaration issued under the PREP Act that is active at the time of use.</w:t>
      </w:r>
    </w:p>
    <w:p>
      <w:pPr>
        <w:spacing w:after="0" w:line="168" w:lineRule="exact"/>
        <w:rPr>
          <w:sz w:val="20"/>
          <w:szCs w:val="20"/>
          <w:color w:val="auto"/>
        </w:rPr>
      </w:pPr>
    </w:p>
    <w:p>
      <w:pPr>
        <w:ind w:left="80"/>
        <w:spacing w:after="0"/>
        <w:tabs>
          <w:tab w:leader="none" w:pos="580" w:val="left"/>
        </w:tabs>
        <w:rPr>
          <w:sz w:val="20"/>
          <w:szCs w:val="20"/>
          <w:color w:val="auto"/>
        </w:rPr>
      </w:pPr>
      <w:r>
        <w:rPr>
          <w:rFonts w:ascii="Courier New" w:cs="Courier New" w:eastAsia="Courier New" w:hAnsi="Courier New"/>
          <w:sz w:val="12"/>
          <w:szCs w:val="12"/>
          <w:color w:val="auto"/>
        </w:rPr>
        <w:t>C.9</w:t>
      </w:r>
      <w:r>
        <w:rPr>
          <w:sz w:val="20"/>
          <w:szCs w:val="20"/>
          <w:color w:val="auto"/>
        </w:rPr>
        <w:tab/>
      </w:r>
      <w:r>
        <w:rPr>
          <w:rFonts w:ascii="Courier New" w:cs="Courier New" w:eastAsia="Courier New" w:hAnsi="Courier New"/>
          <w:sz w:val="12"/>
          <w:szCs w:val="12"/>
          <w:color w:val="auto"/>
        </w:rPr>
        <w:t>Government Technical Point of Contact:</w:t>
      </w: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HHS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 END OF NARRATIVE C0001 ***</w:t>
      </w:r>
    </w:p>
    <w:p>
      <w:pPr>
        <w:sectPr>
          <w:pgSz w:w="11900" w:h="16838" w:orient="portrait"/>
          <w:cols w:equalWidth="0" w:num="1">
            <w:col w:w="11240"/>
          </w:cols>
          <w:pgMar w:left="320" w:top="1127" w:right="3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10.2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CONFIDENTIAL PORTIONS OF THIS EXHIBIT, MARKED BY BRACKETS, WERE OMITTED BECAUSE THOSE PORTIONS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ARE NOT MATERIAL AND WOULD BE COMPETITIVELY HARMFUL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420370</wp:posOffset>
            </wp:positionV>
            <wp:extent cx="6820535" cy="339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20535" cy="339090"/>
                    </a:xfrm>
                    <a:prstGeom prst="rect">
                      <a:avLst/>
                    </a:prstGeom>
                    <a:noFill/>
                  </pic:spPr>
                </pic:pic>
              </a:graphicData>
            </a:graphic>
          </wp:anchor>
        </w:drawing>
      </w:r>
    </w:p>
    <w:p>
      <w:pPr>
        <w:sectPr>
          <w:pgSz w:w="11900" w:h="16838" w:orient="portrait"/>
          <w:cols w:equalWidth="0" w:num="1">
            <w:col w:w="11120"/>
          </w:cols>
          <w:pgMar w:left="4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AMENDMENT OF SOLICITATION/MODIFICATION OF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Pr>
          <w:p>
            <w:pPr>
              <w:spacing w:after="0"/>
              <w:rPr>
                <w:sz w:val="20"/>
                <w:szCs w:val="20"/>
                <w:color w:val="auto"/>
              </w:rPr>
            </w:pPr>
            <w:r>
              <w:rPr>
                <w:rFonts w:ascii="Arial" w:cs="Arial" w:eastAsia="Arial" w:hAnsi="Arial"/>
                <w:sz w:val="14"/>
                <w:szCs w:val="14"/>
                <w:b w:val="1"/>
                <w:bCs w:val="1"/>
                <w:color w:val="auto"/>
              </w:rPr>
              <w:t>1. Contract ID Code</w:t>
            </w:r>
          </w:p>
        </w:tc>
        <w:tc>
          <w:tcPr>
            <w:tcW w:w="960" w:type="dxa"/>
            <w:vAlign w:val="bottom"/>
          </w:tcPr>
          <w:p>
            <w:pPr>
              <w:ind w:left="240"/>
              <w:spacing w:after="0"/>
              <w:rPr>
                <w:sz w:val="20"/>
                <w:szCs w:val="20"/>
                <w:color w:val="auto"/>
              </w:rPr>
            </w:pPr>
            <w:r>
              <w:rPr>
                <w:rFonts w:ascii="Arial" w:cs="Arial" w:eastAsia="Arial" w:hAnsi="Arial"/>
                <w:sz w:val="14"/>
                <w:szCs w:val="14"/>
                <w:color w:val="auto"/>
                <w:w w:val="88"/>
              </w:rPr>
              <w:t>Page 1 of 12</w:t>
            </w:r>
          </w:p>
        </w:tc>
      </w:tr>
    </w:tbl>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Firm Fixed Price</w:t>
      </w:r>
    </w:p>
    <w:p>
      <w:pPr>
        <w:spacing w:after="0" w:line="14" w:lineRule="exact"/>
        <w:rPr>
          <w:sz w:val="20"/>
          <w:szCs w:val="20"/>
          <w:color w:val="auto"/>
        </w:rPr>
      </w:pPr>
    </w:p>
    <w:p>
      <w:pPr>
        <w:sectPr>
          <w:pgSz w:w="11900" w:h="16838" w:orient="portrait"/>
          <w:cols w:equalWidth="0" w:num="2">
            <w:col w:w="6860" w:space="720"/>
            <w:col w:w="3540"/>
          </w:cols>
          <w:pgMar w:left="440" w:top="125" w:right="339" w:bottom="1440" w:gutter="0" w:footer="0" w:header="0"/>
          <w:type w:val="continuous"/>
        </w:sectPr>
      </w:pPr>
    </w:p>
    <w:tbl>
      <w:tblPr>
        <w:tblLayout w:type="fixed"/>
        <w:tblInd w:w="120" w:type="dxa"/>
        <w:tblCellMar>
          <w:top w:w="0" w:type="dxa"/>
          <w:left w:w="0" w:type="dxa"/>
          <w:bottom w:w="0" w:type="dxa"/>
          <w:right w:w="0" w:type="dxa"/>
        </w:tblCellMar>
      </w:tblPr>
      <w:tr>
        <w:trPr>
          <w:trHeight w:val="202"/>
        </w:trPr>
        <w:tc>
          <w:tcPr>
            <w:tcW w:w="22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9"/>
              </w:rPr>
              <w:t>2. Amendment/Modification No.</w:t>
            </w:r>
          </w:p>
        </w:tc>
        <w:tc>
          <w:tcPr>
            <w:tcW w:w="112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 Effective Date</w:t>
            </w:r>
          </w:p>
        </w:tc>
        <w:tc>
          <w:tcPr>
            <w:tcW w:w="800" w:type="dxa"/>
            <w:vAlign w:val="bottom"/>
            <w:tcBorders>
              <w:top w:val="single" w:sz="8" w:color="auto"/>
              <w:right w:val="single" w:sz="8" w:color="auto"/>
            </w:tcBorders>
          </w:tcPr>
          <w:p>
            <w:pPr>
              <w:spacing w:after="0"/>
              <w:rPr>
                <w:sz w:val="17"/>
                <w:szCs w:val="17"/>
                <w:color w:val="auto"/>
              </w:rPr>
            </w:pPr>
          </w:p>
        </w:tc>
        <w:tc>
          <w:tcPr>
            <w:tcW w:w="266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4. Requisition/Purchase Req No.</w:t>
            </w:r>
          </w:p>
        </w:tc>
        <w:tc>
          <w:tcPr>
            <w:tcW w:w="6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Project No. (If applicable)</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2"/>
                <w:szCs w:val="12"/>
                <w:color w:val="auto"/>
              </w:rPr>
              <w:t>P00005</w:t>
            </w:r>
          </w:p>
        </w:tc>
        <w:tc>
          <w:tcPr>
            <w:tcW w:w="1120" w:type="dxa"/>
            <w:vAlign w:val="bottom"/>
            <w:tcBorders>
              <w:right w:val="single" w:sz="8" w:color="auto"/>
            </w:tcBorders>
          </w:tcPr>
          <w:p>
            <w:pPr>
              <w:spacing w:after="0"/>
              <w:rPr>
                <w:sz w:val="16"/>
                <w:szCs w:val="16"/>
                <w:color w:val="auto"/>
              </w:rPr>
            </w:pPr>
          </w:p>
        </w:tc>
        <w:tc>
          <w:tcPr>
            <w:tcW w:w="1260" w:type="dxa"/>
            <w:vAlign w:val="bottom"/>
            <w:gridSpan w:val="2"/>
          </w:tcPr>
          <w:p>
            <w:pPr>
              <w:ind w:left="600"/>
              <w:spacing w:after="0"/>
              <w:rPr>
                <w:sz w:val="20"/>
                <w:szCs w:val="20"/>
                <w:color w:val="auto"/>
              </w:rPr>
            </w:pPr>
            <w:r>
              <w:rPr>
                <w:rFonts w:ascii="Courier New" w:cs="Courier New" w:eastAsia="Courier New" w:hAnsi="Courier New"/>
                <w:sz w:val="12"/>
                <w:szCs w:val="12"/>
                <w:color w:val="auto"/>
                <w:w w:val="98"/>
              </w:rPr>
              <w:t>2021SEP14</w:t>
            </w:r>
          </w:p>
        </w:tc>
        <w:tc>
          <w:tcPr>
            <w:tcW w:w="800" w:type="dxa"/>
            <w:vAlign w:val="bottom"/>
            <w:tcBorders>
              <w:right w:val="single" w:sz="8" w:color="auto"/>
            </w:tcBorders>
          </w:tcPr>
          <w:p>
            <w:pPr>
              <w:spacing w:after="0"/>
              <w:rPr>
                <w:sz w:val="16"/>
                <w:szCs w:val="16"/>
                <w:color w:val="auto"/>
              </w:rPr>
            </w:pPr>
          </w:p>
        </w:tc>
        <w:tc>
          <w:tcPr>
            <w:tcW w:w="1900" w:type="dxa"/>
            <w:vAlign w:val="bottom"/>
            <w:gridSpan w:val="2"/>
          </w:tcPr>
          <w:p>
            <w:pPr>
              <w:ind w:left="740"/>
              <w:spacing w:after="0"/>
              <w:rPr>
                <w:sz w:val="20"/>
                <w:szCs w:val="20"/>
                <w:color w:val="auto"/>
              </w:rPr>
            </w:pPr>
            <w:r>
              <w:rPr>
                <w:rFonts w:ascii="Courier New" w:cs="Courier New" w:eastAsia="Courier New" w:hAnsi="Courier New"/>
                <w:sz w:val="12"/>
                <w:szCs w:val="12"/>
                <w:color w:val="auto"/>
              </w:rPr>
              <w:t>SEE SCHEDULE</w:t>
            </w:r>
          </w:p>
        </w:tc>
        <w:tc>
          <w:tcPr>
            <w:tcW w:w="7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6. Issued By</w:t>
            </w:r>
          </w:p>
        </w:tc>
        <w:tc>
          <w:tcPr>
            <w:tcW w:w="11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ind w:left="700"/>
              <w:spacing w:after="0"/>
              <w:rPr>
                <w:sz w:val="20"/>
                <w:szCs w:val="20"/>
                <w:color w:val="auto"/>
              </w:rPr>
            </w:pPr>
            <w:r>
              <w:rPr>
                <w:rFonts w:ascii="Arial" w:cs="Arial" w:eastAsia="Arial" w:hAnsi="Arial"/>
                <w:sz w:val="14"/>
                <w:szCs w:val="14"/>
                <w:b w:val="1"/>
                <w:bCs w:val="1"/>
                <w:color w:val="auto"/>
              </w:rPr>
              <w:t>Code</w:t>
            </w:r>
          </w:p>
        </w:tc>
        <w:tc>
          <w:tcPr>
            <w:tcW w:w="100" w:type="dxa"/>
            <w:vAlign w:val="bottom"/>
          </w:tcPr>
          <w:p>
            <w:pPr>
              <w:spacing w:after="0"/>
              <w:rPr>
                <w:sz w:val="15"/>
                <w:szCs w:val="15"/>
                <w:color w:val="auto"/>
              </w:rPr>
            </w:pPr>
          </w:p>
        </w:tc>
        <w:tc>
          <w:tcPr>
            <w:tcW w:w="800" w:type="dxa"/>
            <w:vAlign w:val="bottom"/>
            <w:tcBorders>
              <w:right w:val="single" w:sz="8" w:color="auto"/>
            </w:tcBorders>
          </w:tcPr>
          <w:p>
            <w:pPr>
              <w:spacing w:after="0"/>
              <w:rPr>
                <w:sz w:val="20"/>
                <w:szCs w:val="20"/>
                <w:color w:val="auto"/>
              </w:rPr>
            </w:pPr>
            <w:r>
              <w:rPr>
                <w:rFonts w:ascii="Courier New" w:cs="Courier New" w:eastAsia="Courier New" w:hAnsi="Courier New"/>
                <w:sz w:val="12"/>
                <w:szCs w:val="12"/>
                <w:color w:val="auto"/>
              </w:rPr>
              <w:t>W58P05</w:t>
            </w:r>
          </w:p>
        </w:tc>
        <w:tc>
          <w:tcPr>
            <w:tcW w:w="2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7. Administered By (If other than Item 6)</w:t>
            </w:r>
          </w:p>
        </w:tc>
        <w:tc>
          <w:tcPr>
            <w:tcW w:w="1840" w:type="dxa"/>
            <w:vAlign w:val="bottom"/>
            <w:tcBorders>
              <w:right w:val="single" w:sz="8" w:color="auto"/>
            </w:tcBorders>
          </w:tcPr>
          <w:p>
            <w:pPr>
              <w:ind w:left="1380"/>
              <w:spacing w:after="0"/>
              <w:rPr>
                <w:sz w:val="20"/>
                <w:szCs w:val="20"/>
                <w:color w:val="auto"/>
              </w:rPr>
            </w:pPr>
            <w:r>
              <w:rPr>
                <w:rFonts w:ascii="Arial" w:cs="Arial" w:eastAsia="Arial" w:hAnsi="Arial"/>
                <w:sz w:val="14"/>
                <w:szCs w:val="14"/>
                <w:b w:val="1"/>
                <w:bCs w:val="1"/>
                <w:color w:val="auto"/>
              </w:rPr>
              <w:t>Code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11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2720" w:type="dxa"/>
            <w:vAlign w:val="bottom"/>
            <w:gridSpan w:val="4"/>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2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U.S. ACC, APG , NCD</w:t>
            </w: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224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NATICK, MA 01760-5011</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1140" w:type="dxa"/>
            <w:vAlign w:val="bottom"/>
          </w:tcPr>
          <w:p>
            <w:pPr>
              <w:ind w:left="420"/>
              <w:spacing w:after="0"/>
              <w:rPr>
                <w:sz w:val="20"/>
                <w:szCs w:val="20"/>
                <w:color w:val="auto"/>
              </w:rPr>
            </w:pPr>
            <w:r>
              <w:rPr>
                <w:rFonts w:ascii="Courier New" w:cs="Courier New" w:eastAsia="Courier New" w:hAnsi="Courier New"/>
                <w:sz w:val="12"/>
                <w:szCs w:val="12"/>
                <w:color w:val="auto"/>
              </w:rPr>
              <w:t>EMAIL:</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3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5420" w:type="dxa"/>
            <w:vAlign w:val="bottom"/>
            <w:gridSpan w:val="6"/>
          </w:tcPr>
          <w:p>
            <w:pPr>
              <w:ind w:left="120"/>
              <w:spacing w:after="0"/>
              <w:rPr>
                <w:sz w:val="20"/>
                <w:szCs w:val="20"/>
                <w:color w:val="auto"/>
              </w:rPr>
            </w:pPr>
            <w:r>
              <w:rPr>
                <w:rFonts w:ascii="Arial" w:cs="Arial" w:eastAsia="Arial" w:hAnsi="Arial"/>
                <w:sz w:val="14"/>
                <w:szCs w:val="14"/>
                <w:b w:val="1"/>
                <w:bCs w:val="1"/>
                <w:color w:val="auto"/>
                <w:w w:val="96"/>
              </w:rPr>
              <w:t>8. Name And Address Of Contractor (No., Street, City, County, State and Zip Code)</w:t>
            </w:r>
          </w:p>
        </w:tc>
        <w:tc>
          <w:tcPr>
            <w:tcW w:w="1380" w:type="dxa"/>
            <w:vAlign w:val="bottom"/>
            <w:tcBorders>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ind w:left="100"/>
              <w:spacing w:after="0" w:line="231" w:lineRule="exact"/>
              <w:rPr>
                <w:sz w:val="20"/>
                <w:szCs w:val="20"/>
                <w:color w:val="auto"/>
              </w:rPr>
            </w:pPr>
            <w:r>
              <w:rPr>
                <w:rFonts w:ascii="MS PGothic" w:cs="MS PGothic" w:eastAsia="MS PGothic" w:hAnsi="MS PGothic"/>
                <w:sz w:val="23"/>
                <w:szCs w:val="23"/>
                <w:color w:val="auto"/>
              </w:rPr>
              <w:t>☐</w:t>
            </w:r>
          </w:p>
        </w:tc>
        <w:tc>
          <w:tcPr>
            <w:tcW w:w="3420" w:type="dxa"/>
            <w:vAlign w:val="bottom"/>
            <w:gridSpan w:val="4"/>
          </w:tcPr>
          <w:p>
            <w:pPr>
              <w:ind w:left="100"/>
              <w:spacing w:after="0"/>
              <w:rPr>
                <w:sz w:val="20"/>
                <w:szCs w:val="20"/>
                <w:color w:val="auto"/>
              </w:rPr>
            </w:pPr>
            <w:r>
              <w:rPr>
                <w:rFonts w:ascii="Arial" w:cs="Arial" w:eastAsia="Arial" w:hAnsi="Arial"/>
                <w:sz w:val="14"/>
                <w:szCs w:val="14"/>
                <w:b w:val="1"/>
                <w:bCs w:val="1"/>
                <w:color w:val="auto"/>
              </w:rPr>
              <w:t>9A. Amendment Of Solicitation No.</w:t>
            </w:r>
          </w:p>
        </w:tc>
        <w:tc>
          <w:tcPr>
            <w:tcW w:w="0" w:type="dxa"/>
            <w:vAlign w:val="bottom"/>
          </w:tcPr>
          <w:p>
            <w:pPr>
              <w:spacing w:after="0"/>
              <w:rPr>
                <w:sz w:val="1"/>
                <w:szCs w:val="1"/>
                <w:color w:val="auto"/>
              </w:rPr>
            </w:pPr>
          </w:p>
        </w:tc>
      </w:tr>
      <w:tr>
        <w:trPr>
          <w:trHeight w:val="243"/>
        </w:trPr>
        <w:tc>
          <w:tcPr>
            <w:tcW w:w="4620" w:type="dxa"/>
            <w:vAlign w:val="bottom"/>
            <w:gridSpan w:val="5"/>
          </w:tcPr>
          <w:p>
            <w:pPr>
              <w:ind w:left="180"/>
              <w:spacing w:after="0"/>
              <w:rPr>
                <w:sz w:val="20"/>
                <w:szCs w:val="20"/>
                <w:color w:val="auto"/>
              </w:rPr>
            </w:pPr>
            <w:r>
              <w:rPr>
                <w:rFonts w:ascii="Courier New" w:cs="Courier New" w:eastAsia="Courier New" w:hAnsi="Courier New"/>
                <w:sz w:val="12"/>
                <w:szCs w:val="12"/>
                <w:color w:val="auto"/>
              </w:rPr>
              <w:t>REGENERON PHARMACEUTICALS, INC.</w:t>
            </w:r>
          </w:p>
        </w:tc>
        <w:tc>
          <w:tcPr>
            <w:tcW w:w="8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240" w:type="dxa"/>
            <w:vAlign w:val="bottom"/>
            <w:gridSpan w:val="2"/>
            <w:vMerge w:val="restart"/>
          </w:tcPr>
          <w:p>
            <w:pPr>
              <w:ind w:left="180"/>
              <w:spacing w:after="0"/>
              <w:rPr>
                <w:sz w:val="20"/>
                <w:szCs w:val="20"/>
                <w:color w:val="auto"/>
              </w:rPr>
            </w:pPr>
            <w:r>
              <w:rPr>
                <w:rFonts w:ascii="Courier New" w:cs="Courier New" w:eastAsia="Courier New" w:hAnsi="Courier New"/>
                <w:sz w:val="12"/>
                <w:szCs w:val="12"/>
                <w:color w:val="auto"/>
              </w:rPr>
              <w:t>777 OLD SAW MILL RIVER RD</w:t>
            </w:r>
          </w:p>
        </w:tc>
        <w:tc>
          <w:tcPr>
            <w:tcW w:w="1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24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4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9B. Dated (See Item 11)</w:t>
            </w:r>
          </w:p>
        </w:tc>
        <w:tc>
          <w:tcPr>
            <w:tcW w:w="0" w:type="dxa"/>
            <w:vAlign w:val="bottom"/>
          </w:tcPr>
          <w:p>
            <w:pPr>
              <w:spacing w:after="0"/>
              <w:rPr>
                <w:sz w:val="1"/>
                <w:szCs w:val="1"/>
                <w:color w:val="auto"/>
              </w:rPr>
            </w:pPr>
          </w:p>
        </w:tc>
      </w:tr>
      <w:tr>
        <w:trPr>
          <w:trHeight w:val="99"/>
        </w:trPr>
        <w:tc>
          <w:tcPr>
            <w:tcW w:w="2240" w:type="dxa"/>
            <w:vAlign w:val="bottom"/>
            <w:gridSpan w:val="2"/>
            <w:vMerge w:val="restart"/>
          </w:tcPr>
          <w:p>
            <w:pPr>
              <w:ind w:left="180"/>
              <w:spacing w:after="0"/>
              <w:rPr>
                <w:sz w:val="20"/>
                <w:szCs w:val="20"/>
                <w:color w:val="auto"/>
              </w:rPr>
            </w:pPr>
            <w:r>
              <w:rPr>
                <w:rFonts w:ascii="Courier New" w:cs="Courier New" w:eastAsia="Courier New" w:hAnsi="Courier New"/>
                <w:sz w:val="12"/>
                <w:szCs w:val="12"/>
                <w:color w:val="auto"/>
              </w:rPr>
              <w:t>TARRYTOWN, NY 10591-6717</w:t>
            </w:r>
          </w:p>
        </w:tc>
        <w:tc>
          <w:tcPr>
            <w:tcW w:w="1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24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ind w:left="100"/>
              <w:spacing w:after="0" w:line="231" w:lineRule="exact"/>
              <w:rPr>
                <w:sz w:val="20"/>
                <w:szCs w:val="20"/>
                <w:color w:val="auto"/>
              </w:rPr>
            </w:pPr>
            <w:r>
              <w:rPr>
                <w:rFonts w:ascii="MS PGothic" w:cs="MS PGothic" w:eastAsia="MS PGothic" w:hAnsi="MS PGothic"/>
                <w:sz w:val="23"/>
                <w:szCs w:val="23"/>
                <w:color w:val="auto"/>
              </w:rPr>
              <w:t>☒</w:t>
            </w:r>
          </w:p>
        </w:tc>
        <w:tc>
          <w:tcPr>
            <w:tcW w:w="3420" w:type="dxa"/>
            <w:vAlign w:val="bottom"/>
            <w:gridSpan w:val="4"/>
          </w:tcPr>
          <w:p>
            <w:pPr>
              <w:ind w:left="100"/>
              <w:spacing w:after="0"/>
              <w:rPr>
                <w:sz w:val="20"/>
                <w:szCs w:val="20"/>
                <w:color w:val="auto"/>
              </w:rPr>
            </w:pPr>
            <w:r>
              <w:rPr>
                <w:rFonts w:ascii="Arial" w:cs="Arial" w:eastAsia="Arial" w:hAnsi="Arial"/>
                <w:sz w:val="14"/>
                <w:szCs w:val="14"/>
                <w:b w:val="1"/>
                <w:bCs w:val="1"/>
                <w:color w:val="auto"/>
              </w:rPr>
              <w:t>10A. Modification Of Contract/Order No.</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2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W15QKN-21-C-0014</w:t>
            </w:r>
          </w:p>
        </w:tc>
        <w:tc>
          <w:tcPr>
            <w:tcW w:w="0" w:type="dxa"/>
            <w:vAlign w:val="bottom"/>
          </w:tcPr>
          <w:p>
            <w:pPr>
              <w:spacing w:after="0"/>
              <w:rPr>
                <w:sz w:val="1"/>
                <w:szCs w:val="1"/>
                <w:color w:val="auto"/>
              </w:rPr>
            </w:pPr>
          </w:p>
        </w:tc>
      </w:tr>
      <w:tr>
        <w:trPr>
          <w:trHeight w:val="31"/>
        </w:trPr>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420" w:type="dxa"/>
            <w:vAlign w:val="bottom"/>
            <w:gridSpan w:val="4"/>
          </w:tcPr>
          <w:p>
            <w:pPr>
              <w:ind w:left="100"/>
              <w:spacing w:after="0"/>
              <w:rPr>
                <w:sz w:val="20"/>
                <w:szCs w:val="20"/>
                <w:color w:val="auto"/>
              </w:rPr>
            </w:pPr>
            <w:r>
              <w:rPr>
                <w:rFonts w:ascii="Arial" w:cs="Arial" w:eastAsia="Arial" w:hAnsi="Arial"/>
                <w:sz w:val="14"/>
                <w:szCs w:val="14"/>
                <w:b w:val="1"/>
                <w:bCs w:val="1"/>
                <w:color w:val="auto"/>
              </w:rPr>
              <w:t>10B. Dated (See Item 13)</w:t>
            </w:r>
          </w:p>
        </w:tc>
        <w:tc>
          <w:tcPr>
            <w:tcW w:w="0" w:type="dxa"/>
            <w:vAlign w:val="bottom"/>
          </w:tcPr>
          <w:p>
            <w:pPr>
              <w:spacing w:after="0"/>
              <w:rPr>
                <w:sz w:val="1"/>
                <w:szCs w:val="1"/>
                <w:color w:val="auto"/>
              </w:rPr>
            </w:pPr>
          </w:p>
        </w:tc>
      </w:tr>
      <w:tr>
        <w:trPr>
          <w:trHeight w:val="25"/>
        </w:trPr>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120"/>
              <w:spacing w:after="0"/>
              <w:rPr>
                <w:sz w:val="20"/>
                <w:szCs w:val="20"/>
                <w:color w:val="auto"/>
              </w:rPr>
            </w:pPr>
            <w:r>
              <w:rPr>
                <w:rFonts w:ascii="Arial" w:cs="Arial" w:eastAsia="Arial" w:hAnsi="Arial"/>
                <w:sz w:val="14"/>
                <w:szCs w:val="14"/>
                <w:color w:val="auto"/>
              </w:rPr>
              <w:t>Code</w:t>
            </w:r>
          </w:p>
        </w:tc>
        <w:tc>
          <w:tcPr>
            <w:tcW w:w="1100" w:type="dxa"/>
            <w:vAlign w:val="bottom"/>
            <w:tcBorders>
              <w:right w:val="single" w:sz="8" w:color="auto"/>
            </w:tcBorders>
          </w:tcPr>
          <w:p>
            <w:pPr>
              <w:ind w:left="260"/>
              <w:spacing w:after="0"/>
              <w:rPr>
                <w:sz w:val="20"/>
                <w:szCs w:val="20"/>
                <w:color w:val="auto"/>
              </w:rPr>
            </w:pPr>
            <w:r>
              <w:rPr>
                <w:rFonts w:ascii="Courier New" w:cs="Courier New" w:eastAsia="Courier New" w:hAnsi="Courier New"/>
                <w:sz w:val="12"/>
                <w:szCs w:val="12"/>
                <w:color w:val="auto"/>
              </w:rPr>
              <w:t>544P9</w:t>
            </w:r>
          </w:p>
        </w:tc>
        <w:tc>
          <w:tcPr>
            <w:tcW w:w="2380" w:type="dxa"/>
            <w:vAlign w:val="bottom"/>
            <w:gridSpan w:val="3"/>
          </w:tcPr>
          <w:p>
            <w:pPr>
              <w:ind w:left="100"/>
              <w:spacing w:after="0"/>
              <w:rPr>
                <w:sz w:val="20"/>
                <w:szCs w:val="20"/>
                <w:color w:val="auto"/>
              </w:rPr>
            </w:pPr>
            <w:r>
              <w:rPr>
                <w:rFonts w:ascii="Arial" w:cs="Arial" w:eastAsia="Arial" w:hAnsi="Arial"/>
                <w:sz w:val="14"/>
                <w:szCs w:val="14"/>
                <w:b w:val="1"/>
                <w:bCs w:val="1"/>
                <w:color w:val="auto"/>
              </w:rPr>
              <w:t>Facility Code</w:t>
            </w:r>
          </w:p>
        </w:tc>
        <w:tc>
          <w:tcPr>
            <w:tcW w:w="8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2021JAN12</w:t>
            </w:r>
          </w:p>
        </w:tc>
        <w:tc>
          <w:tcPr>
            <w:tcW w:w="1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840" w:hanging="311"/>
        <w:spacing w:after="0"/>
        <w:tabs>
          <w:tab w:leader="none" w:pos="2840" w:val="left"/>
        </w:tabs>
        <w:numPr>
          <w:ilvl w:val="2"/>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THIS ITEM ONLY APPLIES TO AMENDMENTS OF SOLICITATIONS</w:t>
      </w:r>
    </w:p>
    <w:p>
      <w:pPr>
        <w:spacing w:after="0" w:line="47" w:lineRule="exact"/>
        <w:rPr>
          <w:rFonts w:ascii="Arial" w:cs="Arial" w:eastAsia="Arial" w:hAnsi="Arial"/>
          <w:sz w:val="14"/>
          <w:szCs w:val="14"/>
          <w:b w:val="1"/>
          <w:bCs w:val="1"/>
          <w:color w:val="auto"/>
        </w:rPr>
      </w:pPr>
    </w:p>
    <w:p>
      <w:pPr>
        <w:ind w:left="680" w:hanging="461"/>
        <w:spacing w:after="0"/>
        <w:tabs>
          <w:tab w:leader="none" w:pos="680" w:val="left"/>
        </w:tabs>
        <w:numPr>
          <w:ilvl w:val="0"/>
          <w:numId w:val="44"/>
        </w:numPr>
        <w:rPr>
          <w:rFonts w:ascii="MS PGothic" w:cs="MS PGothic" w:eastAsia="MS PGothic" w:hAnsi="MS PGothic"/>
          <w:sz w:val="23"/>
          <w:szCs w:val="23"/>
          <w:color w:val="auto"/>
        </w:rPr>
      </w:pPr>
      <w:r>
        <w:rPr>
          <w:rFonts w:ascii="Arial" w:cs="Arial" w:eastAsia="Arial" w:hAnsi="Arial"/>
          <w:sz w:val="14"/>
          <w:szCs w:val="14"/>
          <w:color w:val="auto"/>
        </w:rPr>
        <w:t>The above numbered solicitation is amended as set forth in item 14. The hour and date specified for receipt of Offers</w:t>
      </w:r>
    </w:p>
    <w:p>
      <w:pPr>
        <w:spacing w:after="0" w:line="52" w:lineRule="exact"/>
        <w:rPr>
          <w:rFonts w:ascii="MS PGothic" w:cs="MS PGothic" w:eastAsia="MS PGothic" w:hAnsi="MS PGothic"/>
          <w:sz w:val="23"/>
          <w:szCs w:val="23"/>
          <w:color w:val="auto"/>
        </w:rPr>
      </w:pPr>
    </w:p>
    <w:p>
      <w:pPr>
        <w:ind w:left="980" w:hanging="454"/>
        <w:spacing w:after="0" w:line="246" w:lineRule="exact"/>
        <w:tabs>
          <w:tab w:leader="none" w:pos="980" w:val="left"/>
        </w:tabs>
        <w:numPr>
          <w:ilvl w:val="1"/>
          <w:numId w:val="44"/>
        </w:numPr>
        <w:rPr>
          <w:rFonts w:ascii="MS PGothic" w:cs="MS PGothic" w:eastAsia="MS PGothic" w:hAnsi="MS PGothic"/>
          <w:sz w:val="23"/>
          <w:szCs w:val="23"/>
          <w:color w:val="auto"/>
        </w:rPr>
      </w:pPr>
      <w:r>
        <w:rPr>
          <w:rFonts w:ascii="Arial" w:cs="Arial" w:eastAsia="Arial" w:hAnsi="Arial"/>
          <w:sz w:val="14"/>
          <w:szCs w:val="14"/>
          <w:color w:val="auto"/>
        </w:rPr>
        <w:t xml:space="preserve">is extended, </w:t>
      </w:r>
      <w:r>
        <w:rPr>
          <w:rFonts w:ascii="MS PGothic" w:cs="MS PGothic" w:eastAsia="MS PGothic" w:hAnsi="MS PGothic"/>
          <w:sz w:val="23"/>
          <w:szCs w:val="23"/>
          <w:color w:val="auto"/>
        </w:rPr>
        <w:t>☐</w:t>
      </w:r>
      <w:r>
        <w:rPr>
          <w:rFonts w:ascii="Arial" w:cs="Arial" w:eastAsia="Arial" w:hAnsi="Arial"/>
          <w:sz w:val="14"/>
          <w:szCs w:val="14"/>
          <w:color w:val="auto"/>
        </w:rPr>
        <w:t xml:space="preserve"> is not extended.</w:t>
      </w:r>
    </w:p>
    <w:p>
      <w:pPr>
        <w:ind w:left="440"/>
        <w:spacing w:after="0" w:line="219" w:lineRule="auto"/>
        <w:rPr>
          <w:sz w:val="20"/>
          <w:szCs w:val="20"/>
          <w:color w:val="auto"/>
        </w:rPr>
      </w:pPr>
      <w:r>
        <w:rPr>
          <w:rFonts w:ascii="Arial" w:cs="Arial" w:eastAsia="Arial" w:hAnsi="Arial"/>
          <w:sz w:val="14"/>
          <w:szCs w:val="14"/>
          <w:color w:val="auto"/>
        </w:rPr>
        <w:t>Offers must acknowledge receipt of this amendment prior to the hour and date specified in the solicitation or as amended by one of the following methods:</w:t>
      </w:r>
    </w:p>
    <w:p>
      <w:pPr>
        <w:jc w:val="both"/>
        <w:ind w:left="440" w:right="680"/>
        <w:spacing w:after="0" w:line="238" w:lineRule="auto"/>
        <w:rPr>
          <w:sz w:val="20"/>
          <w:szCs w:val="20"/>
          <w:color w:val="auto"/>
        </w:rPr>
      </w:pPr>
      <w:r>
        <w:rPr>
          <w:rFonts w:ascii="Arial" w:cs="Arial" w:eastAsia="Arial" w:hAnsi="Arial"/>
          <w:sz w:val="14"/>
          <w:szCs w:val="14"/>
          <w:color w:val="auto"/>
        </w:rPr>
        <w:t>(a) By completing items 8 and 15, and returning _ copies of the amendments: (b) By acknowledging receipt of this amendment on each copy of the offer submitted; or (c) By separate letter or telegram which includes a reference to the solicitation and amendment numbers. FAILURE OF YOUR ACKNOWLEDGMENT TO BE RECEIVED AT THE PLACE DESIGNATED FOR THE RECEIPT OF OFFERS PRIOR TO THE HOUR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-214630</wp:posOffset>
            </wp:positionV>
            <wp:extent cx="158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ind w:left="440" w:right="300"/>
        <w:spacing w:after="0" w:line="287" w:lineRule="auto"/>
        <w:rPr>
          <w:sz w:val="20"/>
          <w:szCs w:val="20"/>
          <w:color w:val="auto"/>
        </w:rPr>
      </w:pPr>
      <w:r>
        <w:rPr>
          <w:rFonts w:ascii="Arial" w:cs="Arial" w:eastAsia="Arial" w:hAnsi="Arial"/>
          <w:sz w:val="13"/>
          <w:szCs w:val="13"/>
          <w:color w:val="auto"/>
        </w:rPr>
        <w:t>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40" w:lineRule="exact"/>
        <w:rPr>
          <w:sz w:val="20"/>
          <w:szCs w:val="20"/>
          <w:color w:val="auto"/>
        </w:rPr>
      </w:pPr>
    </w:p>
    <w:p>
      <w:pPr>
        <w:ind w:left="540" w:hanging="321"/>
        <w:spacing w:after="0"/>
        <w:tabs>
          <w:tab w:leader="none" w:pos="5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Accounting And Appropriation Data (If required)</w:t>
      </w:r>
    </w:p>
    <w:p>
      <w:pPr>
        <w:spacing w:after="0" w:line="51" w:lineRule="exact"/>
        <w:rPr>
          <w:rFonts w:ascii="Arial" w:cs="Arial" w:eastAsia="Arial" w:hAnsi="Arial"/>
          <w:sz w:val="14"/>
          <w:szCs w:val="14"/>
          <w:b w:val="1"/>
          <w:bCs w:val="1"/>
          <w:color w:val="auto"/>
        </w:rPr>
      </w:pPr>
    </w:p>
    <w:p>
      <w:pPr>
        <w:ind w:left="440"/>
        <w:spacing w:after="0"/>
        <w:rPr>
          <w:rFonts w:ascii="Arial" w:cs="Arial" w:eastAsia="Arial" w:hAnsi="Arial"/>
          <w:sz w:val="14"/>
          <w:szCs w:val="14"/>
          <w:b w:val="1"/>
          <w:bCs w:val="1"/>
          <w:color w:val="auto"/>
        </w:rPr>
      </w:pPr>
      <w:r>
        <w:rPr>
          <w:rFonts w:ascii="Courier New" w:cs="Courier New" w:eastAsia="Courier New" w:hAnsi="Courier New"/>
          <w:sz w:val="12"/>
          <w:szCs w:val="12"/>
          <w:color w:val="auto"/>
        </w:rPr>
        <w:t>SEE SECTION G (IF APPLICABLE)</w:t>
      </w:r>
    </w:p>
    <w:p>
      <w:pPr>
        <w:spacing w:after="0" w:line="91" w:lineRule="exact"/>
        <w:rPr>
          <w:rFonts w:ascii="Arial" w:cs="Arial" w:eastAsia="Arial" w:hAnsi="Arial"/>
          <w:sz w:val="14"/>
          <w:szCs w:val="14"/>
          <w:b w:val="1"/>
          <w:bCs w:val="1"/>
          <w:color w:val="auto"/>
        </w:rPr>
      </w:pPr>
    </w:p>
    <w:p>
      <w:pPr>
        <w:ind w:left="3060" w:right="2520" w:hanging="817"/>
        <w:spacing w:after="0" w:line="264" w:lineRule="auto"/>
        <w:tabs>
          <w:tab w:leader="none" w:pos="2564" w:val="left"/>
        </w:tabs>
        <w:numPr>
          <w:ilvl w:val="1"/>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THIS ITEM ONLY APPLIES TO MODIFICATIONS OF CONTRACTS/ORDERS It Modifies The Contract/Order No. As Described In Item 14.</w:t>
      </w:r>
    </w:p>
    <w:tbl>
      <w:tblPr>
        <w:tblLayout w:type="fixed"/>
        <w:tblInd w:w="240" w:type="dxa"/>
        <w:tblCellMar>
          <w:top w:w="0" w:type="dxa"/>
          <w:left w:w="0" w:type="dxa"/>
          <w:bottom w:w="0" w:type="dxa"/>
          <w:right w:w="0" w:type="dxa"/>
        </w:tblCellMar>
      </w:tblPr>
      <w:tr>
        <w:trPr>
          <w:trHeight w:val="193"/>
        </w:trPr>
        <w:tc>
          <w:tcPr>
            <w:tcW w:w="380" w:type="dxa"/>
            <w:vAlign w:val="bottom"/>
            <w:vMerge w:val="restart"/>
          </w:tcPr>
          <w:p>
            <w:pPr>
              <w:spacing w:after="0" w:line="231" w:lineRule="exact"/>
              <w:rPr>
                <w:sz w:val="20"/>
                <w:szCs w:val="20"/>
                <w:color w:val="auto"/>
              </w:rPr>
            </w:pPr>
            <w:r>
              <w:rPr>
                <w:rFonts w:ascii="MS PGothic" w:cs="MS PGothic" w:eastAsia="MS PGothic" w:hAnsi="MS PGothic"/>
                <w:sz w:val="23"/>
                <w:szCs w:val="23"/>
                <w:color w:val="auto"/>
              </w:rPr>
              <w:t>☐</w:t>
            </w:r>
          </w:p>
        </w:tc>
        <w:tc>
          <w:tcPr>
            <w:tcW w:w="4940" w:type="dxa"/>
            <w:vAlign w:val="bottom"/>
          </w:tcPr>
          <w:p>
            <w:pPr>
              <w:ind w:left="160"/>
              <w:spacing w:after="0"/>
              <w:rPr>
                <w:sz w:val="20"/>
                <w:szCs w:val="20"/>
                <w:color w:val="auto"/>
              </w:rPr>
            </w:pPr>
            <w:r>
              <w:rPr>
                <w:rFonts w:ascii="Arial" w:cs="Arial" w:eastAsia="Arial" w:hAnsi="Arial"/>
                <w:sz w:val="14"/>
                <w:szCs w:val="14"/>
                <w:b w:val="1"/>
                <w:bCs w:val="1"/>
                <w:color w:val="auto"/>
              </w:rPr>
              <w:t>A. This Change Order is Issued Pursuant To: The</w:t>
            </w:r>
          </w:p>
        </w:tc>
        <w:tc>
          <w:tcPr>
            <w:tcW w:w="4620" w:type="dxa"/>
            <w:vAlign w:val="bottom"/>
          </w:tcPr>
          <w:p>
            <w:pPr>
              <w:ind w:left="1740"/>
              <w:spacing w:after="0"/>
              <w:rPr>
                <w:sz w:val="20"/>
                <w:szCs w:val="20"/>
                <w:color w:val="auto"/>
              </w:rPr>
            </w:pPr>
            <w:r>
              <w:rPr>
                <w:rFonts w:ascii="Arial" w:cs="Arial" w:eastAsia="Arial" w:hAnsi="Arial"/>
                <w:sz w:val="14"/>
                <w:szCs w:val="14"/>
                <w:b w:val="1"/>
                <w:bCs w:val="1"/>
                <w:color w:val="auto"/>
                <w:w w:val="93"/>
              </w:rPr>
              <w:t>The Changes Set Forth In Item 14 Are Made In</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940" w:type="dxa"/>
            <w:vAlign w:val="bottom"/>
          </w:tcPr>
          <w:p>
            <w:pPr>
              <w:ind w:left="320"/>
              <w:spacing w:after="0"/>
              <w:rPr>
                <w:sz w:val="20"/>
                <w:szCs w:val="20"/>
                <w:color w:val="auto"/>
              </w:rPr>
            </w:pPr>
            <w:r>
              <w:rPr>
                <w:rFonts w:ascii="Arial" w:cs="Arial" w:eastAsia="Arial" w:hAnsi="Arial"/>
                <w:sz w:val="14"/>
                <w:szCs w:val="14"/>
                <w:b w:val="1"/>
                <w:bCs w:val="1"/>
                <w:color w:val="auto"/>
              </w:rPr>
              <w:t>Contract/Order No. In Item 10A.</w:t>
            </w: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-229235</wp:posOffset>
            </wp:positionV>
            <wp:extent cx="6760845" cy="965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0845" cy="965835"/>
                    </a:xfrm>
                    <a:prstGeom prst="rect">
                      <a:avLst/>
                    </a:prstGeom>
                    <a:noFill/>
                  </pic:spPr>
                </pic:pic>
              </a:graphicData>
            </a:graphic>
          </wp:anchor>
        </w:drawing>
      </w:r>
    </w:p>
    <w:p>
      <w:pPr>
        <w:spacing w:after="0" w:line="22" w:lineRule="exact"/>
        <w:rPr>
          <w:sz w:val="20"/>
          <w:szCs w:val="20"/>
          <w:color w:val="auto"/>
        </w:rPr>
      </w:pPr>
    </w:p>
    <w:p>
      <w:pPr>
        <w:ind w:left="780" w:right="1740" w:hanging="536"/>
        <w:spacing w:after="0" w:line="181" w:lineRule="auto"/>
        <w:tabs>
          <w:tab w:leader="none" w:pos="780" w:val="left"/>
        </w:tabs>
        <w:numPr>
          <w:ilvl w:val="0"/>
          <w:numId w:val="46"/>
        </w:numPr>
        <w:rPr>
          <w:rFonts w:ascii="MS PGothic" w:cs="MS PGothic" w:eastAsia="MS PGothic" w:hAnsi="MS PGothic"/>
          <w:sz w:val="30"/>
          <w:szCs w:val="30"/>
          <w:color w:val="auto"/>
          <w:vertAlign w:val="subscript"/>
        </w:rPr>
      </w:pPr>
      <w:r>
        <w:rPr>
          <w:rFonts w:ascii="Arial" w:cs="Arial" w:eastAsia="Arial" w:hAnsi="Arial"/>
          <w:sz w:val="12"/>
          <w:szCs w:val="12"/>
          <w:b w:val="1"/>
          <w:bCs w:val="1"/>
          <w:color w:val="auto"/>
        </w:rPr>
        <w:t>B. The Above Numbered Contract/Order Is Modified To Reflect The Administrative Changes (such as changes in paying office, appropriation data, etc.) Set Forth In Item 14, Pursuant To The Authority of FAR 43.103(b).</w:t>
      </w:r>
    </w:p>
    <w:p>
      <w:pPr>
        <w:ind w:left="780" w:hanging="536"/>
        <w:spacing w:after="0" w:line="183" w:lineRule="auto"/>
        <w:tabs>
          <w:tab w:leader="none" w:pos="780" w:val="left"/>
        </w:tabs>
        <w:numPr>
          <w:ilvl w:val="0"/>
          <w:numId w:val="47"/>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C. This Supplemental Agreement Is Entered Into Pursuant To Authority Of:</w:t>
      </w:r>
    </w:p>
    <w:p>
      <w:pPr>
        <w:spacing w:after="0" w:line="56" w:lineRule="exact"/>
        <w:rPr>
          <w:sz w:val="20"/>
          <w:szCs w:val="20"/>
          <w:color w:val="auto"/>
        </w:rPr>
      </w:pPr>
    </w:p>
    <w:p>
      <w:pPr>
        <w:ind w:left="6180"/>
        <w:spacing w:after="0"/>
        <w:rPr>
          <w:sz w:val="20"/>
          <w:szCs w:val="20"/>
          <w:color w:val="auto"/>
        </w:rPr>
      </w:pPr>
      <w:r>
        <w:rPr>
          <w:rFonts w:ascii="Courier New" w:cs="Courier New" w:eastAsia="Courier New" w:hAnsi="Courier New"/>
          <w:sz w:val="12"/>
          <w:szCs w:val="12"/>
          <w:color w:val="auto"/>
        </w:rPr>
        <w:t>FAR 6.302-2</w:t>
      </w:r>
    </w:p>
    <w:p>
      <w:pPr>
        <w:ind w:left="780" w:hanging="536"/>
        <w:spacing w:after="0" w:line="183" w:lineRule="auto"/>
        <w:tabs>
          <w:tab w:leader="none" w:pos="780" w:val="left"/>
        </w:tabs>
        <w:numPr>
          <w:ilvl w:val="1"/>
          <w:numId w:val="48"/>
        </w:numPr>
        <w:rPr>
          <w:rFonts w:ascii="MS PGothic" w:cs="MS PGothic" w:eastAsia="MS PGothic" w:hAnsi="MS PGothic"/>
          <w:sz w:val="31"/>
          <w:szCs w:val="31"/>
          <w:color w:val="auto"/>
          <w:vertAlign w:val="subscript"/>
        </w:rPr>
      </w:pPr>
      <w:r>
        <w:rPr>
          <w:rFonts w:ascii="Arial" w:cs="Arial" w:eastAsia="Arial" w:hAnsi="Arial"/>
          <w:sz w:val="12"/>
          <w:szCs w:val="12"/>
          <w:b w:val="1"/>
          <w:bCs w:val="1"/>
          <w:color w:val="auto"/>
        </w:rPr>
        <w:t>D. Other (Specify type of modification and authority)</w:t>
      </w:r>
    </w:p>
    <w:p>
      <w:pPr>
        <w:spacing w:after="0" w:line="276" w:lineRule="exact"/>
        <w:rPr>
          <w:rFonts w:ascii="MS PGothic" w:cs="MS PGothic" w:eastAsia="MS PGothic" w:hAnsi="MS PGothic"/>
          <w:sz w:val="31"/>
          <w:szCs w:val="31"/>
          <w:color w:val="auto"/>
          <w:vertAlign w:val="subscript"/>
        </w:rPr>
      </w:pPr>
    </w:p>
    <w:p>
      <w:pPr>
        <w:ind w:left="220"/>
        <w:spacing w:after="0" w:line="265" w:lineRule="exact"/>
        <w:rPr>
          <w:rFonts w:ascii="MS PGothic" w:cs="MS PGothic" w:eastAsia="MS PGothic" w:hAnsi="MS PGothic"/>
          <w:sz w:val="31"/>
          <w:szCs w:val="31"/>
          <w:color w:val="auto"/>
          <w:vertAlign w:val="subscript"/>
        </w:rPr>
      </w:pPr>
      <w:r>
        <w:rPr>
          <w:rFonts w:ascii="Arial" w:cs="Arial" w:eastAsia="Arial" w:hAnsi="Arial"/>
          <w:sz w:val="14"/>
          <w:szCs w:val="14"/>
          <w:b w:val="1"/>
          <w:bCs w:val="1"/>
          <w:color w:val="auto"/>
        </w:rPr>
        <w:t xml:space="preserve">E. IMPORTANT: Contractor </w:t>
      </w:r>
      <w:r>
        <w:rPr>
          <w:rFonts w:ascii="MS PGothic" w:cs="MS PGothic" w:eastAsia="MS PGothic" w:hAnsi="MS PGothic"/>
          <w:sz w:val="23"/>
          <w:szCs w:val="23"/>
          <w:color w:val="auto"/>
        </w:rPr>
        <w:t>☐</w:t>
      </w:r>
      <w:r>
        <w:rPr>
          <w:rFonts w:ascii="Arial" w:cs="Arial" w:eastAsia="Arial" w:hAnsi="Arial"/>
          <w:sz w:val="14"/>
          <w:szCs w:val="14"/>
          <w:b w:val="1"/>
          <w:bCs w:val="1"/>
          <w:color w:val="auto"/>
        </w:rPr>
        <w:t xml:space="preserve"> is not, </w:t>
      </w:r>
      <w:r>
        <w:rPr>
          <w:rFonts w:ascii="MS PGothic" w:cs="MS PGothic" w:eastAsia="MS PGothic" w:hAnsi="MS PGothic"/>
          <w:sz w:val="23"/>
          <w:szCs w:val="23"/>
          <w:color w:val="auto"/>
        </w:rPr>
        <w:t>☒</w:t>
      </w:r>
      <w:r>
        <w:rPr>
          <w:rFonts w:ascii="Arial" w:cs="Arial" w:eastAsia="Arial" w:hAnsi="Arial"/>
          <w:sz w:val="14"/>
          <w:szCs w:val="14"/>
          <w:b w:val="1"/>
          <w:bCs w:val="1"/>
          <w:color w:val="auto"/>
        </w:rPr>
        <w:t xml:space="preserve"> is required to sign this document and return copies to the Issuing Office.</w:t>
      </w:r>
    </w:p>
    <w:p>
      <w:pPr>
        <w:spacing w:after="0" w:line="168" w:lineRule="exact"/>
        <w:rPr>
          <w:sz w:val="20"/>
          <w:szCs w:val="20"/>
          <w:color w:val="auto"/>
        </w:rPr>
      </w:pPr>
    </w:p>
    <w:p>
      <w:pPr>
        <w:ind w:left="540" w:hanging="321"/>
        <w:spacing w:after="0"/>
        <w:tabs>
          <w:tab w:leader="none" w:pos="5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Amendment/Modification (Organized by UCF section headings, including solicitation/contract subject matter where feasible.)</w:t>
      </w:r>
    </w:p>
    <w:p>
      <w:pPr>
        <w:spacing w:after="0" w:line="264"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Courier New" w:cs="Courier New" w:eastAsia="Courier New" w:hAnsi="Courier New"/>
          <w:sz w:val="12"/>
          <w:szCs w:val="12"/>
          <w:color w:val="auto"/>
        </w:rPr>
        <w:t>SEE SECOND PAGE FOR DESCRIPTION</w:t>
      </w:r>
    </w:p>
    <w:p>
      <w:pPr>
        <w:sectPr>
          <w:pgSz w:w="11900" w:h="16838" w:orient="portrait"/>
          <w:cols w:equalWidth="0" w:num="1">
            <w:col w:w="11120"/>
          </w:cols>
          <w:pgMar w:left="4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Except as provided herein, all terms and conditions of the document referenced in item 9A or 10A, as heretofore changed, remains unchanged and in full force and effect.</w:t>
      </w:r>
    </w:p>
    <w:p>
      <w:pPr>
        <w:sectPr>
          <w:pgSz w:w="11900" w:h="16838" w:orient="portrait"/>
          <w:cols w:equalWidth="0" w:num="1">
            <w:col w:w="11120"/>
          </w:cols>
          <w:pgMar w:left="440" w:top="125"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2"/>
        </w:trPr>
        <w:tc>
          <w:tcPr>
            <w:tcW w:w="536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15A. Name And Title Of Signer (Type or print)</w:t>
            </w:r>
          </w:p>
        </w:tc>
        <w:tc>
          <w:tcPr>
            <w:tcW w:w="38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16A. Name And Title Of Contracting Officer (Type or print)</w:t>
            </w: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5360" w:type="dxa"/>
            <w:vAlign w:val="bottom"/>
            <w:tcBorders>
              <w:right w:val="single" w:sz="8" w:color="auto"/>
            </w:tcBorders>
            <w:gridSpan w:val="3"/>
          </w:tcPr>
          <w:p>
            <w:pPr>
              <w:ind w:left="120"/>
              <w:spacing w:after="0"/>
              <w:rPr>
                <w:sz w:val="20"/>
                <w:szCs w:val="20"/>
                <w:color w:val="auto"/>
              </w:rPr>
            </w:pPr>
            <w:r>
              <w:rPr>
                <w:rFonts w:ascii="Courier New" w:cs="Courier New" w:eastAsia="Courier New" w:hAnsi="Courier New"/>
                <w:sz w:val="12"/>
                <w:szCs w:val="12"/>
                <w:color w:val="auto"/>
              </w:rPr>
              <w:t>Robert Landry EVP-Finance and CFO</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300" w:type="dxa"/>
            <w:vAlign w:val="bottom"/>
          </w:tcPr>
          <w:p>
            <w:pPr>
              <w:ind w:left="120"/>
              <w:spacing w:after="0"/>
              <w:rPr>
                <w:sz w:val="20"/>
                <w:szCs w:val="20"/>
                <w:color w:val="auto"/>
              </w:rPr>
            </w:pPr>
            <w:r>
              <w:rPr>
                <w:rFonts w:ascii="Arial" w:cs="Arial" w:eastAsia="Arial" w:hAnsi="Arial"/>
                <w:sz w:val="14"/>
                <w:szCs w:val="14"/>
                <w:b w:val="1"/>
                <w:bCs w:val="1"/>
                <w:color w:val="auto"/>
              </w:rPr>
              <w:t>15B. Contractor/Offeror</w:t>
            </w: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15C. Date Signed</w:t>
            </w:r>
          </w:p>
        </w:tc>
        <w:tc>
          <w:tcPr>
            <w:tcW w:w="38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16B. United States Of America</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16C. Date Signed</w:t>
            </w:r>
          </w:p>
        </w:tc>
        <w:tc>
          <w:tcPr>
            <w:tcW w:w="0" w:type="dxa"/>
            <w:vAlign w:val="bottom"/>
          </w:tcPr>
          <w:p>
            <w:pPr>
              <w:spacing w:after="0"/>
              <w:rPr>
                <w:sz w:val="1"/>
                <w:szCs w:val="1"/>
                <w:color w:val="auto"/>
              </w:rPr>
            </w:pPr>
          </w:p>
        </w:tc>
      </w:tr>
      <w:tr>
        <w:trPr>
          <w:trHeight w:val="381"/>
        </w:trPr>
        <w:tc>
          <w:tcPr>
            <w:tcW w:w="2300" w:type="dxa"/>
            <w:vAlign w:val="bottom"/>
            <w:vMerge w:val="restart"/>
          </w:tcPr>
          <w:p>
            <w:pPr>
              <w:ind w:left="20"/>
              <w:spacing w:after="0"/>
              <w:rPr>
                <w:sz w:val="20"/>
                <w:szCs w:val="20"/>
                <w:color w:val="auto"/>
              </w:rPr>
            </w:pPr>
            <w:r>
              <w:rPr>
                <w:rFonts w:ascii="Courier New" w:cs="Courier New" w:eastAsia="Courier New" w:hAnsi="Courier New"/>
                <w:sz w:val="12"/>
                <w:szCs w:val="12"/>
                <w:color w:val="auto"/>
              </w:rPr>
              <w:t>/s/ Robert Landry</w:t>
            </w:r>
          </w:p>
        </w:tc>
        <w:tc>
          <w:tcPr>
            <w:tcW w:w="15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14-Sept-2021</w:t>
            </w:r>
          </w:p>
        </w:tc>
        <w:tc>
          <w:tcPr>
            <w:tcW w:w="500" w:type="dxa"/>
            <w:vAlign w:val="bottom"/>
          </w:tcPr>
          <w:p>
            <w:pPr>
              <w:ind w:left="100"/>
              <w:spacing w:after="0"/>
              <w:rPr>
                <w:sz w:val="20"/>
                <w:szCs w:val="20"/>
                <w:color w:val="auto"/>
              </w:rPr>
            </w:pPr>
            <w:r>
              <w:rPr>
                <w:rFonts w:ascii="Arial" w:cs="Arial" w:eastAsia="Arial" w:hAnsi="Arial"/>
                <w:sz w:val="14"/>
                <w:szCs w:val="14"/>
                <w:color w:val="auto"/>
              </w:rPr>
              <w:t>By</w:t>
            </w:r>
          </w:p>
        </w:tc>
        <w:tc>
          <w:tcPr>
            <w:tcW w:w="3300" w:type="dxa"/>
            <w:vAlign w:val="bottom"/>
            <w:tcBorders>
              <w:right w:val="single" w:sz="8" w:color="auto"/>
            </w:tcBorders>
            <w:vMerge w:val="restart"/>
          </w:tcPr>
          <w:p>
            <w:pPr>
              <w:ind w:left="20"/>
              <w:spacing w:after="0"/>
              <w:rPr>
                <w:sz w:val="20"/>
                <w:szCs w:val="20"/>
                <w:color w:val="auto"/>
              </w:rPr>
            </w:pPr>
            <w:r>
              <w:rPr>
                <w:rFonts w:ascii="Courier New" w:cs="Courier New" w:eastAsia="Courier New" w:hAnsi="Courier New"/>
                <w:sz w:val="12"/>
                <w:szCs w:val="12"/>
                <w:color w:val="auto"/>
              </w:rPr>
              <w: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300" w:type="dxa"/>
            <w:vAlign w:val="bottom"/>
            <w:vMerge w:val="continue"/>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300" w:type="dxa"/>
            <w:vAlign w:val="bottom"/>
            <w:tcBorders>
              <w:right w:val="single" w:sz="8" w:color="auto"/>
            </w:tcBorders>
            <w:vMerge w:val="continue"/>
          </w:tcPr>
          <w:p>
            <w:pPr>
              <w:spacing w:after="0"/>
              <w:rPr>
                <w:sz w:val="4"/>
                <w:szCs w:val="4"/>
                <w:color w:val="auto"/>
              </w:rPr>
            </w:pPr>
          </w:p>
        </w:tc>
        <w:tc>
          <w:tcPr>
            <w:tcW w:w="150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rPr>
              <w:t>2021SEPT14</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tcBorders>
              <w:bottom w:val="single" w:sz="8" w:color="auto"/>
              <w:right w:val="single" w:sz="8" w:color="auto"/>
            </w:tcBorders>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20" w:type="dxa"/>
            <w:vAlign w:val="bottom"/>
            <w:tcBorders>
              <w:right w:val="single" w:sz="8" w:color="auto"/>
            </w:tcBorders>
            <w:gridSpan w:val="2"/>
          </w:tcPr>
          <w:p>
            <w:pPr>
              <w:ind w:left="600"/>
              <w:spacing w:after="0"/>
              <w:rPr>
                <w:sz w:val="20"/>
                <w:szCs w:val="20"/>
                <w:color w:val="auto"/>
              </w:rPr>
            </w:pPr>
            <w:r>
              <w:rPr>
                <w:rFonts w:ascii="Arial" w:cs="Arial" w:eastAsia="Arial" w:hAnsi="Arial"/>
                <w:sz w:val="14"/>
                <w:szCs w:val="14"/>
                <w:color w:val="auto"/>
              </w:rPr>
              <w:t>(Signature of person authorized to sign)</w:t>
            </w:r>
          </w:p>
        </w:tc>
        <w:tc>
          <w:tcPr>
            <w:tcW w:w="15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(Signature of Contracting Officer)</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300" w:type="dxa"/>
            <w:vAlign w:val="bottom"/>
          </w:tcPr>
          <w:p>
            <w:pPr>
              <w:ind w:left="100"/>
              <w:spacing w:after="0"/>
              <w:rPr>
                <w:sz w:val="20"/>
                <w:szCs w:val="20"/>
                <w:color w:val="auto"/>
              </w:rPr>
            </w:pPr>
            <w:r>
              <w:rPr>
                <w:rFonts w:ascii="Arial" w:cs="Arial" w:eastAsia="Arial" w:hAnsi="Arial"/>
                <w:sz w:val="14"/>
                <w:szCs w:val="14"/>
                <w:b w:val="1"/>
                <w:bCs w:val="1"/>
                <w:color w:val="auto"/>
                <w:w w:val="98"/>
              </w:rPr>
              <w:t>NSN 7540-01-152-8070  30-105-02</w:t>
            </w:r>
          </w:p>
        </w:tc>
        <w:tc>
          <w:tcPr>
            <w:tcW w:w="3060" w:type="dxa"/>
            <w:vAlign w:val="bottom"/>
            <w:gridSpan w:val="2"/>
          </w:tcPr>
          <w:p>
            <w:pPr>
              <w:ind w:left="60"/>
              <w:spacing w:after="0"/>
              <w:rPr>
                <w:sz w:val="20"/>
                <w:szCs w:val="20"/>
                <w:color w:val="auto"/>
              </w:rPr>
            </w:pPr>
            <w:r>
              <w:rPr>
                <w:rFonts w:ascii="Arial" w:cs="Arial" w:eastAsia="Arial" w:hAnsi="Arial"/>
                <w:sz w:val="14"/>
                <w:szCs w:val="14"/>
                <w:b w:val="1"/>
                <w:bCs w:val="1"/>
                <w:color w:val="auto"/>
              </w:rPr>
              <w:t>STANDARD FORM 30 (REV. 10-83)</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3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PREVIOUS EDITIONS UNUSABLE  Prescribed by GSA FAR (48 CFR) 53.243</w:t>
            </w:r>
          </w:p>
        </w:tc>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560" w:top="1414" w:right="67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20"/>
                <w:szCs w:val="20"/>
                <w:b w:val="1"/>
                <w:bCs w:val="1"/>
                <w:color w:val="auto"/>
              </w:rPr>
              <w:t>CONTINUATION SHEET</w:t>
            </w:r>
          </w:p>
        </w:tc>
        <w:tc>
          <w:tcPr>
            <w:tcW w:w="28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3"/>
              </w:rPr>
              <w:t>Reference No. of Document Being Continued</w:t>
            </w:r>
          </w:p>
        </w:tc>
        <w:tc>
          <w:tcPr>
            <w:tcW w:w="126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Page 2 of 12</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2880" w:type="dxa"/>
            <w:vAlign w:val="bottom"/>
            <w:vMerge w:val="restart"/>
          </w:tcPr>
          <w:p>
            <w:pPr>
              <w:ind w:left="1020"/>
              <w:spacing w:after="0"/>
              <w:rPr>
                <w:sz w:val="20"/>
                <w:szCs w:val="20"/>
                <w:color w:val="auto"/>
              </w:rPr>
            </w:pPr>
            <w:r>
              <w:rPr>
                <w:rFonts w:ascii="Courier New" w:cs="Courier New" w:eastAsia="Courier New" w:hAnsi="Courier New"/>
                <w:sz w:val="12"/>
                <w:szCs w:val="12"/>
                <w:color w:val="auto"/>
              </w:rPr>
              <w:t>W15QKN-21-C-0014</w:t>
            </w:r>
          </w:p>
        </w:tc>
        <w:tc>
          <w:tcPr>
            <w:tcW w:w="126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880" w:type="dxa"/>
            <w:vAlign w:val="bottom"/>
            <w:vMerge w:val="continue"/>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4300" w:type="dxa"/>
            <w:vAlign w:val="bottom"/>
          </w:tcPr>
          <w:p>
            <w:pPr>
              <w:ind w:left="3620"/>
              <w:spacing w:after="0"/>
              <w:rPr>
                <w:sz w:val="20"/>
                <w:szCs w:val="20"/>
                <w:color w:val="auto"/>
              </w:rPr>
            </w:pPr>
            <w:r>
              <w:rPr>
                <w:rFonts w:ascii="Arial" w:cs="Arial" w:eastAsia="Arial" w:hAnsi="Arial"/>
                <w:sz w:val="14"/>
                <w:szCs w:val="14"/>
                <w:b w:val="1"/>
                <w:bCs w:val="1"/>
                <w:color w:val="auto"/>
              </w:rPr>
              <w:t>PIIN/SIIN</w:t>
            </w:r>
          </w:p>
        </w:tc>
        <w:tc>
          <w:tcPr>
            <w:tcW w:w="2880" w:type="dxa"/>
            <w:vAlign w:val="bottom"/>
          </w:tcPr>
          <w:p>
            <w:pPr>
              <w:ind w:left="1720"/>
              <w:spacing w:after="0"/>
              <w:rPr>
                <w:sz w:val="20"/>
                <w:szCs w:val="20"/>
                <w:color w:val="auto"/>
              </w:rPr>
            </w:pPr>
            <w:r>
              <w:rPr>
                <w:rFonts w:ascii="Arial" w:cs="Arial" w:eastAsia="Arial" w:hAnsi="Arial"/>
                <w:sz w:val="14"/>
                <w:szCs w:val="14"/>
                <w:b w:val="1"/>
                <w:bCs w:val="1"/>
                <w:color w:val="auto"/>
              </w:rPr>
              <w:t>MOD/AMD</w:t>
            </w:r>
          </w:p>
        </w:tc>
        <w:tc>
          <w:tcPr>
            <w:tcW w:w="126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tabs>
          <w:tab w:leader="none" w:pos="3040" w:val="left"/>
        </w:tabs>
        <w:rPr>
          <w:sz w:val="20"/>
          <w:szCs w:val="20"/>
          <w:color w:val="auto"/>
        </w:rPr>
      </w:pPr>
      <w:r>
        <w:rPr>
          <w:rFonts w:ascii="Arial" w:cs="Arial" w:eastAsia="Arial" w:hAnsi="Arial"/>
          <w:sz w:val="18"/>
          <w:szCs w:val="18"/>
          <w:b w:val="1"/>
          <w:bCs w:val="1"/>
          <w:color w:val="auto"/>
        </w:rPr>
        <w:t>Name of Offeror or Contractor:</w:t>
      </w:r>
      <w:r>
        <w:rPr>
          <w:sz w:val="20"/>
          <w:szCs w:val="20"/>
          <w:color w:val="auto"/>
        </w:rPr>
        <w:tab/>
      </w: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wp:posOffset>
            </wp:positionV>
            <wp:extent cx="33953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95345" cy="17145"/>
                    </a:xfrm>
                    <a:prstGeom prst="rect">
                      <a:avLst/>
                    </a:prstGeom>
                    <a:noFill/>
                  </pic:spPr>
                </pic:pic>
              </a:graphicData>
            </a:graphic>
          </wp:anchor>
        </w:drawing>
      </w:r>
    </w:p>
    <w:p>
      <w:pPr>
        <w:spacing w:after="0" w:line="115"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SECTION A - SUPPLEMENTAL INFORMATION</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Buyer Name:</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Buyer Office Symbol/Telephone Number: CCAP/</w:t>
      </w:r>
    </w:p>
    <w:p>
      <w:pPr>
        <w:spacing w:after="0" w:line="51"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Type of Contract 1: Firm Fixed Price</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Kind of Contract: Other Kind of</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Modification: G</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Type of Business: Large Business Performing in U.S. Surveillance</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Criticality Designator: A</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Weapon System: No Identified Army Weapons Systems Contract Expiration</w:t>
      </w: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Date: 2022JUL31</w:t>
      </w:r>
    </w:p>
    <w:p>
      <w:pPr>
        <w:spacing w:after="0" w:line="26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Paying Office: HQ0490</w:t>
      </w:r>
    </w:p>
    <w:p>
      <w:pPr>
        <w:spacing w:after="0" w:line="38"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DFAS-INDY VP GFEBS 8899 E. 56TH</w:t>
      </w: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STREET</w:t>
      </w: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2"/>
          <w:szCs w:val="12"/>
          <w:color w:val="auto"/>
        </w:rPr>
        <w:t>INDIANAPOLIS IN 46249-3800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 End of Narrative A0000 ***</w:t>
      </w:r>
    </w:p>
    <w:p>
      <w:pPr>
        <w:spacing w:after="0" w:line="264"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The purpose of this modification is to:</w:t>
      </w:r>
    </w:p>
    <w:p>
      <w:pPr>
        <w:spacing w:after="0" w:line="251" w:lineRule="exact"/>
        <w:rPr>
          <w:sz w:val="20"/>
          <w:szCs w:val="20"/>
          <w:color w:val="auto"/>
        </w:rPr>
      </w:pPr>
    </w:p>
    <w:p>
      <w:pPr>
        <w:ind w:left="580" w:hanging="457"/>
        <w:spacing w:after="0"/>
        <w:tabs>
          <w:tab w:leader="none" w:pos="580"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Procure an additional 1,400,000 doses of antibody therapeutic (REGEN-COV) to treat COVID-19 in the general population.</w:t>
      </w:r>
    </w:p>
    <w:p>
      <w:pPr>
        <w:spacing w:after="0" w:line="251" w:lineRule="exact"/>
        <w:rPr>
          <w:rFonts w:ascii="Courier New" w:cs="Courier New" w:eastAsia="Courier New" w:hAnsi="Courier New"/>
          <w:sz w:val="12"/>
          <w:szCs w:val="12"/>
          <w:color w:val="auto"/>
        </w:rPr>
      </w:pPr>
    </w:p>
    <w:p>
      <w:pPr>
        <w:ind w:left="120" w:right="760" w:firstLine="4"/>
        <w:spacing w:after="0" w:line="289" w:lineRule="auto"/>
        <w:tabs>
          <w:tab w:leader="none" w:pos="568"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Vendor Managed Inventory (VMI) and distribution activities shall continue for [* * *], with a completion date of [* * *]. See Section B.</w:t>
      </w:r>
    </w:p>
    <w:p>
      <w:pPr>
        <w:spacing w:after="0" w:line="246" w:lineRule="exact"/>
        <w:rPr>
          <w:rFonts w:ascii="Courier New" w:cs="Courier New" w:eastAsia="Courier New" w:hAnsi="Courier New"/>
          <w:sz w:val="12"/>
          <w:szCs w:val="12"/>
          <w:color w:val="auto"/>
        </w:rPr>
      </w:pPr>
    </w:p>
    <w:p>
      <w:pPr>
        <w:ind w:left="580" w:hanging="457"/>
        <w:spacing w:after="0"/>
        <w:tabs>
          <w:tab w:leader="none" w:pos="580"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the contract expiration date from 11 January 2022 to 31 July 2022.</w:t>
      </w:r>
    </w:p>
    <w:p>
      <w:pPr>
        <w:spacing w:after="0" w:line="251" w:lineRule="exact"/>
        <w:rPr>
          <w:rFonts w:ascii="Courier New" w:cs="Courier New" w:eastAsia="Courier New" w:hAnsi="Courier New"/>
          <w:sz w:val="12"/>
          <w:szCs w:val="12"/>
          <w:color w:val="auto"/>
        </w:rPr>
      </w:pPr>
    </w:p>
    <w:p>
      <w:pPr>
        <w:ind w:left="120" w:right="1500" w:firstLine="4"/>
        <w:spacing w:after="0" w:line="289" w:lineRule="auto"/>
        <w:tabs>
          <w:tab w:leader="none" w:pos="568"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Update the Statement of Work to reflect new total contract deliverable quantities, delivery requirements, period of performance, and administrative language.</w:t>
      </w:r>
    </w:p>
    <w:p>
      <w:pPr>
        <w:spacing w:after="0" w:line="246" w:lineRule="exact"/>
        <w:rPr>
          <w:rFonts w:ascii="Courier New" w:cs="Courier New" w:eastAsia="Courier New" w:hAnsi="Courier New"/>
          <w:sz w:val="12"/>
          <w:szCs w:val="12"/>
          <w:color w:val="auto"/>
        </w:rPr>
      </w:pPr>
    </w:p>
    <w:p>
      <w:pPr>
        <w:ind w:left="580" w:hanging="457"/>
        <w:spacing w:after="0"/>
        <w:tabs>
          <w:tab w:leader="none" w:pos="580"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 Attachment 0003, Contingencies and Operational Requirements.</w:t>
      </w:r>
    </w:p>
    <w:p>
      <w:pPr>
        <w:spacing w:after="0" w:line="251" w:lineRule="exact"/>
        <w:rPr>
          <w:rFonts w:ascii="Courier New" w:cs="Courier New" w:eastAsia="Courier New" w:hAnsi="Courier New"/>
          <w:sz w:val="12"/>
          <w:szCs w:val="12"/>
          <w:color w:val="auto"/>
        </w:rPr>
      </w:pPr>
    </w:p>
    <w:p>
      <w:pPr>
        <w:ind w:left="580" w:hanging="457"/>
        <w:spacing w:after="0"/>
        <w:tabs>
          <w:tab w:leader="none" w:pos="580" w:val="left"/>
        </w:tabs>
        <w:numPr>
          <w:ilvl w:val="1"/>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 Section B and Section C for quantities and delivery schedule.</w:t>
      </w:r>
    </w:p>
    <w:p>
      <w:pPr>
        <w:spacing w:after="0" w:line="264" w:lineRule="exact"/>
        <w:rPr>
          <w:rFonts w:ascii="Courier New" w:cs="Courier New" w:eastAsia="Courier New" w:hAnsi="Courier New"/>
          <w:sz w:val="12"/>
          <w:szCs w:val="12"/>
          <w:color w:val="auto"/>
        </w:rPr>
      </w:pPr>
    </w:p>
    <w:p>
      <w:pPr>
        <w:ind w:left="320" w:hanging="218"/>
        <w:spacing w:after="0"/>
        <w:tabs>
          <w:tab w:leader="none" w:pos="32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Increases obligation by $2,940,000,000 from $2,625,000,000 to $5,565,000,000.00.</w:t>
      </w:r>
    </w:p>
    <w:p>
      <w:pPr>
        <w:spacing w:after="0" w:line="200" w:lineRule="exact"/>
        <w:rPr>
          <w:rFonts w:ascii="Courier New" w:cs="Courier New" w:eastAsia="Courier New" w:hAnsi="Courier New"/>
          <w:sz w:val="12"/>
          <w:szCs w:val="12"/>
          <w:color w:val="auto"/>
        </w:rPr>
      </w:pPr>
    </w:p>
    <w:p>
      <w:pPr>
        <w:spacing w:after="0" w:line="397" w:lineRule="exact"/>
        <w:rPr>
          <w:rFonts w:ascii="Courier New" w:cs="Courier New" w:eastAsia="Courier New" w:hAnsi="Courier New"/>
          <w:sz w:val="12"/>
          <w:szCs w:val="12"/>
          <w:color w:val="auto"/>
        </w:rPr>
      </w:pPr>
    </w:p>
    <w:p>
      <w:pPr>
        <w:ind w:left="4500" w:hanging="292"/>
        <w:spacing w:after="0"/>
        <w:tabs>
          <w:tab w:leader="none" w:pos="4500" w:val="left"/>
        </w:tabs>
        <w:numPr>
          <w:ilvl w:val="2"/>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OF NARRATIVE A0006 ***</w:t>
      </w:r>
    </w:p>
    <w:p>
      <w:pPr>
        <w:sectPr>
          <w:pgSz w:w="11900" w:h="16838" w:orient="portrait"/>
          <w:cols w:equalWidth="0" w:num="1">
            <w:col w:w="10660"/>
          </w:cols>
          <w:pgMar w:left="560" w:top="1107" w:right="679" w:bottom="1440" w:gutter="0" w:footer="0" w:header="0"/>
        </w:sectPr>
      </w:pPr>
    </w:p>
    <w:bookmarkStart w:id="98" w:name="page99"/>
    <w:bookmarkEnd w:id="98"/>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20"/>
                <w:szCs w:val="20"/>
                <w:b w:val="1"/>
                <w:bCs w:val="1"/>
                <w:color w:val="auto"/>
              </w:rPr>
              <w:t>CONTINUATION SHEET</w:t>
            </w:r>
          </w:p>
        </w:tc>
        <w:tc>
          <w:tcPr>
            <w:tcW w:w="29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3 of 12</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2900" w:type="dxa"/>
            <w:vAlign w:val="bottom"/>
            <w:vMerge w:val="restart"/>
          </w:tcPr>
          <w:p>
            <w:pPr>
              <w:ind w:left="1020"/>
              <w:spacing w:after="0"/>
              <w:rPr>
                <w:sz w:val="20"/>
                <w:szCs w:val="20"/>
                <w:color w:val="auto"/>
              </w:rPr>
            </w:pPr>
            <w:r>
              <w:rPr>
                <w:rFonts w:ascii="Courier New" w:cs="Courier New" w:eastAsia="Courier New" w:hAnsi="Courier New"/>
                <w:sz w:val="12"/>
                <w:szCs w:val="12"/>
                <w:color w:val="auto"/>
              </w:rPr>
              <w:t>W15QKN-21-C-0014</w:t>
            </w:r>
          </w:p>
        </w:tc>
        <w:tc>
          <w:tcPr>
            <w:tcW w:w="124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4300" w:type="dxa"/>
            <w:vAlign w:val="bottom"/>
          </w:tcPr>
          <w:p>
            <w:pPr>
              <w:ind w:left="3620"/>
              <w:spacing w:after="0"/>
              <w:rPr>
                <w:sz w:val="20"/>
                <w:szCs w:val="20"/>
                <w:color w:val="auto"/>
              </w:rPr>
            </w:pPr>
            <w:r>
              <w:rPr>
                <w:rFonts w:ascii="Arial" w:cs="Arial" w:eastAsia="Arial" w:hAnsi="Arial"/>
                <w:sz w:val="14"/>
                <w:szCs w:val="14"/>
                <w:b w:val="1"/>
                <w:bCs w:val="1"/>
                <w:color w:val="auto"/>
              </w:rPr>
              <w:t>PIIN/SIIN</w:t>
            </w:r>
          </w:p>
        </w:tc>
        <w:tc>
          <w:tcPr>
            <w:tcW w:w="2900" w:type="dxa"/>
            <w:vAlign w:val="bottom"/>
          </w:tcPr>
          <w:p>
            <w:pPr>
              <w:ind w:left="1740"/>
              <w:spacing w:after="0"/>
              <w:rPr>
                <w:sz w:val="20"/>
                <w:szCs w:val="20"/>
                <w:color w:val="auto"/>
              </w:rPr>
            </w:pPr>
            <w:r>
              <w:rPr>
                <w:rFonts w:ascii="Arial" w:cs="Arial" w:eastAsia="Arial" w:hAnsi="Arial"/>
                <w:sz w:val="14"/>
                <w:szCs w:val="14"/>
                <w:b w:val="1"/>
                <w:bCs w:val="1"/>
                <w:color w:val="auto"/>
              </w:rPr>
              <w:t>MOD/AMD</w:t>
            </w:r>
          </w:p>
        </w:tc>
        <w:tc>
          <w:tcPr>
            <w:tcW w:w="12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tabs>
          <w:tab w:leader="none" w:pos="3040" w:val="left"/>
        </w:tabs>
        <w:rPr>
          <w:sz w:val="20"/>
          <w:szCs w:val="20"/>
          <w:color w:val="auto"/>
        </w:rPr>
      </w:pPr>
      <w:r>
        <w:rPr>
          <w:rFonts w:ascii="Arial" w:cs="Arial" w:eastAsia="Arial" w:hAnsi="Arial"/>
          <w:sz w:val="18"/>
          <w:szCs w:val="18"/>
          <w:b w:val="1"/>
          <w:bCs w:val="1"/>
          <w:color w:val="auto"/>
        </w:rPr>
        <w:t>Name of Offeror or Contractor:</w:t>
      </w:r>
      <w:r>
        <w:rPr>
          <w:sz w:val="20"/>
          <w:szCs w:val="20"/>
          <w:color w:val="auto"/>
        </w:rPr>
        <w:tab/>
      </w: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760845" cy="6888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0845" cy="688848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ITEM NO</w:t>
            </w:r>
          </w:p>
        </w:tc>
        <w:tc>
          <w:tcPr>
            <w:tcW w:w="1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1033"/>
              <w:spacing w:after="0"/>
              <w:rPr>
                <w:sz w:val="20"/>
                <w:szCs w:val="20"/>
                <w:color w:val="auto"/>
              </w:rPr>
            </w:pPr>
            <w:r>
              <w:rPr>
                <w:rFonts w:ascii="Arial" w:cs="Arial" w:eastAsia="Arial" w:hAnsi="Arial"/>
                <w:sz w:val="14"/>
                <w:szCs w:val="14"/>
                <w:b w:val="1"/>
                <w:bCs w:val="1"/>
                <w:color w:val="auto"/>
              </w:rPr>
              <w:t>SUPPLIES/SERVICES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QUANTITY</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UNIT PRICE</w:t>
            </w: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5"/>
        </w:trPr>
        <w:tc>
          <w:tcPr>
            <w:tcW w:w="10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SECTION B - SUPPLIES OR SERVICES AND PRICES/COSTS</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10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subCLIN 00003AA</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355"/>
              <w:spacing w:after="0"/>
              <w:rPr>
                <w:sz w:val="20"/>
                <w:szCs w:val="20"/>
                <w:color w:val="auto"/>
              </w:rPr>
            </w:pPr>
            <w:r>
              <w:rPr>
                <w:rFonts w:ascii="Courier New" w:cs="Courier New" w:eastAsia="Courier New" w:hAnsi="Courier New"/>
                <w:sz w:val="12"/>
                <w:szCs w:val="12"/>
                <w:color w:val="auto"/>
              </w:rPr>
              <w:t>0003</w:t>
            </w:r>
          </w:p>
        </w:tc>
        <w:tc>
          <w:tcPr>
            <w:tcW w:w="11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vMerge w:val="continue"/>
          </w:tcPr>
          <w:p>
            <w:pPr>
              <w:spacing w:after="0"/>
              <w:rPr>
                <w:sz w:val="17"/>
                <w:szCs w:val="17"/>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NSN: 9999-99-999-99999</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0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REGEN-COV DOSES</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20" w:type="dxa"/>
            <w:vAlign w:val="bottom"/>
            <w:vMerge w:val="restart"/>
          </w:tcPr>
          <w:p>
            <w:pPr>
              <w:jc w:val="center"/>
              <w:ind w:right="35"/>
              <w:spacing w:after="0"/>
              <w:rPr>
                <w:sz w:val="20"/>
                <w:szCs w:val="20"/>
                <w:color w:val="auto"/>
              </w:rPr>
            </w:pPr>
            <w:r>
              <w:rPr>
                <w:rFonts w:ascii="Courier New" w:cs="Courier New" w:eastAsia="Courier New" w:hAnsi="Courier New"/>
                <w:sz w:val="12"/>
                <w:szCs w:val="12"/>
                <w:color w:val="auto"/>
              </w:rPr>
              <w:t>0003AA</w:t>
            </w:r>
          </w:p>
        </w:tc>
        <w:tc>
          <w:tcPr>
            <w:tcW w:w="1120" w:type="dxa"/>
            <w:vAlign w:val="bottom"/>
            <w:tcBorders>
              <w:top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1260" w:type="dxa"/>
            <w:vAlign w:val="bottom"/>
          </w:tcPr>
          <w:p>
            <w:pPr>
              <w:jc w:val="right"/>
              <w:ind w:right="333"/>
              <w:spacing w:after="0" w:line="127" w:lineRule="exact"/>
              <w:rPr>
                <w:sz w:val="20"/>
                <w:szCs w:val="20"/>
                <w:color w:val="auto"/>
              </w:rPr>
            </w:pPr>
            <w:r>
              <w:rPr>
                <w:rFonts w:ascii="Courier New" w:cs="Courier New" w:eastAsia="Courier New" w:hAnsi="Courier New"/>
                <w:sz w:val="12"/>
                <w:szCs w:val="12"/>
                <w:color w:val="auto"/>
              </w:rPr>
              <w:t>476190</w:t>
            </w:r>
          </w:p>
        </w:tc>
        <w:tc>
          <w:tcPr>
            <w:tcW w:w="820" w:type="dxa"/>
            <w:vAlign w:val="bottom"/>
          </w:tcPr>
          <w:p>
            <w:pPr>
              <w:jc w:val="center"/>
              <w:ind w:left="33"/>
              <w:spacing w:after="0" w:line="127" w:lineRule="exact"/>
              <w:rPr>
                <w:sz w:val="20"/>
                <w:szCs w:val="20"/>
                <w:color w:val="auto"/>
              </w:rPr>
            </w:pPr>
            <w:r>
              <w:rPr>
                <w:rFonts w:ascii="Courier New" w:cs="Courier New" w:eastAsia="Courier New" w:hAnsi="Courier New"/>
                <w:sz w:val="12"/>
                <w:szCs w:val="12"/>
                <w:color w:val="auto"/>
              </w:rPr>
              <w:t>EA</w:t>
            </w:r>
          </w:p>
        </w:tc>
        <w:tc>
          <w:tcPr>
            <w:tcW w:w="1360" w:type="dxa"/>
            <w:vAlign w:val="bottom"/>
            <w:gridSpan w:val="3"/>
          </w:tcPr>
          <w:p>
            <w:pPr>
              <w:jc w:val="center"/>
              <w:ind w:right="240"/>
              <w:spacing w:after="0" w:line="127" w:lineRule="exact"/>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2,100.00000</w:t>
            </w:r>
          </w:p>
        </w:tc>
        <w:tc>
          <w:tcPr>
            <w:tcW w:w="1360" w:type="dxa"/>
            <w:vAlign w:val="bottom"/>
            <w:gridSpan w:val="2"/>
          </w:tcPr>
          <w:p>
            <w:pPr>
              <w:jc w:val="right"/>
              <w:ind w:right="240"/>
              <w:spacing w:after="0" w:line="127" w:lineRule="exact"/>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999,999,000.00</w:t>
            </w:r>
          </w:p>
        </w:tc>
        <w:tc>
          <w:tcPr>
            <w:tcW w:w="0" w:type="dxa"/>
            <w:vAlign w:val="bottom"/>
          </w:tcPr>
          <w:p>
            <w:pPr>
              <w:spacing w:after="0"/>
              <w:rPr>
                <w:sz w:val="1"/>
                <w:szCs w:val="1"/>
                <w:color w:val="auto"/>
              </w:rPr>
            </w:pPr>
          </w:p>
        </w:tc>
      </w:tr>
      <w:tr>
        <w:trPr>
          <w:trHeight w:val="56"/>
        </w:trPr>
        <w:tc>
          <w:tcPr>
            <w:tcW w:w="1020" w:type="dxa"/>
            <w:vAlign w:val="bottom"/>
            <w:vMerge w:val="continue"/>
          </w:tcPr>
          <w:p>
            <w:pPr>
              <w:spacing w:after="0"/>
              <w:rPr>
                <w:sz w:val="4"/>
                <w:szCs w:val="4"/>
                <w:color w:val="auto"/>
              </w:rPr>
            </w:pPr>
          </w:p>
        </w:tc>
        <w:tc>
          <w:tcPr>
            <w:tcW w:w="4820" w:type="dxa"/>
            <w:vAlign w:val="bottom"/>
            <w:gridSpan w:val="2"/>
            <w:vMerge w:val="restart"/>
          </w:tcPr>
          <w:p>
            <w:pPr>
              <w:spacing w:after="0"/>
              <w:rPr>
                <w:sz w:val="20"/>
                <w:szCs w:val="20"/>
                <w:color w:val="auto"/>
              </w:rPr>
            </w:pPr>
            <w:r>
              <w:rPr>
                <w:rFonts w:ascii="Courier New" w:cs="Courier New" w:eastAsia="Courier New" w:hAnsi="Courier New"/>
                <w:sz w:val="12"/>
                <w:szCs w:val="12"/>
                <w:color w:val="auto"/>
              </w:rPr>
              <w:t>COMMODITY NAME: subCLIN 0003AA CLIN</w:t>
            </w:r>
          </w:p>
        </w:tc>
        <w:tc>
          <w:tcPr>
            <w:tcW w:w="1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CONTRACT TYPE:</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700" w:type="dxa"/>
            <w:vAlign w:val="bottom"/>
          </w:tcPr>
          <w:p>
            <w:pPr>
              <w:jc w:val="center"/>
              <w:ind w:right="1033"/>
              <w:spacing w:after="0"/>
              <w:rPr>
                <w:sz w:val="20"/>
                <w:szCs w:val="20"/>
                <w:color w:val="auto"/>
              </w:rPr>
            </w:pPr>
            <w:r>
              <w:rPr>
                <w:rFonts w:ascii="Courier New" w:cs="Courier New" w:eastAsia="Courier New" w:hAnsi="Courier New"/>
                <w:sz w:val="12"/>
                <w:szCs w:val="12"/>
                <w:color w:val="auto"/>
              </w:rPr>
              <w:t>Firm Fixed Price</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PRON: X21ZS484W1 PRON AMD: 01 ACRN: AD PSC:</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6505</w:t>
            </w:r>
          </w:p>
        </w:tc>
        <w:tc>
          <w:tcPr>
            <w:tcW w:w="3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7"/>
        </w:trPr>
        <w:tc>
          <w:tcPr>
            <w:tcW w:w="10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Modification P00005 establishes CLIN 0003AA for a quantity of</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476,190 doses for $999,999,000. Binding Delivery Schedule is</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located below.</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Courier New" w:cs="Courier New" w:eastAsia="Courier New" w:hAnsi="Courier New"/>
                <w:sz w:val="12"/>
                <w:szCs w:val="12"/>
                <w:color w:val="auto"/>
              </w:rPr>
              <w:t>The Goal Delivery Schedule can be found in Section C.2.</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(End of narrative B00l)</w:t>
      </w:r>
    </w:p>
    <w:p>
      <w:pPr>
        <w:spacing w:after="0" w:line="85" w:lineRule="exact"/>
        <w:rPr>
          <w:sz w:val="20"/>
          <w:szCs w:val="20"/>
          <w:color w:val="auto"/>
        </w:rPr>
      </w:pPr>
    </w:p>
    <w:tbl>
      <w:tblPr>
        <w:tblLayout w:type="fixed"/>
        <w:tblInd w:w="98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8"/>
          </w:tcPr>
          <w:p>
            <w:pPr>
              <w:spacing w:after="0"/>
              <w:rPr>
                <w:sz w:val="20"/>
                <w:szCs w:val="20"/>
                <w:color w:val="auto"/>
              </w:rPr>
            </w:pPr>
            <w:r>
              <w:rPr>
                <w:rFonts w:ascii="Courier New" w:cs="Courier New" w:eastAsia="Courier New" w:hAnsi="Courier New"/>
                <w:sz w:val="12"/>
                <w:szCs w:val="12"/>
                <w:color w:val="auto"/>
              </w:rPr>
              <w:t>Packaging and Marking</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880" w:type="dxa"/>
            <w:vAlign w:val="bottom"/>
            <w:tcBorders>
              <w:bottom w:val="single" w:sz="8" w:color="auto"/>
            </w:tcBorders>
            <w:gridSpan w:val="9"/>
          </w:tcPr>
          <w:p>
            <w:pPr>
              <w:spacing w:after="0"/>
              <w:rPr>
                <w:sz w:val="20"/>
                <w:szCs w:val="20"/>
                <w:color w:val="auto"/>
              </w:rPr>
            </w:pPr>
            <w:r>
              <w:rPr>
                <w:rFonts w:ascii="Courier New" w:cs="Courier New" w:eastAsia="Courier New" w:hAnsi="Courier New"/>
                <w:sz w:val="12"/>
                <w:szCs w:val="12"/>
                <w:color w:val="auto"/>
              </w:rPr>
              <w:t>Inspection and Acceptance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60" w:type="dxa"/>
            <w:vAlign w:val="bottom"/>
            <w:gridSpan w:val="9"/>
          </w:tcPr>
          <w:p>
            <w:pPr>
              <w:spacing w:after="0"/>
              <w:rPr>
                <w:sz w:val="20"/>
                <w:szCs w:val="20"/>
                <w:color w:val="auto"/>
              </w:rPr>
            </w:pPr>
            <w:r>
              <w:rPr>
                <w:rFonts w:ascii="Courier New" w:cs="Courier New" w:eastAsia="Courier New" w:hAnsi="Courier New"/>
                <w:sz w:val="12"/>
                <w:szCs w:val="12"/>
                <w:color w:val="auto"/>
              </w:rPr>
              <w:t>INSPECTION: Destination</w:t>
            </w:r>
          </w:p>
        </w:tc>
        <w:tc>
          <w:tcPr>
            <w:tcW w:w="40" w:type="dxa"/>
            <w:vAlign w:val="bottom"/>
          </w:tcPr>
          <w:p>
            <w:pPr>
              <w:spacing w:after="0"/>
              <w:rPr>
                <w:sz w:val="12"/>
                <w:szCs w:val="12"/>
                <w:color w:val="auto"/>
              </w:rPr>
            </w:pPr>
          </w:p>
        </w:tc>
        <w:tc>
          <w:tcPr>
            <w:tcW w:w="2420" w:type="dxa"/>
            <w:vAlign w:val="bottom"/>
            <w:gridSpan w:val="8"/>
          </w:tcPr>
          <w:p>
            <w:pPr>
              <w:jc w:val="center"/>
              <w:ind w:right="460"/>
              <w:spacing w:after="0"/>
              <w:rPr>
                <w:sz w:val="20"/>
                <w:szCs w:val="20"/>
                <w:color w:val="auto"/>
              </w:rPr>
            </w:pPr>
            <w:r>
              <w:rPr>
                <w:rFonts w:ascii="Courier New" w:cs="Courier New" w:eastAsia="Courier New" w:hAnsi="Courier New"/>
                <w:sz w:val="12"/>
                <w:szCs w:val="12"/>
                <w:color w:val="auto"/>
              </w:rPr>
              <w:t>ACCEPTANCE: Destination</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860" w:type="dxa"/>
            <w:vAlign w:val="bottom"/>
            <w:tcBorders>
              <w:bottom w:val="single" w:sz="8" w:color="auto"/>
            </w:tcBorders>
            <w:gridSpan w:val="9"/>
          </w:tcPr>
          <w:p>
            <w:pPr>
              <w:spacing w:after="0"/>
              <w:rPr>
                <w:sz w:val="20"/>
                <w:szCs w:val="20"/>
                <w:color w:val="auto"/>
              </w:rPr>
            </w:pPr>
            <w:r>
              <w:rPr>
                <w:rFonts w:ascii="Courier New" w:cs="Courier New" w:eastAsia="Courier New" w:hAnsi="Courier New"/>
                <w:sz w:val="12"/>
                <w:szCs w:val="12"/>
                <w:color w:val="auto"/>
              </w:rPr>
              <w:t>Deliveries or Performance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Courier New" w:cs="Courier New" w:eastAsia="Courier New" w:hAnsi="Courier New"/>
                <w:sz w:val="12"/>
                <w:szCs w:val="12"/>
                <w:color w:val="auto"/>
              </w:rPr>
              <w:t>DOC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Courier New" w:cs="Courier New" w:eastAsia="Courier New" w:hAnsi="Courier New"/>
                <w:sz w:val="12"/>
                <w:szCs w:val="12"/>
                <w:color w:val="auto"/>
              </w:rPr>
              <w:t>SUPPL</w:t>
            </w:r>
          </w:p>
        </w:tc>
        <w:tc>
          <w:tcPr>
            <w:tcW w:w="680" w:type="dxa"/>
            <w:vAlign w:val="bottom"/>
            <w:gridSpan w:val="2"/>
            <w:vMerge w:val="restart"/>
          </w:tcPr>
          <w:p>
            <w:pPr>
              <w:jc w:val="center"/>
              <w:ind w:right="240"/>
              <w:spacing w:after="0"/>
              <w:rPr>
                <w:sz w:val="20"/>
                <w:szCs w:val="20"/>
                <w:color w:val="auto"/>
              </w:rPr>
            </w:pPr>
            <w:r>
              <w:rPr>
                <w:rFonts w:ascii="Courier New" w:cs="Courier New" w:eastAsia="Courier New" w:hAnsi="Courier New"/>
                <w:sz w:val="12"/>
                <w:szCs w:val="12"/>
                <w:color w:val="auto"/>
              </w:rPr>
              <w:t>SIG CD</w:t>
            </w:r>
          </w:p>
        </w:tc>
        <w:tc>
          <w:tcPr>
            <w:tcW w:w="980" w:type="dxa"/>
            <w:vAlign w:val="bottom"/>
            <w:gridSpan w:val="3"/>
            <w:vMerge w:val="restart"/>
          </w:tcPr>
          <w:p>
            <w:pPr>
              <w:spacing w:after="0"/>
              <w:rPr>
                <w:sz w:val="20"/>
                <w:szCs w:val="20"/>
                <w:color w:val="auto"/>
              </w:rPr>
            </w:pPr>
            <w:r>
              <w:rPr>
                <w:rFonts w:ascii="Courier New" w:cs="Courier New" w:eastAsia="Courier New" w:hAnsi="Courier New"/>
                <w:sz w:val="12"/>
                <w:szCs w:val="12"/>
                <w:color w:val="auto"/>
              </w:rPr>
              <w:t>MARK FOR</w:t>
            </w:r>
          </w:p>
        </w:tc>
        <w:tc>
          <w:tcPr>
            <w:tcW w:w="380" w:type="dxa"/>
            <w:vAlign w:val="bottom"/>
            <w:vMerge w:val="restart"/>
          </w:tcPr>
          <w:p>
            <w:pPr>
              <w:jc w:val="center"/>
              <w:spacing w:after="0"/>
              <w:rPr>
                <w:sz w:val="20"/>
                <w:szCs w:val="20"/>
                <w:color w:val="auto"/>
              </w:rPr>
            </w:pPr>
            <w:r>
              <w:rPr>
                <w:rFonts w:ascii="Courier New" w:cs="Courier New" w:eastAsia="Courier New" w:hAnsi="Courier New"/>
                <w:sz w:val="12"/>
                <w:szCs w:val="12"/>
                <w:color w:val="auto"/>
              </w:rPr>
              <w:t>TP CD</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640" w:type="dxa"/>
            <w:vAlign w:val="bottom"/>
            <w:gridSpan w:val="3"/>
            <w:vMerge w:val="restart"/>
          </w:tcPr>
          <w:p>
            <w:pPr>
              <w:spacing w:after="0" w:line="117" w:lineRule="exact"/>
              <w:rPr>
                <w:sz w:val="20"/>
                <w:szCs w:val="20"/>
                <w:color w:val="auto"/>
              </w:rPr>
            </w:pPr>
            <w:r>
              <w:rPr>
                <w:rFonts w:ascii="Courier New" w:cs="Courier New" w:eastAsia="Courier New" w:hAnsi="Courier New"/>
                <w:sz w:val="12"/>
                <w:szCs w:val="12"/>
                <w:color w:val="auto"/>
              </w:rPr>
              <w:t>REL CD</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4"/>
            <w:vMerge w:val="restart"/>
          </w:tcPr>
          <w:p>
            <w:pPr>
              <w:spacing w:after="0" w:line="117" w:lineRule="exact"/>
              <w:rPr>
                <w:sz w:val="20"/>
                <w:szCs w:val="20"/>
                <w:color w:val="auto"/>
              </w:rPr>
            </w:pPr>
            <w:r>
              <w:rPr>
                <w:rFonts w:ascii="Courier New" w:cs="Courier New" w:eastAsia="Courier New" w:hAnsi="Courier New"/>
                <w:sz w:val="12"/>
                <w:szCs w:val="12"/>
                <w:color w:val="auto"/>
              </w:rPr>
              <w:t>MILSTRIP</w:t>
            </w:r>
          </w:p>
        </w:tc>
        <w:tc>
          <w:tcPr>
            <w:tcW w:w="40" w:type="dxa"/>
            <w:vAlign w:val="bottom"/>
          </w:tcPr>
          <w:p>
            <w:pPr>
              <w:spacing w:after="0"/>
              <w:rPr>
                <w:sz w:val="6"/>
                <w:szCs w:val="6"/>
                <w:color w:val="auto"/>
              </w:rPr>
            </w:pPr>
          </w:p>
        </w:tc>
        <w:tc>
          <w:tcPr>
            <w:tcW w:w="760" w:type="dxa"/>
            <w:vAlign w:val="bottom"/>
            <w:gridSpan w:val="3"/>
            <w:vMerge w:val="restart"/>
          </w:tcPr>
          <w:p>
            <w:pPr>
              <w:spacing w:after="0" w:line="117" w:lineRule="exact"/>
              <w:rPr>
                <w:sz w:val="20"/>
                <w:szCs w:val="20"/>
                <w:color w:val="auto"/>
              </w:rPr>
            </w:pPr>
            <w:r>
              <w:rPr>
                <w:rFonts w:ascii="Courier New" w:cs="Courier New" w:eastAsia="Courier New" w:hAnsi="Courier New"/>
                <w:sz w:val="12"/>
                <w:szCs w:val="12"/>
                <w:color w:val="auto"/>
              </w:rPr>
              <w:t>ADDR</w:t>
            </w:r>
          </w:p>
        </w:tc>
        <w:tc>
          <w:tcPr>
            <w:tcW w:w="68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Borders>
              <w:right w:val="single" w:sz="8" w:color="auto"/>
            </w:tcBorders>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gridSpan w:val="2"/>
          </w:tcPr>
          <w:p>
            <w:pPr>
              <w:spacing w:after="0"/>
              <w:rPr>
                <w:sz w:val="16"/>
                <w:szCs w:val="16"/>
                <w:color w:val="auto"/>
              </w:rPr>
            </w:pPr>
          </w:p>
        </w:tc>
        <w:tc>
          <w:tcPr>
            <w:tcW w:w="420" w:type="dxa"/>
            <w:vAlign w:val="bottom"/>
          </w:tcPr>
          <w:p>
            <w:pPr>
              <w:jc w:val="right"/>
              <w:ind w:right="78"/>
              <w:spacing w:after="0"/>
              <w:rPr>
                <w:sz w:val="20"/>
                <w:szCs w:val="20"/>
                <w:color w:val="auto"/>
              </w:rPr>
            </w:pPr>
            <w:r>
              <w:rPr>
                <w:rFonts w:ascii="Courier New" w:cs="Courier New" w:eastAsia="Courier New" w:hAnsi="Courier New"/>
                <w:sz w:val="12"/>
                <w:szCs w:val="12"/>
                <w:color w:val="auto"/>
              </w:rPr>
              <w:t>001</w:t>
            </w:r>
          </w:p>
        </w:tc>
        <w:tc>
          <w:tcPr>
            <w:tcW w:w="180" w:type="dxa"/>
            <w:vAlign w:val="bottom"/>
          </w:tcPr>
          <w:p>
            <w:pPr>
              <w:spacing w:after="0"/>
              <w:rPr>
                <w:sz w:val="16"/>
                <w:szCs w:val="16"/>
                <w:color w:val="auto"/>
              </w:rPr>
            </w:pPr>
          </w:p>
        </w:tc>
        <w:tc>
          <w:tcPr>
            <w:tcW w:w="2020" w:type="dxa"/>
            <w:vAlign w:val="bottom"/>
            <w:gridSpan w:val="10"/>
          </w:tcPr>
          <w:p>
            <w:pPr>
              <w:ind w:left="40"/>
              <w:spacing w:after="0"/>
              <w:rPr>
                <w:sz w:val="20"/>
                <w:szCs w:val="20"/>
                <w:color w:val="auto"/>
              </w:rPr>
            </w:pPr>
            <w:r>
              <w:rPr>
                <w:rFonts w:ascii="Courier New" w:cs="Courier New" w:eastAsia="Courier New" w:hAnsi="Courier New"/>
                <w:sz w:val="12"/>
                <w:szCs w:val="12"/>
                <w:color w:val="auto"/>
              </w:rPr>
              <w:t>W15BW91256ZD21 W90ZQ2</w:t>
            </w:r>
          </w:p>
        </w:tc>
        <w:tc>
          <w:tcPr>
            <w:tcW w:w="680" w:type="dxa"/>
            <w:vAlign w:val="bottom"/>
            <w:gridSpan w:val="2"/>
          </w:tcPr>
          <w:p>
            <w:pPr>
              <w:jc w:val="center"/>
              <w:ind w:right="240"/>
              <w:spacing w:after="0"/>
              <w:rPr>
                <w:sz w:val="20"/>
                <w:szCs w:val="20"/>
                <w:color w:val="auto"/>
              </w:rPr>
            </w:pPr>
            <w:r>
              <w:rPr>
                <w:rFonts w:ascii="Courier New" w:cs="Courier New" w:eastAsia="Courier New" w:hAnsi="Courier New"/>
                <w:sz w:val="12"/>
                <w:szCs w:val="12"/>
                <w:color w:val="auto"/>
              </w:rPr>
              <w:t>J</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jc w:val="right"/>
              <w:ind w:right="78"/>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2"/>
                <w:szCs w:val="12"/>
                <w:color w:val="auto"/>
                <w:w w:val="97"/>
              </w:rPr>
              <w:t>DEL REL CD</w:t>
            </w:r>
          </w:p>
        </w:tc>
        <w:tc>
          <w:tcPr>
            <w:tcW w:w="1100" w:type="dxa"/>
            <w:vAlign w:val="bottom"/>
            <w:gridSpan w:val="5"/>
          </w:tcPr>
          <w:p>
            <w:pPr>
              <w:spacing w:after="0"/>
              <w:rPr>
                <w:sz w:val="24"/>
                <w:szCs w:val="24"/>
                <w:color w:val="auto"/>
              </w:rPr>
            </w:pPr>
          </w:p>
        </w:tc>
        <w:tc>
          <w:tcPr>
            <w:tcW w:w="800" w:type="dxa"/>
            <w:vAlign w:val="bottom"/>
            <w:gridSpan w:val="4"/>
          </w:tcPr>
          <w:p>
            <w:pPr>
              <w:spacing w:after="0"/>
              <w:rPr>
                <w:sz w:val="20"/>
                <w:szCs w:val="20"/>
                <w:color w:val="auto"/>
              </w:rPr>
            </w:pPr>
            <w:r>
              <w:rPr>
                <w:rFonts w:ascii="Courier New" w:cs="Courier New" w:eastAsia="Courier New" w:hAnsi="Courier New"/>
                <w:sz w:val="12"/>
                <w:szCs w:val="12"/>
                <w:color w:val="auto"/>
              </w:rPr>
              <w:t>QUANTITY</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Courier New" w:cs="Courier New" w:eastAsia="Courier New" w:hAnsi="Courier New"/>
                <w:sz w:val="12"/>
                <w:szCs w:val="12"/>
                <w:color w:val="auto"/>
              </w:rPr>
              <w:t>DEL DATE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001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center"/>
              <w:ind w:right="80"/>
              <w:spacing w:after="0"/>
              <w:rPr>
                <w:sz w:val="20"/>
                <w:szCs w:val="20"/>
                <w:color w:val="auto"/>
              </w:rPr>
            </w:pPr>
            <w:r>
              <w:rPr>
                <w:rFonts w:ascii="Courier New" w:cs="Courier New" w:eastAsia="Courier New" w:hAnsi="Courier New"/>
                <w:sz w:val="12"/>
                <w:szCs w:val="12"/>
                <w:color w:val="auto"/>
              </w:rPr>
              <w:t>100,000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30-SEP-2021</w:t>
            </w:r>
          </w:p>
        </w:tc>
        <w:tc>
          <w:tcPr>
            <w:tcW w:w="0" w:type="dxa"/>
            <w:vAlign w:val="bottom"/>
          </w:tcPr>
          <w:p>
            <w:pPr>
              <w:spacing w:after="0"/>
              <w:rPr>
                <w:sz w:val="1"/>
                <w:szCs w:val="1"/>
                <w:color w:val="auto"/>
              </w:rPr>
            </w:pPr>
          </w:p>
        </w:tc>
      </w:tr>
      <w:tr>
        <w:trPr>
          <w:trHeight w:val="254"/>
        </w:trPr>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002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3"/>
          </w:tcPr>
          <w:p>
            <w:pPr>
              <w:jc w:val="center"/>
              <w:ind w:right="80"/>
              <w:spacing w:after="0"/>
              <w:rPr>
                <w:sz w:val="20"/>
                <w:szCs w:val="20"/>
                <w:color w:val="auto"/>
              </w:rPr>
            </w:pPr>
            <w:r>
              <w:rPr>
                <w:rFonts w:ascii="Courier New" w:cs="Courier New" w:eastAsia="Courier New" w:hAnsi="Courier New"/>
                <w:sz w:val="12"/>
                <w:szCs w:val="12"/>
                <w:color w:val="auto"/>
              </w:rPr>
              <w:t>100,000</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31-OCT-2021</w:t>
            </w:r>
          </w:p>
        </w:tc>
        <w:tc>
          <w:tcPr>
            <w:tcW w:w="0" w:type="dxa"/>
            <w:vAlign w:val="bottom"/>
          </w:tcPr>
          <w:p>
            <w:pPr>
              <w:spacing w:after="0"/>
              <w:rPr>
                <w:sz w:val="1"/>
                <w:szCs w:val="1"/>
                <w:color w:val="auto"/>
              </w:rPr>
            </w:pPr>
          </w:p>
        </w:tc>
      </w:tr>
      <w:tr>
        <w:trPr>
          <w:trHeight w:val="254"/>
        </w:trPr>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003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3"/>
          </w:tcPr>
          <w:p>
            <w:pPr>
              <w:jc w:val="center"/>
              <w:ind w:right="80"/>
              <w:spacing w:after="0"/>
              <w:rPr>
                <w:sz w:val="20"/>
                <w:szCs w:val="20"/>
                <w:color w:val="auto"/>
              </w:rPr>
            </w:pPr>
            <w:r>
              <w:rPr>
                <w:rFonts w:ascii="Courier New" w:cs="Courier New" w:eastAsia="Courier New" w:hAnsi="Courier New"/>
                <w:sz w:val="12"/>
                <w:szCs w:val="12"/>
                <w:color w:val="auto"/>
              </w:rPr>
              <w:t>100,000</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30-NOV-2021</w:t>
            </w:r>
          </w:p>
        </w:tc>
        <w:tc>
          <w:tcPr>
            <w:tcW w:w="0" w:type="dxa"/>
            <w:vAlign w:val="bottom"/>
          </w:tcPr>
          <w:p>
            <w:pPr>
              <w:spacing w:after="0"/>
              <w:rPr>
                <w:sz w:val="1"/>
                <w:szCs w:val="1"/>
                <w:color w:val="auto"/>
              </w:rPr>
            </w:pPr>
          </w:p>
        </w:tc>
      </w:tr>
      <w:tr>
        <w:trPr>
          <w:trHeight w:val="254"/>
        </w:trPr>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004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3"/>
          </w:tcPr>
          <w:p>
            <w:pPr>
              <w:jc w:val="center"/>
              <w:ind w:right="80"/>
              <w:spacing w:after="0"/>
              <w:rPr>
                <w:sz w:val="20"/>
                <w:szCs w:val="20"/>
                <w:color w:val="auto"/>
              </w:rPr>
            </w:pPr>
            <w:r>
              <w:rPr>
                <w:rFonts w:ascii="Courier New" w:cs="Courier New" w:eastAsia="Courier New" w:hAnsi="Courier New"/>
                <w:sz w:val="12"/>
                <w:szCs w:val="12"/>
                <w:color w:val="auto"/>
              </w:rPr>
              <w:t>100,000</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31-DEC-2021</w:t>
            </w:r>
          </w:p>
        </w:tc>
        <w:tc>
          <w:tcPr>
            <w:tcW w:w="0" w:type="dxa"/>
            <w:vAlign w:val="bottom"/>
          </w:tcPr>
          <w:p>
            <w:pPr>
              <w:spacing w:after="0"/>
              <w:rPr>
                <w:sz w:val="1"/>
                <w:szCs w:val="1"/>
                <w:color w:val="auto"/>
              </w:rPr>
            </w:pPr>
          </w:p>
        </w:tc>
      </w:tr>
      <w:tr>
        <w:trPr>
          <w:trHeight w:val="254"/>
        </w:trPr>
        <w:tc>
          <w:tcPr>
            <w:tcW w:w="500" w:type="dxa"/>
            <w:vAlign w:val="bottom"/>
            <w:gridSpan w:val="3"/>
          </w:tcPr>
          <w:p>
            <w:pPr>
              <w:spacing w:after="0"/>
              <w:rPr>
                <w:sz w:val="20"/>
                <w:szCs w:val="20"/>
                <w:color w:val="auto"/>
              </w:rPr>
            </w:pPr>
            <w:r>
              <w:rPr>
                <w:rFonts w:ascii="Courier New" w:cs="Courier New" w:eastAsia="Courier New" w:hAnsi="Courier New"/>
                <w:sz w:val="12"/>
                <w:szCs w:val="12"/>
                <w:color w:val="auto"/>
              </w:rPr>
              <w:t>005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3"/>
          </w:tcPr>
          <w:p>
            <w:pPr>
              <w:jc w:val="center"/>
              <w:ind w:right="60"/>
              <w:spacing w:after="0"/>
              <w:rPr>
                <w:sz w:val="20"/>
                <w:szCs w:val="20"/>
                <w:color w:val="auto"/>
              </w:rPr>
            </w:pPr>
            <w:r>
              <w:rPr>
                <w:rFonts w:ascii="Courier New" w:cs="Courier New" w:eastAsia="Courier New" w:hAnsi="Courier New"/>
                <w:sz w:val="12"/>
                <w:szCs w:val="12"/>
                <w:color w:val="auto"/>
              </w:rPr>
              <w:t>76,190</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31-JAN-2022</w:t>
            </w: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1860" w:type="dxa"/>
            <w:vAlign w:val="bottom"/>
            <w:gridSpan w:val="9"/>
          </w:tcPr>
          <w:p>
            <w:pPr>
              <w:spacing w:after="0"/>
              <w:rPr>
                <w:sz w:val="20"/>
                <w:szCs w:val="20"/>
                <w:color w:val="auto"/>
              </w:rPr>
            </w:pPr>
            <w:r>
              <w:rPr>
                <w:rFonts w:ascii="Courier New" w:cs="Courier New" w:eastAsia="Courier New" w:hAnsi="Courier New"/>
                <w:sz w:val="12"/>
                <w:szCs w:val="12"/>
                <w:color w:val="auto"/>
              </w:rPr>
              <w:t>FOB POINT: Destination</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Courier New" w:cs="Courier New" w:eastAsia="Courier New" w:hAnsi="Courier New"/>
                <w:sz w:val="12"/>
                <w:szCs w:val="12"/>
                <w:color w:val="auto"/>
              </w:rPr>
              <w:t>SHIP TO:</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(W90ZQ2) XR JOINT PROGRAM EX OFC FOR CHEM, B HQ</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2"/>
          <w:szCs w:val="12"/>
          <w:color w:val="auto"/>
        </w:rPr>
        <w:t>JPEO</w:t>
      </w:r>
    </w:p>
    <w:p>
      <w:pPr>
        <w:ind w:left="1700"/>
        <w:spacing w:after="0"/>
        <w:rPr>
          <w:sz w:val="20"/>
          <w:szCs w:val="20"/>
          <w:color w:val="auto"/>
        </w:rPr>
      </w:pPr>
      <w:r>
        <w:rPr>
          <w:rFonts w:ascii="Courier New" w:cs="Courier New" w:eastAsia="Courier New" w:hAnsi="Courier New"/>
          <w:sz w:val="12"/>
          <w:szCs w:val="12"/>
          <w:color w:val="auto"/>
        </w:rPr>
        <w:t>5101 HOADLEY ROAD</w:t>
      </w:r>
    </w:p>
    <w:p>
      <w:pPr>
        <w:spacing w:after="0" w:line="11" w:lineRule="exact"/>
        <w:rPr>
          <w:sz w:val="20"/>
          <w:szCs w:val="20"/>
          <w:color w:val="auto"/>
        </w:rPr>
      </w:pPr>
    </w:p>
    <w:p>
      <w:pPr>
        <w:ind w:left="1700"/>
        <w:spacing w:after="0"/>
        <w:rPr>
          <w:sz w:val="20"/>
          <w:szCs w:val="20"/>
          <w:color w:val="auto"/>
        </w:rPr>
      </w:pPr>
      <w:r>
        <w:rPr>
          <w:rFonts w:ascii="Courier New" w:cs="Courier New" w:eastAsia="Courier New" w:hAnsi="Courier New"/>
          <w:sz w:val="12"/>
          <w:szCs w:val="12"/>
          <w:color w:val="auto"/>
        </w:rPr>
        <w:t>ABERDEEN PROVING GROUND, MD, 21010-54</w:t>
      </w:r>
    </w:p>
    <w:p>
      <w:pPr>
        <w:spacing w:after="0" w:line="264"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The parties will coordinate ordering through</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centralized distribution via the established</w:t>
      </w:r>
    </w:p>
    <w:p>
      <w:pPr>
        <w:sectPr>
          <w:pgSz w:w="11900" w:h="16838" w:orient="portrait"/>
          <w:cols w:equalWidth="0" w:num="1">
            <w:col w:w="10660"/>
          </w:cols>
          <w:pgMar w:left="560" w:top="1440" w:right="679" w:bottom="1440" w:gutter="0" w:footer="0" w:header="0"/>
        </w:sectPr>
      </w:pPr>
    </w:p>
    <w:bookmarkStart w:id="99" w:name="page100"/>
    <w:bookmarkEnd w:id="99"/>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20"/>
                <w:szCs w:val="20"/>
                <w:b w:val="1"/>
                <w:bCs w:val="1"/>
                <w:color w:val="auto"/>
              </w:rPr>
              <w:t>CONTINUATION SHEET</w:t>
            </w:r>
          </w:p>
        </w:tc>
        <w:tc>
          <w:tcPr>
            <w:tcW w:w="29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4 of 12</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2900" w:type="dxa"/>
            <w:vAlign w:val="bottom"/>
            <w:vMerge w:val="restart"/>
          </w:tcPr>
          <w:p>
            <w:pPr>
              <w:ind w:left="1020"/>
              <w:spacing w:after="0"/>
              <w:rPr>
                <w:sz w:val="20"/>
                <w:szCs w:val="20"/>
                <w:color w:val="auto"/>
              </w:rPr>
            </w:pPr>
            <w:r>
              <w:rPr>
                <w:rFonts w:ascii="Courier New" w:cs="Courier New" w:eastAsia="Courier New" w:hAnsi="Courier New"/>
                <w:sz w:val="12"/>
                <w:szCs w:val="12"/>
                <w:color w:val="auto"/>
              </w:rPr>
              <w:t>W15QKN-21-C-0014</w:t>
            </w:r>
          </w:p>
        </w:tc>
        <w:tc>
          <w:tcPr>
            <w:tcW w:w="124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4300" w:type="dxa"/>
            <w:vAlign w:val="bottom"/>
          </w:tcPr>
          <w:p>
            <w:pPr>
              <w:ind w:left="3620"/>
              <w:spacing w:after="0"/>
              <w:rPr>
                <w:sz w:val="20"/>
                <w:szCs w:val="20"/>
                <w:color w:val="auto"/>
              </w:rPr>
            </w:pPr>
            <w:r>
              <w:rPr>
                <w:rFonts w:ascii="Arial" w:cs="Arial" w:eastAsia="Arial" w:hAnsi="Arial"/>
                <w:sz w:val="14"/>
                <w:szCs w:val="14"/>
                <w:b w:val="1"/>
                <w:bCs w:val="1"/>
                <w:color w:val="auto"/>
              </w:rPr>
              <w:t>PIIN/SIIN</w:t>
            </w:r>
          </w:p>
        </w:tc>
        <w:tc>
          <w:tcPr>
            <w:tcW w:w="2900" w:type="dxa"/>
            <w:vAlign w:val="bottom"/>
          </w:tcPr>
          <w:p>
            <w:pPr>
              <w:ind w:left="1740"/>
              <w:spacing w:after="0"/>
              <w:rPr>
                <w:sz w:val="20"/>
                <w:szCs w:val="20"/>
                <w:color w:val="auto"/>
              </w:rPr>
            </w:pPr>
            <w:r>
              <w:rPr>
                <w:rFonts w:ascii="Arial" w:cs="Arial" w:eastAsia="Arial" w:hAnsi="Arial"/>
                <w:sz w:val="14"/>
                <w:szCs w:val="14"/>
                <w:b w:val="1"/>
                <w:bCs w:val="1"/>
                <w:color w:val="auto"/>
              </w:rPr>
              <w:t>MOD/AMD</w:t>
            </w:r>
          </w:p>
        </w:tc>
        <w:tc>
          <w:tcPr>
            <w:tcW w:w="12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tabs>
          <w:tab w:leader="none" w:pos="3040" w:val="left"/>
        </w:tabs>
        <w:rPr>
          <w:sz w:val="20"/>
          <w:szCs w:val="20"/>
          <w:color w:val="auto"/>
        </w:rPr>
      </w:pPr>
      <w:r>
        <w:rPr>
          <w:rFonts w:ascii="Arial" w:cs="Arial" w:eastAsia="Arial" w:hAnsi="Arial"/>
          <w:sz w:val="18"/>
          <w:szCs w:val="18"/>
          <w:b w:val="1"/>
          <w:bCs w:val="1"/>
          <w:color w:val="auto"/>
        </w:rPr>
        <w:t>Name of Offeror or Contractor:</w:t>
      </w:r>
      <w:r>
        <w:rPr>
          <w:sz w:val="20"/>
          <w:szCs w:val="20"/>
          <w:color w:val="auto"/>
        </w:rPr>
        <w:tab/>
      </w: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777990" cy="68376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7990" cy="683768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ITEM NO</w:t>
            </w:r>
          </w:p>
        </w:tc>
        <w:tc>
          <w:tcPr>
            <w:tcW w:w="9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SUPPLIES/SERVICES</w:t>
            </w:r>
          </w:p>
        </w:tc>
        <w:tc>
          <w:tcPr>
            <w:tcW w:w="26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QUANTITY</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UNIT</w:t>
            </w: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UNIT PRICE</w:t>
            </w: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AMOUNT</w:t>
            </w:r>
          </w:p>
        </w:tc>
      </w:tr>
      <w:tr>
        <w:trPr>
          <w:trHeight w:val="162"/>
        </w:trPr>
        <w:tc>
          <w:tcPr>
            <w:tcW w:w="9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2"/>
                <w:szCs w:val="12"/>
                <w:color w:val="auto"/>
              </w:rPr>
              <w:t>Memorandum</w:t>
            </w: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of Understanding between</w:t>
            </w:r>
          </w:p>
        </w:tc>
        <w:tc>
          <w:tcPr>
            <w:tcW w:w="820" w:type="dxa"/>
            <w:vAlign w:val="bottom"/>
          </w:tcPr>
          <w:p>
            <w:pPr>
              <w:ind w:left="40"/>
              <w:spacing w:after="0"/>
              <w:rPr>
                <w:sz w:val="20"/>
                <w:szCs w:val="20"/>
                <w:color w:val="auto"/>
              </w:rPr>
            </w:pPr>
            <w:r>
              <w:rPr>
                <w:rFonts w:ascii="Courier New" w:cs="Courier New" w:eastAsia="Courier New" w:hAnsi="Courier New"/>
                <w:sz w:val="12"/>
                <w:szCs w:val="12"/>
                <w:color w:val="auto"/>
              </w:rPr>
              <w:t>Regeneron,</w:t>
            </w:r>
          </w:p>
        </w:tc>
        <w:tc>
          <w:tcPr>
            <w:tcW w:w="2640" w:type="dxa"/>
            <w:vAlign w:val="bottom"/>
          </w:tcPr>
          <w:p>
            <w:pPr>
              <w:ind w:left="40"/>
              <w:spacing w:after="0"/>
              <w:rPr>
                <w:sz w:val="20"/>
                <w:szCs w:val="20"/>
                <w:color w:val="auto"/>
              </w:rPr>
            </w:pPr>
            <w:r>
              <w:rPr>
                <w:rFonts w:ascii="Courier New" w:cs="Courier New" w:eastAsia="Courier New" w:hAnsi="Courier New"/>
                <w:sz w:val="12"/>
                <w:szCs w:val="12"/>
                <w:color w:val="auto"/>
              </w:rPr>
              <w:t>ASPR, and</w:t>
            </w: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33"/>
        </w:trPr>
        <w:tc>
          <w:tcPr>
            <w:tcW w:w="900" w:type="dxa"/>
            <w:vAlign w:val="bottom"/>
          </w:tcPr>
          <w:p>
            <w:pPr>
              <w:spacing w:after="0"/>
              <w:rPr>
                <w:sz w:val="11"/>
                <w:szCs w:val="11"/>
                <w:color w:val="auto"/>
              </w:rPr>
            </w:pPr>
          </w:p>
        </w:tc>
        <w:tc>
          <w:tcPr>
            <w:tcW w:w="3580" w:type="dxa"/>
            <w:vAlign w:val="bottom"/>
            <w:gridSpan w:val="3"/>
          </w:tcPr>
          <w:p>
            <w:pPr>
              <w:ind w:left="120"/>
              <w:spacing w:after="0" w:line="134" w:lineRule="exact"/>
              <w:rPr>
                <w:sz w:val="20"/>
                <w:szCs w:val="20"/>
                <w:color w:val="auto"/>
              </w:rPr>
            </w:pPr>
            <w:r>
              <w:rPr>
                <w:rFonts w:ascii="Courier New" w:cs="Courier New" w:eastAsia="Courier New" w:hAnsi="Courier New"/>
                <w:sz w:val="12"/>
                <w:szCs w:val="12"/>
                <w:color w:val="auto"/>
              </w:rPr>
              <w:t>AmerisourceBergen. Exact ship-to locations for</w:t>
            </w:r>
          </w:p>
        </w:tc>
        <w:tc>
          <w:tcPr>
            <w:tcW w:w="2640" w:type="dxa"/>
            <w:vAlign w:val="bottom"/>
          </w:tcPr>
          <w:p>
            <w:pPr>
              <w:ind w:left="40"/>
              <w:spacing w:after="0" w:line="134" w:lineRule="exact"/>
              <w:rPr>
                <w:sz w:val="20"/>
                <w:szCs w:val="20"/>
                <w:color w:val="auto"/>
              </w:rPr>
            </w:pPr>
            <w:r>
              <w:rPr>
                <w:rFonts w:ascii="Courier New" w:cs="Courier New" w:eastAsia="Courier New" w:hAnsi="Courier New"/>
                <w:sz w:val="12"/>
                <w:szCs w:val="12"/>
                <w:color w:val="auto"/>
              </w:rPr>
              <w:t>product will be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900" w:type="dxa"/>
            <w:vAlign w:val="bottom"/>
          </w:tcPr>
          <w:p>
            <w:pPr>
              <w:spacing w:after="0"/>
              <w:rPr>
                <w:sz w:val="12"/>
                <w:szCs w:val="12"/>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2"/>
                <w:szCs w:val="12"/>
                <w:color w:val="auto"/>
              </w:rPr>
              <w:t>identified</w:t>
            </w:r>
          </w:p>
        </w:tc>
        <w:tc>
          <w:tcPr>
            <w:tcW w:w="1860" w:type="dxa"/>
            <w:vAlign w:val="bottom"/>
          </w:tcPr>
          <w:p>
            <w:pPr>
              <w:ind w:left="40"/>
              <w:spacing w:after="0"/>
              <w:rPr>
                <w:sz w:val="20"/>
                <w:szCs w:val="20"/>
                <w:color w:val="auto"/>
              </w:rPr>
            </w:pPr>
            <w:r>
              <w:rPr>
                <w:rFonts w:ascii="Courier New" w:cs="Courier New" w:eastAsia="Courier New" w:hAnsi="Courier New"/>
                <w:sz w:val="12"/>
                <w:szCs w:val="12"/>
                <w:color w:val="auto"/>
              </w:rPr>
              <w:t>through this coordinated</w:t>
            </w:r>
          </w:p>
        </w:tc>
        <w:tc>
          <w:tcPr>
            <w:tcW w:w="820" w:type="dxa"/>
            <w:vAlign w:val="bottom"/>
          </w:tcPr>
          <w:p>
            <w:pPr>
              <w:ind w:left="40"/>
              <w:spacing w:after="0"/>
              <w:rPr>
                <w:sz w:val="20"/>
                <w:szCs w:val="20"/>
                <w:color w:val="auto"/>
              </w:rPr>
            </w:pPr>
            <w:r>
              <w:rPr>
                <w:rFonts w:ascii="Courier New" w:cs="Courier New" w:eastAsia="Courier New" w:hAnsi="Courier New"/>
                <w:sz w:val="12"/>
                <w:szCs w:val="12"/>
                <w:color w:val="auto"/>
              </w:rPr>
              <w:t>process.</w:t>
            </w:r>
          </w:p>
        </w:tc>
        <w:tc>
          <w:tcPr>
            <w:tcW w:w="2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247"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(End of narrative F00l)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40" w:type="dxa"/>
        <w:tblCellMar>
          <w:top w:w="0" w:type="dxa"/>
          <w:left w:w="0" w:type="dxa"/>
          <w:bottom w:w="0" w:type="dxa"/>
          <w:right w:w="0" w:type="dxa"/>
        </w:tblCellMar>
      </w:tblPr>
      <w:tr>
        <w:trPr>
          <w:trHeight w:val="136"/>
        </w:trPr>
        <w:tc>
          <w:tcPr>
            <w:tcW w:w="780" w:type="dxa"/>
            <w:vAlign w:val="bottom"/>
          </w:tcPr>
          <w:p>
            <w:pPr>
              <w:spacing w:after="0"/>
              <w:rPr>
                <w:sz w:val="11"/>
                <w:szCs w:val="11"/>
                <w:color w:val="auto"/>
              </w:rPr>
            </w:pPr>
          </w:p>
        </w:tc>
        <w:tc>
          <w:tcPr>
            <w:tcW w:w="1120" w:type="dxa"/>
            <w:vAlign w:val="bottom"/>
            <w:tcBorders>
              <w:bottom w:val="single" w:sz="8" w:color="auto"/>
            </w:tcBorders>
          </w:tcPr>
          <w:p>
            <w:pPr>
              <w:spacing w:after="0"/>
              <w:rPr>
                <w:sz w:val="20"/>
                <w:szCs w:val="20"/>
                <w:color w:val="auto"/>
              </w:rPr>
            </w:pPr>
            <w:r>
              <w:rPr>
                <w:rFonts w:ascii="Courier New" w:cs="Courier New" w:eastAsia="Courier New" w:hAnsi="Courier New"/>
                <w:sz w:val="12"/>
                <w:szCs w:val="12"/>
                <w:color w:val="auto"/>
              </w:rPr>
              <w:t>REGEN-COV DOSES</w:t>
            </w:r>
          </w:p>
        </w:tc>
        <w:tc>
          <w:tcPr>
            <w:tcW w:w="4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47"/>
        </w:trPr>
        <w:tc>
          <w:tcPr>
            <w:tcW w:w="780" w:type="dxa"/>
            <w:vAlign w:val="bottom"/>
          </w:tcPr>
          <w:p>
            <w:pPr>
              <w:spacing w:after="0"/>
              <w:rPr>
                <w:sz w:val="20"/>
                <w:szCs w:val="20"/>
                <w:color w:val="auto"/>
              </w:rPr>
            </w:pPr>
            <w:r>
              <w:rPr>
                <w:rFonts w:ascii="Courier New" w:cs="Courier New" w:eastAsia="Courier New" w:hAnsi="Courier New"/>
                <w:sz w:val="12"/>
                <w:szCs w:val="12"/>
                <w:color w:val="auto"/>
              </w:rPr>
              <w:t>0003AB</w:t>
            </w:r>
          </w:p>
        </w:tc>
        <w:tc>
          <w:tcPr>
            <w:tcW w:w="6100" w:type="dxa"/>
            <w:vAlign w:val="bottom"/>
            <w:gridSpan w:val="2"/>
          </w:tcPr>
          <w:p>
            <w:pPr>
              <w:ind w:left="5240"/>
              <w:spacing w:after="0"/>
              <w:rPr>
                <w:sz w:val="20"/>
                <w:szCs w:val="20"/>
                <w:color w:val="auto"/>
              </w:rPr>
            </w:pPr>
            <w:r>
              <w:rPr>
                <w:rFonts w:ascii="Courier New" w:cs="Courier New" w:eastAsia="Courier New" w:hAnsi="Courier New"/>
                <w:sz w:val="12"/>
                <w:szCs w:val="12"/>
                <w:color w:val="auto"/>
              </w:rPr>
              <w:t>476190</w:t>
            </w:r>
          </w:p>
        </w:tc>
        <w:tc>
          <w:tcPr>
            <w:tcW w:w="1040" w:type="dxa"/>
            <w:vAlign w:val="bottom"/>
          </w:tcPr>
          <w:p>
            <w:pPr>
              <w:ind w:left="400"/>
              <w:spacing w:after="0"/>
              <w:rPr>
                <w:sz w:val="20"/>
                <w:szCs w:val="20"/>
                <w:color w:val="auto"/>
              </w:rPr>
            </w:pPr>
            <w:r>
              <w:rPr>
                <w:rFonts w:ascii="Courier New" w:cs="Courier New" w:eastAsia="Courier New" w:hAnsi="Courier New"/>
                <w:sz w:val="12"/>
                <w:szCs w:val="12"/>
                <w:color w:val="auto"/>
              </w:rPr>
              <w:t>EA</w:t>
            </w:r>
          </w:p>
        </w:tc>
        <w:tc>
          <w:tcPr>
            <w:tcW w:w="900" w:type="dxa"/>
            <w:vAlign w:val="bottom"/>
          </w:tcPr>
          <w:p>
            <w:pPr>
              <w:jc w:val="right"/>
              <w:spacing w:after="0"/>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2,100.00000</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999,999,000.00</w:t>
            </w:r>
          </w:p>
        </w:tc>
      </w:tr>
      <w:tr>
        <w:trPr>
          <w:trHeight w:val="450"/>
        </w:trPr>
        <w:tc>
          <w:tcPr>
            <w:tcW w:w="78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Courier New" w:cs="Courier New" w:eastAsia="Courier New" w:hAnsi="Courier New"/>
                <w:sz w:val="12"/>
                <w:szCs w:val="12"/>
                <w:color w:val="auto"/>
              </w:rPr>
              <w:t>COMMODITY NAME: subCLIN 0003AB CLIN</w:t>
            </w:r>
          </w:p>
        </w:tc>
        <w:tc>
          <w:tcPr>
            <w:tcW w:w="10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133"/>
        </w:trPr>
        <w:tc>
          <w:tcPr>
            <w:tcW w:w="780" w:type="dxa"/>
            <w:vAlign w:val="bottom"/>
          </w:tcPr>
          <w:p>
            <w:pPr>
              <w:spacing w:after="0"/>
              <w:rPr>
                <w:sz w:val="11"/>
                <w:szCs w:val="11"/>
                <w:color w:val="auto"/>
              </w:rPr>
            </w:pPr>
          </w:p>
        </w:tc>
        <w:tc>
          <w:tcPr>
            <w:tcW w:w="6100" w:type="dxa"/>
            <w:vAlign w:val="bottom"/>
            <w:gridSpan w:val="2"/>
          </w:tcPr>
          <w:p>
            <w:pPr>
              <w:spacing w:after="0" w:line="134" w:lineRule="exact"/>
              <w:rPr>
                <w:sz w:val="20"/>
                <w:szCs w:val="20"/>
                <w:color w:val="auto"/>
              </w:rPr>
            </w:pPr>
            <w:r>
              <w:rPr>
                <w:rFonts w:ascii="Courier New" w:cs="Courier New" w:eastAsia="Courier New" w:hAnsi="Courier New"/>
                <w:sz w:val="12"/>
                <w:szCs w:val="12"/>
                <w:color w:val="auto"/>
              </w:rPr>
              <w:t>CONTRACT TYPE:</w:t>
            </w: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0"/>
        </w:trPr>
        <w:tc>
          <w:tcPr>
            <w:tcW w:w="780" w:type="dxa"/>
            <w:vAlign w:val="bottom"/>
          </w:tcPr>
          <w:p>
            <w:pPr>
              <w:spacing w:after="0"/>
              <w:rPr>
                <w:sz w:val="12"/>
                <w:szCs w:val="12"/>
                <w:color w:val="auto"/>
              </w:rPr>
            </w:pPr>
          </w:p>
        </w:tc>
        <w:tc>
          <w:tcPr>
            <w:tcW w:w="610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Firm Fixed Price</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7"/>
        </w:trPr>
        <w:tc>
          <w:tcPr>
            <w:tcW w:w="780" w:type="dxa"/>
            <w:vAlign w:val="bottom"/>
          </w:tcPr>
          <w:p>
            <w:pPr>
              <w:spacing w:after="0"/>
              <w:rPr>
                <w:sz w:val="12"/>
                <w:szCs w:val="12"/>
                <w:color w:val="auto"/>
              </w:rPr>
            </w:pPr>
          </w:p>
        </w:tc>
        <w:tc>
          <w:tcPr>
            <w:tcW w:w="6100" w:type="dxa"/>
            <w:vAlign w:val="bottom"/>
            <w:gridSpan w:val="2"/>
          </w:tcPr>
          <w:p>
            <w:pPr>
              <w:spacing w:after="0"/>
              <w:rPr>
                <w:sz w:val="20"/>
                <w:szCs w:val="20"/>
                <w:color w:val="auto"/>
              </w:rPr>
            </w:pPr>
            <w:r>
              <w:rPr>
                <w:rFonts w:ascii="Courier New" w:cs="Courier New" w:eastAsia="Courier New" w:hAnsi="Courier New"/>
                <w:sz w:val="12"/>
                <w:szCs w:val="12"/>
                <w:color w:val="auto"/>
              </w:rPr>
              <w:t>PRON: X21ZS484W1 PRON AMD: 01 ACRN: AE PSC:</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7"/>
        </w:trPr>
        <w:tc>
          <w:tcPr>
            <w:tcW w:w="78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6505</w:t>
            </w: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247"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Modification P00005 establishes CLIN 0003AB for a quantity of</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476,190 doses for $999,999,000. Binding Delivery Schedule is</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located below.</w:t>
      </w:r>
    </w:p>
    <w:p>
      <w:pPr>
        <w:spacing w:after="0" w:line="5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The Goal Delivery Schedule can be found in Section C.2.</w:t>
      </w:r>
    </w:p>
    <w:p>
      <w:pPr>
        <w:spacing w:after="0" w:line="200" w:lineRule="exact"/>
        <w:rPr>
          <w:sz w:val="20"/>
          <w:szCs w:val="20"/>
          <w:color w:val="auto"/>
        </w:rPr>
      </w:pPr>
    </w:p>
    <w:p>
      <w:pPr>
        <w:spacing w:after="0" w:line="238"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(End of narrative B00l)</w:t>
      </w:r>
    </w:p>
    <w:p>
      <w:pPr>
        <w:spacing w:after="0" w:line="85" w:lineRule="exact"/>
        <w:rPr>
          <w:sz w:val="20"/>
          <w:szCs w:val="20"/>
          <w:color w:val="auto"/>
        </w:rPr>
      </w:pPr>
    </w:p>
    <w:tbl>
      <w:tblPr>
        <w:tblLayout w:type="fixed"/>
        <w:tblInd w:w="102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1560" w:type="dxa"/>
            <w:vAlign w:val="bottom"/>
            <w:tcBorders>
              <w:bottom w:val="single" w:sz="8" w:color="auto"/>
            </w:tcBorders>
            <w:gridSpan w:val="6"/>
          </w:tcPr>
          <w:p>
            <w:pPr>
              <w:spacing w:after="0"/>
              <w:rPr>
                <w:sz w:val="20"/>
                <w:szCs w:val="20"/>
                <w:color w:val="auto"/>
              </w:rPr>
            </w:pPr>
            <w:r>
              <w:rPr>
                <w:rFonts w:ascii="Courier New" w:cs="Courier New" w:eastAsia="Courier New" w:hAnsi="Courier New"/>
                <w:sz w:val="12"/>
                <w:szCs w:val="12"/>
                <w:color w:val="auto"/>
              </w:rPr>
              <w:t>Packaging and Marking</w:t>
            </w: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367"/>
        </w:trPr>
        <w:tc>
          <w:tcPr>
            <w:tcW w:w="1900" w:type="dxa"/>
            <w:vAlign w:val="bottom"/>
            <w:gridSpan w:val="9"/>
          </w:tcPr>
          <w:p>
            <w:pPr>
              <w:spacing w:after="0"/>
              <w:rPr>
                <w:sz w:val="20"/>
                <w:szCs w:val="20"/>
                <w:color w:val="auto"/>
              </w:rPr>
            </w:pPr>
            <w:r>
              <w:rPr>
                <w:rFonts w:ascii="Courier New" w:cs="Courier New" w:eastAsia="Courier New" w:hAnsi="Courier New"/>
                <w:sz w:val="12"/>
                <w:szCs w:val="12"/>
                <w:color w:val="auto"/>
              </w:rPr>
              <w:t>Inspection and Acceptance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9"/>
        </w:trPr>
        <w:tc>
          <w:tcPr>
            <w:tcW w:w="1860" w:type="dxa"/>
            <w:vAlign w:val="bottom"/>
            <w:tcBorders>
              <w:top w:val="single" w:sz="8" w:color="auto"/>
            </w:tcBorders>
            <w:gridSpan w:val="8"/>
          </w:tcPr>
          <w:p>
            <w:pPr>
              <w:spacing w:after="0"/>
              <w:rPr>
                <w:sz w:val="20"/>
                <w:szCs w:val="20"/>
                <w:color w:val="auto"/>
              </w:rPr>
            </w:pPr>
            <w:r>
              <w:rPr>
                <w:rFonts w:ascii="Courier New" w:cs="Courier New" w:eastAsia="Courier New" w:hAnsi="Courier New"/>
                <w:sz w:val="12"/>
                <w:szCs w:val="12"/>
                <w:color w:val="auto"/>
              </w:rPr>
              <w:t>INSPECTION: Destination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10"/>
          </w:tcPr>
          <w:p>
            <w:pPr>
              <w:ind w:left="100"/>
              <w:spacing w:after="0"/>
              <w:rPr>
                <w:sz w:val="20"/>
                <w:szCs w:val="20"/>
                <w:color w:val="auto"/>
              </w:rPr>
            </w:pPr>
            <w:r>
              <w:rPr>
                <w:rFonts w:ascii="Courier New" w:cs="Courier New" w:eastAsia="Courier New" w:hAnsi="Courier New"/>
                <w:sz w:val="12"/>
                <w:szCs w:val="12"/>
                <w:color w:val="auto"/>
              </w:rPr>
              <w:t>ACCEPTANCE: Destination</w:t>
            </w:r>
          </w:p>
        </w:tc>
        <w:tc>
          <w:tcPr>
            <w:tcW w:w="380" w:type="dxa"/>
            <w:vAlign w:val="bottom"/>
          </w:tcPr>
          <w:p>
            <w:pPr>
              <w:spacing w:after="0"/>
              <w:rPr>
                <w:sz w:val="12"/>
                <w:szCs w:val="12"/>
                <w:color w:val="auto"/>
              </w:rPr>
            </w:pPr>
          </w:p>
        </w:tc>
      </w:tr>
      <w:tr>
        <w:trPr>
          <w:trHeight w:val="378"/>
        </w:trPr>
        <w:tc>
          <w:tcPr>
            <w:tcW w:w="1900" w:type="dxa"/>
            <w:vAlign w:val="bottom"/>
            <w:gridSpan w:val="9"/>
          </w:tcPr>
          <w:p>
            <w:pPr>
              <w:spacing w:after="0"/>
              <w:rPr>
                <w:sz w:val="20"/>
                <w:szCs w:val="20"/>
                <w:color w:val="auto"/>
              </w:rPr>
            </w:pPr>
            <w:r>
              <w:rPr>
                <w:rFonts w:ascii="Courier New" w:cs="Courier New" w:eastAsia="Courier New" w:hAnsi="Courier New"/>
                <w:sz w:val="12"/>
                <w:szCs w:val="12"/>
                <w:color w:val="auto"/>
              </w:rPr>
              <w:t>Deliveries or Performance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7"/>
        </w:trPr>
        <w:tc>
          <w:tcPr>
            <w:tcW w:w="560" w:type="dxa"/>
            <w:vAlign w:val="bottom"/>
            <w:tcBorders>
              <w:top w:val="single" w:sz="8" w:color="auto"/>
            </w:tcBorders>
            <w:gridSpan w:val="3"/>
          </w:tcPr>
          <w:p>
            <w:pPr>
              <w:spacing w:after="0"/>
              <w:rPr>
                <w:sz w:val="20"/>
                <w:szCs w:val="20"/>
                <w:color w:val="auto"/>
              </w:rPr>
            </w:pPr>
            <w:r>
              <w:rPr>
                <w:rFonts w:ascii="Courier New" w:cs="Courier New" w:eastAsia="Courier New" w:hAnsi="Courier New"/>
                <w:sz w:val="12"/>
                <w:szCs w:val="12"/>
                <w:color w:val="auto"/>
              </w:rPr>
              <w:t>DOC</w:t>
            </w: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SUPPL</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7"/>
        </w:trPr>
        <w:tc>
          <w:tcPr>
            <w:tcW w:w="560" w:type="dxa"/>
            <w:vAlign w:val="bottom"/>
            <w:gridSpan w:val="3"/>
          </w:tcPr>
          <w:p>
            <w:pPr>
              <w:spacing w:after="0" w:line="97" w:lineRule="exact"/>
              <w:rPr>
                <w:sz w:val="20"/>
                <w:szCs w:val="20"/>
                <w:color w:val="auto"/>
              </w:rPr>
            </w:pPr>
            <w:r>
              <w:rPr>
                <w:rFonts w:ascii="Courier New" w:cs="Courier New" w:eastAsia="Courier New" w:hAnsi="Courier New"/>
                <w:sz w:val="11"/>
                <w:szCs w:val="11"/>
                <w:color w:val="auto"/>
              </w:rPr>
              <w:t>REL CD</w:t>
            </w:r>
          </w:p>
        </w:tc>
        <w:tc>
          <w:tcPr>
            <w:tcW w:w="180" w:type="dxa"/>
            <w:vAlign w:val="bottom"/>
          </w:tcPr>
          <w:p>
            <w:pPr>
              <w:spacing w:after="0"/>
              <w:rPr>
                <w:sz w:val="10"/>
                <w:szCs w:val="10"/>
                <w:color w:val="auto"/>
              </w:rPr>
            </w:pPr>
          </w:p>
        </w:tc>
        <w:tc>
          <w:tcPr>
            <w:tcW w:w="1160" w:type="dxa"/>
            <w:vAlign w:val="bottom"/>
            <w:gridSpan w:val="5"/>
          </w:tcPr>
          <w:p>
            <w:pPr>
              <w:jc w:val="center"/>
              <w:ind w:right="240"/>
              <w:spacing w:after="0" w:line="97" w:lineRule="exact"/>
              <w:rPr>
                <w:sz w:val="20"/>
                <w:szCs w:val="20"/>
                <w:color w:val="auto"/>
              </w:rPr>
            </w:pPr>
            <w:r>
              <w:rPr>
                <w:rFonts w:ascii="Courier New" w:cs="Courier New" w:eastAsia="Courier New" w:hAnsi="Courier New"/>
                <w:sz w:val="11"/>
                <w:szCs w:val="11"/>
                <w:color w:val="auto"/>
              </w:rPr>
              <w:t>MILSTRIP</w:t>
            </w:r>
          </w:p>
        </w:tc>
        <w:tc>
          <w:tcPr>
            <w:tcW w:w="760" w:type="dxa"/>
            <w:vAlign w:val="bottom"/>
            <w:gridSpan w:val="4"/>
          </w:tcPr>
          <w:p>
            <w:pPr>
              <w:ind w:left="20"/>
              <w:spacing w:after="0" w:line="97" w:lineRule="exact"/>
              <w:rPr>
                <w:sz w:val="20"/>
                <w:szCs w:val="20"/>
                <w:color w:val="auto"/>
              </w:rPr>
            </w:pPr>
            <w:r>
              <w:rPr>
                <w:rFonts w:ascii="Courier New" w:cs="Courier New" w:eastAsia="Courier New" w:hAnsi="Courier New"/>
                <w:sz w:val="11"/>
                <w:szCs w:val="11"/>
                <w:color w:val="auto"/>
              </w:rPr>
              <w:t>ADDR</w:t>
            </w:r>
          </w:p>
        </w:tc>
        <w:tc>
          <w:tcPr>
            <w:tcW w:w="580" w:type="dxa"/>
            <w:vAlign w:val="bottom"/>
            <w:gridSpan w:val="3"/>
          </w:tcPr>
          <w:p>
            <w:pPr>
              <w:jc w:val="center"/>
              <w:ind w:right="80"/>
              <w:spacing w:after="0" w:line="97" w:lineRule="exact"/>
              <w:rPr>
                <w:sz w:val="20"/>
                <w:szCs w:val="20"/>
                <w:color w:val="auto"/>
              </w:rPr>
            </w:pPr>
            <w:r>
              <w:rPr>
                <w:rFonts w:ascii="Courier New" w:cs="Courier New" w:eastAsia="Courier New" w:hAnsi="Courier New"/>
                <w:sz w:val="11"/>
                <w:szCs w:val="11"/>
                <w:color w:val="auto"/>
              </w:rPr>
              <w:t>SIG CD</w:t>
            </w:r>
          </w:p>
        </w:tc>
        <w:tc>
          <w:tcPr>
            <w:tcW w:w="1100" w:type="dxa"/>
            <w:vAlign w:val="bottom"/>
            <w:gridSpan w:val="4"/>
          </w:tcPr>
          <w:p>
            <w:pPr>
              <w:ind w:left="120"/>
              <w:spacing w:after="0" w:line="97" w:lineRule="exact"/>
              <w:rPr>
                <w:sz w:val="20"/>
                <w:szCs w:val="20"/>
                <w:color w:val="auto"/>
              </w:rPr>
            </w:pPr>
            <w:r>
              <w:rPr>
                <w:rFonts w:ascii="Courier New" w:cs="Courier New" w:eastAsia="Courier New" w:hAnsi="Courier New"/>
                <w:sz w:val="11"/>
                <w:szCs w:val="11"/>
                <w:color w:val="auto"/>
              </w:rPr>
              <w:t>MARK FOR</w:t>
            </w:r>
          </w:p>
        </w:tc>
        <w:tc>
          <w:tcPr>
            <w:tcW w:w="380" w:type="dxa"/>
            <w:vAlign w:val="bottom"/>
          </w:tcPr>
          <w:p>
            <w:pPr>
              <w:jc w:val="center"/>
              <w:spacing w:after="0" w:line="97" w:lineRule="exact"/>
              <w:rPr>
                <w:sz w:val="20"/>
                <w:szCs w:val="20"/>
                <w:color w:val="auto"/>
              </w:rPr>
            </w:pPr>
            <w:r>
              <w:rPr>
                <w:rFonts w:ascii="Courier New" w:cs="Courier New" w:eastAsia="Courier New" w:hAnsi="Courier New"/>
                <w:sz w:val="11"/>
                <w:szCs w:val="11"/>
                <w:color w:val="auto"/>
              </w:rPr>
              <w:t>TP CD</w:t>
            </w:r>
          </w:p>
        </w:tc>
      </w:tr>
      <w:tr>
        <w:trPr>
          <w:trHeight w:val="27"/>
        </w:trPr>
        <w:tc>
          <w:tcPr>
            <w:tcW w:w="4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r>
      <w:tr>
        <w:trPr>
          <w:trHeight w:val="196"/>
        </w:trPr>
        <w:tc>
          <w:tcPr>
            <w:tcW w:w="4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001</w:t>
            </w:r>
          </w:p>
        </w:tc>
        <w:tc>
          <w:tcPr>
            <w:tcW w:w="120" w:type="dxa"/>
            <w:vAlign w:val="bottom"/>
          </w:tcPr>
          <w:p>
            <w:pPr>
              <w:spacing w:after="0"/>
              <w:rPr>
                <w:sz w:val="17"/>
                <w:szCs w:val="17"/>
                <w:color w:val="auto"/>
              </w:rPr>
            </w:pPr>
          </w:p>
        </w:tc>
        <w:tc>
          <w:tcPr>
            <w:tcW w:w="1340" w:type="dxa"/>
            <w:vAlign w:val="bottom"/>
            <w:gridSpan w:val="6"/>
          </w:tcPr>
          <w:p>
            <w:pPr>
              <w:jc w:val="center"/>
              <w:ind w:right="60"/>
              <w:spacing w:after="0"/>
              <w:rPr>
                <w:sz w:val="20"/>
                <w:szCs w:val="20"/>
                <w:color w:val="auto"/>
              </w:rPr>
            </w:pPr>
            <w:r>
              <w:rPr>
                <w:rFonts w:ascii="Courier New" w:cs="Courier New" w:eastAsia="Courier New" w:hAnsi="Courier New"/>
                <w:sz w:val="12"/>
                <w:szCs w:val="12"/>
                <w:color w:val="auto"/>
              </w:rPr>
              <w:t>W15BW91256ZD22</w:t>
            </w:r>
          </w:p>
        </w:tc>
        <w:tc>
          <w:tcPr>
            <w:tcW w:w="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W90ZQ2</w:t>
            </w:r>
          </w:p>
        </w:tc>
        <w:tc>
          <w:tcPr>
            <w:tcW w:w="40" w:type="dxa"/>
            <w:vAlign w:val="bottom"/>
          </w:tcPr>
          <w:p>
            <w:pPr>
              <w:spacing w:after="0"/>
              <w:rPr>
                <w:sz w:val="17"/>
                <w:szCs w:val="17"/>
                <w:color w:val="auto"/>
              </w:rPr>
            </w:pPr>
          </w:p>
        </w:tc>
        <w:tc>
          <w:tcPr>
            <w:tcW w:w="540" w:type="dxa"/>
            <w:vAlign w:val="bottom"/>
            <w:gridSpan w:val="2"/>
          </w:tcPr>
          <w:p>
            <w:pPr>
              <w:jc w:val="center"/>
              <w:ind w:right="120"/>
              <w:spacing w:after="0"/>
              <w:rPr>
                <w:sz w:val="20"/>
                <w:szCs w:val="20"/>
                <w:color w:val="auto"/>
              </w:rPr>
            </w:pPr>
            <w:r>
              <w:rPr>
                <w:rFonts w:ascii="Courier New" w:cs="Courier New" w:eastAsia="Courier New" w:hAnsi="Courier New"/>
                <w:sz w:val="12"/>
                <w:szCs w:val="12"/>
                <w:color w:val="auto"/>
                <w:w w:val="82"/>
              </w:rPr>
              <w:t>J</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ind w:right="100"/>
              <w:spacing w:after="0"/>
              <w:rPr>
                <w:sz w:val="20"/>
                <w:szCs w:val="20"/>
                <w:color w:val="auto"/>
              </w:rPr>
            </w:pPr>
            <w:r>
              <w:rPr>
                <w:rFonts w:ascii="Courier New" w:cs="Courier New" w:eastAsia="Courier New" w:hAnsi="Courier New"/>
                <w:sz w:val="12"/>
                <w:szCs w:val="12"/>
                <w:color w:val="auto"/>
              </w:rPr>
              <w:t>3</w:t>
            </w:r>
          </w:p>
        </w:tc>
      </w:tr>
      <w:tr>
        <w:trPr>
          <w:trHeight w:val="298"/>
        </w:trPr>
        <w:tc>
          <w:tcPr>
            <w:tcW w:w="1900" w:type="dxa"/>
            <w:vAlign w:val="bottom"/>
            <w:gridSpan w:val="9"/>
          </w:tcPr>
          <w:p>
            <w:pPr>
              <w:spacing w:after="0"/>
              <w:rPr>
                <w:sz w:val="20"/>
                <w:szCs w:val="20"/>
                <w:color w:val="auto"/>
              </w:rPr>
            </w:pPr>
            <w:r>
              <w:rPr>
                <w:rFonts w:ascii="Courier New" w:cs="Courier New" w:eastAsia="Courier New" w:hAnsi="Courier New"/>
                <w:sz w:val="12"/>
                <w:szCs w:val="12"/>
                <w:color w:val="auto"/>
              </w:rPr>
              <w:t>DEL REL CD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5"/>
          </w:tcPr>
          <w:p>
            <w:pPr>
              <w:jc w:val="center"/>
              <w:ind w:right="540"/>
              <w:spacing w:after="0"/>
              <w:rPr>
                <w:sz w:val="20"/>
                <w:szCs w:val="20"/>
                <w:color w:val="auto"/>
              </w:rPr>
            </w:pPr>
            <w:r>
              <w:rPr>
                <w:rFonts w:ascii="Courier New" w:cs="Courier New" w:eastAsia="Courier New" w:hAnsi="Courier New"/>
                <w:sz w:val="12"/>
                <w:szCs w:val="12"/>
                <w:color w:val="auto"/>
              </w:rPr>
              <w:t>QUANTITY</w:t>
            </w:r>
          </w:p>
        </w:tc>
        <w:tc>
          <w:tcPr>
            <w:tcW w:w="120" w:type="dxa"/>
            <w:vAlign w:val="bottom"/>
          </w:tcPr>
          <w:p>
            <w:pPr>
              <w:spacing w:after="0"/>
              <w:rPr>
                <w:sz w:val="24"/>
                <w:szCs w:val="24"/>
                <w:color w:val="auto"/>
              </w:rPr>
            </w:pPr>
          </w:p>
        </w:tc>
        <w:tc>
          <w:tcPr>
            <w:tcW w:w="980" w:type="dxa"/>
            <w:vAlign w:val="bottom"/>
            <w:gridSpan w:val="3"/>
          </w:tcPr>
          <w:p>
            <w:pPr>
              <w:jc w:val="center"/>
              <w:ind w:left="318"/>
              <w:spacing w:after="0"/>
              <w:rPr>
                <w:sz w:val="20"/>
                <w:szCs w:val="20"/>
                <w:color w:val="auto"/>
              </w:rPr>
            </w:pPr>
            <w:r>
              <w:rPr>
                <w:rFonts w:ascii="Courier New" w:cs="Courier New" w:eastAsia="Courier New" w:hAnsi="Courier New"/>
                <w:sz w:val="12"/>
                <w:szCs w:val="12"/>
                <w:color w:val="auto"/>
              </w:rPr>
              <w:t>DEL DATE</w:t>
            </w:r>
          </w:p>
        </w:tc>
        <w:tc>
          <w:tcPr>
            <w:tcW w:w="380" w:type="dxa"/>
            <w:vAlign w:val="bottom"/>
          </w:tcPr>
          <w:p>
            <w:pPr>
              <w:spacing w:after="0"/>
              <w:rPr>
                <w:sz w:val="24"/>
                <w:szCs w:val="24"/>
                <w:color w:val="auto"/>
              </w:rPr>
            </w:pP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3"/>
        </w:trPr>
        <w:tc>
          <w:tcPr>
            <w:tcW w:w="4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001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476,190</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31-JAN-2022</w:t>
            </w:r>
          </w:p>
        </w:tc>
      </w:tr>
    </w:tbl>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FOB POINT: Destination</w:t>
      </w:r>
    </w:p>
    <w:p>
      <w:pPr>
        <w:spacing w:after="0" w:line="25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SHIP TO:</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(W90ZQ2) XR JOINT PROGRAM EX OFC FOR CHEM, B HQ JPEO</w:t>
      </w:r>
    </w:p>
    <w:p>
      <w:pPr>
        <w:ind w:left="1680"/>
        <w:spacing w:after="0"/>
        <w:rPr>
          <w:sz w:val="20"/>
          <w:szCs w:val="20"/>
          <w:color w:val="auto"/>
        </w:rPr>
      </w:pPr>
      <w:r>
        <w:rPr>
          <w:rFonts w:ascii="Courier New" w:cs="Courier New" w:eastAsia="Courier New" w:hAnsi="Courier New"/>
          <w:sz w:val="12"/>
          <w:szCs w:val="12"/>
          <w:color w:val="auto"/>
        </w:rPr>
        <w:t>5101 HOADLEY ROAD</w:t>
      </w:r>
    </w:p>
    <w:p>
      <w:pPr>
        <w:spacing w:after="0" w:line="11"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ABERDEEN PROVING GROUND, MD, 21010-54</w:t>
      </w:r>
    </w:p>
    <w:p>
      <w:pPr>
        <w:spacing w:after="0" w:line="200" w:lineRule="exact"/>
        <w:rPr>
          <w:sz w:val="20"/>
          <w:szCs w:val="20"/>
          <w:color w:val="auto"/>
        </w:rPr>
      </w:pPr>
    </w:p>
    <w:p>
      <w:pPr>
        <w:spacing w:after="0" w:line="398"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The parties will coordinate ordering through centralized</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distribution via the established Memorandum of Understanding</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between Regeneron, ASPR, and AmerisourceBergen. Exact ship-to</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locations for product will be identified through this</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coordinated process.</w:t>
      </w:r>
    </w:p>
    <w:p>
      <w:pPr>
        <w:spacing w:after="0" w:line="358"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(End of narrative F00l)</w:t>
      </w:r>
    </w:p>
    <w:p>
      <w:pPr>
        <w:sectPr>
          <w:pgSz w:w="11900" w:h="16838" w:orient="portrait"/>
          <w:cols w:equalWidth="0" w:num="1">
            <w:col w:w="10660"/>
          </w:cols>
          <w:pgMar w:left="560" w:top="1440" w:right="679" w:bottom="1440" w:gutter="0" w:footer="0" w:header="0"/>
        </w:sectPr>
      </w:pPr>
    </w:p>
    <w:bookmarkStart w:id="100" w:name="page101"/>
    <w:bookmarkEnd w:id="100"/>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20"/>
                <w:szCs w:val="20"/>
                <w:b w:val="1"/>
                <w:bCs w:val="1"/>
                <w:color w:val="auto"/>
              </w:rPr>
              <w:t>CONTINUATION SHEET</w:t>
            </w:r>
          </w:p>
        </w:tc>
        <w:tc>
          <w:tcPr>
            <w:tcW w:w="29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5 of 12</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2900" w:type="dxa"/>
            <w:vAlign w:val="bottom"/>
            <w:vMerge w:val="restart"/>
          </w:tcPr>
          <w:p>
            <w:pPr>
              <w:ind w:left="1020"/>
              <w:spacing w:after="0"/>
              <w:rPr>
                <w:sz w:val="20"/>
                <w:szCs w:val="20"/>
                <w:color w:val="auto"/>
              </w:rPr>
            </w:pPr>
            <w:r>
              <w:rPr>
                <w:rFonts w:ascii="Courier New" w:cs="Courier New" w:eastAsia="Courier New" w:hAnsi="Courier New"/>
                <w:sz w:val="12"/>
                <w:szCs w:val="12"/>
                <w:color w:val="auto"/>
              </w:rPr>
              <w:t>W15QKN-21-C-0014</w:t>
            </w:r>
          </w:p>
        </w:tc>
        <w:tc>
          <w:tcPr>
            <w:tcW w:w="124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4300" w:type="dxa"/>
            <w:vAlign w:val="bottom"/>
          </w:tcPr>
          <w:p>
            <w:pPr>
              <w:ind w:left="3620"/>
              <w:spacing w:after="0"/>
              <w:rPr>
                <w:sz w:val="20"/>
                <w:szCs w:val="20"/>
                <w:color w:val="auto"/>
              </w:rPr>
            </w:pPr>
            <w:r>
              <w:rPr>
                <w:rFonts w:ascii="Arial" w:cs="Arial" w:eastAsia="Arial" w:hAnsi="Arial"/>
                <w:sz w:val="14"/>
                <w:szCs w:val="14"/>
                <w:b w:val="1"/>
                <w:bCs w:val="1"/>
                <w:color w:val="auto"/>
              </w:rPr>
              <w:t>PIIN/SIIN</w:t>
            </w:r>
          </w:p>
        </w:tc>
        <w:tc>
          <w:tcPr>
            <w:tcW w:w="2900" w:type="dxa"/>
            <w:vAlign w:val="bottom"/>
          </w:tcPr>
          <w:p>
            <w:pPr>
              <w:ind w:left="1740"/>
              <w:spacing w:after="0"/>
              <w:rPr>
                <w:sz w:val="20"/>
                <w:szCs w:val="20"/>
                <w:color w:val="auto"/>
              </w:rPr>
            </w:pPr>
            <w:r>
              <w:rPr>
                <w:rFonts w:ascii="Arial" w:cs="Arial" w:eastAsia="Arial" w:hAnsi="Arial"/>
                <w:sz w:val="14"/>
                <w:szCs w:val="14"/>
                <w:b w:val="1"/>
                <w:bCs w:val="1"/>
                <w:color w:val="auto"/>
              </w:rPr>
              <w:t>MOD/AMD</w:t>
            </w:r>
          </w:p>
        </w:tc>
        <w:tc>
          <w:tcPr>
            <w:tcW w:w="12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tabs>
          <w:tab w:leader="none" w:pos="3040" w:val="left"/>
        </w:tabs>
        <w:rPr>
          <w:sz w:val="20"/>
          <w:szCs w:val="20"/>
          <w:color w:val="auto"/>
        </w:rPr>
      </w:pPr>
      <w:r>
        <w:rPr>
          <w:rFonts w:ascii="Arial" w:cs="Arial" w:eastAsia="Arial" w:hAnsi="Arial"/>
          <w:sz w:val="18"/>
          <w:szCs w:val="18"/>
          <w:b w:val="1"/>
          <w:bCs w:val="1"/>
          <w:color w:val="auto"/>
        </w:rPr>
        <w:t>Name of Offeror or Contractor:</w:t>
      </w:r>
      <w:r>
        <w:rPr>
          <w:sz w:val="20"/>
          <w:szCs w:val="20"/>
          <w:color w:val="auto"/>
        </w:rPr>
        <w:tab/>
      </w: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871335" cy="6760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71335" cy="6760845"/>
                    </a:xfrm>
                    <a:prstGeom prst="rect">
                      <a:avLst/>
                    </a:prstGeom>
                    <a:noFill/>
                  </pic:spPr>
                </pic:pic>
              </a:graphicData>
            </a:graphic>
          </wp:anchor>
        </w:drawing>
      </w:r>
    </w:p>
    <w:p>
      <w:pPr>
        <w:spacing w:after="0" w:line="262"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162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3400" w:type="dxa"/>
            <w:vAlign w:val="bottom"/>
          </w:tcPr>
          <w:p>
            <w:pPr>
              <w:ind w:left="980"/>
              <w:spacing w:after="0"/>
              <w:rPr>
                <w:sz w:val="20"/>
                <w:szCs w:val="20"/>
                <w:color w:val="auto"/>
              </w:rPr>
            </w:pPr>
            <w:r>
              <w:rPr>
                <w:rFonts w:ascii="Arial" w:cs="Arial" w:eastAsia="Arial" w:hAnsi="Arial"/>
                <w:sz w:val="14"/>
                <w:szCs w:val="14"/>
                <w:b w:val="1"/>
                <w:bCs w:val="1"/>
                <w:color w:val="auto"/>
              </w:rPr>
              <w:t>SUPPLIES/SERVICES</w:t>
            </w:r>
          </w:p>
        </w:tc>
        <w:tc>
          <w:tcPr>
            <w:tcW w:w="2080" w:type="dxa"/>
            <w:vAlign w:val="bottom"/>
          </w:tcPr>
          <w:p>
            <w:pPr>
              <w:ind w:left="1020"/>
              <w:spacing w:after="0"/>
              <w:rPr>
                <w:sz w:val="20"/>
                <w:szCs w:val="20"/>
                <w:color w:val="auto"/>
              </w:rPr>
            </w:pPr>
            <w:r>
              <w:rPr>
                <w:rFonts w:ascii="Arial" w:cs="Arial" w:eastAsia="Arial" w:hAnsi="Arial"/>
                <w:sz w:val="14"/>
                <w:szCs w:val="14"/>
                <w:b w:val="1"/>
                <w:bCs w:val="1"/>
                <w:color w:val="auto"/>
              </w:rPr>
              <w:t>QUANTITY</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UNIT</w:t>
            </w: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UNIT PRICE</w:t>
            </w: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AMOUNT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136"/>
        </w:trPr>
        <w:tc>
          <w:tcPr>
            <w:tcW w:w="780" w:type="dxa"/>
            <w:vAlign w:val="bottom"/>
          </w:tcPr>
          <w:p>
            <w:pPr>
              <w:spacing w:after="0"/>
              <w:rPr>
                <w:sz w:val="20"/>
                <w:szCs w:val="20"/>
                <w:color w:val="auto"/>
              </w:rPr>
            </w:pPr>
            <w:r>
              <w:rPr>
                <w:rFonts w:ascii="Courier New" w:cs="Courier New" w:eastAsia="Courier New" w:hAnsi="Courier New"/>
                <w:sz w:val="12"/>
                <w:szCs w:val="12"/>
                <w:color w:val="auto"/>
              </w:rPr>
              <w:t>0003AC</w:t>
            </w:r>
          </w:p>
        </w:tc>
        <w:tc>
          <w:tcPr>
            <w:tcW w:w="1120" w:type="dxa"/>
            <w:vAlign w:val="bottom"/>
          </w:tcPr>
          <w:p>
            <w:pPr>
              <w:spacing w:after="0"/>
              <w:rPr>
                <w:sz w:val="20"/>
                <w:szCs w:val="20"/>
                <w:color w:val="auto"/>
              </w:rPr>
            </w:pPr>
            <w:r>
              <w:rPr>
                <w:rFonts w:ascii="Courier New" w:cs="Courier New" w:eastAsia="Courier New" w:hAnsi="Courier New"/>
                <w:sz w:val="12"/>
                <w:szCs w:val="12"/>
                <w:color w:val="auto"/>
              </w:rPr>
              <w:t>REGEN-COV DOSES</w:t>
            </w:r>
          </w:p>
        </w:tc>
        <w:tc>
          <w:tcPr>
            <w:tcW w:w="5060" w:type="dxa"/>
            <w:vAlign w:val="bottom"/>
          </w:tcPr>
          <w:p>
            <w:pPr>
              <w:jc w:val="right"/>
              <w:ind w:right="358"/>
              <w:spacing w:after="0"/>
              <w:rPr>
                <w:sz w:val="20"/>
                <w:szCs w:val="20"/>
                <w:color w:val="auto"/>
              </w:rPr>
            </w:pPr>
            <w:r>
              <w:rPr>
                <w:rFonts w:ascii="Courier New" w:cs="Courier New" w:eastAsia="Courier New" w:hAnsi="Courier New"/>
                <w:sz w:val="12"/>
                <w:szCs w:val="12"/>
                <w:color w:val="auto"/>
              </w:rPr>
              <w:t>447620</w:t>
            </w:r>
          </w:p>
        </w:tc>
        <w:tc>
          <w:tcPr>
            <w:tcW w:w="1160" w:type="dxa"/>
            <w:vAlign w:val="bottom"/>
          </w:tcPr>
          <w:p>
            <w:pPr>
              <w:ind w:left="420"/>
              <w:spacing w:after="0"/>
              <w:rPr>
                <w:sz w:val="20"/>
                <w:szCs w:val="20"/>
                <w:color w:val="auto"/>
              </w:rPr>
            </w:pPr>
            <w:r>
              <w:rPr>
                <w:rFonts w:ascii="Courier New" w:cs="Courier New" w:eastAsia="Courier New" w:hAnsi="Courier New"/>
                <w:sz w:val="12"/>
                <w:szCs w:val="12"/>
                <w:color w:val="auto"/>
              </w:rPr>
              <w:t>EA</w:t>
            </w:r>
          </w:p>
        </w:tc>
        <w:tc>
          <w:tcPr>
            <w:tcW w:w="900" w:type="dxa"/>
            <w:vAlign w:val="bottom"/>
          </w:tcPr>
          <w:p>
            <w:pPr>
              <w:jc w:val="right"/>
              <w:spacing w:after="0"/>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2,100.00000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u w:val="single" w:color="auto"/>
                <w:color w:val="auto"/>
              </w:rPr>
              <w:t>$</w:t>
            </w:r>
            <w:r>
              <w:rPr>
                <w:rFonts w:ascii="Courier New" w:cs="Courier New" w:eastAsia="Courier New" w:hAnsi="Courier New"/>
                <w:sz w:val="12"/>
                <w:szCs w:val="12"/>
                <w:color w:val="auto"/>
              </w:rPr>
              <w:t>940,002,000.00</w:t>
            </w:r>
          </w:p>
        </w:tc>
      </w:tr>
      <w:tr>
        <w:trPr>
          <w:trHeight w:val="20"/>
        </w:trPr>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COMMODITY NAME: subCLIN 0003AC CLIN</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CONTRACT TYPE:</w:t>
      </w:r>
    </w:p>
    <w:p>
      <w:pPr>
        <w:ind w:left="2860"/>
        <w:spacing w:after="0"/>
        <w:rPr>
          <w:sz w:val="20"/>
          <w:szCs w:val="20"/>
          <w:color w:val="auto"/>
        </w:rPr>
      </w:pPr>
      <w:r>
        <w:rPr>
          <w:rFonts w:ascii="Courier New" w:cs="Courier New" w:eastAsia="Courier New" w:hAnsi="Courier New"/>
          <w:sz w:val="12"/>
          <w:szCs w:val="12"/>
          <w:color w:val="auto"/>
        </w:rPr>
        <w:t>Firm Fixed Price</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PRON: X21ZS486W1 PRON AMD: 01 ACRN: AF PSC:</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6505</w:t>
      </w:r>
    </w:p>
    <w:p>
      <w:pPr>
        <w:spacing w:after="0" w:line="248"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Modification P00005 establishes CLIN 0003AC for a quantity of</w:t>
      </w:r>
    </w:p>
    <w:p>
      <w:pPr>
        <w:ind w:left="1020"/>
        <w:spacing w:after="0" w:line="235" w:lineRule="auto"/>
        <w:rPr>
          <w:sz w:val="20"/>
          <w:szCs w:val="20"/>
          <w:color w:val="auto"/>
        </w:rPr>
      </w:pPr>
      <w:r>
        <w:rPr>
          <w:rFonts w:ascii="Courier New" w:cs="Courier New" w:eastAsia="Courier New" w:hAnsi="Courier New"/>
          <w:sz w:val="12"/>
          <w:szCs w:val="12"/>
          <w:color w:val="auto"/>
        </w:rPr>
        <w:t>447,620 doses for $940,002,000. Binding Delivery Schedule is</w:t>
      </w:r>
    </w:p>
    <w:p>
      <w:pPr>
        <w:ind w:left="1020"/>
        <w:spacing w:after="0"/>
        <w:rPr>
          <w:sz w:val="20"/>
          <w:szCs w:val="20"/>
          <w:color w:val="auto"/>
        </w:rPr>
      </w:pPr>
      <w:r>
        <w:rPr>
          <w:rFonts w:ascii="Courier New" w:cs="Courier New" w:eastAsia="Courier New" w:hAnsi="Courier New"/>
          <w:sz w:val="12"/>
          <w:szCs w:val="12"/>
          <w:color w:val="auto"/>
        </w:rPr>
        <w:t>located below.</w:t>
      </w:r>
    </w:p>
    <w:p>
      <w:pPr>
        <w:spacing w:after="0" w:line="5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The Goal Delivery Schedule can be found in Section C.2.</w:t>
      </w:r>
    </w:p>
    <w:p>
      <w:pPr>
        <w:spacing w:after="0" w:line="200" w:lineRule="exact"/>
        <w:rPr>
          <w:sz w:val="20"/>
          <w:szCs w:val="20"/>
          <w:color w:val="auto"/>
        </w:rPr>
      </w:pPr>
    </w:p>
    <w:p>
      <w:pPr>
        <w:spacing w:after="0" w:line="238"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(End of narrative B00l)</w:t>
      </w:r>
    </w:p>
    <w:p>
      <w:pPr>
        <w:spacing w:after="0" w:line="85" w:lineRule="exact"/>
        <w:rPr>
          <w:sz w:val="20"/>
          <w:szCs w:val="20"/>
          <w:color w:val="auto"/>
        </w:rPr>
      </w:pPr>
    </w:p>
    <w:tbl>
      <w:tblPr>
        <w:tblLayout w:type="fixed"/>
        <w:tblInd w:w="980" w:type="dxa"/>
        <w:tblCellMar>
          <w:top w:w="0" w:type="dxa"/>
          <w:left w:w="0" w:type="dxa"/>
          <w:bottom w:w="0" w:type="dxa"/>
          <w:right w:w="0" w:type="dxa"/>
        </w:tblCellMar>
      </w:tblPr>
      <w:tr>
        <w:trPr>
          <w:trHeight w:val="136"/>
        </w:trPr>
        <w:tc>
          <w:tcPr>
            <w:tcW w:w="1560" w:type="dxa"/>
            <w:vAlign w:val="bottom"/>
            <w:tcBorders>
              <w:bottom w:val="single" w:sz="8" w:color="auto"/>
            </w:tcBorders>
            <w:gridSpan w:val="8"/>
          </w:tcPr>
          <w:p>
            <w:pPr>
              <w:spacing w:after="0"/>
              <w:rPr>
                <w:sz w:val="20"/>
                <w:szCs w:val="20"/>
                <w:color w:val="auto"/>
              </w:rPr>
            </w:pPr>
            <w:r>
              <w:rPr>
                <w:rFonts w:ascii="Courier New" w:cs="Courier New" w:eastAsia="Courier New" w:hAnsi="Courier New"/>
                <w:sz w:val="12"/>
                <w:szCs w:val="12"/>
                <w:color w:val="auto"/>
              </w:rPr>
              <w:t>Packaging and Marking</w:t>
            </w:r>
          </w:p>
        </w:tc>
        <w:tc>
          <w:tcPr>
            <w:tcW w:w="3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354"/>
        </w:trPr>
        <w:tc>
          <w:tcPr>
            <w:tcW w:w="1940" w:type="dxa"/>
            <w:vAlign w:val="bottom"/>
            <w:gridSpan w:val="11"/>
          </w:tcPr>
          <w:p>
            <w:pPr>
              <w:ind w:left="20"/>
              <w:spacing w:after="0"/>
              <w:rPr>
                <w:sz w:val="20"/>
                <w:szCs w:val="20"/>
                <w:color w:val="auto"/>
              </w:rPr>
            </w:pPr>
            <w:r>
              <w:rPr>
                <w:rFonts w:ascii="Courier New" w:cs="Courier New" w:eastAsia="Courier New" w:hAnsi="Courier New"/>
                <w:sz w:val="12"/>
                <w:szCs w:val="12"/>
                <w:color w:val="auto"/>
              </w:rPr>
              <w:t>Inspection and Acceptance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7"/>
          </w:tcPr>
          <w:p>
            <w:pPr>
              <w:spacing w:after="0"/>
              <w:rPr>
                <w:sz w:val="20"/>
                <w:szCs w:val="20"/>
                <w:color w:val="auto"/>
              </w:rPr>
            </w:pPr>
            <w:r>
              <w:rPr>
                <w:rFonts w:ascii="Courier New" w:cs="Courier New" w:eastAsia="Courier New" w:hAnsi="Courier New"/>
                <w:sz w:val="12"/>
                <w:szCs w:val="12"/>
                <w:color w:val="auto"/>
              </w:rPr>
              <w:t>INSPECTION: Destination</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10"/>
          </w:tcPr>
          <w:p>
            <w:pPr>
              <w:ind w:left="100"/>
              <w:spacing w:after="0"/>
              <w:rPr>
                <w:sz w:val="20"/>
                <w:szCs w:val="20"/>
                <w:color w:val="auto"/>
              </w:rPr>
            </w:pPr>
            <w:r>
              <w:rPr>
                <w:rFonts w:ascii="Courier New" w:cs="Courier New" w:eastAsia="Courier New" w:hAnsi="Courier New"/>
                <w:sz w:val="12"/>
                <w:szCs w:val="12"/>
                <w:color w:val="auto"/>
              </w:rPr>
              <w:t>ACCEPTANCE: Destination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36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Courier New" w:cs="Courier New" w:eastAsia="Courier New" w:hAnsi="Courier New"/>
                <w:sz w:val="12"/>
                <w:szCs w:val="12"/>
                <w:color w:val="auto"/>
              </w:rPr>
              <w:t>Deliveries or Performance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auto"/>
            </w:tcBorders>
            <w:gridSpan w:val="2"/>
          </w:tcPr>
          <w:p>
            <w:pPr>
              <w:spacing w:after="0"/>
              <w:rPr>
                <w:sz w:val="20"/>
                <w:szCs w:val="20"/>
                <w:color w:val="auto"/>
              </w:rPr>
            </w:pPr>
            <w:r>
              <w:rPr>
                <w:rFonts w:ascii="Courier New" w:cs="Courier New" w:eastAsia="Courier New" w:hAnsi="Courier New"/>
                <w:sz w:val="12"/>
                <w:szCs w:val="12"/>
                <w:color w:val="auto"/>
              </w:rPr>
              <w:t>DOC</w:t>
            </w: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SUPPL</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spacing w:after="0" w:line="125" w:lineRule="exact"/>
              <w:rPr>
                <w:sz w:val="20"/>
                <w:szCs w:val="20"/>
                <w:color w:val="auto"/>
              </w:rPr>
            </w:pPr>
            <w:r>
              <w:rPr>
                <w:rFonts w:ascii="Courier New" w:cs="Courier New" w:eastAsia="Courier New" w:hAnsi="Courier New"/>
                <w:sz w:val="12"/>
                <w:szCs w:val="12"/>
                <w:color w:val="auto"/>
              </w:rPr>
              <w:t>REL CD</w:t>
            </w:r>
          </w:p>
        </w:tc>
        <w:tc>
          <w:tcPr>
            <w:tcW w:w="180" w:type="dxa"/>
            <w:vAlign w:val="bottom"/>
          </w:tcPr>
          <w:p>
            <w:pPr>
              <w:spacing w:after="0"/>
              <w:rPr>
                <w:sz w:val="10"/>
                <w:szCs w:val="10"/>
                <w:color w:val="auto"/>
              </w:rPr>
            </w:pPr>
          </w:p>
        </w:tc>
        <w:tc>
          <w:tcPr>
            <w:tcW w:w="1160" w:type="dxa"/>
            <w:vAlign w:val="bottom"/>
            <w:gridSpan w:val="6"/>
          </w:tcPr>
          <w:p>
            <w:pPr>
              <w:jc w:val="center"/>
              <w:ind w:right="240"/>
              <w:spacing w:after="0" w:line="125" w:lineRule="exact"/>
              <w:rPr>
                <w:sz w:val="20"/>
                <w:szCs w:val="20"/>
                <w:color w:val="auto"/>
              </w:rPr>
            </w:pPr>
            <w:r>
              <w:rPr>
                <w:rFonts w:ascii="Courier New" w:cs="Courier New" w:eastAsia="Courier New" w:hAnsi="Courier New"/>
                <w:sz w:val="12"/>
                <w:szCs w:val="12"/>
                <w:color w:val="auto"/>
              </w:rPr>
              <w:t>MILSTRIP</w:t>
            </w:r>
          </w:p>
        </w:tc>
        <w:tc>
          <w:tcPr>
            <w:tcW w:w="760" w:type="dxa"/>
            <w:vAlign w:val="bottom"/>
            <w:gridSpan w:val="4"/>
          </w:tcPr>
          <w:p>
            <w:pPr>
              <w:ind w:left="20"/>
              <w:spacing w:after="0" w:line="125" w:lineRule="exact"/>
              <w:rPr>
                <w:sz w:val="20"/>
                <w:szCs w:val="20"/>
                <w:color w:val="auto"/>
              </w:rPr>
            </w:pPr>
            <w:r>
              <w:rPr>
                <w:rFonts w:ascii="Courier New" w:cs="Courier New" w:eastAsia="Courier New" w:hAnsi="Courier New"/>
                <w:sz w:val="12"/>
                <w:szCs w:val="12"/>
                <w:color w:val="auto"/>
              </w:rPr>
              <w:t>ADDR</w:t>
            </w:r>
          </w:p>
        </w:tc>
        <w:tc>
          <w:tcPr>
            <w:tcW w:w="580" w:type="dxa"/>
            <w:vAlign w:val="bottom"/>
            <w:gridSpan w:val="3"/>
          </w:tcPr>
          <w:p>
            <w:pPr>
              <w:jc w:val="center"/>
              <w:ind w:right="80"/>
              <w:spacing w:after="0" w:line="125" w:lineRule="exact"/>
              <w:rPr>
                <w:sz w:val="20"/>
                <w:szCs w:val="20"/>
                <w:color w:val="auto"/>
              </w:rPr>
            </w:pPr>
            <w:r>
              <w:rPr>
                <w:rFonts w:ascii="Courier New" w:cs="Courier New" w:eastAsia="Courier New" w:hAnsi="Courier New"/>
                <w:sz w:val="12"/>
                <w:szCs w:val="12"/>
                <w:color w:val="auto"/>
              </w:rPr>
              <w:t>SIG CD</w:t>
            </w:r>
          </w:p>
        </w:tc>
        <w:tc>
          <w:tcPr>
            <w:tcW w:w="1100" w:type="dxa"/>
            <w:vAlign w:val="bottom"/>
            <w:gridSpan w:val="4"/>
          </w:tcPr>
          <w:p>
            <w:pPr>
              <w:ind w:left="120"/>
              <w:spacing w:after="0" w:line="125" w:lineRule="exact"/>
              <w:rPr>
                <w:sz w:val="20"/>
                <w:szCs w:val="20"/>
                <w:color w:val="auto"/>
              </w:rPr>
            </w:pPr>
            <w:r>
              <w:rPr>
                <w:rFonts w:ascii="Courier New" w:cs="Courier New" w:eastAsia="Courier New" w:hAnsi="Courier New"/>
                <w:sz w:val="12"/>
                <w:szCs w:val="12"/>
                <w:color w:val="auto"/>
              </w:rPr>
              <w:t>MARK FOR</w:t>
            </w:r>
          </w:p>
        </w:tc>
        <w:tc>
          <w:tcPr>
            <w:tcW w:w="380" w:type="dxa"/>
            <w:vAlign w:val="bottom"/>
            <w:gridSpan w:val="2"/>
          </w:tcPr>
          <w:p>
            <w:pPr>
              <w:jc w:val="center"/>
              <w:spacing w:after="0" w:line="125" w:lineRule="exact"/>
              <w:rPr>
                <w:sz w:val="20"/>
                <w:szCs w:val="20"/>
                <w:color w:val="auto"/>
              </w:rPr>
            </w:pPr>
            <w:r>
              <w:rPr>
                <w:rFonts w:ascii="Courier New" w:cs="Courier New" w:eastAsia="Courier New" w:hAnsi="Courier New"/>
                <w:sz w:val="12"/>
                <w:szCs w:val="12"/>
                <w:color w:val="auto"/>
                <w:w w:val="99"/>
              </w:rPr>
              <w:t>TP CD</w:t>
            </w:r>
          </w:p>
        </w:tc>
      </w:tr>
      <w:tr>
        <w:trPr>
          <w:trHeight w:val="20"/>
        </w:trPr>
        <w:tc>
          <w:tcPr>
            <w:tcW w:w="60" w:type="dxa"/>
            <w:vAlign w:val="bottom"/>
            <w:tcBorders>
              <w:right w:val="single" w:sz="8" w:color="auto"/>
            </w:tcBorders>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16"/>
        </w:trPr>
        <w:tc>
          <w:tcPr>
            <w:tcW w:w="60" w:type="dxa"/>
            <w:vAlign w:val="bottom"/>
            <w:gridSpan w:val="2"/>
          </w:tcPr>
          <w:p>
            <w:pPr>
              <w:spacing w:after="0"/>
              <w:rPr>
                <w:sz w:val="18"/>
                <w:szCs w:val="18"/>
                <w:color w:val="auto"/>
              </w:rPr>
            </w:pPr>
          </w:p>
        </w:tc>
        <w:tc>
          <w:tcPr>
            <w:tcW w:w="420" w:type="dxa"/>
            <w:vAlign w:val="bottom"/>
          </w:tcPr>
          <w:p>
            <w:pPr>
              <w:jc w:val="right"/>
              <w:ind w:right="78"/>
              <w:spacing w:after="0"/>
              <w:rPr>
                <w:sz w:val="20"/>
                <w:szCs w:val="20"/>
                <w:color w:val="auto"/>
              </w:rPr>
            </w:pPr>
            <w:r>
              <w:rPr>
                <w:rFonts w:ascii="Courier New" w:cs="Courier New" w:eastAsia="Courier New" w:hAnsi="Courier New"/>
                <w:sz w:val="12"/>
                <w:szCs w:val="12"/>
                <w:color w:val="auto"/>
              </w:rPr>
              <w:t>001</w:t>
            </w:r>
          </w:p>
        </w:tc>
        <w:tc>
          <w:tcPr>
            <w:tcW w:w="120" w:type="dxa"/>
            <w:vAlign w:val="bottom"/>
          </w:tcPr>
          <w:p>
            <w:pPr>
              <w:spacing w:after="0"/>
              <w:rPr>
                <w:sz w:val="18"/>
                <w:szCs w:val="18"/>
                <w:color w:val="auto"/>
              </w:rPr>
            </w:pPr>
          </w:p>
        </w:tc>
        <w:tc>
          <w:tcPr>
            <w:tcW w:w="1340" w:type="dxa"/>
            <w:vAlign w:val="bottom"/>
            <w:gridSpan w:val="7"/>
          </w:tcPr>
          <w:p>
            <w:pPr>
              <w:jc w:val="center"/>
              <w:ind w:right="60"/>
              <w:spacing w:after="0"/>
              <w:rPr>
                <w:sz w:val="20"/>
                <w:szCs w:val="20"/>
                <w:color w:val="auto"/>
              </w:rPr>
            </w:pPr>
            <w:r>
              <w:rPr>
                <w:rFonts w:ascii="Courier New" w:cs="Courier New" w:eastAsia="Courier New" w:hAnsi="Courier New"/>
                <w:sz w:val="12"/>
                <w:szCs w:val="12"/>
                <w:color w:val="auto"/>
              </w:rPr>
              <w:t>W15BW91256ZD23</w:t>
            </w:r>
          </w:p>
        </w:tc>
        <w:tc>
          <w:tcPr>
            <w:tcW w:w="2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Courier New" w:cs="Courier New" w:eastAsia="Courier New" w:hAnsi="Courier New"/>
                <w:sz w:val="12"/>
                <w:szCs w:val="12"/>
                <w:color w:val="auto"/>
              </w:rPr>
              <w:t>W90ZQ2</w:t>
            </w:r>
          </w:p>
        </w:tc>
        <w:tc>
          <w:tcPr>
            <w:tcW w:w="40" w:type="dxa"/>
            <w:vAlign w:val="bottom"/>
          </w:tcPr>
          <w:p>
            <w:pPr>
              <w:spacing w:after="0"/>
              <w:rPr>
                <w:sz w:val="18"/>
                <w:szCs w:val="18"/>
                <w:color w:val="auto"/>
              </w:rPr>
            </w:pPr>
          </w:p>
        </w:tc>
        <w:tc>
          <w:tcPr>
            <w:tcW w:w="540" w:type="dxa"/>
            <w:vAlign w:val="bottom"/>
            <w:gridSpan w:val="2"/>
          </w:tcPr>
          <w:p>
            <w:pPr>
              <w:jc w:val="center"/>
              <w:ind w:right="120"/>
              <w:spacing w:after="0"/>
              <w:rPr>
                <w:sz w:val="20"/>
                <w:szCs w:val="20"/>
                <w:color w:val="auto"/>
              </w:rPr>
            </w:pPr>
            <w:r>
              <w:rPr>
                <w:rFonts w:ascii="Courier New" w:cs="Courier New" w:eastAsia="Courier New" w:hAnsi="Courier New"/>
                <w:sz w:val="12"/>
                <w:szCs w:val="12"/>
                <w:color w:val="auto"/>
                <w:w w:val="82"/>
              </w:rPr>
              <w:t>J</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Courier New" w:cs="Courier New" w:eastAsia="Courier New" w:hAnsi="Courier New"/>
                <w:sz w:val="12"/>
                <w:szCs w:val="12"/>
                <w:color w:val="auto"/>
              </w:rPr>
              <w:t>3</w:t>
            </w: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9"/>
          </w:tcPr>
          <w:p>
            <w:pPr>
              <w:spacing w:after="0"/>
              <w:rPr>
                <w:sz w:val="20"/>
                <w:szCs w:val="20"/>
                <w:color w:val="auto"/>
              </w:rPr>
            </w:pPr>
            <w:r>
              <w:rPr>
                <w:rFonts w:ascii="Courier New" w:cs="Courier New" w:eastAsia="Courier New" w:hAnsi="Courier New"/>
                <w:sz w:val="12"/>
                <w:szCs w:val="12"/>
                <w:color w:val="auto"/>
              </w:rPr>
              <w:t>DEL REL CD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540"/>
              <w:spacing w:after="0"/>
              <w:rPr>
                <w:sz w:val="20"/>
                <w:szCs w:val="20"/>
                <w:color w:val="auto"/>
              </w:rPr>
            </w:pPr>
            <w:r>
              <w:rPr>
                <w:rFonts w:ascii="Courier New" w:cs="Courier New" w:eastAsia="Courier New" w:hAnsi="Courier New"/>
                <w:sz w:val="12"/>
                <w:szCs w:val="12"/>
                <w:color w:val="auto"/>
              </w:rPr>
              <w:t>QUANTITY</w:t>
            </w:r>
          </w:p>
        </w:tc>
        <w:tc>
          <w:tcPr>
            <w:tcW w:w="120" w:type="dxa"/>
            <w:vAlign w:val="bottom"/>
          </w:tcPr>
          <w:p>
            <w:pPr>
              <w:spacing w:after="0"/>
              <w:rPr>
                <w:sz w:val="14"/>
                <w:szCs w:val="14"/>
                <w:color w:val="auto"/>
              </w:rPr>
            </w:pPr>
          </w:p>
        </w:tc>
        <w:tc>
          <w:tcPr>
            <w:tcW w:w="980" w:type="dxa"/>
            <w:vAlign w:val="bottom"/>
            <w:gridSpan w:val="3"/>
          </w:tcPr>
          <w:p>
            <w:pPr>
              <w:jc w:val="center"/>
              <w:ind w:left="318"/>
              <w:spacing w:after="0"/>
              <w:rPr>
                <w:sz w:val="20"/>
                <w:szCs w:val="20"/>
                <w:color w:val="auto"/>
              </w:rPr>
            </w:pPr>
            <w:r>
              <w:rPr>
                <w:rFonts w:ascii="Courier New" w:cs="Courier New" w:eastAsia="Courier New" w:hAnsi="Courier New"/>
                <w:sz w:val="12"/>
                <w:szCs w:val="12"/>
                <w:color w:val="auto"/>
              </w:rPr>
              <w:t>DEL DATE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0"/>
        </w:trPr>
        <w:tc>
          <w:tcPr>
            <w:tcW w:w="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03"/>
        </w:trPr>
        <w:tc>
          <w:tcPr>
            <w:tcW w:w="60" w:type="dxa"/>
            <w:vAlign w:val="bottom"/>
            <w:gridSpan w:val="2"/>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001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476,620</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5"/>
          </w:tcPr>
          <w:p>
            <w:pPr>
              <w:jc w:val="center"/>
              <w:ind w:right="20"/>
              <w:spacing w:after="0"/>
              <w:rPr>
                <w:sz w:val="20"/>
                <w:szCs w:val="20"/>
                <w:color w:val="auto"/>
              </w:rPr>
            </w:pPr>
            <w:r>
              <w:rPr>
                <w:rFonts w:ascii="Courier New" w:cs="Courier New" w:eastAsia="Courier New" w:hAnsi="Courier New"/>
                <w:sz w:val="12"/>
                <w:szCs w:val="12"/>
                <w:color w:val="auto"/>
              </w:rPr>
              <w:t>31-JAN-2022</w:t>
            </w:r>
          </w:p>
        </w:tc>
      </w:tr>
    </w:tbl>
    <w:p>
      <w:pPr>
        <w:spacing w:after="0" w:line="314"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FOB POINT: Destination</w:t>
      </w:r>
    </w:p>
    <w:p>
      <w:pPr>
        <w:spacing w:after="0" w:line="25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SHIP TO:</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(W90ZQ2) XR JOINT PROGRAM EX OFC FOR CHEM, B HQ JPEO</w:t>
      </w:r>
    </w:p>
    <w:p>
      <w:pPr>
        <w:ind w:left="1680"/>
        <w:spacing w:after="0"/>
        <w:rPr>
          <w:sz w:val="20"/>
          <w:szCs w:val="20"/>
          <w:color w:val="auto"/>
        </w:rPr>
      </w:pPr>
      <w:r>
        <w:rPr>
          <w:rFonts w:ascii="Courier New" w:cs="Courier New" w:eastAsia="Courier New" w:hAnsi="Courier New"/>
          <w:sz w:val="12"/>
          <w:szCs w:val="12"/>
          <w:color w:val="auto"/>
        </w:rPr>
        <w:t>5101 HOADLEY ROAD</w:t>
      </w:r>
    </w:p>
    <w:p>
      <w:pPr>
        <w:spacing w:after="0" w:line="11"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ABERDEEN PROVING GROUND, MD, 21010-54</w:t>
      </w:r>
    </w:p>
    <w:p>
      <w:pPr>
        <w:spacing w:after="0" w:line="200" w:lineRule="exact"/>
        <w:rPr>
          <w:sz w:val="20"/>
          <w:szCs w:val="20"/>
          <w:color w:val="auto"/>
        </w:rPr>
      </w:pPr>
    </w:p>
    <w:p>
      <w:pPr>
        <w:spacing w:after="0" w:line="385"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The parties will coordinate ordering through centralized</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distribution via the established Memorandum of Understanding</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between Regeneron, ASPR, and AmerisourceBergen. Exact ship-to</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locations for product will be identified through this</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coordinated process.</w:t>
      </w:r>
    </w:p>
    <w:p>
      <w:pPr>
        <w:spacing w:after="0" w:line="371"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(End of narrative F00l)</w:t>
      </w: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620" w:type="dxa"/>
            <w:vAlign w:val="bottom"/>
          </w:tcPr>
          <w:p>
            <w:pPr>
              <w:jc w:val="right"/>
              <w:ind w:right="258"/>
              <w:spacing w:after="0"/>
              <w:rPr>
                <w:sz w:val="20"/>
                <w:szCs w:val="20"/>
                <w:color w:val="auto"/>
              </w:rPr>
            </w:pPr>
            <w:r>
              <w:rPr>
                <w:rFonts w:ascii="Courier New" w:cs="Courier New" w:eastAsia="Courier New" w:hAnsi="Courier New"/>
                <w:sz w:val="12"/>
                <w:szCs w:val="12"/>
                <w:color w:val="auto"/>
                <w:w w:val="97"/>
              </w:rPr>
              <w:t>0004</w:t>
            </w:r>
          </w:p>
        </w:tc>
        <w:tc>
          <w:tcPr>
            <w:tcW w:w="4200" w:type="dxa"/>
            <w:vAlign w:val="bottom"/>
          </w:tcPr>
          <w:p>
            <w:pPr>
              <w:ind w:left="320"/>
              <w:spacing w:after="0"/>
              <w:rPr>
                <w:sz w:val="20"/>
                <w:szCs w:val="20"/>
                <w:color w:val="auto"/>
              </w:rPr>
            </w:pPr>
            <w:r>
              <w:rPr>
                <w:rFonts w:ascii="Courier New" w:cs="Courier New" w:eastAsia="Courier New" w:hAnsi="Courier New"/>
                <w:sz w:val="12"/>
                <w:szCs w:val="12"/>
                <w:color w:val="auto"/>
              </w:rPr>
              <w:t>VENDOR MANAGED INVENTORY (VMI)</w:t>
            </w:r>
          </w:p>
        </w:tc>
        <w:tc>
          <w:tcPr>
            <w:tcW w:w="2220" w:type="dxa"/>
            <w:vAlign w:val="bottom"/>
          </w:tcPr>
          <w:p>
            <w:pPr>
              <w:jc w:val="right"/>
              <w:ind w:right="458"/>
              <w:spacing w:after="0"/>
              <w:rPr>
                <w:sz w:val="20"/>
                <w:szCs w:val="20"/>
                <w:color w:val="auto"/>
              </w:rPr>
            </w:pPr>
            <w:r>
              <w:rPr>
                <w:rFonts w:ascii="Courier New" w:cs="Courier New" w:eastAsia="Courier New" w:hAnsi="Courier New"/>
                <w:sz w:val="12"/>
                <w:szCs w:val="12"/>
                <w:color w:val="auto"/>
              </w:rPr>
              <w:t>1</w:t>
            </w:r>
          </w:p>
        </w:tc>
        <w:tc>
          <w:tcPr>
            <w:tcW w:w="1360" w:type="dxa"/>
            <w:vAlign w:val="bottom"/>
          </w:tcPr>
          <w:p>
            <w:pPr>
              <w:ind w:left="500"/>
              <w:spacing w:after="0"/>
              <w:rPr>
                <w:sz w:val="20"/>
                <w:szCs w:val="20"/>
                <w:color w:val="auto"/>
              </w:rPr>
            </w:pPr>
            <w:r>
              <w:rPr>
                <w:rFonts w:ascii="Courier New" w:cs="Courier New" w:eastAsia="Courier New" w:hAnsi="Courier New"/>
                <w:sz w:val="12"/>
                <w:szCs w:val="12"/>
                <w:color w:val="auto"/>
              </w:rPr>
              <w:t>EA</w:t>
            </w:r>
          </w:p>
        </w:tc>
        <w:tc>
          <w:tcPr>
            <w:tcW w:w="1000" w:type="dxa"/>
            <w:vAlign w:val="bottom"/>
            <w:gridSpan w:val="2"/>
          </w:tcPr>
          <w:p>
            <w:pPr>
              <w:jc w:val="right"/>
              <w:ind w:right="340"/>
              <w:spacing w:after="0"/>
              <w:rPr>
                <w:sz w:val="20"/>
                <w:szCs w:val="20"/>
                <w:color w:val="auto"/>
              </w:rPr>
            </w:pPr>
            <w:r>
              <w:rPr>
                <w:rFonts w:ascii="Courier New" w:cs="Courier New" w:eastAsia="Courier New" w:hAnsi="Courier New"/>
                <w:sz w:val="12"/>
                <w:szCs w:val="12"/>
                <w:color w:val="auto"/>
                <w:w w:val="98"/>
              </w:rPr>
              <w:t>$ [* * *]</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 [* * *]</w:t>
            </w:r>
          </w:p>
        </w:tc>
      </w:tr>
      <w:tr>
        <w:trPr>
          <w:trHeight w:val="20"/>
        </w:trPr>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50"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COMMODITY NAME: VMI</w:t>
      </w:r>
    </w:p>
    <w:p>
      <w:pPr>
        <w:sectPr>
          <w:pgSz w:w="11900" w:h="16838" w:orient="portrait"/>
          <w:cols w:equalWidth="0" w:num="1">
            <w:col w:w="10660"/>
          </w:cols>
          <w:pgMar w:left="560" w:top="1440" w:right="679" w:bottom="1440" w:gutter="0" w:footer="0" w:header="0"/>
        </w:sectPr>
      </w:pPr>
    </w:p>
    <w:bookmarkStart w:id="101" w:name="page102"/>
    <w:bookmarkEnd w:id="101"/>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20"/>
                <w:szCs w:val="20"/>
                <w:b w:val="1"/>
                <w:bCs w:val="1"/>
                <w:color w:val="auto"/>
              </w:rPr>
              <w:t>CONTINUATION SHEET</w:t>
            </w:r>
          </w:p>
        </w:tc>
        <w:tc>
          <w:tcPr>
            <w:tcW w:w="29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6 of 12</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2900" w:type="dxa"/>
            <w:vAlign w:val="bottom"/>
            <w:vMerge w:val="restart"/>
          </w:tcPr>
          <w:p>
            <w:pPr>
              <w:ind w:left="1020"/>
              <w:spacing w:after="0"/>
              <w:rPr>
                <w:sz w:val="20"/>
                <w:szCs w:val="20"/>
                <w:color w:val="auto"/>
              </w:rPr>
            </w:pPr>
            <w:r>
              <w:rPr>
                <w:rFonts w:ascii="Courier New" w:cs="Courier New" w:eastAsia="Courier New" w:hAnsi="Courier New"/>
                <w:sz w:val="12"/>
                <w:szCs w:val="12"/>
                <w:color w:val="auto"/>
              </w:rPr>
              <w:t>W15QKN-21-C-0014</w:t>
            </w:r>
          </w:p>
        </w:tc>
        <w:tc>
          <w:tcPr>
            <w:tcW w:w="124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300" w:type="dxa"/>
            <w:vAlign w:val="bottom"/>
          </w:tcPr>
          <w:p>
            <w:pPr>
              <w:spacing w:after="0"/>
              <w:rPr>
                <w:sz w:val="3"/>
                <w:szCs w:val="3"/>
                <w:color w:val="auto"/>
              </w:rPr>
            </w:pPr>
          </w:p>
        </w:tc>
        <w:tc>
          <w:tcPr>
            <w:tcW w:w="2900" w:type="dxa"/>
            <w:vAlign w:val="bottom"/>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4300" w:type="dxa"/>
            <w:vAlign w:val="bottom"/>
          </w:tcPr>
          <w:p>
            <w:pPr>
              <w:ind w:left="3620"/>
              <w:spacing w:after="0"/>
              <w:rPr>
                <w:sz w:val="20"/>
                <w:szCs w:val="20"/>
                <w:color w:val="auto"/>
              </w:rPr>
            </w:pPr>
            <w:r>
              <w:rPr>
                <w:rFonts w:ascii="Arial" w:cs="Arial" w:eastAsia="Arial" w:hAnsi="Arial"/>
                <w:sz w:val="14"/>
                <w:szCs w:val="14"/>
                <w:b w:val="1"/>
                <w:bCs w:val="1"/>
                <w:color w:val="auto"/>
              </w:rPr>
              <w:t>PIIN/SIIN</w:t>
            </w:r>
          </w:p>
        </w:tc>
        <w:tc>
          <w:tcPr>
            <w:tcW w:w="2900" w:type="dxa"/>
            <w:vAlign w:val="bottom"/>
          </w:tcPr>
          <w:p>
            <w:pPr>
              <w:ind w:left="1740"/>
              <w:spacing w:after="0"/>
              <w:rPr>
                <w:sz w:val="20"/>
                <w:szCs w:val="20"/>
                <w:color w:val="auto"/>
              </w:rPr>
            </w:pPr>
            <w:r>
              <w:rPr>
                <w:rFonts w:ascii="Arial" w:cs="Arial" w:eastAsia="Arial" w:hAnsi="Arial"/>
                <w:sz w:val="14"/>
                <w:szCs w:val="14"/>
                <w:b w:val="1"/>
                <w:bCs w:val="1"/>
                <w:color w:val="auto"/>
              </w:rPr>
              <w:t>MOD/AMD</w:t>
            </w:r>
          </w:p>
        </w:tc>
        <w:tc>
          <w:tcPr>
            <w:tcW w:w="1240" w:type="dxa"/>
            <w:vAlign w:val="bottom"/>
            <w:tcBorders>
              <w:right w:val="single" w:sz="8" w:color="auto"/>
            </w:tcBorders>
          </w:tcPr>
          <w:p>
            <w:pPr>
              <w:ind w:left="12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spacing w:after="0"/>
        <w:tabs>
          <w:tab w:leader="none" w:pos="3040" w:val="left"/>
        </w:tabs>
        <w:rPr>
          <w:sz w:val="20"/>
          <w:szCs w:val="20"/>
          <w:color w:val="auto"/>
        </w:rPr>
      </w:pPr>
      <w:r>
        <w:rPr>
          <w:rFonts w:ascii="Arial" w:cs="Arial" w:eastAsia="Arial" w:hAnsi="Arial"/>
          <w:sz w:val="18"/>
          <w:szCs w:val="18"/>
          <w:b w:val="1"/>
          <w:bCs w:val="1"/>
          <w:color w:val="auto"/>
        </w:rPr>
        <w:t>Name of Offeror or Contractor:</w:t>
      </w:r>
      <w:r>
        <w:rPr>
          <w:sz w:val="20"/>
          <w:szCs w:val="20"/>
          <w:color w:val="auto"/>
        </w:rPr>
        <w:tab/>
      </w:r>
      <w:r>
        <w:rPr>
          <w:rFonts w:ascii="Courier New" w:cs="Courier New" w:eastAsia="Courier New" w:hAnsi="Courier New"/>
          <w:sz w:val="12"/>
          <w:szCs w:val="12"/>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795135" cy="4965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5135" cy="496506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ITEM NO</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98"/>
              </w:rPr>
              <w:t>SUPPLIES/SERVICES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QUANTITY</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UNIT</w:t>
            </w: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UNIT PRICE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AMOUNT</w:t>
            </w:r>
          </w:p>
        </w:tc>
      </w:tr>
      <w:tr>
        <w:trPr>
          <w:trHeight w:val="182"/>
        </w:trPr>
        <w:tc>
          <w:tcPr>
            <w:tcW w:w="102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PSC: 6505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7"/>
        </w:trPr>
        <w:tc>
          <w:tcPr>
            <w:tcW w:w="1020" w:type="dxa"/>
            <w:vAlign w:val="bottom"/>
          </w:tcPr>
          <w:p>
            <w:pPr>
              <w:spacing w:after="0"/>
              <w:rPr>
                <w:sz w:val="12"/>
                <w:szCs w:val="12"/>
                <w:color w:val="auto"/>
              </w:rPr>
            </w:pPr>
          </w:p>
        </w:tc>
        <w:tc>
          <w:tcPr>
            <w:tcW w:w="1560" w:type="dxa"/>
            <w:vAlign w:val="bottom"/>
            <w:gridSpan w:val="7"/>
          </w:tcPr>
          <w:p>
            <w:pPr>
              <w:spacing w:after="0"/>
              <w:rPr>
                <w:sz w:val="20"/>
                <w:szCs w:val="20"/>
                <w:color w:val="auto"/>
              </w:rPr>
            </w:pPr>
            <w:r>
              <w:rPr>
                <w:rFonts w:ascii="Courier New" w:cs="Courier New" w:eastAsia="Courier New" w:hAnsi="Courier New"/>
                <w:sz w:val="12"/>
                <w:szCs w:val="12"/>
                <w:color w:val="auto"/>
              </w:rPr>
              <w:t>CLIN CONTRACT TYPE: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7"/>
          </w:tcPr>
          <w:p>
            <w:pPr>
              <w:jc w:val="center"/>
              <w:ind w:right="200"/>
              <w:spacing w:after="0"/>
              <w:rPr>
                <w:sz w:val="20"/>
                <w:szCs w:val="20"/>
                <w:color w:val="auto"/>
              </w:rPr>
            </w:pPr>
            <w:r>
              <w:rPr>
                <w:rFonts w:ascii="Courier New" w:cs="Courier New" w:eastAsia="Courier New" w:hAnsi="Courier New"/>
                <w:sz w:val="12"/>
                <w:szCs w:val="12"/>
                <w:color w:val="auto"/>
              </w:rPr>
              <w:t>Firm Fixed Price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467"/>
        </w:trPr>
        <w:tc>
          <w:tcPr>
            <w:tcW w:w="1020" w:type="dxa"/>
            <w:vAlign w:val="bottom"/>
          </w:tcPr>
          <w:p>
            <w:pPr>
              <w:spacing w:after="0"/>
              <w:rPr>
                <w:sz w:val="24"/>
                <w:szCs w:val="24"/>
                <w:color w:val="auto"/>
              </w:rPr>
            </w:pPr>
          </w:p>
        </w:tc>
        <w:tc>
          <w:tcPr>
            <w:tcW w:w="6120" w:type="dxa"/>
            <w:vAlign w:val="bottom"/>
            <w:gridSpan w:val="24"/>
          </w:tcPr>
          <w:p>
            <w:pPr>
              <w:spacing w:after="0"/>
              <w:rPr>
                <w:sz w:val="20"/>
                <w:szCs w:val="20"/>
                <w:color w:val="auto"/>
              </w:rPr>
            </w:pPr>
            <w:r>
              <w:rPr>
                <w:rFonts w:ascii="Courier New" w:cs="Courier New" w:eastAsia="Courier New" w:hAnsi="Courier New"/>
                <w:sz w:val="12"/>
                <w:szCs w:val="12"/>
                <w:color w:val="auto"/>
              </w:rPr>
              <w:t>This CLIN applies to Vendor Managed Inventory (VMI) that shall</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47"/>
        </w:trPr>
        <w:tc>
          <w:tcPr>
            <w:tcW w:w="1020" w:type="dxa"/>
            <w:vAlign w:val="bottom"/>
          </w:tcPr>
          <w:p>
            <w:pPr>
              <w:spacing w:after="0"/>
              <w:rPr>
                <w:sz w:val="12"/>
                <w:szCs w:val="12"/>
                <w:color w:val="auto"/>
              </w:rPr>
            </w:pPr>
          </w:p>
        </w:tc>
        <w:tc>
          <w:tcPr>
            <w:tcW w:w="1560" w:type="dxa"/>
            <w:vAlign w:val="bottom"/>
            <w:gridSpan w:val="7"/>
          </w:tcPr>
          <w:p>
            <w:pPr>
              <w:spacing w:after="0"/>
              <w:rPr>
                <w:sz w:val="20"/>
                <w:szCs w:val="20"/>
                <w:color w:val="auto"/>
              </w:rPr>
            </w:pPr>
            <w:r>
              <w:rPr>
                <w:rFonts w:ascii="Courier New" w:cs="Courier New" w:eastAsia="Courier New" w:hAnsi="Courier New"/>
                <w:sz w:val="12"/>
                <w:szCs w:val="12"/>
                <w:color w:val="auto"/>
              </w:rPr>
              <w:t>continue for [* *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467"/>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12"/>
          </w:tcPr>
          <w:p>
            <w:pPr>
              <w:ind w:left="500"/>
              <w:spacing w:after="0"/>
              <w:rPr>
                <w:sz w:val="20"/>
                <w:szCs w:val="20"/>
                <w:color w:val="auto"/>
              </w:rPr>
            </w:pPr>
            <w:r>
              <w:rPr>
                <w:rFonts w:ascii="Courier New" w:cs="Courier New" w:eastAsia="Courier New" w:hAnsi="Courier New"/>
                <w:sz w:val="12"/>
                <w:szCs w:val="12"/>
                <w:color w:val="auto"/>
              </w:rPr>
              <w:t>(End of narrative B00l)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8"/>
        </w:trPr>
        <w:tc>
          <w:tcPr>
            <w:tcW w:w="1020" w:type="dxa"/>
            <w:vAlign w:val="bottom"/>
          </w:tcPr>
          <w:p>
            <w:pPr>
              <w:spacing w:after="0"/>
              <w:rPr>
                <w:sz w:val="24"/>
                <w:szCs w:val="24"/>
                <w:color w:val="auto"/>
              </w:rPr>
            </w:pPr>
          </w:p>
        </w:tc>
        <w:tc>
          <w:tcPr>
            <w:tcW w:w="1560" w:type="dxa"/>
            <w:vAlign w:val="bottom"/>
            <w:tcBorders>
              <w:bottom w:val="single" w:sz="8" w:color="auto"/>
            </w:tcBorders>
            <w:gridSpan w:val="7"/>
          </w:tcPr>
          <w:p>
            <w:pPr>
              <w:spacing w:after="0"/>
              <w:rPr>
                <w:sz w:val="20"/>
                <w:szCs w:val="20"/>
                <w:color w:val="auto"/>
              </w:rPr>
            </w:pPr>
            <w:r>
              <w:rPr>
                <w:rFonts w:ascii="Courier New" w:cs="Courier New" w:eastAsia="Courier New" w:hAnsi="Courier New"/>
                <w:sz w:val="12"/>
                <w:szCs w:val="12"/>
                <w:color w:val="auto"/>
              </w:rPr>
              <w:t>Packaging and Marking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7"/>
        </w:trPr>
        <w:tc>
          <w:tcPr>
            <w:tcW w:w="2840" w:type="dxa"/>
            <w:vAlign w:val="bottom"/>
            <w:gridSpan w:val="10"/>
          </w:tcPr>
          <w:p>
            <w:pPr>
              <w:ind w:left="980"/>
              <w:spacing w:after="0"/>
              <w:rPr>
                <w:sz w:val="20"/>
                <w:szCs w:val="20"/>
                <w:color w:val="auto"/>
              </w:rPr>
            </w:pPr>
            <w:r>
              <w:rPr>
                <w:rFonts w:ascii="Courier New" w:cs="Courier New" w:eastAsia="Courier New" w:hAnsi="Courier New"/>
                <w:sz w:val="12"/>
                <w:szCs w:val="12"/>
                <w:color w:val="auto"/>
              </w:rPr>
              <w:t>Inspection and Acceptance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1820" w:type="dxa"/>
            <w:vAlign w:val="bottom"/>
            <w:gridSpan w:val="9"/>
          </w:tcPr>
          <w:p>
            <w:pPr>
              <w:spacing w:after="0"/>
              <w:rPr>
                <w:sz w:val="20"/>
                <w:szCs w:val="20"/>
                <w:color w:val="auto"/>
              </w:rPr>
            </w:pPr>
            <w:r>
              <w:rPr>
                <w:rFonts w:ascii="Courier New" w:cs="Courier New" w:eastAsia="Courier New" w:hAnsi="Courier New"/>
                <w:sz w:val="12"/>
                <w:szCs w:val="12"/>
                <w:color w:val="auto"/>
              </w:rPr>
              <w:t>INSPECTION: Destination</w:t>
            </w:r>
          </w:p>
        </w:tc>
        <w:tc>
          <w:tcPr>
            <w:tcW w:w="60" w:type="dxa"/>
            <w:vAlign w:val="bottom"/>
          </w:tcPr>
          <w:p>
            <w:pPr>
              <w:spacing w:after="0"/>
              <w:rPr>
                <w:sz w:val="12"/>
                <w:szCs w:val="12"/>
                <w:color w:val="auto"/>
              </w:rPr>
            </w:pPr>
          </w:p>
        </w:tc>
        <w:tc>
          <w:tcPr>
            <w:tcW w:w="2460" w:type="dxa"/>
            <w:vAlign w:val="bottom"/>
            <w:gridSpan w:val="11"/>
          </w:tcPr>
          <w:p>
            <w:pPr>
              <w:ind w:left="140"/>
              <w:spacing w:after="0"/>
              <w:rPr>
                <w:sz w:val="20"/>
                <w:szCs w:val="20"/>
                <w:color w:val="auto"/>
              </w:rPr>
            </w:pPr>
            <w:r>
              <w:rPr>
                <w:rFonts w:ascii="Courier New" w:cs="Courier New" w:eastAsia="Courier New" w:hAnsi="Courier New"/>
                <w:sz w:val="12"/>
                <w:szCs w:val="12"/>
                <w:color w:val="auto"/>
              </w:rPr>
              <w:t>ACCEPTANCE: Destination</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37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20" w:type="dxa"/>
            <w:vAlign w:val="bottom"/>
            <w:gridSpan w:val="16"/>
          </w:tcPr>
          <w:p>
            <w:pPr>
              <w:jc w:val="center"/>
              <w:ind w:right="900"/>
              <w:spacing w:after="0"/>
              <w:rPr>
                <w:sz w:val="20"/>
                <w:szCs w:val="20"/>
                <w:color w:val="auto"/>
              </w:rPr>
            </w:pPr>
            <w:r>
              <w:rPr>
                <w:rFonts w:ascii="Courier New" w:cs="Courier New" w:eastAsia="Courier New" w:hAnsi="Courier New"/>
                <w:sz w:val="12"/>
                <w:szCs w:val="12"/>
                <w:color w:val="auto"/>
              </w:rPr>
              <w:t>Deliveries or Performance</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0"/>
        </w:trPr>
        <w:tc>
          <w:tcPr>
            <w:tcW w:w="10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DOC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4"/>
          </w:tcPr>
          <w:p>
            <w:pPr>
              <w:ind w:left="60"/>
              <w:spacing w:after="0"/>
              <w:rPr>
                <w:sz w:val="20"/>
                <w:szCs w:val="20"/>
                <w:color w:val="auto"/>
              </w:rPr>
            </w:pPr>
            <w:r>
              <w:rPr>
                <w:rFonts w:ascii="Courier New" w:cs="Courier New" w:eastAsia="Courier New" w:hAnsi="Courier New"/>
                <w:sz w:val="12"/>
                <w:szCs w:val="12"/>
                <w:color w:val="auto"/>
              </w:rPr>
              <w:t>SUPPL</w:t>
            </w: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4"/>
        </w:trPr>
        <w:tc>
          <w:tcPr>
            <w:tcW w:w="1020" w:type="dxa"/>
            <w:vAlign w:val="bottom"/>
          </w:tcPr>
          <w:p>
            <w:pPr>
              <w:spacing w:after="0"/>
              <w:rPr>
                <w:sz w:val="10"/>
                <w:szCs w:val="10"/>
                <w:color w:val="auto"/>
              </w:rPr>
            </w:pPr>
          </w:p>
        </w:tc>
        <w:tc>
          <w:tcPr>
            <w:tcW w:w="820" w:type="dxa"/>
            <w:vAlign w:val="bottom"/>
            <w:gridSpan w:val="4"/>
          </w:tcPr>
          <w:p>
            <w:pPr>
              <w:spacing w:after="0" w:line="97" w:lineRule="exact"/>
              <w:rPr>
                <w:sz w:val="20"/>
                <w:szCs w:val="20"/>
                <w:color w:val="auto"/>
              </w:rPr>
            </w:pPr>
            <w:r>
              <w:rPr>
                <w:rFonts w:ascii="Courier New" w:cs="Courier New" w:eastAsia="Courier New" w:hAnsi="Courier New"/>
                <w:sz w:val="11"/>
                <w:szCs w:val="11"/>
                <w:color w:val="auto"/>
              </w:rPr>
              <w:t>REL CD</w:t>
            </w:r>
          </w:p>
        </w:tc>
        <w:tc>
          <w:tcPr>
            <w:tcW w:w="740" w:type="dxa"/>
            <w:vAlign w:val="bottom"/>
            <w:gridSpan w:val="3"/>
          </w:tcPr>
          <w:p>
            <w:pPr>
              <w:spacing w:after="0" w:line="97" w:lineRule="exact"/>
              <w:rPr>
                <w:sz w:val="20"/>
                <w:szCs w:val="20"/>
                <w:color w:val="auto"/>
              </w:rPr>
            </w:pPr>
            <w:r>
              <w:rPr>
                <w:rFonts w:ascii="Courier New" w:cs="Courier New" w:eastAsia="Courier New" w:hAnsi="Courier New"/>
                <w:sz w:val="11"/>
                <w:szCs w:val="11"/>
                <w:color w:val="auto"/>
              </w:rPr>
              <w:t>MILSTRIP</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4"/>
          </w:tcPr>
          <w:p>
            <w:pPr>
              <w:ind w:left="60"/>
              <w:spacing w:after="0" w:line="97" w:lineRule="exact"/>
              <w:rPr>
                <w:sz w:val="20"/>
                <w:szCs w:val="20"/>
                <w:color w:val="auto"/>
              </w:rPr>
            </w:pPr>
            <w:r>
              <w:rPr>
                <w:rFonts w:ascii="Courier New" w:cs="Courier New" w:eastAsia="Courier New" w:hAnsi="Courier New"/>
                <w:sz w:val="11"/>
                <w:szCs w:val="11"/>
                <w:color w:val="auto"/>
              </w:rPr>
              <w:t>ADDR</w:t>
            </w:r>
          </w:p>
        </w:tc>
        <w:tc>
          <w:tcPr>
            <w:tcW w:w="800" w:type="dxa"/>
            <w:vAlign w:val="bottom"/>
            <w:gridSpan w:val="3"/>
          </w:tcPr>
          <w:p>
            <w:pPr>
              <w:ind w:left="180"/>
              <w:spacing w:after="0" w:line="97" w:lineRule="exact"/>
              <w:rPr>
                <w:sz w:val="20"/>
                <w:szCs w:val="20"/>
                <w:color w:val="auto"/>
              </w:rPr>
            </w:pPr>
            <w:r>
              <w:rPr>
                <w:rFonts w:ascii="Courier New" w:cs="Courier New" w:eastAsia="Courier New" w:hAnsi="Courier New"/>
                <w:sz w:val="11"/>
                <w:szCs w:val="11"/>
                <w:color w:val="auto"/>
              </w:rPr>
              <w:t>SIG CD</w:t>
            </w:r>
          </w:p>
        </w:tc>
        <w:tc>
          <w:tcPr>
            <w:tcW w:w="1100" w:type="dxa"/>
            <w:vAlign w:val="bottom"/>
            <w:gridSpan w:val="5"/>
          </w:tcPr>
          <w:p>
            <w:pPr>
              <w:ind w:left="100"/>
              <w:spacing w:after="0" w:line="97" w:lineRule="exact"/>
              <w:rPr>
                <w:sz w:val="20"/>
                <w:szCs w:val="20"/>
                <w:color w:val="auto"/>
              </w:rPr>
            </w:pPr>
            <w:r>
              <w:rPr>
                <w:rFonts w:ascii="Courier New" w:cs="Courier New" w:eastAsia="Courier New" w:hAnsi="Courier New"/>
                <w:sz w:val="11"/>
                <w:szCs w:val="11"/>
                <w:color w:val="auto"/>
              </w:rPr>
              <w:t>MARK FOR</w:t>
            </w:r>
          </w:p>
        </w:tc>
        <w:tc>
          <w:tcPr>
            <w:tcW w:w="1780" w:type="dxa"/>
            <w:vAlign w:val="bottom"/>
            <w:gridSpan w:val="3"/>
          </w:tcPr>
          <w:p>
            <w:pPr>
              <w:jc w:val="center"/>
              <w:ind w:right="1329"/>
              <w:spacing w:after="0" w:line="97" w:lineRule="exact"/>
              <w:rPr>
                <w:sz w:val="20"/>
                <w:szCs w:val="20"/>
                <w:color w:val="auto"/>
              </w:rPr>
            </w:pPr>
            <w:r>
              <w:rPr>
                <w:rFonts w:ascii="Courier New" w:cs="Courier New" w:eastAsia="Courier New" w:hAnsi="Courier New"/>
                <w:sz w:val="11"/>
                <w:szCs w:val="11"/>
                <w:color w:val="auto"/>
              </w:rPr>
              <w:t>TP CD</w:t>
            </w: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96"/>
        </w:trPr>
        <w:tc>
          <w:tcPr>
            <w:tcW w:w="1460" w:type="dxa"/>
            <w:vAlign w:val="bottom"/>
            <w:gridSpan w:val="3"/>
          </w:tcPr>
          <w:p>
            <w:pPr>
              <w:jc w:val="right"/>
              <w:ind w:right="140"/>
              <w:spacing w:after="0"/>
              <w:rPr>
                <w:sz w:val="20"/>
                <w:szCs w:val="20"/>
                <w:color w:val="auto"/>
              </w:rPr>
            </w:pPr>
            <w:r>
              <w:rPr>
                <w:rFonts w:ascii="Courier New" w:cs="Courier New" w:eastAsia="Courier New" w:hAnsi="Courier New"/>
                <w:sz w:val="12"/>
                <w:szCs w:val="12"/>
                <w:color w:val="auto"/>
              </w:rPr>
              <w:t>001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top w:val="single" w:sz="8" w:color="auto"/>
            </w:tcBorders>
            <w:gridSpan w:val="2"/>
          </w:tcPr>
          <w:p>
            <w:pPr>
              <w:jc w:val="right"/>
              <w:ind w:right="140"/>
              <w:spacing w:after="0"/>
              <w:rPr>
                <w:sz w:val="20"/>
                <w:szCs w:val="20"/>
                <w:color w:val="auto"/>
              </w:rPr>
            </w:pPr>
            <w:r>
              <w:rPr>
                <w:rFonts w:ascii="Courier New" w:cs="Courier New" w:eastAsia="Courier New" w:hAnsi="Courier New"/>
                <w:sz w:val="12"/>
                <w:szCs w:val="12"/>
                <w:color w:val="auto"/>
              </w:rPr>
              <w:t>3</w:t>
            </w: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98"/>
        </w:trPr>
        <w:tc>
          <w:tcPr>
            <w:tcW w:w="10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Courier New" w:cs="Courier New" w:eastAsia="Courier New" w:hAnsi="Courier New"/>
                <w:sz w:val="12"/>
                <w:szCs w:val="12"/>
                <w:color w:val="auto"/>
              </w:rPr>
              <w:t>DEL REL CD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ind w:left="120"/>
              <w:spacing w:after="0"/>
              <w:rPr>
                <w:sz w:val="20"/>
                <w:szCs w:val="20"/>
                <w:color w:val="auto"/>
              </w:rPr>
            </w:pPr>
            <w:r>
              <w:rPr>
                <w:rFonts w:ascii="Courier New" w:cs="Courier New" w:eastAsia="Courier New" w:hAnsi="Courier New"/>
                <w:sz w:val="12"/>
                <w:szCs w:val="12"/>
                <w:color w:val="auto"/>
              </w:rPr>
              <w:t>QUANTITY</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5"/>
          </w:tcPr>
          <w:p>
            <w:pPr>
              <w:jc w:val="center"/>
              <w:ind w:right="1669"/>
              <w:spacing w:after="0"/>
              <w:rPr>
                <w:sz w:val="20"/>
                <w:szCs w:val="20"/>
                <w:color w:val="auto"/>
              </w:rPr>
            </w:pPr>
            <w:r>
              <w:rPr>
                <w:rFonts w:ascii="Courier New" w:cs="Courier New" w:eastAsia="Courier New" w:hAnsi="Courier New"/>
                <w:sz w:val="12"/>
                <w:szCs w:val="12"/>
                <w:color w:val="auto"/>
              </w:rPr>
              <w:t>DEL DATE</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020" w:type="dxa"/>
            <w:vAlign w:val="bottom"/>
          </w:tcPr>
          <w:p>
            <w:pPr>
              <w:spacing w:after="0"/>
              <w:rPr>
                <w:sz w:val="17"/>
                <w:szCs w:val="17"/>
                <w:color w:val="auto"/>
              </w:rPr>
            </w:pPr>
          </w:p>
        </w:tc>
        <w:tc>
          <w:tcPr>
            <w:tcW w:w="440" w:type="dxa"/>
            <w:vAlign w:val="bottom"/>
            <w:tcBorders>
              <w:top w:val="single" w:sz="8" w:color="auto"/>
            </w:tcBorders>
            <w:gridSpan w:val="2"/>
          </w:tcPr>
          <w:p>
            <w:pPr>
              <w:ind w:left="180"/>
              <w:spacing w:after="0"/>
              <w:rPr>
                <w:sz w:val="20"/>
                <w:szCs w:val="20"/>
                <w:color w:val="auto"/>
              </w:rPr>
            </w:pPr>
            <w:r>
              <w:rPr>
                <w:rFonts w:ascii="Courier New" w:cs="Courier New" w:eastAsia="Courier New" w:hAnsi="Courier New"/>
                <w:sz w:val="12"/>
                <w:szCs w:val="12"/>
                <w:color w:val="auto"/>
              </w:rPr>
              <w:t>001</w:t>
            </w: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Courier New" w:cs="Courier New" w:eastAsia="Courier New" w:hAnsi="Courier New"/>
                <w:sz w:val="12"/>
                <w:szCs w:val="12"/>
                <w:color w:val="auto"/>
              </w:rPr>
              <w:t>1</w:t>
            </w: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Courier New" w:cs="Courier New" w:eastAsia="Courier New" w:hAnsi="Courier New"/>
                <w:sz w:val="12"/>
                <w:szCs w:val="12"/>
                <w:color w:val="auto"/>
              </w:rPr>
              <w:t>[* * *]</w:t>
            </w:r>
          </w:p>
        </w:tc>
        <w:tc>
          <w:tcPr>
            <w:tcW w:w="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FOB POINT: Destination</w:t>
      </w:r>
    </w:p>
    <w:p>
      <w:pPr>
        <w:spacing w:after="0" w:line="25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SHIP TO:</w:t>
      </w:r>
    </w:p>
    <w:p>
      <w:pPr>
        <w:spacing w:after="0" w:line="11" w:lineRule="exact"/>
        <w:rPr>
          <w:sz w:val="20"/>
          <w:szCs w:val="20"/>
          <w:color w:val="auto"/>
        </w:rPr>
      </w:pPr>
    </w:p>
    <w:p>
      <w:pPr>
        <w:ind w:left="1020"/>
        <w:spacing w:after="0"/>
        <w:rPr>
          <w:sz w:val="20"/>
          <w:szCs w:val="20"/>
          <w:color w:val="auto"/>
        </w:rPr>
      </w:pPr>
      <w:r>
        <w:rPr>
          <w:rFonts w:ascii="Courier New" w:cs="Courier New" w:eastAsia="Courier New" w:hAnsi="Courier New"/>
          <w:sz w:val="12"/>
          <w:szCs w:val="12"/>
          <w:color w:val="auto"/>
        </w:rPr>
        <w:t>(W90ZQ2) XR JOINT PROGRAM EX OFC FOR CHEM, B HQ</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JPEO</w:t>
      </w:r>
    </w:p>
    <w:p>
      <w:pPr>
        <w:ind w:left="1680"/>
        <w:spacing w:after="0"/>
        <w:rPr>
          <w:sz w:val="20"/>
          <w:szCs w:val="20"/>
          <w:color w:val="auto"/>
        </w:rPr>
      </w:pPr>
      <w:r>
        <w:rPr>
          <w:rFonts w:ascii="Courier New" w:cs="Courier New" w:eastAsia="Courier New" w:hAnsi="Courier New"/>
          <w:sz w:val="12"/>
          <w:szCs w:val="12"/>
          <w:color w:val="auto"/>
        </w:rPr>
        <w:t>5101 HOADLEY ROAD</w:t>
      </w:r>
    </w:p>
    <w:p>
      <w:pPr>
        <w:spacing w:after="0" w:line="11"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ABERDEEN PROVING GROUND, MD, 21010-54</w:t>
      </w:r>
    </w:p>
    <w:p>
      <w:pPr>
        <w:sectPr>
          <w:pgSz w:w="11900" w:h="16838" w:orient="portrait"/>
          <w:cols w:equalWidth="0" w:num="1">
            <w:col w:w="10700"/>
          </w:cols>
          <w:pgMar w:left="560" w:top="1440" w:right="639" w:bottom="1440" w:gutter="0" w:footer="0" w:header="0"/>
        </w:sectPr>
      </w:pPr>
    </w:p>
    <w:bookmarkStart w:id="102" w:name="page103"/>
    <w:bookmarkEnd w:id="102"/>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tcBorders>
              <w:top w:val="single" w:sz="8" w:color="auto"/>
            </w:tcBorders>
            <w:vMerge w:val="restart"/>
          </w:tcPr>
          <w:p>
            <w:pPr>
              <w:ind w:left="480"/>
              <w:spacing w:after="0"/>
              <w:rPr>
                <w:sz w:val="20"/>
                <w:szCs w:val="20"/>
                <w:color w:val="auto"/>
              </w:rPr>
            </w:pPr>
            <w:r>
              <w:rPr>
                <w:rFonts w:ascii="Arial" w:cs="Arial" w:eastAsia="Arial" w:hAnsi="Arial"/>
                <w:sz w:val="20"/>
                <w:szCs w:val="20"/>
                <w:b w:val="1"/>
                <w:bCs w:val="1"/>
                <w:color w:val="auto"/>
              </w:rPr>
              <w:t>CONTINUATION SHEET</w:t>
            </w:r>
          </w:p>
        </w:tc>
        <w:tc>
          <w:tcPr>
            <w:tcW w:w="14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6"/>
              </w:rPr>
              <w:t>Reference No. of Document Being Continued</w:t>
            </w:r>
          </w:p>
        </w:tc>
        <w:tc>
          <w:tcPr>
            <w:tcW w:w="13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7 of 12</w:t>
            </w:r>
          </w:p>
        </w:tc>
        <w:tc>
          <w:tcPr>
            <w:tcW w:w="0" w:type="dxa"/>
            <w:vAlign w:val="bottom"/>
          </w:tcPr>
          <w:p>
            <w:pPr>
              <w:spacing w:after="0"/>
              <w:rPr>
                <w:sz w:val="1"/>
                <w:szCs w:val="1"/>
                <w:color w:val="auto"/>
              </w:rPr>
            </w:pPr>
          </w:p>
        </w:tc>
      </w:tr>
      <w:tr>
        <w:trPr>
          <w:trHeight w:val="158"/>
        </w:trPr>
        <w:tc>
          <w:tcPr>
            <w:tcW w:w="292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vMerge w:val="restart"/>
          </w:tcPr>
          <w:p>
            <w:pPr>
              <w:ind w:left="1080"/>
              <w:spacing w:after="0"/>
              <w:rPr>
                <w:sz w:val="20"/>
                <w:szCs w:val="20"/>
                <w:color w:val="auto"/>
              </w:rPr>
            </w:pPr>
            <w:r>
              <w:rPr>
                <w:rFonts w:ascii="Courier New" w:cs="Courier New" w:eastAsia="Courier New" w:hAnsi="Courier New"/>
                <w:sz w:val="12"/>
                <w:szCs w:val="12"/>
                <w:color w:val="auto"/>
              </w:rPr>
              <w:t>W15QKN-21-C-0014</w:t>
            </w:r>
          </w:p>
        </w:tc>
        <w:tc>
          <w:tcPr>
            <w:tcW w:w="1340" w:type="dxa"/>
            <w:vAlign w:val="bottom"/>
            <w:tcBorders>
              <w:right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9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940" w:type="dxa"/>
            <w:vAlign w:val="bottom"/>
            <w:vMerge w:val="continue"/>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20" w:type="dxa"/>
            <w:vAlign w:val="bottom"/>
          </w:tcPr>
          <w:p>
            <w:pPr>
              <w:spacing w:after="0"/>
              <w:rPr>
                <w:sz w:val="24"/>
                <w:szCs w:val="24"/>
                <w:color w:val="auto"/>
              </w:rPr>
            </w:pPr>
          </w:p>
        </w:tc>
        <w:tc>
          <w:tcPr>
            <w:tcW w:w="1440" w:type="dxa"/>
            <w:vAlign w:val="bottom"/>
          </w:tcPr>
          <w:p>
            <w:pPr>
              <w:ind w:left="740"/>
              <w:spacing w:after="0"/>
              <w:rPr>
                <w:sz w:val="20"/>
                <w:szCs w:val="20"/>
                <w:color w:val="auto"/>
              </w:rPr>
            </w:pPr>
            <w:r>
              <w:rPr>
                <w:rFonts w:ascii="Arial" w:cs="Arial" w:eastAsia="Arial" w:hAnsi="Arial"/>
                <w:sz w:val="14"/>
                <w:szCs w:val="14"/>
                <w:b w:val="1"/>
                <w:bCs w:val="1"/>
                <w:color w:val="auto"/>
              </w:rPr>
              <w:t>PIIN/SIIN</w:t>
            </w:r>
          </w:p>
        </w:tc>
        <w:tc>
          <w:tcPr>
            <w:tcW w:w="2940" w:type="dxa"/>
            <w:vAlign w:val="bottom"/>
          </w:tcPr>
          <w:p>
            <w:pPr>
              <w:ind w:left="1760"/>
              <w:spacing w:after="0"/>
              <w:rPr>
                <w:sz w:val="20"/>
                <w:szCs w:val="20"/>
                <w:color w:val="auto"/>
              </w:rPr>
            </w:pPr>
            <w:r>
              <w:rPr>
                <w:rFonts w:ascii="Arial" w:cs="Arial" w:eastAsia="Arial" w:hAnsi="Arial"/>
                <w:sz w:val="14"/>
                <w:szCs w:val="14"/>
                <w:b w:val="1"/>
                <w:bCs w:val="1"/>
                <w:color w:val="auto"/>
              </w:rPr>
              <w:t>MOD/AMD</w:t>
            </w:r>
          </w:p>
        </w:tc>
        <w:tc>
          <w:tcPr>
            <w:tcW w:w="1340" w:type="dxa"/>
            <w:vAlign w:val="bottom"/>
            <w:tcBorders>
              <w:right w:val="single" w:sz="8" w:color="auto"/>
            </w:tcBorders>
          </w:tcPr>
          <w:p>
            <w:pPr>
              <w:ind w:left="200"/>
              <w:spacing w:after="0"/>
              <w:rPr>
                <w:sz w:val="20"/>
                <w:szCs w:val="20"/>
                <w:color w:val="auto"/>
              </w:rPr>
            </w:pPr>
            <w:r>
              <w:rPr>
                <w:rFonts w:ascii="Courier New" w:cs="Courier New" w:eastAsia="Courier New" w:hAnsi="Courier New"/>
                <w:sz w:val="12"/>
                <w:szCs w:val="12"/>
                <w:color w:val="auto"/>
              </w:rPr>
              <w:t>P00005</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Name of Offeror or Contractor:</w:t>
            </w:r>
          </w:p>
        </w:tc>
        <w:tc>
          <w:tcPr>
            <w:tcW w:w="43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REGENERON PHARMACEUTICALS, INC.</w:t>
            </w:r>
          </w:p>
        </w:tc>
        <w:tc>
          <w:tcPr>
            <w:tcW w:w="1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SECTION C - DESCRIPTION/SPECIFICATIONS/WORK STATEMENT</w:t>
      </w:r>
    </w:p>
    <w:p>
      <w:pPr>
        <w:spacing w:after="0" w:line="91" w:lineRule="exact"/>
        <w:rPr>
          <w:sz w:val="20"/>
          <w:szCs w:val="20"/>
          <w:color w:val="auto"/>
        </w:rPr>
      </w:pPr>
    </w:p>
    <w:p>
      <w:pPr>
        <w:ind w:left="100"/>
        <w:spacing w:after="0"/>
        <w:rPr>
          <w:sz w:val="20"/>
          <w:szCs w:val="20"/>
          <w:color w:val="auto"/>
        </w:rPr>
      </w:pPr>
      <w:r>
        <w:rPr>
          <w:rFonts w:ascii="Courier New" w:cs="Courier New" w:eastAsia="Courier New" w:hAnsi="Courier New"/>
          <w:sz w:val="12"/>
          <w:szCs w:val="12"/>
          <w:color w:val="auto"/>
        </w:rPr>
        <w:t>STATEMENT OF WORK</w:t>
      </w:r>
    </w:p>
    <w:p>
      <w:pPr>
        <w:spacing w:after="0" w:line="251"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Production of Regeneron Therapeutic in Support of National Emergency Response to Coronavirus 2019 (COVID-19)</w:t>
      </w:r>
    </w:p>
    <w:p>
      <w:pPr>
        <w:spacing w:after="0" w:line="264" w:lineRule="exact"/>
        <w:rPr>
          <w:sz w:val="20"/>
          <w:szCs w:val="20"/>
          <w:color w:val="auto"/>
        </w:rPr>
      </w:pPr>
    </w:p>
    <w:p>
      <w:pPr>
        <w:ind w:left="120" w:right="60"/>
        <w:spacing w:after="0" w:line="261" w:lineRule="auto"/>
        <w:rPr>
          <w:sz w:val="20"/>
          <w:szCs w:val="20"/>
          <w:color w:val="auto"/>
        </w:rPr>
      </w:pPr>
      <w:r>
        <w:rPr>
          <w:rFonts w:ascii="Courier New" w:cs="Courier New" w:eastAsia="Courier New" w:hAnsi="Courier New"/>
          <w:sz w:val="12"/>
          <w:szCs w:val="12"/>
          <w:color w:val="auto"/>
        </w:rPr>
        <w:t>C.l Scope: The Department of Defense (DoD) and Department of Health and Human Services (DHHS), in support of the national emergency response to the Coronavirus Disease 2019 (COVID-19), requires the production of Regeneron therapeutic cocktail REGN10987 and REGN10933 (casirivimab and imdevimab, REGEN-COV) on a commercial item basis, up to 2,650,000 doses, to prevent infection or treat members of the DoD and the general population against the SARS COV-2 Virus.</w:t>
      </w:r>
    </w:p>
    <w:p>
      <w:pPr>
        <w:spacing w:after="0" w:line="236" w:lineRule="exact"/>
        <w:rPr>
          <w:sz w:val="20"/>
          <w:szCs w:val="20"/>
          <w:color w:val="auto"/>
        </w:rPr>
      </w:pPr>
    </w:p>
    <w:p>
      <w:pPr>
        <w:jc w:val="both"/>
        <w:ind w:left="120" w:right="500"/>
        <w:spacing w:after="0" w:line="261" w:lineRule="auto"/>
        <w:rPr>
          <w:sz w:val="20"/>
          <w:szCs w:val="20"/>
          <w:color w:val="auto"/>
        </w:rPr>
      </w:pPr>
      <w:r>
        <w:rPr>
          <w:rFonts w:ascii="Courier New" w:cs="Courier New" w:eastAsia="Courier New" w:hAnsi="Courier New"/>
          <w:sz w:val="12"/>
          <w:szCs w:val="12"/>
          <w:color w:val="auto"/>
        </w:rPr>
        <w:t>C.1.1 Background: The DHHS continuously monitors emerging infectious disease risk and prepares to respond to the threat of novel emerging infectious disease outbreaks in the United States. DHHS is responding to an outbreak of respiratory disease caused by a novel coronavirus that was first detected in China, and which has now spread worldwide, including in the United States. The virus has been named SARS-CoV-2 and the disease it causes has been named Coronavirus Disease 2019 (abbreviated COVID-19).</w:t>
      </w:r>
    </w:p>
    <w:p>
      <w:pPr>
        <w:spacing w:after="0" w:line="249" w:lineRule="exact"/>
        <w:rPr>
          <w:sz w:val="20"/>
          <w:szCs w:val="20"/>
          <w:color w:val="auto"/>
        </w:rPr>
      </w:pPr>
    </w:p>
    <w:p>
      <w:pPr>
        <w:ind w:left="120" w:right="200"/>
        <w:spacing w:after="0" w:line="260" w:lineRule="auto"/>
        <w:rPr>
          <w:sz w:val="20"/>
          <w:szCs w:val="20"/>
          <w:color w:val="auto"/>
        </w:rPr>
      </w:pPr>
      <w:r>
        <w:rPr>
          <w:rFonts w:ascii="Courier New" w:cs="Courier New" w:eastAsia="Courier New" w:hAnsi="Courier New"/>
          <w:sz w:val="12"/>
          <w:szCs w:val="12"/>
          <w:color w:val="auto"/>
        </w:rPr>
        <w:t>On January 30, 2020, the International Health Regulations Emergency Committee of the World Health Organization (WHO) declared the outbreak a Public Health Emergency of International Concern (PHEIC). On January 31, Health and Human Services Secretary Alex M. Azar II declared a Public Health Emergency (PHE) for the United States to aid the nations healthcare community in responding to COVID-19. On March 11, 2020, the WHO publicly characterized COVID-19 as a pandemic. On March 13, 2020, the President of the United States declared the COVID-19 outbreak a national emergency.</w:t>
      </w:r>
    </w:p>
    <w:p>
      <w:pPr>
        <w:spacing w:after="0" w:line="238" w:lineRule="exact"/>
        <w:rPr>
          <w:sz w:val="20"/>
          <w:szCs w:val="20"/>
          <w:color w:val="auto"/>
        </w:rPr>
      </w:pPr>
    </w:p>
    <w:p>
      <w:pPr>
        <w:ind w:left="120" w:right="200"/>
        <w:spacing w:after="0" w:line="260" w:lineRule="auto"/>
        <w:rPr>
          <w:sz w:val="20"/>
          <w:szCs w:val="20"/>
          <w:color w:val="auto"/>
        </w:rPr>
      </w:pPr>
      <w:r>
        <w:rPr>
          <w:rFonts w:ascii="Courier New" w:cs="Courier New" w:eastAsia="Courier New" w:hAnsi="Courier New"/>
          <w:sz w:val="12"/>
          <w:szCs w:val="12"/>
          <w:color w:val="auto"/>
        </w:rPr>
        <w:t>In July 2020, the DoD awarded an Other Transaction Agreement under the authority of 10 USC 2371b to Regeneron to manufacture and sell drug product to the Government, and to distribute such drug product for the Government in the U.S. These manufacturing production activities included manufacturing at-scale, filling and finishing, and storage and shipping of the REGEN-COV cocktail. On November 21, 2020, Regeneron announced that the antibody cocktail casirivimab and imdevimab administered together, had received Emergency Use Authorization (EUA) from the U.S. Food and Drug Administration (FDA). On July 30, 2021, the FDA revised the EUA for the Product, authorizing the Product for emergency use as post-exposure prophylaxis (prevention) for COVID-19 in adults and pediatric individuals (12 years of age and older weighing at least 40 kg) who are at high risk for progression to severe COVID-19, including hospitalization or death.</w:t>
      </w:r>
    </w:p>
    <w:p>
      <w:pPr>
        <w:spacing w:after="0" w:line="250" w:lineRule="exact"/>
        <w:rPr>
          <w:sz w:val="20"/>
          <w:szCs w:val="20"/>
          <w:color w:val="auto"/>
        </w:rPr>
      </w:pPr>
    </w:p>
    <w:p>
      <w:pPr>
        <w:ind w:left="120" w:right="420"/>
        <w:spacing w:after="0" w:line="262" w:lineRule="auto"/>
        <w:rPr>
          <w:sz w:val="20"/>
          <w:szCs w:val="20"/>
          <w:color w:val="auto"/>
        </w:rPr>
      </w:pPr>
      <w:r>
        <w:rPr>
          <w:rFonts w:ascii="Courier New" w:cs="Courier New" w:eastAsia="Courier New" w:hAnsi="Courier New"/>
          <w:sz w:val="12"/>
          <w:szCs w:val="12"/>
          <w:color w:val="auto"/>
        </w:rPr>
        <w:t>As part of DHHS preparedness and response activities, DHHS seeks to purchase 2,650,000 doses of the EUA authorized (or Biologics License Application (BLA) approved) casirivimab and imdevimab, administered together (REGEN-COV or the product), enough to prevent infection of or treat much of the targeted US population currently or projected to be infected over the coming months.</w:t>
      </w:r>
    </w:p>
    <w:p>
      <w:pPr>
        <w:spacing w:after="0" w:line="235" w:lineRule="exact"/>
        <w:rPr>
          <w:sz w:val="20"/>
          <w:szCs w:val="20"/>
          <w:color w:val="auto"/>
        </w:rPr>
      </w:pPr>
    </w:p>
    <w:p>
      <w:pPr>
        <w:ind w:left="120"/>
        <w:spacing w:after="0"/>
        <w:rPr>
          <w:sz w:val="20"/>
          <w:szCs w:val="20"/>
          <w:color w:val="auto"/>
        </w:rPr>
      </w:pPr>
      <w:r>
        <w:rPr>
          <w:rFonts w:ascii="Courier New" w:cs="Courier New" w:eastAsia="Courier New" w:hAnsi="Courier New"/>
          <w:sz w:val="12"/>
          <w:szCs w:val="12"/>
          <w:color w:val="auto"/>
        </w:rPr>
        <w:t>C.2 Objectives and Quantity: The contractor shall supply and the Government will purchase 2,650,000 doses of the product, as follows:</w:t>
      </w:r>
    </w:p>
    <w:p>
      <w:pPr>
        <w:spacing w:after="0" w:line="251" w:lineRule="exact"/>
        <w:rPr>
          <w:sz w:val="20"/>
          <w:szCs w:val="20"/>
          <w:color w:val="auto"/>
        </w:rPr>
      </w:pPr>
    </w:p>
    <w:p>
      <w:pPr>
        <w:ind w:left="120" w:right="660"/>
        <w:spacing w:after="0" w:line="265" w:lineRule="auto"/>
        <w:rPr>
          <w:sz w:val="20"/>
          <w:szCs w:val="20"/>
          <w:color w:val="auto"/>
        </w:rPr>
      </w:pPr>
      <w:r>
        <w:rPr>
          <w:rFonts w:ascii="Courier New" w:cs="Courier New" w:eastAsia="Courier New" w:hAnsi="Courier New"/>
          <w:sz w:val="12"/>
          <w:szCs w:val="12"/>
          <w:color w:val="auto"/>
        </w:rPr>
        <w:t>Prior Purchases: As of the date of modification P00005 to this contract, the contractor has supplied, and the Government has purchased, 1,250,000 doses of the product.</w:t>
      </w:r>
    </w:p>
    <w:p>
      <w:pPr>
        <w:spacing w:after="0" w:line="247" w:lineRule="exact"/>
        <w:rPr>
          <w:sz w:val="20"/>
          <w:szCs w:val="20"/>
          <w:color w:val="auto"/>
        </w:rPr>
      </w:pPr>
    </w:p>
    <w:p>
      <w:pPr>
        <w:ind w:left="120" w:right="200"/>
        <w:spacing w:after="0" w:line="261" w:lineRule="auto"/>
        <w:rPr>
          <w:sz w:val="20"/>
          <w:szCs w:val="20"/>
          <w:color w:val="auto"/>
        </w:rPr>
      </w:pPr>
      <w:r>
        <w:rPr>
          <w:rFonts w:ascii="Courier New" w:cs="Courier New" w:eastAsia="Courier New" w:hAnsi="Courier New"/>
          <w:sz w:val="12"/>
          <w:szCs w:val="12"/>
          <w:color w:val="auto"/>
        </w:rPr>
        <w:t>Purchase of Additional Quantities: Following the date of modification P00005 to this contract, the contractor shall supply and the Government will purchase, an additional 1,400,000 doses of the product. The Government will purchase all of such additional 1,400,000 doses that are delivered to Vendor-Managed Inventory (VMI) by January 31, 2022 (the period from the date of execution of modification P00005 to this contract through January 31, 2022, the Delivery Period).</w:t>
      </w:r>
    </w:p>
    <w:p>
      <w:pPr>
        <w:spacing w:after="0" w:line="249" w:lineRule="exact"/>
        <w:rPr>
          <w:sz w:val="20"/>
          <w:szCs w:val="20"/>
          <w:color w:val="auto"/>
        </w:rPr>
      </w:pPr>
    </w:p>
    <w:p>
      <w:pPr>
        <w:ind w:left="120" w:right="360"/>
        <w:spacing w:after="0" w:line="260" w:lineRule="auto"/>
        <w:rPr>
          <w:sz w:val="20"/>
          <w:szCs w:val="20"/>
          <w:color w:val="auto"/>
        </w:rPr>
      </w:pPr>
      <w:r>
        <w:rPr>
          <w:rFonts w:ascii="Courier New" w:cs="Courier New" w:eastAsia="Courier New" w:hAnsi="Courier New"/>
          <w:sz w:val="12"/>
          <w:szCs w:val="12"/>
          <w:color w:val="auto"/>
        </w:rPr>
        <w:t>Delivery of Additional Quantities: See Section B for binding delivery schedule. To meet the anticipated public health need, the contractor will work in good faith to accelerate deliveries to meet the Goal Delivery Schedule below. The contractor shall use commercially reasonable efforts to deliver doses early and shall keep the Government reasonably informed of its progress against such schedule in accordance with Section C.3.2. Excess deliveries in any month will count towards the minimum amount for the next months. Prior to any extension to the Delivery Period, the contractor shall coordinate with the Government to determine an appropriate path forward, aligning with Government needs. The parties shall comply with the procedures of FAR 52.212-4(f), Excusable Delays. For clarity, payments will be made for partial deliveries.</w:t>
      </w:r>
    </w:p>
    <w:p>
      <w:pPr>
        <w:spacing w:after="0" w:line="384" w:lineRule="exact"/>
        <w:rPr>
          <w:sz w:val="20"/>
          <w:szCs w:val="20"/>
          <w:color w:val="auto"/>
        </w:rPr>
      </w:pPr>
    </w:p>
    <w:p>
      <w:pPr>
        <w:ind w:left="220"/>
        <w:spacing w:after="0"/>
        <w:tabs>
          <w:tab w:leader="none" w:pos="2220" w:val="left"/>
          <w:tab w:leader="none" w:pos="3040" w:val="left"/>
          <w:tab w:leader="none" w:pos="3860" w:val="left"/>
          <w:tab w:leader="none" w:pos="4680" w:val="left"/>
        </w:tabs>
        <w:rPr>
          <w:sz w:val="20"/>
          <w:szCs w:val="20"/>
          <w:color w:val="auto"/>
        </w:rPr>
      </w:pPr>
      <w:r>
        <w:rPr>
          <w:rFonts w:ascii="Courier New" w:cs="Courier New" w:eastAsia="Courier New" w:hAnsi="Courier New"/>
          <w:sz w:val="12"/>
          <w:szCs w:val="12"/>
          <w:color w:val="auto"/>
        </w:rPr>
        <w:t>Goal Delivery Schedule*</w:t>
      </w:r>
      <w:r>
        <w:rPr>
          <w:sz w:val="20"/>
          <w:szCs w:val="20"/>
          <w:color w:val="auto"/>
        </w:rPr>
        <w:tab/>
      </w:r>
      <w:r>
        <w:rPr>
          <w:rFonts w:ascii="Courier New" w:cs="Courier New" w:eastAsia="Courier New" w:hAnsi="Courier New"/>
          <w:sz w:val="12"/>
          <w:szCs w:val="12"/>
          <w:color w:val="auto"/>
        </w:rPr>
        <w:t>[* * *]</w:t>
      </w:r>
      <w:r>
        <w:rPr>
          <w:sz w:val="20"/>
          <w:szCs w:val="20"/>
          <w:color w:val="auto"/>
        </w:rPr>
        <w:tab/>
      </w:r>
      <w:r>
        <w:rPr>
          <w:rFonts w:ascii="Courier New" w:cs="Courier New" w:eastAsia="Courier New" w:hAnsi="Courier New"/>
          <w:sz w:val="12"/>
          <w:szCs w:val="12"/>
          <w:color w:val="auto"/>
        </w:rPr>
        <w:t>[* * *]</w:t>
      </w:r>
      <w:r>
        <w:rPr>
          <w:sz w:val="20"/>
          <w:szCs w:val="20"/>
          <w:color w:val="auto"/>
        </w:rPr>
        <w:tab/>
      </w:r>
      <w:r>
        <w:rPr>
          <w:rFonts w:ascii="Courier New" w:cs="Courier New" w:eastAsia="Courier New" w:hAnsi="Courier New"/>
          <w:sz w:val="12"/>
          <w:szCs w:val="12"/>
          <w:color w:val="auto"/>
        </w:rPr>
        <w:t>[* * *]</w:t>
      </w:r>
      <w:r>
        <w:rPr>
          <w:sz w:val="20"/>
          <w:szCs w:val="20"/>
          <w:color w:val="auto"/>
        </w:rPr>
        <w:tab/>
      </w:r>
      <w:r>
        <w:rPr>
          <w:rFonts w:ascii="Courier New" w:cs="Courier New" w:eastAsia="Courier New" w:hAnsi="Courier New"/>
          <w:sz w:val="12"/>
          <w:szCs w:val="12"/>
          <w:color w:val="auto"/>
        </w:rPr>
        <w:t>[* * *]</w:t>
      </w:r>
    </w:p>
    <w:p>
      <w:pPr>
        <w:spacing w:after="0" w:line="344" w:lineRule="exact"/>
        <w:rPr>
          <w:sz w:val="20"/>
          <w:szCs w:val="20"/>
          <w:color w:val="auto"/>
        </w:rPr>
      </w:pPr>
    </w:p>
    <w:p>
      <w:pPr>
        <w:ind w:left="120" w:right="580" w:firstLine="4"/>
        <w:spacing w:after="0" w:line="289" w:lineRule="auto"/>
        <w:tabs>
          <w:tab w:leader="none" w:pos="269"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Goal delivery schedule above is non-binding and for illustrative purposes only and is subject to the contingencies and operational requirements located in Attachment 0003.</w:t>
      </w:r>
    </w:p>
    <w:p>
      <w:pPr>
        <w:spacing w:after="0" w:line="73" w:lineRule="exact"/>
        <w:rPr>
          <w:sz w:val="20"/>
          <w:szCs w:val="20"/>
          <w:color w:val="auto"/>
        </w:rPr>
      </w:pPr>
    </w:p>
    <w:p>
      <w:pPr>
        <w:ind w:left="120" w:right="280"/>
        <w:spacing w:after="0" w:line="283" w:lineRule="auto"/>
        <w:rPr>
          <w:sz w:val="20"/>
          <w:szCs w:val="20"/>
          <w:color w:val="auto"/>
        </w:rPr>
      </w:pPr>
      <w:r>
        <w:rPr>
          <w:rFonts w:ascii="Courier New" w:cs="Courier New" w:eastAsia="Courier New" w:hAnsi="Courier New"/>
          <w:sz w:val="12"/>
          <w:szCs w:val="12"/>
          <w:color w:val="auto"/>
        </w:rPr>
        <w:t>Doses: For purposes of contractors obligation to supply, and the Governments obligation to purchase, the product, a dose of the product means, at the time of delivery of product, the lowest volume approved or authorized dose of REGEN-COV for adult therapeutic use, as identified in the Treatment section of the EUA or subsequent corresponding section in the BLA. Accordingly, at the date of modification P00005, the lowest volume approved or authorized dose of the product for therapeutic use is 1.2 grams of the Product (600 mg of casirivimab and 600 mg of imdevimab). If in the future a lower dose of REGEN-COV were to be approved or authorized for therapeutic use exclusive of a pediatric dose authorization, then for purposes of all deliveries and purchases of product under this contract following such approval or authorization, a dose would be such lower dose. The Product may be delivered in a co-formulated presentation or in a presentation consisting of each antibody in separate vials, provided the formulation is consistent with the FDA approval or authorization. For clarity, any product delivered in a presentation (including any dose pack) containing greater than the then-current dose of the product, shall be purchased based on the number of doses contained in such presentation, provided the FDA has authorized or approved multiple doses to be prepared from the presentation. For example, if, at the time of delivery of product, the lowest volume approved or authorized dose of the product for therapeutic use is 1.2 grams of the product (600 mg of casirivimab and 600 mg of imdevimab) and the product is delivered in a presentation consisting of 2.4 grams (1.2 grams of casirivimab and 1.2 grams of imdevimab) and the FDA has authorized or approved the preparation of multiple doses from such presentation, then such delivery shall be counted as 2 doses delivered for purposes of this contract.</w:t>
      </w:r>
    </w:p>
    <w:p>
      <w:pPr>
        <w:spacing w:after="0" w:line="224" w:lineRule="exact"/>
        <w:rPr>
          <w:sz w:val="20"/>
          <w:szCs w:val="20"/>
          <w:color w:val="auto"/>
        </w:rPr>
      </w:pPr>
    </w:p>
    <w:p>
      <w:pPr>
        <w:ind w:left="100" w:right="160"/>
        <w:spacing w:after="0" w:line="262" w:lineRule="auto"/>
        <w:rPr>
          <w:sz w:val="20"/>
          <w:szCs w:val="20"/>
          <w:color w:val="auto"/>
        </w:rPr>
      </w:pPr>
      <w:r>
        <w:rPr>
          <w:rFonts w:ascii="Courier New" w:cs="Courier New" w:eastAsia="Courier New" w:hAnsi="Courier New"/>
          <w:sz w:val="12"/>
          <w:szCs w:val="12"/>
          <w:color w:val="auto"/>
        </w:rPr>
        <w:t>EUA Wind-Down. If a BLA is issued during the term of this Contract for REGEN-COV, contractor shall ensure that any doses subsequently provided to the Government under this Contract are appropriately labeled under the terms of the EUA (before expiration)or the BLA and are otherwise suitable for use in the United States under the terms of the EUA (before expiration) or the BLA.</w:t>
      </w:r>
    </w:p>
    <w:p>
      <w:pPr>
        <w:spacing w:after="0" w:line="102"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2"/>
          <w:szCs w:val="12"/>
          <w:color w:val="auto"/>
        </w:rPr>
        <w:t>C.3</w:t>
      </w:r>
      <w:r>
        <w:rPr>
          <w:sz w:val="20"/>
          <w:szCs w:val="20"/>
          <w:color w:val="auto"/>
        </w:rPr>
        <w:tab/>
      </w:r>
      <w:r>
        <w:rPr>
          <w:rFonts w:ascii="Courier New" w:cs="Courier New" w:eastAsia="Courier New" w:hAnsi="Courier New"/>
          <w:sz w:val="12"/>
          <w:szCs w:val="12"/>
          <w:color w:val="auto"/>
        </w:rPr>
        <w:t>Requirements:</w:t>
      </w:r>
    </w:p>
    <w:p>
      <w:pPr>
        <w:sectPr>
          <w:pgSz w:w="11900" w:h="16838" w:orient="portrait"/>
          <w:cols w:equalWidth="0" w:num="1">
            <w:col w:w="10860"/>
          </w:cols>
          <w:pgMar w:left="560" w:top="1440" w:right="479" w:bottom="544" w:gutter="0" w:footer="0" w:header="0"/>
        </w:sectPr>
      </w:pPr>
    </w:p>
    <w:bookmarkStart w:id="103" w:name="page104"/>
    <w:bookmarkEnd w:id="103"/>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2880" w:type="dxa"/>
            <w:vAlign w:val="bottom"/>
            <w:tcBorders>
              <w:top w:val="single" w:sz="8" w:color="auto"/>
            </w:tcBorders>
            <w:vMerge w:val="restart"/>
          </w:tcPr>
          <w:p>
            <w:pPr>
              <w:ind w:left="500"/>
              <w:spacing w:after="0"/>
              <w:rPr>
                <w:sz w:val="20"/>
                <w:szCs w:val="20"/>
                <w:color w:val="auto"/>
              </w:rPr>
            </w:pPr>
            <w:r>
              <w:rPr>
                <w:rFonts w:ascii="Arial" w:cs="Arial" w:eastAsia="Arial" w:hAnsi="Arial"/>
                <w:sz w:val="20"/>
                <w:szCs w:val="20"/>
                <w:b w:val="1"/>
                <w:bCs w:val="1"/>
                <w:color w:val="auto"/>
              </w:rPr>
              <w:t>CONTINUATION SHEET</w:t>
            </w:r>
          </w:p>
        </w:tc>
        <w:tc>
          <w:tcPr>
            <w:tcW w:w="140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00" w:type="dxa"/>
            <w:vAlign w:val="bottom"/>
            <w:tcBorders>
              <w:top w:val="single" w:sz="8" w:color="auto"/>
              <w:right w:val="single" w:sz="8" w:color="auto"/>
            </w:tcBorders>
          </w:tcPr>
          <w:p>
            <w:pPr>
              <w:spacing w:after="0"/>
              <w:rPr>
                <w:sz w:val="17"/>
                <w:szCs w:val="17"/>
                <w:color w:val="auto"/>
              </w:rPr>
            </w:pPr>
          </w:p>
        </w:tc>
        <w:tc>
          <w:tcPr>
            <w:tcW w:w="194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Page 8 of 12</w:t>
            </w:r>
          </w:p>
        </w:tc>
        <w:tc>
          <w:tcPr>
            <w:tcW w:w="0" w:type="dxa"/>
            <w:vAlign w:val="bottom"/>
          </w:tcPr>
          <w:p>
            <w:pPr>
              <w:spacing w:after="0"/>
              <w:rPr>
                <w:sz w:val="1"/>
                <w:szCs w:val="1"/>
                <w:color w:val="auto"/>
              </w:rPr>
            </w:pPr>
          </w:p>
        </w:tc>
      </w:tr>
      <w:tr>
        <w:trPr>
          <w:trHeight w:val="158"/>
        </w:trPr>
        <w:tc>
          <w:tcPr>
            <w:tcW w:w="288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880" w:type="dxa"/>
            <w:vAlign w:val="bottom"/>
            <w:vMerge w:val="restart"/>
          </w:tcPr>
          <w:p>
            <w:pPr>
              <w:ind w:left="1040"/>
              <w:spacing w:after="0"/>
              <w:rPr>
                <w:sz w:val="20"/>
                <w:szCs w:val="20"/>
                <w:color w:val="auto"/>
              </w:rPr>
            </w:pPr>
            <w:r>
              <w:rPr>
                <w:rFonts w:ascii="Courier New" w:cs="Courier New" w:eastAsia="Courier New" w:hAnsi="Courier New"/>
                <w:sz w:val="12"/>
                <w:szCs w:val="12"/>
                <w:color w:val="auto"/>
              </w:rPr>
              <w:t>W15QKN-21-C-0014</w:t>
            </w:r>
          </w:p>
        </w:tc>
        <w:tc>
          <w:tcPr>
            <w:tcW w:w="1200" w:type="dxa"/>
            <w:vAlign w:val="bottom"/>
            <w:tcBorders>
              <w:right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80" w:type="dxa"/>
            <w:vAlign w:val="bottom"/>
            <w:vMerge w:val="continue"/>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88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Arial" w:cs="Arial" w:eastAsia="Arial" w:hAnsi="Arial"/>
                <w:sz w:val="14"/>
                <w:szCs w:val="14"/>
                <w:b w:val="1"/>
                <w:bCs w:val="1"/>
                <w:color w:val="auto"/>
              </w:rPr>
              <w:t>PIIN/SIIN</w:t>
            </w:r>
          </w:p>
        </w:tc>
        <w:tc>
          <w:tcPr>
            <w:tcW w:w="2880" w:type="dxa"/>
            <w:vAlign w:val="bottom"/>
          </w:tcPr>
          <w:p>
            <w:pPr>
              <w:ind w:left="1700"/>
              <w:spacing w:after="0"/>
              <w:rPr>
                <w:sz w:val="20"/>
                <w:szCs w:val="20"/>
                <w:color w:val="auto"/>
              </w:rPr>
            </w:pPr>
            <w:r>
              <w:rPr>
                <w:rFonts w:ascii="Arial" w:cs="Arial" w:eastAsia="Arial" w:hAnsi="Arial"/>
                <w:sz w:val="14"/>
                <w:szCs w:val="14"/>
                <w:b w:val="1"/>
                <w:bCs w:val="1"/>
                <w:color w:val="auto"/>
              </w:rPr>
              <w:t>MOD/AMD</w:t>
            </w:r>
          </w:p>
        </w:tc>
        <w:tc>
          <w:tcPr>
            <w:tcW w:w="1200" w:type="dxa"/>
            <w:vAlign w:val="bottom"/>
            <w:tcBorders>
              <w:right w:val="single" w:sz="8" w:color="auto"/>
            </w:tcBorders>
          </w:tcPr>
          <w:p>
            <w:pPr>
              <w:ind w:left="100"/>
              <w:spacing w:after="0"/>
              <w:rPr>
                <w:sz w:val="20"/>
                <w:szCs w:val="20"/>
                <w:color w:val="auto"/>
              </w:rPr>
            </w:pPr>
            <w:r>
              <w:rPr>
                <w:rFonts w:ascii="Courier New" w:cs="Courier New" w:eastAsia="Courier New" w:hAnsi="Courier New"/>
                <w:sz w:val="12"/>
                <w:szCs w:val="12"/>
                <w:color w:val="auto"/>
              </w:rPr>
              <w:t>P00005</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880" w:type="dxa"/>
            <w:vAlign w:val="bottom"/>
          </w:tcPr>
          <w:p>
            <w:pPr>
              <w:ind w:left="120"/>
              <w:spacing w:after="0"/>
              <w:rPr>
                <w:sz w:val="20"/>
                <w:szCs w:val="20"/>
                <w:color w:val="auto"/>
              </w:rPr>
            </w:pPr>
            <w:r>
              <w:rPr>
                <w:rFonts w:ascii="Arial" w:cs="Arial" w:eastAsia="Arial" w:hAnsi="Arial"/>
                <w:sz w:val="18"/>
                <w:szCs w:val="18"/>
                <w:b w:val="1"/>
                <w:bCs w:val="1"/>
                <w:color w:val="auto"/>
              </w:rPr>
              <w:t>Name of Offeror or Contractor:</w:t>
            </w:r>
          </w:p>
        </w:tc>
        <w:tc>
          <w:tcPr>
            <w:tcW w:w="428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REGENERON PHARMACEUTICALS, INC.</w:t>
            </w:r>
          </w:p>
        </w:tc>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0"/>
        <w:spacing w:after="0" w:line="259" w:lineRule="auto"/>
        <w:rPr>
          <w:sz w:val="20"/>
          <w:szCs w:val="20"/>
          <w:color w:val="auto"/>
        </w:rPr>
      </w:pPr>
      <w:r>
        <w:rPr>
          <w:rFonts w:ascii="Courier New" w:cs="Courier New" w:eastAsia="Courier New" w:hAnsi="Courier New"/>
          <w:sz w:val="12"/>
          <w:szCs w:val="12"/>
          <w:color w:val="auto"/>
        </w:rPr>
        <w:t>C.3.1 Distribution: The contractor shall distribute the product to Government designated sites as directed by the Government, EUA authorized or BLA approved finished drug product in vials in accordance with the products storage and handling requirements in the EUA (and, if granted, the BLA as applicable), including temperature controls. This shall include storage and distribution activities. Regeneron will engage one or more third party service providers (each a Distributor) to perform storage and distribution activities for drug product at the direction and on behalf of the Government. The Government will be solely responsible for all allocation determinations related to drug product sold hereunder, including allocation to end users and communication of such allocation determinations to the Distributor. Unless otherwise mutually agreed upon by the parties, drug product shall be shipped to the Government or distributed, as applicable, solely within the United States (including its territories and possessions) .The contractor [* * *], until the product is distributed to the end user (e.g., the hospital, infusion center or other end-user). To the extent that Regeneron is responsible for the correction, repair or replacement of Government property held in vendor-managed inventory or in distribution and in the possession of the Distributor, [* * *], the Government [* * *] of such property. The parties will coordinate ordering through centralized distribution via the established Memorandum of Understanding between Regeneron, Assistant Secretary for Preparedness and Response (ASPR), and AmerisourceBergen (or any other ordering process mutually agreed by such entities). Storage and distribution activities shall be supported under this agreement through the end of the period of performance. The Government will make every effort to ensure appropriate delivery and utilization of Government purchased product based on clinical need. Prior to the anticipated time of FDA approval of a Biologics License Application (BLA) for REGEN-COV, the parties will plan and coordinate to ensure efficient and effective distribution of commercial and noncommercial product.</w:t>
      </w:r>
    </w:p>
    <w:p>
      <w:pPr>
        <w:spacing w:after="0" w:line="108" w:lineRule="exact"/>
        <w:rPr>
          <w:sz w:val="20"/>
          <w:szCs w:val="20"/>
          <w:color w:val="auto"/>
        </w:rPr>
      </w:pPr>
    </w:p>
    <w:p>
      <w:pPr>
        <w:ind w:left="80" w:right="80"/>
        <w:spacing w:after="0" w:line="260" w:lineRule="auto"/>
        <w:rPr>
          <w:sz w:val="20"/>
          <w:szCs w:val="20"/>
          <w:color w:val="auto"/>
        </w:rPr>
      </w:pPr>
      <w:r>
        <w:rPr>
          <w:rFonts w:ascii="Courier New" w:cs="Courier New" w:eastAsia="Courier New" w:hAnsi="Courier New"/>
          <w:sz w:val="12"/>
          <w:szCs w:val="12"/>
          <w:color w:val="auto"/>
        </w:rPr>
        <w:t>C.3.2 Product Development Manufacturing Reports and Projections: Regeneron will provide manufacturing reports and manufacturing dose tracking projections/actuals, in the format and having the content mutually agreed upon by the Government and Regeneron. Regeneron will update the reports [* * *] during manufacturing campaigns and upon manufacturing deliverable submission during COVID-19 response operations (where a Public Health Emergency has been declared), with the first deliverable submission within [* * *] of award. For clarity, the reports described in this section apply to Formulated Drug Substance and Drug Product prior to delivery and acceptance by the Government. Tracking reports for product following delivery and acceptance, shall be set forth in the Memorandum of Understanding between Regeneron, ASPR, and AmerisourceBergen.</w:t>
      </w:r>
    </w:p>
    <w:p>
      <w:pPr>
        <w:spacing w:after="0" w:line="251"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2"/>
          <w:szCs w:val="12"/>
          <w:color w:val="auto"/>
        </w:rPr>
        <w:t>C.4</w:t>
      </w:r>
      <w:r>
        <w:rPr>
          <w:sz w:val="20"/>
          <w:szCs w:val="20"/>
          <w:color w:val="auto"/>
        </w:rPr>
        <w:tab/>
      </w:r>
      <w:r>
        <w:rPr>
          <w:rFonts w:ascii="Courier New" w:cs="Courier New" w:eastAsia="Courier New" w:hAnsi="Courier New"/>
          <w:sz w:val="12"/>
          <w:szCs w:val="12"/>
          <w:color w:val="auto"/>
        </w:rPr>
        <w:t>Reporting: The contractor shall provide the following reports/deliverables in accordance with Exhibit A:</w:t>
      </w:r>
    </w:p>
    <w:p>
      <w:pPr>
        <w:spacing w:after="0" w:line="289" w:lineRule="exact"/>
        <w:rPr>
          <w:sz w:val="20"/>
          <w:szCs w:val="20"/>
          <w:color w:val="auto"/>
        </w:rPr>
      </w:pPr>
    </w:p>
    <w:p>
      <w:pPr>
        <w:ind w:left="260"/>
        <w:spacing w:after="0"/>
        <w:tabs>
          <w:tab w:leader="none" w:pos="1040" w:val="left"/>
        </w:tabs>
        <w:rPr>
          <w:sz w:val="20"/>
          <w:szCs w:val="20"/>
          <w:color w:val="auto"/>
        </w:rPr>
      </w:pPr>
      <w:r>
        <w:rPr>
          <w:rFonts w:ascii="Courier New" w:cs="Courier New" w:eastAsia="Courier New" w:hAnsi="Courier New"/>
          <w:sz w:val="12"/>
          <w:szCs w:val="12"/>
          <w:u w:val="single" w:color="auto"/>
          <w:color w:val="auto"/>
        </w:rPr>
        <w:t>CDRL</w:t>
      </w:r>
      <w:r>
        <w:rPr>
          <w:sz w:val="20"/>
          <w:szCs w:val="20"/>
          <w:color w:val="auto"/>
        </w:rPr>
        <w:tab/>
      </w:r>
      <w:r>
        <w:rPr>
          <w:rFonts w:ascii="Courier New" w:cs="Courier New" w:eastAsia="Courier New" w:hAnsi="Courier New"/>
          <w:sz w:val="12"/>
          <w:szCs w:val="12"/>
          <w:u w:val="single" w:color="auto"/>
          <w:color w:val="auto"/>
        </w:rPr>
        <w:t>Title</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-11430</wp:posOffset>
            </wp:positionV>
            <wp:extent cx="2368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A001</w:t>
      </w:r>
      <w:r>
        <w:rPr>
          <w:sz w:val="20"/>
          <w:szCs w:val="20"/>
          <w:color w:val="auto"/>
        </w:rPr>
        <w:tab/>
      </w:r>
      <w:r>
        <w:rPr>
          <w:rFonts w:ascii="Courier New" w:cs="Courier New" w:eastAsia="Courier New" w:hAnsi="Courier New"/>
          <w:sz w:val="12"/>
          <w:szCs w:val="12"/>
          <w:color w:val="auto"/>
        </w:rPr>
        <w:t>Post Award Teleconference Minutes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A002</w:t>
      </w:r>
      <w:r>
        <w:rPr>
          <w:sz w:val="20"/>
          <w:szCs w:val="20"/>
          <w:color w:val="auto"/>
        </w:rPr>
        <w:tab/>
      </w:r>
      <w:r>
        <w:rPr>
          <w:rFonts w:ascii="Courier New" w:cs="Courier New" w:eastAsia="Courier New" w:hAnsi="Courier New"/>
          <w:sz w:val="12"/>
          <w:szCs w:val="12"/>
          <w:color w:val="auto"/>
        </w:rPr>
        <w:t>Kickoff Meeting Agenda and Minutes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A003</w:t>
      </w:r>
      <w:r>
        <w:rPr>
          <w:sz w:val="20"/>
          <w:szCs w:val="20"/>
          <w:color w:val="auto"/>
        </w:rPr>
        <w:tab/>
      </w:r>
      <w:r>
        <w:rPr>
          <w:rFonts w:ascii="Courier New" w:cs="Courier New" w:eastAsia="Courier New" w:hAnsi="Courier New"/>
          <w:sz w:val="12"/>
          <w:szCs w:val="12"/>
          <w:color w:val="auto"/>
        </w:rPr>
        <w:t>Teleconference Minutes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A004</w:t>
      </w:r>
      <w:r>
        <w:rPr>
          <w:sz w:val="20"/>
          <w:szCs w:val="20"/>
          <w:color w:val="auto"/>
        </w:rPr>
        <w:tab/>
      </w:r>
      <w:r>
        <w:rPr>
          <w:rFonts w:ascii="Courier New" w:cs="Courier New" w:eastAsia="Courier New" w:hAnsi="Courier New"/>
          <w:sz w:val="12"/>
          <w:szCs w:val="12"/>
          <w:color w:val="auto"/>
        </w:rPr>
        <w:t>Quarterly Meetings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A005</w:t>
      </w:r>
      <w:r>
        <w:rPr>
          <w:sz w:val="20"/>
          <w:szCs w:val="20"/>
          <w:color w:val="auto"/>
        </w:rPr>
        <w:tab/>
      </w:r>
      <w:r>
        <w:rPr>
          <w:rFonts w:ascii="Courier New" w:cs="Courier New" w:eastAsia="Courier New" w:hAnsi="Courier New"/>
          <w:sz w:val="12"/>
          <w:szCs w:val="12"/>
          <w:color w:val="auto"/>
        </w:rPr>
        <w:t>FDA Meeting Minutes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A006</w:t>
      </w:r>
      <w:r>
        <w:rPr>
          <w:sz w:val="20"/>
          <w:szCs w:val="20"/>
          <w:color w:val="auto"/>
        </w:rPr>
        <w:tab/>
      </w:r>
      <w:r>
        <w:rPr>
          <w:rFonts w:ascii="Courier New" w:cs="Courier New" w:eastAsia="Courier New" w:hAnsi="Courier New"/>
          <w:sz w:val="12"/>
          <w:szCs w:val="12"/>
          <w:color w:val="auto"/>
        </w:rPr>
        <w:t>Daily Check-in with Project Staff for COVID-19</w:t>
      </w:r>
    </w:p>
    <w:p>
      <w:pPr>
        <w:spacing w:after="0" w:line="1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Agreement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A007</w:t>
      </w:r>
      <w:r>
        <w:rPr>
          <w:sz w:val="20"/>
          <w:szCs w:val="20"/>
          <w:color w:val="auto"/>
        </w:rPr>
        <w:tab/>
      </w:r>
      <w:r>
        <w:rPr>
          <w:rFonts w:ascii="Courier New" w:cs="Courier New" w:eastAsia="Courier New" w:hAnsi="Courier New"/>
          <w:sz w:val="12"/>
          <w:szCs w:val="12"/>
          <w:color w:val="auto"/>
        </w:rPr>
        <w:t>Monthly Progress Reports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A008</w:t>
      </w:r>
      <w:r>
        <w:rPr>
          <w:sz w:val="20"/>
          <w:szCs w:val="20"/>
          <w:color w:val="auto"/>
        </w:rPr>
        <w:tab/>
      </w:r>
      <w:r>
        <w:rPr>
          <w:rFonts w:ascii="Courier New" w:cs="Courier New" w:eastAsia="Courier New" w:hAnsi="Courier New"/>
          <w:sz w:val="12"/>
          <w:szCs w:val="12"/>
          <w:color w:val="auto"/>
        </w:rPr>
        <w:t>Milestone Reports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A009</w:t>
      </w:r>
      <w:r>
        <w:rPr>
          <w:sz w:val="20"/>
          <w:szCs w:val="20"/>
          <w:color w:val="auto"/>
        </w:rPr>
        <w:tab/>
      </w:r>
      <w:r>
        <w:rPr>
          <w:rFonts w:ascii="Courier New" w:cs="Courier New" w:eastAsia="Courier New" w:hAnsi="Courier New"/>
          <w:sz w:val="12"/>
          <w:szCs w:val="12"/>
          <w:color w:val="auto"/>
        </w:rPr>
        <w:t>Draft Technical Progress Report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A010</w:t>
      </w:r>
      <w:r>
        <w:rPr>
          <w:sz w:val="20"/>
          <w:szCs w:val="20"/>
          <w:color w:val="auto"/>
        </w:rPr>
        <w:tab/>
      </w:r>
      <w:r>
        <w:rPr>
          <w:rFonts w:ascii="Courier New" w:cs="Courier New" w:eastAsia="Courier New" w:hAnsi="Courier New"/>
          <w:sz w:val="12"/>
          <w:szCs w:val="12"/>
          <w:color w:val="auto"/>
        </w:rPr>
        <w:t>Final Technical Progress Report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A011</w:t>
      </w:r>
      <w:r>
        <w:rPr>
          <w:sz w:val="20"/>
          <w:szCs w:val="20"/>
          <w:color w:val="auto"/>
        </w:rPr>
        <w:tab/>
      </w:r>
      <w:r>
        <w:rPr>
          <w:rFonts w:ascii="Courier New" w:cs="Courier New" w:eastAsia="Courier New" w:hAnsi="Courier New"/>
          <w:sz w:val="12"/>
          <w:szCs w:val="12"/>
          <w:color w:val="auto"/>
        </w:rPr>
        <w:t>Product Development Source Material and Manufacturing</w:t>
      </w:r>
    </w:p>
    <w:p>
      <w:pPr>
        <w:spacing w:after="0" w:line="1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Report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A012</w:t>
      </w:r>
      <w:r>
        <w:rPr>
          <w:sz w:val="20"/>
          <w:szCs w:val="20"/>
          <w:color w:val="auto"/>
        </w:rPr>
        <w:tab/>
      </w:r>
      <w:r>
        <w:rPr>
          <w:rFonts w:ascii="Courier New" w:cs="Courier New" w:eastAsia="Courier New" w:hAnsi="Courier New"/>
          <w:sz w:val="12"/>
          <w:szCs w:val="12"/>
          <w:color w:val="auto"/>
        </w:rPr>
        <w:t>Contractor Locations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A013</w:t>
      </w:r>
      <w:r>
        <w:rPr>
          <w:sz w:val="20"/>
          <w:szCs w:val="20"/>
          <w:color w:val="auto"/>
        </w:rPr>
        <w:tab/>
      </w:r>
      <w:r>
        <w:rPr>
          <w:rFonts w:ascii="Courier New" w:cs="Courier New" w:eastAsia="Courier New" w:hAnsi="Courier New"/>
          <w:sz w:val="12"/>
          <w:szCs w:val="12"/>
          <w:color w:val="auto"/>
        </w:rPr>
        <w:t>Pandemic Management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A014</w:t>
      </w:r>
      <w:r>
        <w:rPr>
          <w:sz w:val="20"/>
          <w:szCs w:val="20"/>
          <w:color w:val="auto"/>
        </w:rPr>
        <w:tab/>
      </w:r>
      <w:r>
        <w:rPr>
          <w:rFonts w:ascii="Courier New" w:cs="Courier New" w:eastAsia="Courier New" w:hAnsi="Courier New"/>
          <w:sz w:val="12"/>
          <w:szCs w:val="12"/>
          <w:color w:val="auto"/>
        </w:rPr>
        <w:t>Supply Chain and Distribution Tracking</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A015</w:t>
      </w:r>
      <w:r>
        <w:rPr>
          <w:sz w:val="20"/>
          <w:szCs w:val="20"/>
          <w:color w:val="auto"/>
        </w:rPr>
        <w:tab/>
      </w:r>
      <w:r>
        <w:rPr>
          <w:rFonts w:ascii="Courier New" w:cs="Courier New" w:eastAsia="Courier New" w:hAnsi="Courier New"/>
          <w:sz w:val="12"/>
          <w:szCs w:val="12"/>
          <w:color w:val="auto"/>
        </w:rPr>
        <w:t>Distribution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A016</w:t>
      </w:r>
      <w:r>
        <w:rPr>
          <w:sz w:val="20"/>
          <w:szCs w:val="20"/>
          <w:color w:val="auto"/>
        </w:rPr>
        <w:tab/>
      </w:r>
      <w:r>
        <w:rPr>
          <w:rFonts w:ascii="Courier New" w:cs="Courier New" w:eastAsia="Courier New" w:hAnsi="Courier New"/>
          <w:sz w:val="12"/>
          <w:szCs w:val="12"/>
          <w:color w:val="auto"/>
        </w:rPr>
        <w:t>Manufacturing Development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A017</w:t>
      </w:r>
      <w:r>
        <w:rPr>
          <w:sz w:val="20"/>
          <w:szCs w:val="20"/>
          <w:color w:val="auto"/>
        </w:rPr>
        <w:tab/>
      </w:r>
      <w:r>
        <w:rPr>
          <w:rFonts w:ascii="Courier New" w:cs="Courier New" w:eastAsia="Courier New" w:hAnsi="Courier New"/>
          <w:sz w:val="12"/>
          <w:szCs w:val="12"/>
          <w:color w:val="auto"/>
        </w:rPr>
        <w:t>Quality Management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A018</w:t>
      </w:r>
      <w:r>
        <w:rPr>
          <w:sz w:val="20"/>
          <w:szCs w:val="20"/>
          <w:color w:val="auto"/>
        </w:rPr>
        <w:tab/>
      </w:r>
      <w:r>
        <w:rPr>
          <w:rFonts w:ascii="Courier New" w:cs="Courier New" w:eastAsia="Courier New" w:hAnsi="Courier New"/>
          <w:sz w:val="12"/>
          <w:szCs w:val="12"/>
          <w:color w:val="auto"/>
        </w:rPr>
        <w:t>Quality Agreement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A019</w:t>
      </w:r>
      <w:r>
        <w:rPr>
          <w:sz w:val="20"/>
          <w:szCs w:val="20"/>
          <w:color w:val="auto"/>
        </w:rPr>
        <w:tab/>
      </w:r>
      <w:r>
        <w:rPr>
          <w:rFonts w:ascii="Courier New" w:cs="Courier New" w:eastAsia="Courier New" w:hAnsi="Courier New"/>
          <w:sz w:val="12"/>
          <w:szCs w:val="12"/>
          <w:color w:val="auto"/>
        </w:rPr>
        <w:t>Release Documentation for Doses to be Delivered</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A020</w:t>
      </w:r>
      <w:r>
        <w:rPr>
          <w:sz w:val="20"/>
          <w:szCs w:val="20"/>
          <w:color w:val="auto"/>
        </w:rPr>
        <w:tab/>
      </w:r>
      <w:r>
        <w:rPr>
          <w:rFonts w:ascii="Courier New" w:cs="Courier New" w:eastAsia="Courier New" w:hAnsi="Courier New"/>
          <w:sz w:val="12"/>
          <w:szCs w:val="12"/>
          <w:color w:val="auto"/>
        </w:rPr>
        <w:t>Manufacturing and Distribution Records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A021</w:t>
      </w:r>
      <w:r>
        <w:rPr>
          <w:sz w:val="20"/>
          <w:szCs w:val="20"/>
          <w:color w:val="auto"/>
        </w:rPr>
        <w:tab/>
      </w:r>
      <w:r>
        <w:rPr>
          <w:rFonts w:ascii="Courier New" w:cs="Courier New" w:eastAsia="Courier New" w:hAnsi="Courier New"/>
          <w:sz w:val="12"/>
          <w:szCs w:val="12"/>
          <w:color w:val="auto"/>
        </w:rPr>
        <w:t>Security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A022</w:t>
      </w:r>
      <w:r>
        <w:rPr>
          <w:sz w:val="20"/>
          <w:szCs w:val="20"/>
          <w:color w:val="auto"/>
        </w:rPr>
        <w:tab/>
      </w:r>
      <w:r>
        <w:rPr>
          <w:rFonts w:ascii="Courier New" w:cs="Courier New" w:eastAsia="Courier New" w:hAnsi="Courier New"/>
          <w:sz w:val="12"/>
          <w:szCs w:val="12"/>
          <w:color w:val="auto"/>
        </w:rPr>
        <w:t>Supply Chain Resiliency Plan</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A023</w:t>
      </w:r>
      <w:r>
        <w:rPr>
          <w:sz w:val="20"/>
          <w:szCs w:val="20"/>
          <w:color w:val="auto"/>
        </w:rPr>
        <w:tab/>
      </w:r>
      <w:r>
        <w:rPr>
          <w:rFonts w:ascii="Courier New" w:cs="Courier New" w:eastAsia="Courier New" w:hAnsi="Courier New"/>
          <w:sz w:val="12"/>
          <w:szCs w:val="12"/>
          <w:color w:val="auto"/>
        </w:rPr>
        <w:t>Manufacturing Data Requirements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A024</w:t>
      </w:r>
      <w:r>
        <w:rPr>
          <w:sz w:val="20"/>
          <w:szCs w:val="20"/>
          <w:color w:val="auto"/>
        </w:rPr>
        <w:tab/>
      </w:r>
      <w:r>
        <w:rPr>
          <w:rFonts w:ascii="Courier New" w:cs="Courier New" w:eastAsia="Courier New" w:hAnsi="Courier New"/>
          <w:sz w:val="12"/>
          <w:szCs w:val="12"/>
          <w:color w:val="auto"/>
        </w:rPr>
        <w:t>BARDA Audit</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A025</w:t>
      </w:r>
      <w:r>
        <w:rPr>
          <w:sz w:val="20"/>
          <w:szCs w:val="20"/>
          <w:color w:val="auto"/>
        </w:rPr>
        <w:tab/>
      </w:r>
      <w:r>
        <w:rPr>
          <w:rFonts w:ascii="Courier New" w:cs="Courier New" w:eastAsia="Courier New" w:hAnsi="Courier New"/>
          <w:sz w:val="12"/>
          <w:szCs w:val="12"/>
          <w:color w:val="auto"/>
        </w:rPr>
        <w:t>FDA Inspections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A026</w:t>
      </w:r>
      <w:r>
        <w:rPr>
          <w:sz w:val="20"/>
          <w:szCs w:val="20"/>
          <w:color w:val="auto"/>
        </w:rPr>
        <w:tab/>
      </w:r>
      <w:r>
        <w:rPr>
          <w:rFonts w:ascii="Courier New" w:cs="Courier New" w:eastAsia="Courier New" w:hAnsi="Courier New"/>
          <w:sz w:val="12"/>
          <w:szCs w:val="12"/>
          <w:color w:val="auto"/>
        </w:rPr>
        <w:t>QA Audits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A027</w:t>
      </w:r>
      <w:r>
        <w:rPr>
          <w:sz w:val="20"/>
          <w:szCs w:val="20"/>
          <w:color w:val="auto"/>
        </w:rPr>
        <w:tab/>
      </w:r>
      <w:r>
        <w:rPr>
          <w:rFonts w:ascii="Courier New" w:cs="Courier New" w:eastAsia="Courier New" w:hAnsi="Courier New"/>
          <w:sz w:val="12"/>
          <w:szCs w:val="12"/>
          <w:color w:val="auto"/>
        </w:rPr>
        <w:t>FDA Submissions</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A028</w:t>
      </w:r>
      <w:r>
        <w:rPr>
          <w:sz w:val="20"/>
          <w:szCs w:val="20"/>
          <w:color w:val="auto"/>
        </w:rPr>
        <w:tab/>
      </w:r>
      <w:r>
        <w:rPr>
          <w:rFonts w:ascii="Courier New" w:cs="Courier New" w:eastAsia="Courier New" w:hAnsi="Courier New"/>
          <w:sz w:val="12"/>
          <w:szCs w:val="12"/>
          <w:color w:val="auto"/>
        </w:rPr>
        <w:t>EUA Filing</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A029</w:t>
      </w:r>
      <w:r>
        <w:rPr>
          <w:sz w:val="20"/>
          <w:szCs w:val="20"/>
          <w:color w:val="auto"/>
        </w:rPr>
        <w:tab/>
      </w:r>
      <w:r>
        <w:rPr>
          <w:rFonts w:ascii="Courier New" w:cs="Courier New" w:eastAsia="Courier New" w:hAnsi="Courier New"/>
          <w:sz w:val="12"/>
          <w:szCs w:val="12"/>
          <w:color w:val="auto"/>
        </w:rPr>
        <w:t>Provision of Public Law 115-92 SPONSOR Authorization</w:t>
      </w:r>
    </w:p>
    <w:p>
      <w:pPr>
        <w:spacing w:after="0" w:line="1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Letter</w:t>
      </w:r>
    </w:p>
    <w:p>
      <w:pPr>
        <w:spacing w:after="0" w:line="6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2"/>
          <w:szCs w:val="12"/>
          <w:color w:val="auto"/>
        </w:rPr>
        <w:t>A030</w:t>
      </w:r>
      <w:r>
        <w:rPr>
          <w:sz w:val="20"/>
          <w:szCs w:val="20"/>
          <w:color w:val="auto"/>
        </w:rPr>
        <w:tab/>
      </w:r>
      <w:r>
        <w:rPr>
          <w:rFonts w:ascii="Courier New" w:cs="Courier New" w:eastAsia="Courier New" w:hAnsi="Courier New"/>
          <w:sz w:val="12"/>
          <w:szCs w:val="12"/>
          <w:color w:val="auto"/>
        </w:rPr>
        <w:t>Press Releases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2"/>
          <w:szCs w:val="12"/>
          <w:color w:val="auto"/>
        </w:rPr>
        <w:t>C.5</w:t>
      </w:r>
      <w:r>
        <w:rPr>
          <w:sz w:val="20"/>
          <w:szCs w:val="20"/>
          <w:color w:val="auto"/>
        </w:rPr>
        <w:tab/>
      </w:r>
      <w:r>
        <w:rPr>
          <w:rFonts w:ascii="Courier New" w:cs="Courier New" w:eastAsia="Courier New" w:hAnsi="Courier New"/>
          <w:sz w:val="12"/>
          <w:szCs w:val="12"/>
          <w:color w:val="auto"/>
        </w:rPr>
        <w:t>Period of Performance: The period of performance for this contract is from date of award through [* * *].</w:t>
      </w:r>
    </w:p>
    <w:p>
      <w:pPr>
        <w:spacing w:after="0" w:line="11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2"/>
          <w:szCs w:val="12"/>
          <w:color w:val="auto"/>
        </w:rPr>
        <w:t>C.6</w:t>
      </w:r>
      <w:r>
        <w:rPr>
          <w:sz w:val="20"/>
          <w:szCs w:val="20"/>
          <w:color w:val="auto"/>
        </w:rPr>
        <w:tab/>
      </w:r>
      <w:r>
        <w:rPr>
          <w:rFonts w:ascii="Courier New" w:cs="Courier New" w:eastAsia="Courier New" w:hAnsi="Courier New"/>
          <w:sz w:val="12"/>
          <w:szCs w:val="12"/>
          <w:color w:val="auto"/>
        </w:rPr>
        <w:t>Inspection/Acceptance:</w:t>
      </w:r>
    </w:p>
    <w:p>
      <w:pPr>
        <w:spacing w:after="0" w:line="118" w:lineRule="exact"/>
        <w:rPr>
          <w:sz w:val="20"/>
          <w:szCs w:val="20"/>
          <w:color w:val="auto"/>
        </w:rPr>
      </w:pPr>
    </w:p>
    <w:p>
      <w:pPr>
        <w:ind w:right="240"/>
        <w:spacing w:after="0" w:line="261" w:lineRule="auto"/>
        <w:rPr>
          <w:sz w:val="20"/>
          <w:szCs w:val="20"/>
          <w:color w:val="auto"/>
        </w:rPr>
      </w:pPr>
      <w:r>
        <w:rPr>
          <w:rFonts w:ascii="Courier New" w:cs="Courier New" w:eastAsia="Courier New" w:hAnsi="Courier New"/>
          <w:sz w:val="12"/>
          <w:szCs w:val="12"/>
          <w:color w:val="auto"/>
        </w:rPr>
        <w:t>C.6.1 Inspection: The Technical Point of Contact (TPOC) is a duly authorized representative of the Government, and is responsible for the inspection and/or acceptance of all items/activities to be delivered and/or completed under this contract. The parties acknowledge that acceptance may depend on the compliance with FDA regulations at 21 CFR 600-680 regarding the BLA, current Good Manufacturing Practice (cGMP) regulations at 21 CFR 210, 211, and other FDA regulations.</w:t>
      </w:r>
    </w:p>
    <w:p>
      <w:pPr>
        <w:sectPr>
          <w:pgSz w:w="11900" w:h="16838" w:orient="portrait"/>
          <w:cols w:equalWidth="0" w:num="1">
            <w:col w:w="10700"/>
          </w:cols>
          <w:pgMar w:left="560" w:top="1440" w:right="639" w:bottom="769" w:gutter="0" w:footer="0" w:header="0"/>
        </w:sectPr>
      </w:pPr>
    </w:p>
    <w:bookmarkStart w:id="104" w:name="page105"/>
    <w:bookmarkEnd w:id="104"/>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tcBorders>
              <w:top w:val="single" w:sz="8" w:color="auto"/>
            </w:tcBorders>
            <w:vMerge w:val="restart"/>
          </w:tcPr>
          <w:p>
            <w:pPr>
              <w:ind w:left="500"/>
              <w:spacing w:after="0"/>
              <w:rPr>
                <w:sz w:val="20"/>
                <w:szCs w:val="20"/>
                <w:color w:val="auto"/>
              </w:rPr>
            </w:pPr>
            <w:r>
              <w:rPr>
                <w:rFonts w:ascii="Arial" w:cs="Arial" w:eastAsia="Arial" w:hAnsi="Arial"/>
                <w:sz w:val="20"/>
                <w:szCs w:val="20"/>
                <w:b w:val="1"/>
                <w:bCs w:val="1"/>
                <w:color w:val="auto"/>
              </w:rPr>
              <w:t>CONTINUATION SHEET</w:t>
            </w:r>
          </w:p>
        </w:tc>
        <w:tc>
          <w:tcPr>
            <w:tcW w:w="142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4"/>
              </w:rPr>
              <w:t>Reference No. of Document Being Continued</w:t>
            </w:r>
          </w:p>
        </w:tc>
        <w:tc>
          <w:tcPr>
            <w:tcW w:w="1260" w:type="dxa"/>
            <w:vAlign w:val="bottom"/>
            <w:tcBorders>
              <w:top w:val="single" w:sz="8" w:color="auto"/>
              <w:right w:val="single" w:sz="8" w:color="auto"/>
            </w:tcBorders>
          </w:tcPr>
          <w:p>
            <w:pPr>
              <w:spacing w:after="0"/>
              <w:rPr>
                <w:sz w:val="17"/>
                <w:szCs w:val="17"/>
                <w:color w:val="auto"/>
              </w:rPr>
            </w:pPr>
          </w:p>
        </w:tc>
        <w:tc>
          <w:tcPr>
            <w:tcW w:w="20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Page 9 of 12</w:t>
            </w:r>
          </w:p>
        </w:tc>
        <w:tc>
          <w:tcPr>
            <w:tcW w:w="0" w:type="dxa"/>
            <w:vAlign w:val="bottom"/>
          </w:tcPr>
          <w:p>
            <w:pPr>
              <w:spacing w:after="0"/>
              <w:rPr>
                <w:sz w:val="1"/>
                <w:szCs w:val="1"/>
                <w:color w:val="auto"/>
              </w:rPr>
            </w:pPr>
          </w:p>
        </w:tc>
      </w:tr>
      <w:tr>
        <w:trPr>
          <w:trHeight w:val="158"/>
        </w:trPr>
        <w:tc>
          <w:tcPr>
            <w:tcW w:w="29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920" w:type="dxa"/>
            <w:vAlign w:val="bottom"/>
            <w:vMerge w:val="restart"/>
          </w:tcPr>
          <w:p>
            <w:pPr>
              <w:ind w:left="1060"/>
              <w:spacing w:after="0"/>
              <w:rPr>
                <w:sz w:val="20"/>
                <w:szCs w:val="20"/>
                <w:color w:val="auto"/>
              </w:rPr>
            </w:pPr>
            <w:r>
              <w:rPr>
                <w:rFonts w:ascii="Courier New" w:cs="Courier New" w:eastAsia="Courier New" w:hAnsi="Courier New"/>
                <w:sz w:val="12"/>
                <w:szCs w:val="12"/>
                <w:color w:val="auto"/>
              </w:rPr>
              <w:t>W15QKN-21-C-0014</w:t>
            </w:r>
          </w:p>
        </w:tc>
        <w:tc>
          <w:tcPr>
            <w:tcW w:w="1260" w:type="dxa"/>
            <w:vAlign w:val="bottom"/>
            <w:tcBorders>
              <w:right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9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920" w:type="dxa"/>
            <w:vAlign w:val="bottom"/>
            <w:vMerge w:val="continue"/>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20" w:type="dxa"/>
            <w:vAlign w:val="bottom"/>
          </w:tcPr>
          <w:p>
            <w:pPr>
              <w:spacing w:after="0"/>
              <w:rPr>
                <w:sz w:val="24"/>
                <w:szCs w:val="24"/>
                <w:color w:val="auto"/>
              </w:rPr>
            </w:pPr>
          </w:p>
        </w:tc>
        <w:tc>
          <w:tcPr>
            <w:tcW w:w="1420" w:type="dxa"/>
            <w:vAlign w:val="bottom"/>
          </w:tcPr>
          <w:p>
            <w:pPr>
              <w:ind w:left="740"/>
              <w:spacing w:after="0"/>
              <w:rPr>
                <w:sz w:val="20"/>
                <w:szCs w:val="20"/>
                <w:color w:val="auto"/>
              </w:rPr>
            </w:pPr>
            <w:r>
              <w:rPr>
                <w:rFonts w:ascii="Arial" w:cs="Arial" w:eastAsia="Arial" w:hAnsi="Arial"/>
                <w:sz w:val="14"/>
                <w:szCs w:val="14"/>
                <w:b w:val="1"/>
                <w:bCs w:val="1"/>
                <w:color w:val="auto"/>
              </w:rPr>
              <w:t>PIIN/SIIN</w:t>
            </w:r>
          </w:p>
        </w:tc>
        <w:tc>
          <w:tcPr>
            <w:tcW w:w="2920" w:type="dxa"/>
            <w:vAlign w:val="bottom"/>
          </w:tcPr>
          <w:p>
            <w:pPr>
              <w:ind w:left="1740"/>
              <w:spacing w:after="0"/>
              <w:rPr>
                <w:sz w:val="20"/>
                <w:szCs w:val="20"/>
                <w:color w:val="auto"/>
              </w:rPr>
            </w:pPr>
            <w:r>
              <w:rPr>
                <w:rFonts w:ascii="Arial" w:cs="Arial" w:eastAsia="Arial" w:hAnsi="Arial"/>
                <w:sz w:val="14"/>
                <w:szCs w:val="14"/>
                <w:b w:val="1"/>
                <w:bCs w:val="1"/>
                <w:color w:val="auto"/>
              </w:rPr>
              <w:t>MOD/AMD</w:t>
            </w:r>
          </w:p>
        </w:tc>
        <w:tc>
          <w:tcPr>
            <w:tcW w:w="1260" w:type="dxa"/>
            <w:vAlign w:val="bottom"/>
            <w:tcBorders>
              <w:right w:val="single" w:sz="8" w:color="auto"/>
            </w:tcBorders>
          </w:tcPr>
          <w:p>
            <w:pPr>
              <w:ind w:left="160"/>
              <w:spacing w:after="0"/>
              <w:rPr>
                <w:sz w:val="20"/>
                <w:szCs w:val="20"/>
                <w:color w:val="auto"/>
              </w:rPr>
            </w:pPr>
            <w:r>
              <w:rPr>
                <w:rFonts w:ascii="Courier New" w:cs="Courier New" w:eastAsia="Courier New" w:hAnsi="Courier New"/>
                <w:sz w:val="12"/>
                <w:szCs w:val="12"/>
                <w:color w:val="auto"/>
              </w:rPr>
              <w:t>P00005</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Name of Offeror or Contractor:</w:t>
            </w:r>
          </w:p>
        </w:tc>
        <w:tc>
          <w:tcPr>
            <w:tcW w:w="43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REGENERON PHARMACEUTICALS, INC.</w:t>
            </w:r>
          </w:p>
        </w:tc>
        <w:tc>
          <w:tcPr>
            <w:tcW w:w="1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2"/>
          <w:szCs w:val="12"/>
          <w:color w:val="auto"/>
        </w:rPr>
        <w:t>C.6.2</w:t>
      </w:r>
      <w:r>
        <w:rPr>
          <w:sz w:val="20"/>
          <w:szCs w:val="20"/>
          <w:color w:val="auto"/>
        </w:rPr>
        <w:tab/>
      </w:r>
      <w:r>
        <w:rPr>
          <w:rFonts w:ascii="Courier New" w:cs="Courier New" w:eastAsia="Courier New" w:hAnsi="Courier New"/>
          <w:sz w:val="12"/>
          <w:szCs w:val="12"/>
          <w:color w:val="auto"/>
        </w:rPr>
        <w:t>Acceptance: Title to drug product will pass to the Government upon delivery of such drug product to Vendor-Managed Inventory</w:t>
      </w:r>
    </w:p>
    <w:p>
      <w:pPr>
        <w:spacing w:after="0" w:line="104" w:lineRule="exact"/>
        <w:rPr>
          <w:sz w:val="20"/>
          <w:szCs w:val="20"/>
          <w:color w:val="auto"/>
        </w:rPr>
      </w:pPr>
    </w:p>
    <w:p>
      <w:pPr>
        <w:spacing w:after="0" w:line="259" w:lineRule="auto"/>
        <w:rPr>
          <w:sz w:val="20"/>
          <w:szCs w:val="20"/>
          <w:color w:val="auto"/>
        </w:rPr>
      </w:pPr>
      <w:r>
        <w:rPr>
          <w:rFonts w:ascii="Courier New" w:cs="Courier New" w:eastAsia="Courier New" w:hAnsi="Courier New"/>
          <w:sz w:val="12"/>
          <w:szCs w:val="12"/>
          <w:color w:val="auto"/>
        </w:rPr>
        <w:t>(VMI), and the Governments corresponding acceptance of such drug product, as described in this paragraph. The Government shall accept product that conforms to contract requirements based on a Certificate of Analysis (COA) and any other quality documentation required to be provided by Regeneron as set forth in the Quality Agreement (Required Documents), and the parties shall perform their obligations relating to product delivery set forth in the applicable Quality Agreement for the product. The Governments acceptance of drug product [* * *] the Governments written acceptance of such drug product or, [* * *] provide written notice of acceptance or rejection of such drug product, within [* * *]. Any visibly damaged product will be rejected immediately. The contractor will transfer product from VMI to the Distributor for distribution directed by the Government; provided that, product shall not be provided to the Distributor until it is accepted by the Government. The contractor shall provide a shipment temperature tracking report within [* * *] of contractors receipt of such report from its storage vendor, or otherwise in accordance with the applicable Quality Agreement. Any product subject to a temperature excursion outside of acceptable tolerances, shall be rejected. Any rejected product shall be returned to the contractor or otherwise disposed of according to contractor instructions. The Government will not be obligated to pay for rejected vials, nor will rejected vials count toward the delivery requirement. The contractor shall establish a notification mechanism for delivery sites to contact the Government regarding rejected vials.</w:t>
      </w:r>
    </w:p>
    <w:p>
      <w:pPr>
        <w:spacing w:after="0" w:line="108" w:lineRule="exact"/>
        <w:rPr>
          <w:sz w:val="20"/>
          <w:szCs w:val="20"/>
          <w:color w:val="auto"/>
        </w:rPr>
      </w:pPr>
    </w:p>
    <w:p>
      <w:pPr>
        <w:ind w:right="680"/>
        <w:spacing w:after="0" w:line="265" w:lineRule="auto"/>
        <w:rPr>
          <w:sz w:val="20"/>
          <w:szCs w:val="20"/>
          <w:color w:val="auto"/>
        </w:rPr>
      </w:pPr>
      <w:r>
        <w:rPr>
          <w:rFonts w:ascii="Courier New" w:cs="Courier New" w:eastAsia="Courier New" w:hAnsi="Courier New"/>
          <w:sz w:val="12"/>
          <w:szCs w:val="12"/>
          <w:color w:val="auto"/>
        </w:rPr>
        <w:t>C.7 Packaging and Marking: The contractor shall label product according to FDA guidance/instructions. Packaging shall be in shipping containers according to the contractors standard commercial practice.</w:t>
      </w:r>
    </w:p>
    <w:p>
      <w:pPr>
        <w:spacing w:after="0" w:line="100" w:lineRule="exact"/>
        <w:rPr>
          <w:sz w:val="20"/>
          <w:szCs w:val="20"/>
          <w:color w:val="auto"/>
        </w:rPr>
      </w:pPr>
    </w:p>
    <w:p>
      <w:pPr>
        <w:ind w:right="460"/>
        <w:spacing w:after="0" w:line="265" w:lineRule="auto"/>
        <w:rPr>
          <w:sz w:val="20"/>
          <w:szCs w:val="20"/>
          <w:color w:val="auto"/>
        </w:rPr>
      </w:pPr>
      <w:r>
        <w:rPr>
          <w:rFonts w:ascii="Courier New" w:cs="Courier New" w:eastAsia="Courier New" w:hAnsi="Courier New"/>
          <w:sz w:val="12"/>
          <w:szCs w:val="12"/>
          <w:color w:val="auto"/>
        </w:rPr>
        <w:t>C.8 Authorized and Approved Uses: Product sold to the Government may be distributed for use in any indication approved or authorized by the FDA.</w:t>
      </w:r>
    </w:p>
    <w:p>
      <w:pPr>
        <w:spacing w:after="0" w:line="100" w:lineRule="exact"/>
        <w:rPr>
          <w:sz w:val="20"/>
          <w:szCs w:val="20"/>
          <w:color w:val="auto"/>
        </w:rPr>
      </w:pPr>
    </w:p>
    <w:p>
      <w:pPr>
        <w:ind w:right="240"/>
        <w:spacing w:after="0" w:line="262" w:lineRule="auto"/>
        <w:rPr>
          <w:sz w:val="20"/>
          <w:szCs w:val="20"/>
          <w:color w:val="auto"/>
        </w:rPr>
      </w:pPr>
      <w:r>
        <w:rPr>
          <w:rFonts w:ascii="Courier New" w:cs="Courier New" w:eastAsia="Courier New" w:hAnsi="Courier New"/>
          <w:sz w:val="12"/>
          <w:szCs w:val="12"/>
          <w:color w:val="auto"/>
        </w:rPr>
        <w:t>Public Disclosures: Notwithstanding any other provision in this contract, the contractor may publicly release any information related to this contract without prior approval to the extent necessary to satisfy or address regulatory requirements, contractual obligations to third parties, and the public interest in data about the safety or efficacy of the product.</w:t>
      </w:r>
    </w:p>
    <w:p>
      <w:pPr>
        <w:spacing w:after="0" w:line="102"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2"/>
          <w:szCs w:val="12"/>
          <w:color w:val="auto"/>
        </w:rPr>
        <w:t>Public Readiness and Emergency Preparedness (PREP) Act: The Government will ensure that no product purchased under this contract is used outside the United States (including its territories or possessions) or in a way that is not protected from liability by a declaration issued under the PREP Act that is active at the time of use, except as provided in Special Contract Requirements Paragraph 4., Donation of Excess Product, which remains in effect.</w:t>
      </w:r>
    </w:p>
    <w:p>
      <w:pPr>
        <w:spacing w:after="0" w:line="1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2"/>
          <w:szCs w:val="12"/>
          <w:color w:val="auto"/>
        </w:rPr>
        <w:t>C.9</w:t>
      </w:r>
      <w:r>
        <w:rPr>
          <w:sz w:val="20"/>
          <w:szCs w:val="20"/>
          <w:color w:val="auto"/>
        </w:rPr>
        <w:tab/>
      </w:r>
      <w:r>
        <w:rPr>
          <w:rFonts w:ascii="Courier New" w:cs="Courier New" w:eastAsia="Courier New" w:hAnsi="Courier New"/>
          <w:sz w:val="12"/>
          <w:szCs w:val="12"/>
          <w:color w:val="auto"/>
        </w:rPr>
        <w:t>Government Technical Point of Contact: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HHS BARDA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2"/>
          <w:szCs w:val="12"/>
          <w:color w:val="auto"/>
        </w:rPr>
        <w:t>*** END OF NARRATIVE C000l ***</w:t>
      </w:r>
    </w:p>
    <w:p>
      <w:pPr>
        <w:sectPr>
          <w:pgSz w:w="11900" w:h="16838" w:orient="portrait"/>
          <w:cols w:equalWidth="0" w:num="1">
            <w:col w:w="10760"/>
          </w:cols>
          <w:pgMar w:left="560" w:top="1440" w:right="5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71"/>
        </w:trPr>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360" w:type="dxa"/>
            <w:vAlign w:val="bottom"/>
            <w:tcBorders>
              <w:top w:val="single" w:sz="8" w:color="auto"/>
            </w:tcBorders>
            <w:gridSpan w:val="9"/>
          </w:tcPr>
          <w:p>
            <w:pPr>
              <w:ind w:left="60"/>
              <w:spacing w:after="0"/>
              <w:rPr>
                <w:sz w:val="20"/>
                <w:szCs w:val="20"/>
                <w:color w:val="auto"/>
              </w:rPr>
            </w:pPr>
            <w:r>
              <w:rPr>
                <w:rFonts w:ascii="Arial" w:cs="Arial" w:eastAsia="Arial" w:hAnsi="Arial"/>
                <w:sz w:val="20"/>
                <w:szCs w:val="20"/>
                <w:b w:val="1"/>
                <w:bCs w:val="1"/>
                <w:color w:val="auto"/>
              </w:rPr>
              <w:t>CONTINUATION SHEET</w:t>
            </w:r>
          </w:p>
        </w:tc>
        <w:tc>
          <w:tcPr>
            <w:tcW w:w="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3440" w:type="dxa"/>
            <w:vAlign w:val="bottom"/>
            <w:tcBorders>
              <w:top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rPr>
              <w:t>Reference No. of Document Being Continued</w:t>
            </w: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20" w:type="dxa"/>
            <w:vAlign w:val="bottom"/>
            <w:tcBorders>
              <w:top w:val="single" w:sz="8" w:color="auto"/>
              <w:right w:val="single" w:sz="8" w:color="auto"/>
            </w:tcBorders>
          </w:tcPr>
          <w:p>
            <w:pPr>
              <w:spacing w:after="0"/>
              <w:rPr>
                <w:sz w:val="23"/>
                <w:szCs w:val="23"/>
                <w:color w:val="auto"/>
              </w:rPr>
            </w:pPr>
          </w:p>
        </w:tc>
        <w:tc>
          <w:tcPr>
            <w:tcW w:w="1780" w:type="dxa"/>
            <w:vAlign w:val="bottom"/>
            <w:tcBorders>
              <w:top w:val="single" w:sz="8" w:color="auto"/>
            </w:tcBorders>
          </w:tcPr>
          <w:p>
            <w:pPr>
              <w:jc w:val="right"/>
              <w:ind w:right="869"/>
              <w:spacing w:after="0"/>
              <w:rPr>
                <w:sz w:val="20"/>
                <w:szCs w:val="20"/>
                <w:color w:val="auto"/>
              </w:rPr>
            </w:pPr>
            <w:r>
              <w:rPr>
                <w:rFonts w:ascii="Arial" w:cs="Arial" w:eastAsia="Arial" w:hAnsi="Arial"/>
                <w:sz w:val="14"/>
                <w:szCs w:val="14"/>
                <w:color w:val="auto"/>
                <w:w w:val="94"/>
              </w:rPr>
              <w:t>Page 10 of 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Courier New" w:cs="Courier New" w:eastAsia="Courier New" w:hAnsi="Courier New"/>
                <w:sz w:val="12"/>
                <w:szCs w:val="12"/>
                <w:color w:val="auto"/>
              </w:rPr>
              <w:t>W15QKN-21-C-0014</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PIIN/SIIN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MOD/AMD</w:t>
            </w:r>
          </w:p>
        </w:tc>
        <w:tc>
          <w:tcPr>
            <w:tcW w:w="144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P00005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gridSpan w:val="11"/>
          </w:tcPr>
          <w:p>
            <w:pPr>
              <w:ind w:left="40"/>
              <w:spacing w:after="0" w:line="167" w:lineRule="exact"/>
              <w:rPr>
                <w:sz w:val="20"/>
                <w:szCs w:val="20"/>
                <w:color w:val="auto"/>
              </w:rPr>
            </w:pPr>
            <w:r>
              <w:rPr>
                <w:rFonts w:ascii="Arial" w:cs="Arial" w:eastAsia="Arial" w:hAnsi="Arial"/>
                <w:sz w:val="18"/>
                <w:szCs w:val="18"/>
                <w:b w:val="1"/>
                <w:bCs w:val="1"/>
                <w:color w:val="auto"/>
              </w:rPr>
              <w:t>Name of Offeror or Contractor: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auto"/>
            </w:tcBorders>
            <w:gridSpan w:val="10"/>
          </w:tcPr>
          <w:p>
            <w:pPr>
              <w:jc w:val="right"/>
              <w:ind w:right="300"/>
              <w:spacing w:after="0"/>
              <w:rPr>
                <w:sz w:val="20"/>
                <w:szCs w:val="20"/>
                <w:color w:val="auto"/>
              </w:rPr>
            </w:pPr>
            <w:r>
              <w:rPr>
                <w:rFonts w:ascii="Courier New" w:cs="Courier New" w:eastAsia="Courier New" w:hAnsi="Courier New"/>
                <w:sz w:val="12"/>
                <w:szCs w:val="12"/>
                <w:color w:val="auto"/>
              </w:rPr>
              <w:t>REGENERON PHARMACEUTICALS, INC.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3240" w:type="dxa"/>
            <w:vAlign w:val="bottom"/>
            <w:gridSpan w:val="14"/>
          </w:tcPr>
          <w:p>
            <w:pPr>
              <w:ind w:left="80"/>
              <w:spacing w:after="0"/>
              <w:rPr>
                <w:sz w:val="20"/>
                <w:szCs w:val="20"/>
                <w:color w:val="auto"/>
              </w:rPr>
            </w:pPr>
            <w:r>
              <w:rPr>
                <w:rFonts w:ascii="Courier New" w:cs="Courier New" w:eastAsia="Courier New" w:hAnsi="Courier New"/>
                <w:sz w:val="12"/>
                <w:szCs w:val="12"/>
                <w:color w:val="auto"/>
              </w:rPr>
              <w:t>SECTION G - CONTRACT ADMINISTRATION DATA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gridSpan w:val="3"/>
          </w:tcPr>
          <w:p>
            <w:pPr>
              <w:ind w:left="100"/>
              <w:spacing w:after="0"/>
              <w:rPr>
                <w:sz w:val="20"/>
                <w:szCs w:val="20"/>
                <w:color w:val="auto"/>
              </w:rPr>
            </w:pPr>
            <w:r>
              <w:rPr>
                <w:rFonts w:ascii="Courier New" w:cs="Courier New" w:eastAsia="Courier New" w:hAnsi="Courier New"/>
                <w:sz w:val="12"/>
                <w:szCs w:val="12"/>
                <w:color w:val="auto"/>
              </w:rPr>
              <w:t>PRON/</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vMerge w:val="restart"/>
          </w:tcPr>
          <w:p>
            <w:pPr>
              <w:jc w:val="center"/>
              <w:ind w:right="100"/>
              <w:spacing w:after="0"/>
              <w:rPr>
                <w:sz w:val="20"/>
                <w:szCs w:val="20"/>
                <w:color w:val="auto"/>
              </w:rPr>
            </w:pPr>
            <w:r>
              <w:rPr>
                <w:rFonts w:ascii="Courier New" w:cs="Courier New" w:eastAsia="Courier New" w:hAnsi="Courier New"/>
                <w:sz w:val="12"/>
                <w:szCs w:val="12"/>
                <w:color w:val="auto"/>
                <w:w w:val="97"/>
              </w:rPr>
              <w:t>LINE</w:t>
            </w:r>
          </w:p>
        </w:tc>
        <w:tc>
          <w:tcPr>
            <w:tcW w:w="620" w:type="dxa"/>
            <w:vAlign w:val="bottom"/>
          </w:tcPr>
          <w:p>
            <w:pPr>
              <w:spacing w:after="0"/>
              <w:rPr>
                <w:sz w:val="12"/>
                <w:szCs w:val="12"/>
                <w:color w:val="auto"/>
              </w:rPr>
            </w:pPr>
          </w:p>
        </w:tc>
        <w:tc>
          <w:tcPr>
            <w:tcW w:w="640" w:type="dxa"/>
            <w:vAlign w:val="bottom"/>
            <w:gridSpan w:val="3"/>
          </w:tcPr>
          <w:p>
            <w:pPr>
              <w:jc w:val="center"/>
              <w:ind w:left="20"/>
              <w:spacing w:after="0"/>
              <w:rPr>
                <w:sz w:val="20"/>
                <w:szCs w:val="20"/>
                <w:color w:val="auto"/>
              </w:rPr>
            </w:pPr>
            <w:r>
              <w:rPr>
                <w:rFonts w:ascii="Courier New" w:cs="Courier New" w:eastAsia="Courier New" w:hAnsi="Courier New"/>
                <w:sz w:val="12"/>
                <w:szCs w:val="12"/>
                <w:color w:val="auto"/>
              </w:rPr>
              <w:t>AMS CD/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vMerge w:val="restart"/>
          </w:tcPr>
          <w:p>
            <w:pPr>
              <w:jc w:val="center"/>
              <w:ind w:right="100"/>
              <w:spacing w:after="0"/>
              <w:rPr>
                <w:sz w:val="20"/>
                <w:szCs w:val="20"/>
                <w:color w:val="auto"/>
              </w:rPr>
            </w:pPr>
            <w:r>
              <w:rPr>
                <w:rFonts w:ascii="Courier New" w:cs="Courier New" w:eastAsia="Courier New" w:hAnsi="Courier New"/>
                <w:sz w:val="12"/>
                <w:szCs w:val="12"/>
                <w:color w:val="auto"/>
              </w:rPr>
              <w:t>OBLG</w:t>
            </w:r>
          </w:p>
        </w:tc>
        <w:tc>
          <w:tcPr>
            <w:tcW w:w="720" w:type="dxa"/>
            <w:vAlign w:val="bottom"/>
            <w:gridSpan w:val="4"/>
            <w:vMerge w:val="restart"/>
          </w:tcPr>
          <w:p>
            <w:pPr>
              <w:ind w:left="200"/>
              <w:spacing w:after="0"/>
              <w:rPr>
                <w:sz w:val="20"/>
                <w:szCs w:val="20"/>
                <w:color w:val="auto"/>
              </w:rPr>
            </w:pPr>
            <w:r>
              <w:rPr>
                <w:rFonts w:ascii="Courier New" w:cs="Courier New" w:eastAsia="Courier New" w:hAnsi="Courier New"/>
                <w:sz w:val="12"/>
                <w:szCs w:val="12"/>
                <w:color w:val="auto"/>
              </w:rPr>
              <w:t>JO NO/</w:t>
            </w:r>
          </w:p>
        </w:tc>
        <w:tc>
          <w:tcPr>
            <w:tcW w:w="300" w:type="dxa"/>
            <w:vAlign w:val="bottom"/>
            <w:gridSpan w:val="2"/>
            <w:vMerge w:val="restart"/>
          </w:tcPr>
          <w:p>
            <w:pPr>
              <w:spacing w:after="0"/>
              <w:rPr>
                <w:sz w:val="20"/>
                <w:szCs w:val="20"/>
                <w:color w:val="auto"/>
              </w:rPr>
            </w:pPr>
            <w:r>
              <w:rPr>
                <w:rFonts w:ascii="Courier New" w:cs="Courier New" w:eastAsia="Courier New" w:hAnsi="Courier New"/>
                <w:sz w:val="12"/>
                <w:szCs w:val="12"/>
                <w:color w:val="auto"/>
                <w:w w:val="97"/>
              </w:rPr>
              <w:t>ACCT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vMerge w:val="restart"/>
          </w:tcPr>
          <w:p>
            <w:pPr>
              <w:jc w:val="center"/>
              <w:spacing w:after="0"/>
              <w:rPr>
                <w:sz w:val="20"/>
                <w:szCs w:val="20"/>
                <w:color w:val="auto"/>
              </w:rPr>
            </w:pPr>
            <w:r>
              <w:rPr>
                <w:rFonts w:ascii="Courier New" w:cs="Courier New" w:eastAsia="Courier New" w:hAnsi="Courier New"/>
                <w:sz w:val="12"/>
                <w:szCs w:val="12"/>
                <w:color w:val="auto"/>
              </w:rPr>
              <w:t>INCREASE/</w:t>
            </w:r>
          </w:p>
        </w:tc>
        <w:tc>
          <w:tcPr>
            <w:tcW w:w="2500" w:type="dxa"/>
            <w:vAlign w:val="bottom"/>
            <w:gridSpan w:val="5"/>
            <w:vMerge w:val="restart"/>
          </w:tcPr>
          <w:p>
            <w:pPr>
              <w:ind w:left="40"/>
              <w:spacing w:after="0"/>
              <w:rPr>
                <w:sz w:val="20"/>
                <w:szCs w:val="20"/>
                <w:color w:val="auto"/>
              </w:rPr>
            </w:pPr>
            <w:r>
              <w:rPr>
                <w:rFonts w:ascii="Courier New" w:cs="Courier New" w:eastAsia="Courier New" w:hAnsi="Courier New"/>
                <w:sz w:val="12"/>
                <w:szCs w:val="12"/>
                <w:color w:val="auto"/>
              </w:rPr>
              <w:t>CUMULATIVE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gridSpan w:val="3"/>
          </w:tcPr>
          <w:p>
            <w:pPr>
              <w:ind w:left="100"/>
              <w:spacing w:after="0" w:line="91" w:lineRule="exact"/>
              <w:rPr>
                <w:sz w:val="20"/>
                <w:szCs w:val="20"/>
                <w:color w:val="auto"/>
              </w:rPr>
            </w:pPr>
            <w:r>
              <w:rPr>
                <w:rFonts w:ascii="Courier New" w:cs="Courier New" w:eastAsia="Courier New" w:hAnsi="Courier New"/>
                <w:sz w:val="10"/>
                <w:szCs w:val="10"/>
                <w:color w:val="auto"/>
              </w:rPr>
              <w:t>MIPR/</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300" w:type="dxa"/>
            <w:vAlign w:val="bottom"/>
            <w:tcBorders>
              <w:bottom w:val="single" w:sz="8" w:color="auto"/>
            </w:tcBorders>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restart"/>
          </w:tcPr>
          <w:p>
            <w:pPr>
              <w:jc w:val="right"/>
              <w:ind w:right="380"/>
              <w:spacing w:after="0"/>
              <w:rPr>
                <w:sz w:val="20"/>
                <w:szCs w:val="20"/>
                <w:color w:val="auto"/>
              </w:rPr>
            </w:pPr>
            <w:r>
              <w:rPr>
                <w:rFonts w:ascii="Courier New" w:cs="Courier New" w:eastAsia="Courier New" w:hAnsi="Courier New"/>
                <w:sz w:val="12"/>
                <w:szCs w:val="12"/>
                <w:color w:val="auto"/>
                <w:w w:val="97"/>
              </w:rPr>
              <w:t>ACNR</w:t>
            </w:r>
          </w:p>
        </w:tc>
        <w:tc>
          <w:tcPr>
            <w:tcW w:w="60" w:type="dxa"/>
            <w:vAlign w:val="bottom"/>
          </w:tcPr>
          <w:p>
            <w:pPr>
              <w:spacing w:after="0"/>
              <w:rPr>
                <w:sz w:val="8"/>
                <w:szCs w:val="8"/>
                <w:color w:val="auto"/>
              </w:rPr>
            </w:pPr>
          </w:p>
        </w:tc>
        <w:tc>
          <w:tcPr>
            <w:tcW w:w="1100" w:type="dxa"/>
            <w:vAlign w:val="bottom"/>
            <w:gridSpan w:val="3"/>
            <w:vMerge w:val="restart"/>
          </w:tcPr>
          <w:p>
            <w:pPr>
              <w:spacing w:after="0"/>
              <w:rPr>
                <w:sz w:val="20"/>
                <w:szCs w:val="20"/>
                <w:color w:val="auto"/>
              </w:rPr>
            </w:pPr>
            <w:r>
              <w:rPr>
                <w:rFonts w:ascii="Courier New" w:cs="Courier New" w:eastAsia="Courier New" w:hAnsi="Courier New"/>
                <w:sz w:val="12"/>
                <w:szCs w:val="12"/>
                <w:color w:val="auto"/>
              </w:rPr>
              <w:t>PRIOR AMOUNT</w:t>
            </w:r>
          </w:p>
        </w:tc>
        <w:tc>
          <w:tcPr>
            <w:tcW w:w="1440" w:type="dxa"/>
            <w:vAlign w:val="bottom"/>
            <w:gridSpan w:val="4"/>
            <w:vMerge w:val="continue"/>
          </w:tcPr>
          <w:p>
            <w:pPr>
              <w:spacing w:after="0"/>
              <w:rPr>
                <w:sz w:val="8"/>
                <w:szCs w:val="8"/>
                <w:color w:val="auto"/>
              </w:rPr>
            </w:pPr>
          </w:p>
        </w:tc>
        <w:tc>
          <w:tcPr>
            <w:tcW w:w="2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gridSpan w:val="2"/>
            <w:vMerge w:val="restart"/>
          </w:tcPr>
          <w:p>
            <w:pPr>
              <w:jc w:val="center"/>
              <w:ind w:right="100"/>
              <w:spacing w:after="0"/>
              <w:rPr>
                <w:sz w:val="20"/>
                <w:szCs w:val="20"/>
                <w:color w:val="auto"/>
              </w:rPr>
            </w:pPr>
            <w:r>
              <w:rPr>
                <w:rFonts w:ascii="Courier New" w:cs="Courier New" w:eastAsia="Courier New" w:hAnsi="Courier New"/>
                <w:sz w:val="12"/>
                <w:szCs w:val="12"/>
                <w:color w:val="auto"/>
                <w:w w:val="97"/>
              </w:rPr>
              <w:t>ITEM</w:t>
            </w:r>
          </w:p>
        </w:tc>
        <w:tc>
          <w:tcPr>
            <w:tcW w:w="620" w:type="dxa"/>
            <w:vAlign w:val="bottom"/>
          </w:tcPr>
          <w:p>
            <w:pPr>
              <w:spacing w:after="0"/>
              <w:rPr>
                <w:sz w:val="8"/>
                <w:szCs w:val="8"/>
                <w:color w:val="auto"/>
              </w:rPr>
            </w:pPr>
          </w:p>
        </w:tc>
        <w:tc>
          <w:tcPr>
            <w:tcW w:w="680" w:type="dxa"/>
            <w:vAlign w:val="bottom"/>
            <w:gridSpan w:val="4"/>
            <w:vMerge w:val="restart"/>
          </w:tcPr>
          <w:p>
            <w:pPr>
              <w:jc w:val="center"/>
              <w:spacing w:after="0" w:line="127" w:lineRule="exact"/>
              <w:rPr>
                <w:sz w:val="20"/>
                <w:szCs w:val="20"/>
                <w:color w:val="auto"/>
              </w:rPr>
            </w:pPr>
            <w:r>
              <w:rPr>
                <w:rFonts w:ascii="Courier New" w:cs="Courier New" w:eastAsia="Courier New" w:hAnsi="Courier New"/>
                <w:sz w:val="12"/>
                <w:szCs w:val="12"/>
                <w:color w:val="auto"/>
              </w:rPr>
              <w:t>GFEBS ATA</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3"/>
            <w:vMerge w:val="restart"/>
          </w:tcPr>
          <w:p>
            <w:pPr>
              <w:jc w:val="center"/>
              <w:ind w:right="100"/>
              <w:spacing w:after="0"/>
              <w:rPr>
                <w:sz w:val="20"/>
                <w:szCs w:val="20"/>
                <w:color w:val="auto"/>
              </w:rPr>
            </w:pPr>
            <w:r>
              <w:rPr>
                <w:rFonts w:ascii="Courier New" w:cs="Courier New" w:eastAsia="Courier New" w:hAnsi="Courier New"/>
                <w:sz w:val="12"/>
                <w:szCs w:val="12"/>
                <w:color w:val="auto"/>
              </w:rPr>
              <w:t>STAT</w:t>
            </w:r>
          </w:p>
        </w:tc>
        <w:tc>
          <w:tcPr>
            <w:tcW w:w="900" w:type="dxa"/>
            <w:vAlign w:val="bottom"/>
            <w:gridSpan w:val="5"/>
            <w:vMerge w:val="restart"/>
          </w:tcPr>
          <w:p>
            <w:pPr>
              <w:ind w:left="200"/>
              <w:spacing w:after="0"/>
              <w:rPr>
                <w:sz w:val="20"/>
                <w:szCs w:val="20"/>
                <w:color w:val="auto"/>
              </w:rPr>
            </w:pPr>
            <w:r>
              <w:rPr>
                <w:rFonts w:ascii="Courier New" w:cs="Courier New" w:eastAsia="Courier New" w:hAnsi="Courier New"/>
                <w:sz w:val="12"/>
                <w:szCs w:val="12"/>
                <w:color w:val="auto"/>
              </w:rPr>
              <w:t>ASSIGN</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gridSpan w:val="3"/>
            <w:vMerge w:val="restart"/>
          </w:tcPr>
          <w:p>
            <w:pPr>
              <w:jc w:val="center"/>
              <w:ind w:right="400"/>
              <w:spacing w:after="0"/>
              <w:rPr>
                <w:sz w:val="20"/>
                <w:szCs w:val="20"/>
                <w:color w:val="auto"/>
              </w:rPr>
            </w:pPr>
            <w:r>
              <w:rPr>
                <w:rFonts w:ascii="Courier New" w:cs="Courier New" w:eastAsia="Courier New" w:hAnsi="Courier New"/>
                <w:sz w:val="12"/>
                <w:szCs w:val="12"/>
                <w:color w:val="auto"/>
              </w:rPr>
              <w:t>DECREASE</w:t>
            </w:r>
          </w:p>
        </w:tc>
        <w:tc>
          <w:tcPr>
            <w:tcW w:w="2500" w:type="dxa"/>
            <w:vAlign w:val="bottom"/>
            <w:gridSpan w:val="5"/>
            <w:vMerge w:val="restart"/>
          </w:tcPr>
          <w:p>
            <w:pPr>
              <w:ind w:left="40"/>
              <w:spacing w:after="0"/>
              <w:rPr>
                <w:sz w:val="20"/>
                <w:szCs w:val="20"/>
                <w:color w:val="auto"/>
              </w:rPr>
            </w:pPr>
            <w:r>
              <w:rPr>
                <w:rFonts w:ascii="Courier New" w:cs="Courier New" w:eastAsia="Courier New" w:hAnsi="Courier New"/>
                <w:sz w:val="12"/>
                <w:szCs w:val="12"/>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4"/>
            <w:vMerge w:val="continu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gridSpan w:val="4"/>
            <w:vMerge w:val="continu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restart"/>
          </w:tcPr>
          <w:p>
            <w:pPr>
              <w:jc w:val="right"/>
              <w:ind w:right="380"/>
              <w:spacing w:after="0"/>
              <w:rPr>
                <w:sz w:val="20"/>
                <w:szCs w:val="20"/>
                <w:color w:val="auto"/>
              </w:rPr>
            </w:pPr>
            <w:r>
              <w:rPr>
                <w:rFonts w:ascii="Courier New" w:cs="Courier New" w:eastAsia="Courier New" w:hAnsi="Courier New"/>
                <w:sz w:val="12"/>
                <w:szCs w:val="12"/>
                <w:color w:val="auto"/>
              </w:rPr>
              <w:t>AD</w:t>
            </w:r>
          </w:p>
        </w:tc>
        <w:tc>
          <w:tcPr>
            <w:tcW w:w="140" w:type="dxa"/>
            <w:vAlign w:val="bottom"/>
            <w:gridSpan w:val="2"/>
            <w:vMerge w:val="restart"/>
          </w:tcPr>
          <w:p>
            <w:pPr>
              <w:ind w:left="60"/>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vMerge w:val="restart"/>
          </w:tcPr>
          <w:p>
            <w:pPr>
              <w:jc w:val="right"/>
              <w:ind w:right="398"/>
              <w:spacing w:after="0"/>
              <w:rPr>
                <w:sz w:val="20"/>
                <w:szCs w:val="20"/>
                <w:color w:val="auto"/>
              </w:rPr>
            </w:pPr>
            <w:r>
              <w:rPr>
                <w:rFonts w:ascii="Courier New" w:cs="Courier New" w:eastAsia="Courier New" w:hAnsi="Courier New"/>
                <w:sz w:val="12"/>
                <w:szCs w:val="12"/>
                <w:color w:val="auto"/>
              </w:rPr>
              <w:t>0.00</w:t>
            </w:r>
          </w:p>
        </w:tc>
        <w:tc>
          <w:tcPr>
            <w:tcW w:w="2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500" w:type="dxa"/>
            <w:vAlign w:val="bottom"/>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3"/>
          </w:tcPr>
          <w:p>
            <w:pPr>
              <w:jc w:val="center"/>
              <w:ind w:left="118"/>
              <w:spacing w:after="0"/>
              <w:rPr>
                <w:sz w:val="20"/>
                <w:szCs w:val="20"/>
                <w:color w:val="auto"/>
              </w:rPr>
            </w:pPr>
            <w:r>
              <w:rPr>
                <w:rFonts w:ascii="Courier New" w:cs="Courier New" w:eastAsia="Courier New" w:hAnsi="Courier New"/>
                <w:sz w:val="12"/>
                <w:szCs w:val="12"/>
                <w:color w:val="auto"/>
              </w:rPr>
              <w:t>0003AA</w:t>
            </w:r>
          </w:p>
        </w:tc>
        <w:tc>
          <w:tcPr>
            <w:tcW w:w="1980" w:type="dxa"/>
            <w:vAlign w:val="bottom"/>
            <w:gridSpan w:val="7"/>
          </w:tcPr>
          <w:p>
            <w:pPr>
              <w:jc w:val="center"/>
              <w:ind w:right="20"/>
              <w:spacing w:after="0"/>
              <w:rPr>
                <w:sz w:val="20"/>
                <w:szCs w:val="20"/>
                <w:color w:val="auto"/>
              </w:rPr>
            </w:pPr>
            <w:r>
              <w:rPr>
                <w:rFonts w:ascii="Courier New" w:cs="Courier New" w:eastAsia="Courier New" w:hAnsi="Courier New"/>
                <w:sz w:val="12"/>
                <w:szCs w:val="12"/>
                <w:color w:val="auto"/>
              </w:rPr>
              <w:t>X21ZD484W1</w:t>
            </w:r>
          </w:p>
        </w:tc>
        <w:tc>
          <w:tcPr>
            <w:tcW w:w="34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82"/>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 0074658.7.4.1.1</w:t>
            </w:r>
          </w:p>
        </w:tc>
        <w:tc>
          <w:tcPr>
            <w:tcW w:w="16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14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$ 999,999,000.00</w:t>
            </w:r>
          </w:p>
        </w:tc>
        <w:tc>
          <w:tcPr>
            <w:tcW w:w="2500" w:type="dxa"/>
            <w:vAlign w:val="bottom"/>
            <w:gridSpan w:val="5"/>
          </w:tcPr>
          <w:p>
            <w:pPr>
              <w:jc w:val="right"/>
              <w:ind w:right="989"/>
              <w:spacing w:after="0"/>
              <w:rPr>
                <w:sz w:val="20"/>
                <w:szCs w:val="20"/>
                <w:color w:val="auto"/>
              </w:rPr>
            </w:pPr>
            <w:r>
              <w:rPr>
                <w:rFonts w:ascii="Courier New" w:cs="Courier New" w:eastAsia="Courier New" w:hAnsi="Courier New"/>
                <w:sz w:val="12"/>
                <w:szCs w:val="12"/>
                <w:color w:val="auto"/>
              </w:rPr>
              <w:t>$ 999,999,000.00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3"/>
          </w:tcPr>
          <w:p>
            <w:pPr>
              <w:jc w:val="center"/>
              <w:ind w:left="118"/>
              <w:spacing w:after="0"/>
              <w:rPr>
                <w:sz w:val="20"/>
                <w:szCs w:val="20"/>
                <w:color w:val="auto"/>
              </w:rPr>
            </w:pPr>
            <w:r>
              <w:rPr>
                <w:rFonts w:ascii="Courier New" w:cs="Courier New" w:eastAsia="Courier New" w:hAnsi="Courier New"/>
                <w:sz w:val="12"/>
                <w:szCs w:val="12"/>
                <w:color w:val="auto"/>
              </w:rPr>
              <w:t>0003AB</w:t>
            </w:r>
          </w:p>
        </w:tc>
        <w:tc>
          <w:tcPr>
            <w:tcW w:w="1980" w:type="dxa"/>
            <w:vAlign w:val="bottom"/>
            <w:gridSpan w:val="7"/>
          </w:tcPr>
          <w:p>
            <w:pPr>
              <w:jc w:val="center"/>
              <w:ind w:right="20"/>
              <w:spacing w:after="0"/>
              <w:rPr>
                <w:sz w:val="20"/>
                <w:szCs w:val="20"/>
                <w:color w:val="auto"/>
              </w:rPr>
            </w:pPr>
            <w:r>
              <w:rPr>
                <w:rFonts w:ascii="Courier New" w:cs="Courier New" w:eastAsia="Courier New" w:hAnsi="Courier New"/>
                <w:sz w:val="12"/>
                <w:szCs w:val="12"/>
                <w:color w:val="auto"/>
              </w:rPr>
              <w:t>X21ZD485W1</w:t>
            </w:r>
          </w:p>
        </w:tc>
        <w:tc>
          <w:tcPr>
            <w:tcW w:w="34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82"/>
              </w:rPr>
              <w:t>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 0074658.7.4.1.2</w:t>
            </w:r>
          </w:p>
        </w:tc>
        <w:tc>
          <w:tcPr>
            <w:tcW w:w="160" w:type="dxa"/>
            <w:vAlign w:val="bottom"/>
          </w:tcPr>
          <w:p>
            <w:pPr>
              <w:spacing w:after="0"/>
              <w:rPr>
                <w:sz w:val="22"/>
                <w:szCs w:val="22"/>
                <w:color w:val="auto"/>
              </w:rPr>
            </w:pPr>
          </w:p>
        </w:tc>
        <w:tc>
          <w:tcPr>
            <w:tcW w:w="680" w:type="dxa"/>
            <w:vAlign w:val="bottom"/>
            <w:gridSpan w:val="2"/>
          </w:tcPr>
          <w:p>
            <w:pPr>
              <w:jc w:val="right"/>
              <w:ind w:right="380"/>
              <w:spacing w:after="0"/>
              <w:rPr>
                <w:sz w:val="20"/>
                <w:szCs w:val="20"/>
                <w:color w:val="auto"/>
              </w:rPr>
            </w:pPr>
            <w:r>
              <w:rPr>
                <w:rFonts w:ascii="Courier New" w:cs="Courier New" w:eastAsia="Courier New" w:hAnsi="Courier New"/>
                <w:sz w:val="12"/>
                <w:szCs w:val="12"/>
                <w:color w:val="auto"/>
              </w:rPr>
              <w:t>AE</w:t>
            </w:r>
          </w:p>
        </w:tc>
        <w:tc>
          <w:tcPr>
            <w:tcW w:w="1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tcPr>
          <w:p>
            <w:pPr>
              <w:jc w:val="right"/>
              <w:ind w:right="398"/>
              <w:spacing w:after="0"/>
              <w:rPr>
                <w:sz w:val="20"/>
                <w:szCs w:val="20"/>
                <w:color w:val="auto"/>
              </w:rPr>
            </w:pPr>
            <w:r>
              <w:rPr>
                <w:rFonts w:ascii="Courier New" w:cs="Courier New" w:eastAsia="Courier New" w:hAnsi="Courier New"/>
                <w:sz w:val="12"/>
                <w:szCs w:val="12"/>
                <w:color w:val="auto"/>
              </w:rPr>
              <w:t>0.00</w:t>
            </w:r>
          </w:p>
        </w:tc>
        <w:tc>
          <w:tcPr>
            <w:tcW w:w="200" w:type="dxa"/>
            <w:vAlign w:val="bottom"/>
          </w:tcPr>
          <w:p>
            <w:pPr>
              <w:spacing w:after="0"/>
              <w:rPr>
                <w:sz w:val="22"/>
                <w:szCs w:val="22"/>
                <w:color w:val="auto"/>
              </w:rPr>
            </w:pPr>
          </w:p>
        </w:tc>
        <w:tc>
          <w:tcPr>
            <w:tcW w:w="144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$ 999,999,000.00</w:t>
            </w:r>
          </w:p>
        </w:tc>
        <w:tc>
          <w:tcPr>
            <w:tcW w:w="2500" w:type="dxa"/>
            <w:vAlign w:val="bottom"/>
            <w:gridSpan w:val="5"/>
          </w:tcPr>
          <w:p>
            <w:pPr>
              <w:jc w:val="right"/>
              <w:ind w:right="989"/>
              <w:spacing w:after="0"/>
              <w:rPr>
                <w:sz w:val="20"/>
                <w:szCs w:val="20"/>
                <w:color w:val="auto"/>
              </w:rPr>
            </w:pPr>
            <w:r>
              <w:rPr>
                <w:rFonts w:ascii="Courier New" w:cs="Courier New" w:eastAsia="Courier New" w:hAnsi="Courier New"/>
                <w:sz w:val="12"/>
                <w:szCs w:val="12"/>
                <w:color w:val="auto"/>
              </w:rPr>
              <w:t>$ 999,999,000.00</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center"/>
              <w:ind w:left="118"/>
              <w:spacing w:after="0"/>
              <w:rPr>
                <w:sz w:val="20"/>
                <w:szCs w:val="20"/>
                <w:color w:val="auto"/>
              </w:rPr>
            </w:pPr>
            <w:r>
              <w:rPr>
                <w:rFonts w:ascii="Courier New" w:cs="Courier New" w:eastAsia="Courier New" w:hAnsi="Courier New"/>
                <w:sz w:val="12"/>
                <w:szCs w:val="12"/>
                <w:color w:val="auto"/>
              </w:rPr>
              <w:t>0003AC</w:t>
            </w:r>
          </w:p>
        </w:tc>
        <w:tc>
          <w:tcPr>
            <w:tcW w:w="1980" w:type="dxa"/>
            <w:vAlign w:val="bottom"/>
            <w:gridSpan w:val="7"/>
          </w:tcPr>
          <w:p>
            <w:pPr>
              <w:jc w:val="center"/>
              <w:ind w:right="20"/>
              <w:spacing w:after="0"/>
              <w:rPr>
                <w:sz w:val="20"/>
                <w:szCs w:val="20"/>
                <w:color w:val="auto"/>
              </w:rPr>
            </w:pPr>
            <w:r>
              <w:rPr>
                <w:rFonts w:ascii="Courier New" w:cs="Courier New" w:eastAsia="Courier New" w:hAnsi="Courier New"/>
                <w:sz w:val="12"/>
                <w:szCs w:val="12"/>
                <w:color w:val="auto"/>
              </w:rPr>
              <w:t>X21ZD486W1</w:t>
            </w:r>
          </w:p>
        </w:tc>
        <w:tc>
          <w:tcPr>
            <w:tcW w:w="34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82"/>
              </w:rPr>
              <w:t>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S. 0074658.7.4.1.3</w:t>
            </w:r>
          </w:p>
        </w:tc>
        <w:tc>
          <w:tcPr>
            <w:tcW w:w="16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Courier New" w:cs="Courier New" w:eastAsia="Courier New" w:hAnsi="Courier New"/>
                <w:sz w:val="12"/>
                <w:szCs w:val="12"/>
                <w:color w:val="auto"/>
              </w:rPr>
              <w:t>AF</w:t>
            </w:r>
          </w:p>
        </w:tc>
        <w:tc>
          <w:tcPr>
            <w:tcW w:w="1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82"/>
              </w:rPr>
              <w:t>$</w:t>
            </w:r>
          </w:p>
        </w:tc>
        <w:tc>
          <w:tcPr>
            <w:tcW w:w="820" w:type="dxa"/>
            <w:vAlign w:val="bottom"/>
          </w:tcPr>
          <w:p>
            <w:pPr>
              <w:jc w:val="right"/>
              <w:ind w:right="398"/>
              <w:spacing w:after="0"/>
              <w:rPr>
                <w:sz w:val="20"/>
                <w:szCs w:val="20"/>
                <w:color w:val="auto"/>
              </w:rPr>
            </w:pPr>
            <w:r>
              <w:rPr>
                <w:rFonts w:ascii="Courier New" w:cs="Courier New" w:eastAsia="Courier New" w:hAnsi="Courier New"/>
                <w:sz w:val="12"/>
                <w:szCs w:val="12"/>
                <w:color w:val="auto"/>
              </w:rPr>
              <w:t>0.00</w:t>
            </w:r>
          </w:p>
        </w:tc>
        <w:tc>
          <w:tcPr>
            <w:tcW w:w="20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$ 940,002,000.00</w:t>
            </w:r>
          </w:p>
        </w:tc>
        <w:tc>
          <w:tcPr>
            <w:tcW w:w="2500" w:type="dxa"/>
            <w:vAlign w:val="bottom"/>
            <w:gridSpan w:val="5"/>
          </w:tcPr>
          <w:p>
            <w:pPr>
              <w:jc w:val="right"/>
              <w:ind w:right="989"/>
              <w:spacing w:after="0"/>
              <w:rPr>
                <w:sz w:val="20"/>
                <w:szCs w:val="20"/>
                <w:color w:val="auto"/>
              </w:rPr>
            </w:pPr>
            <w:r>
              <w:rPr>
                <w:rFonts w:ascii="Courier New" w:cs="Courier New" w:eastAsia="Courier New" w:hAnsi="Courier New"/>
                <w:sz w:val="12"/>
                <w:szCs w:val="12"/>
                <w:color w:val="auto"/>
              </w:rPr>
              <w:t>$ 940,002,000.00</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NET CHANGE</w:t>
            </w:r>
          </w:p>
        </w:tc>
        <w:tc>
          <w:tcPr>
            <w:tcW w:w="144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$2,940,000,000.00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2"/>
                <w:szCs w:val="12"/>
                <w:color w:val="auto"/>
                <w:w w:val="97"/>
              </w:rPr>
              <w:t>ACRN</w:t>
            </w:r>
          </w:p>
        </w:tc>
        <w:tc>
          <w:tcPr>
            <w:tcW w:w="380" w:type="dxa"/>
            <w:vAlign w:val="bottom"/>
            <w:gridSpan w:val="2"/>
          </w:tcPr>
          <w:p>
            <w:pPr>
              <w:spacing w:after="0"/>
              <w:rPr>
                <w:sz w:val="24"/>
                <w:szCs w:val="24"/>
                <w:color w:val="auto"/>
              </w:rPr>
            </w:pPr>
          </w:p>
        </w:tc>
        <w:tc>
          <w:tcPr>
            <w:tcW w:w="1260" w:type="dxa"/>
            <w:vAlign w:val="bottom"/>
            <w:gridSpan w:val="4"/>
          </w:tcPr>
          <w:p>
            <w:pPr>
              <w:spacing w:after="0"/>
              <w:rPr>
                <w:sz w:val="20"/>
                <w:szCs w:val="20"/>
                <w:color w:val="auto"/>
              </w:rPr>
            </w:pPr>
            <w:r>
              <w:rPr>
                <w:rFonts w:ascii="Courier New" w:cs="Courier New" w:eastAsia="Courier New" w:hAnsi="Courier New"/>
                <w:sz w:val="12"/>
                <w:szCs w:val="12"/>
                <w:color w:val="auto"/>
              </w:rPr>
              <w:t>ACCOUNTING</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7"/>
          </w:tcPr>
          <w:p>
            <w:pPr>
              <w:spacing w:after="0"/>
              <w:rPr>
                <w:sz w:val="20"/>
                <w:szCs w:val="20"/>
                <w:color w:val="auto"/>
              </w:rPr>
            </w:pPr>
            <w:r>
              <w:rPr>
                <w:rFonts w:ascii="Courier New" w:cs="Courier New" w:eastAsia="Courier New" w:hAnsi="Courier New"/>
                <w:sz w:val="12"/>
                <w:szCs w:val="12"/>
                <w:color w:val="auto"/>
              </w:rPr>
              <w:t>INCREASE/DECREASE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Courier New" w:cs="Courier New" w:eastAsia="Courier New" w:hAnsi="Courier New"/>
                <w:sz w:val="12"/>
                <w:szCs w:val="12"/>
                <w:color w:val="auto"/>
              </w:rPr>
              <w:t>CLASSIFICATION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7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AD</w:t>
            </w:r>
          </w:p>
        </w:tc>
        <w:tc>
          <w:tcPr>
            <w:tcW w:w="1260" w:type="dxa"/>
            <w:vAlign w:val="bottom"/>
            <w:gridSpan w:val="4"/>
          </w:tcPr>
          <w:p>
            <w:pPr>
              <w:spacing w:after="0"/>
              <w:rPr>
                <w:sz w:val="20"/>
                <w:szCs w:val="20"/>
                <w:color w:val="auto"/>
              </w:rPr>
            </w:pPr>
            <w:r>
              <w:rPr>
                <w:rFonts w:ascii="Courier New" w:cs="Courier New" w:eastAsia="Courier New" w:hAnsi="Courier New"/>
                <w:sz w:val="12"/>
                <w:szCs w:val="12"/>
                <w:color w:val="auto"/>
              </w:rPr>
              <w:t>021 202120222040</w:t>
            </w:r>
          </w:p>
        </w:tc>
        <w:tc>
          <w:tcPr>
            <w:tcW w:w="1520" w:type="dxa"/>
            <w:vAlign w:val="bottom"/>
            <w:gridSpan w:val="8"/>
          </w:tcPr>
          <w:p>
            <w:pPr>
              <w:ind w:left="40"/>
              <w:spacing w:after="0"/>
              <w:rPr>
                <w:sz w:val="20"/>
                <w:szCs w:val="20"/>
                <w:color w:val="auto"/>
              </w:rPr>
            </w:pPr>
            <w:r>
              <w:rPr>
                <w:rFonts w:ascii="Courier New" w:cs="Courier New" w:eastAsia="Courier New" w:hAnsi="Courier New"/>
                <w:sz w:val="12"/>
                <w:szCs w:val="12"/>
                <w:color w:val="auto"/>
              </w:rPr>
              <w:t>A5XAH 643627E79RG04</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2550</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2"/>
                <w:szCs w:val="12"/>
                <w:color w:val="auto"/>
              </w:rPr>
              <w:t>L074890014</w:t>
            </w:r>
          </w:p>
        </w:tc>
        <w:tc>
          <w:tcPr>
            <w:tcW w:w="2000" w:type="dxa"/>
            <w:vAlign w:val="bottom"/>
            <w:gridSpan w:val="7"/>
          </w:tcPr>
          <w:p>
            <w:pPr>
              <w:ind w:left="120"/>
              <w:spacing w:after="0"/>
              <w:rPr>
                <w:sz w:val="20"/>
                <w:szCs w:val="20"/>
                <w:color w:val="auto"/>
              </w:rPr>
            </w:pPr>
            <w:r>
              <w:rPr>
                <w:rFonts w:ascii="Courier New" w:cs="Courier New" w:eastAsia="Courier New" w:hAnsi="Courier New"/>
                <w:sz w:val="12"/>
                <w:szCs w:val="12"/>
                <w:color w:val="auto"/>
                <w:w w:val="99"/>
              </w:rPr>
              <w:t xml:space="preserve">S.0074658.7.4.1.1 </w:t>
            </w:r>
            <w:r>
              <w:rPr>
                <w:rFonts w:ascii="Courier New" w:cs="Courier New" w:eastAsia="Courier New" w:hAnsi="Courier New"/>
                <w:sz w:val="24"/>
                <w:szCs w:val="24"/>
                <w:color w:val="auto"/>
                <w:w w:val="99"/>
                <w:vertAlign w:val="subscript"/>
              </w:rPr>
              <w:t>021001</w:t>
            </w:r>
          </w:p>
        </w:tc>
        <w:tc>
          <w:tcPr>
            <w:tcW w:w="1700" w:type="dxa"/>
            <w:vAlign w:val="bottom"/>
            <w:gridSpan w:val="6"/>
          </w:tcPr>
          <w:p>
            <w:pPr>
              <w:ind w:left="660"/>
              <w:spacing w:after="0"/>
              <w:rPr>
                <w:sz w:val="20"/>
                <w:szCs w:val="20"/>
                <w:color w:val="auto"/>
              </w:rPr>
            </w:pPr>
            <w:r>
              <w:rPr>
                <w:rFonts w:ascii="Courier New" w:cs="Courier New" w:eastAsia="Courier New" w:hAnsi="Courier New"/>
                <w:sz w:val="12"/>
                <w:szCs w:val="12"/>
                <w:color w:val="auto"/>
              </w:rPr>
              <w:t>999,999,000.00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AE</w:t>
            </w:r>
          </w:p>
        </w:tc>
        <w:tc>
          <w:tcPr>
            <w:tcW w:w="1260" w:type="dxa"/>
            <w:vAlign w:val="bottom"/>
            <w:gridSpan w:val="4"/>
          </w:tcPr>
          <w:p>
            <w:pPr>
              <w:spacing w:after="0"/>
              <w:rPr>
                <w:sz w:val="20"/>
                <w:szCs w:val="20"/>
                <w:color w:val="auto"/>
              </w:rPr>
            </w:pPr>
            <w:r>
              <w:rPr>
                <w:rFonts w:ascii="Courier New" w:cs="Courier New" w:eastAsia="Courier New" w:hAnsi="Courier New"/>
                <w:sz w:val="12"/>
                <w:szCs w:val="12"/>
                <w:color w:val="auto"/>
              </w:rPr>
              <w:t>021 202120222040</w:t>
            </w:r>
          </w:p>
        </w:tc>
        <w:tc>
          <w:tcPr>
            <w:tcW w:w="1520" w:type="dxa"/>
            <w:vAlign w:val="bottom"/>
            <w:gridSpan w:val="8"/>
          </w:tcPr>
          <w:p>
            <w:pPr>
              <w:ind w:left="40"/>
              <w:spacing w:after="0"/>
              <w:rPr>
                <w:sz w:val="20"/>
                <w:szCs w:val="20"/>
                <w:color w:val="auto"/>
              </w:rPr>
            </w:pPr>
            <w:r>
              <w:rPr>
                <w:rFonts w:ascii="Courier New" w:cs="Courier New" w:eastAsia="Courier New" w:hAnsi="Courier New"/>
                <w:sz w:val="12"/>
                <w:szCs w:val="12"/>
                <w:color w:val="auto"/>
              </w:rPr>
              <w:t>A5XAH 643627E79RG04</w:t>
            </w:r>
          </w:p>
        </w:tc>
        <w:tc>
          <w:tcPr>
            <w:tcW w:w="5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2550</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2"/>
                <w:szCs w:val="12"/>
                <w:color w:val="auto"/>
              </w:rPr>
              <w:t>L074890022</w:t>
            </w:r>
          </w:p>
        </w:tc>
        <w:tc>
          <w:tcPr>
            <w:tcW w:w="2000" w:type="dxa"/>
            <w:vAlign w:val="bottom"/>
            <w:gridSpan w:val="7"/>
          </w:tcPr>
          <w:p>
            <w:pPr>
              <w:ind w:left="120"/>
              <w:spacing w:after="0" w:line="228" w:lineRule="exact"/>
              <w:rPr>
                <w:sz w:val="20"/>
                <w:szCs w:val="20"/>
                <w:color w:val="auto"/>
              </w:rPr>
            </w:pPr>
            <w:r>
              <w:rPr>
                <w:rFonts w:ascii="Courier New" w:cs="Courier New" w:eastAsia="Courier New" w:hAnsi="Courier New"/>
                <w:sz w:val="12"/>
                <w:szCs w:val="12"/>
                <w:color w:val="auto"/>
                <w:w w:val="99"/>
              </w:rPr>
              <w:t xml:space="preserve">S.0074658.7.4.1.2 </w:t>
            </w:r>
            <w:r>
              <w:rPr>
                <w:rFonts w:ascii="Courier New" w:cs="Courier New" w:eastAsia="Courier New" w:hAnsi="Courier New"/>
                <w:sz w:val="24"/>
                <w:szCs w:val="24"/>
                <w:color w:val="auto"/>
                <w:w w:val="99"/>
                <w:vertAlign w:val="subscript"/>
              </w:rPr>
              <w:t>021001</w:t>
            </w:r>
          </w:p>
        </w:tc>
        <w:tc>
          <w:tcPr>
            <w:tcW w:w="1700" w:type="dxa"/>
            <w:vAlign w:val="bottom"/>
            <w:gridSpan w:val="6"/>
          </w:tcPr>
          <w:p>
            <w:pPr>
              <w:ind w:left="660"/>
              <w:spacing w:after="0"/>
              <w:rPr>
                <w:sz w:val="20"/>
                <w:szCs w:val="20"/>
                <w:color w:val="auto"/>
              </w:rPr>
            </w:pPr>
            <w:r>
              <w:rPr>
                <w:rFonts w:ascii="Courier New" w:cs="Courier New" w:eastAsia="Courier New" w:hAnsi="Courier New"/>
                <w:sz w:val="12"/>
                <w:szCs w:val="12"/>
                <w:color w:val="auto"/>
              </w:rPr>
              <w:t>999,999,000.00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gridSpan w:val="4"/>
          </w:tcPr>
          <w:p>
            <w:pPr>
              <w:ind w:left="80"/>
              <w:spacing w:after="0" w:line="110" w:lineRule="exact"/>
              <w:rPr>
                <w:sz w:val="20"/>
                <w:szCs w:val="20"/>
                <w:color w:val="auto"/>
              </w:rPr>
            </w:pPr>
            <w:r>
              <w:rPr>
                <w:rFonts w:ascii="Courier New" w:cs="Courier New" w:eastAsia="Courier New" w:hAnsi="Courier New"/>
                <w:sz w:val="12"/>
                <w:szCs w:val="12"/>
                <w:color w:val="auto"/>
              </w:rPr>
              <w:t>AF</w:t>
            </w:r>
          </w:p>
        </w:tc>
        <w:tc>
          <w:tcPr>
            <w:tcW w:w="1260" w:type="dxa"/>
            <w:vAlign w:val="bottom"/>
            <w:gridSpan w:val="4"/>
          </w:tcPr>
          <w:p>
            <w:pPr>
              <w:spacing w:after="0" w:line="110" w:lineRule="exact"/>
              <w:rPr>
                <w:sz w:val="20"/>
                <w:szCs w:val="20"/>
                <w:color w:val="auto"/>
              </w:rPr>
            </w:pPr>
            <w:r>
              <w:rPr>
                <w:rFonts w:ascii="Courier New" w:cs="Courier New" w:eastAsia="Courier New" w:hAnsi="Courier New"/>
                <w:sz w:val="12"/>
                <w:szCs w:val="12"/>
                <w:color w:val="auto"/>
              </w:rPr>
              <w:t>021 202120222040</w:t>
            </w:r>
          </w:p>
        </w:tc>
        <w:tc>
          <w:tcPr>
            <w:tcW w:w="1520" w:type="dxa"/>
            <w:vAlign w:val="bottom"/>
            <w:gridSpan w:val="8"/>
          </w:tcPr>
          <w:p>
            <w:pPr>
              <w:ind w:left="40"/>
              <w:spacing w:after="0" w:line="110" w:lineRule="exact"/>
              <w:rPr>
                <w:sz w:val="20"/>
                <w:szCs w:val="20"/>
                <w:color w:val="auto"/>
              </w:rPr>
            </w:pPr>
            <w:r>
              <w:rPr>
                <w:rFonts w:ascii="Courier New" w:cs="Courier New" w:eastAsia="Courier New" w:hAnsi="Courier New"/>
                <w:sz w:val="12"/>
                <w:szCs w:val="12"/>
                <w:color w:val="auto"/>
              </w:rPr>
              <w:t>A5XAH 643627E79RG04</w:t>
            </w:r>
          </w:p>
        </w:tc>
        <w:tc>
          <w:tcPr>
            <w:tcW w:w="580" w:type="dxa"/>
            <w:vAlign w:val="bottom"/>
            <w:gridSpan w:val="3"/>
          </w:tcPr>
          <w:p>
            <w:pPr>
              <w:jc w:val="right"/>
              <w:spacing w:after="0" w:line="110" w:lineRule="exact"/>
              <w:rPr>
                <w:sz w:val="20"/>
                <w:szCs w:val="20"/>
                <w:color w:val="auto"/>
              </w:rPr>
            </w:pPr>
            <w:r>
              <w:rPr>
                <w:rFonts w:ascii="Courier New" w:cs="Courier New" w:eastAsia="Courier New" w:hAnsi="Courier New"/>
                <w:sz w:val="12"/>
                <w:szCs w:val="12"/>
                <w:color w:val="auto"/>
              </w:rPr>
              <w:t>2550</w:t>
            </w:r>
          </w:p>
        </w:tc>
        <w:tc>
          <w:tcPr>
            <w:tcW w:w="880" w:type="dxa"/>
            <w:vAlign w:val="bottom"/>
            <w:gridSpan w:val="2"/>
          </w:tcPr>
          <w:p>
            <w:pPr>
              <w:jc w:val="right"/>
              <w:ind w:right="9"/>
              <w:spacing w:after="0" w:line="110" w:lineRule="exact"/>
              <w:rPr>
                <w:sz w:val="20"/>
                <w:szCs w:val="20"/>
                <w:color w:val="auto"/>
              </w:rPr>
            </w:pPr>
            <w:r>
              <w:rPr>
                <w:rFonts w:ascii="Courier New" w:cs="Courier New" w:eastAsia="Courier New" w:hAnsi="Courier New"/>
                <w:sz w:val="12"/>
                <w:szCs w:val="12"/>
                <w:color w:val="auto"/>
              </w:rPr>
              <w:t>L074890199</w:t>
            </w:r>
          </w:p>
        </w:tc>
        <w:tc>
          <w:tcPr>
            <w:tcW w:w="2000" w:type="dxa"/>
            <w:vAlign w:val="bottom"/>
            <w:gridSpan w:val="7"/>
          </w:tcPr>
          <w:p>
            <w:pPr>
              <w:ind w:left="120"/>
              <w:spacing w:after="0" w:line="110" w:lineRule="exact"/>
              <w:rPr>
                <w:sz w:val="20"/>
                <w:szCs w:val="20"/>
                <w:color w:val="auto"/>
              </w:rPr>
            </w:pPr>
            <w:r>
              <w:rPr>
                <w:rFonts w:ascii="Courier New" w:cs="Courier New" w:eastAsia="Courier New" w:hAnsi="Courier New"/>
                <w:sz w:val="8"/>
                <w:szCs w:val="8"/>
                <w:color w:val="auto"/>
              </w:rPr>
              <w:t xml:space="preserve">S.0074658.7.4.1.3 </w:t>
            </w:r>
            <w:r>
              <w:rPr>
                <w:rFonts w:ascii="Courier New" w:cs="Courier New" w:eastAsia="Courier New" w:hAnsi="Courier New"/>
                <w:sz w:val="12"/>
                <w:szCs w:val="12"/>
                <w:color w:val="auto"/>
                <w:vertAlign w:val="subscript"/>
              </w:rPr>
              <w:t>021001</w:t>
            </w:r>
          </w:p>
        </w:tc>
        <w:tc>
          <w:tcPr>
            <w:tcW w:w="660" w:type="dxa"/>
            <w:vAlign w:val="bottom"/>
            <w:gridSpan w:val="2"/>
          </w:tcPr>
          <w:p>
            <w:pPr>
              <w:spacing w:after="0"/>
              <w:rPr>
                <w:sz w:val="10"/>
                <w:szCs w:val="10"/>
                <w:color w:val="auto"/>
              </w:rPr>
            </w:pPr>
          </w:p>
        </w:tc>
        <w:tc>
          <w:tcPr>
            <w:tcW w:w="1040" w:type="dxa"/>
            <w:vAlign w:val="bottom"/>
            <w:tcBorders>
              <w:bottom w:val="single" w:sz="8" w:color="auto"/>
            </w:tcBorders>
            <w:gridSpan w:val="4"/>
          </w:tcPr>
          <w:p>
            <w:pPr>
              <w:spacing w:after="0" w:line="97" w:lineRule="exact"/>
              <w:rPr>
                <w:sz w:val="20"/>
                <w:szCs w:val="20"/>
                <w:color w:val="auto"/>
              </w:rPr>
            </w:pPr>
            <w:r>
              <w:rPr>
                <w:rFonts w:ascii="Courier New" w:cs="Courier New" w:eastAsia="Courier New" w:hAnsi="Courier New"/>
                <w:sz w:val="11"/>
                <w:szCs w:val="11"/>
                <w:color w:val="auto"/>
              </w:rPr>
              <w:t>940,002,000.</w:t>
            </w:r>
            <w:r>
              <w:rPr>
                <w:rFonts w:ascii="Courier New" w:cs="Courier New" w:eastAsia="Courier New" w:hAnsi="Courier New"/>
                <w:sz w:val="11"/>
                <w:szCs w:val="11"/>
                <w:u w:val="single" w:color="auto"/>
                <w:color w:val="auto"/>
              </w:rPr>
              <w:t>00</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gridSpan w:val="2"/>
          </w:tcPr>
          <w:p>
            <w:pPr>
              <w:ind w:left="520"/>
              <w:spacing w:after="0"/>
              <w:rPr>
                <w:sz w:val="20"/>
                <w:szCs w:val="20"/>
                <w:color w:val="auto"/>
              </w:rPr>
            </w:pPr>
            <w:r>
              <w:rPr>
                <w:rFonts w:ascii="Courier New" w:cs="Courier New" w:eastAsia="Courier New" w:hAnsi="Courier New"/>
                <w:sz w:val="12"/>
                <w:szCs w:val="12"/>
                <w:color w:val="auto"/>
              </w:rPr>
              <w:t>NET CHANGE</w:t>
            </w:r>
          </w:p>
        </w:tc>
        <w:tc>
          <w:tcPr>
            <w:tcW w:w="1200" w:type="dxa"/>
            <w:vAlign w:val="bottom"/>
            <w:tcBorders>
              <w:bottom w:val="single" w:sz="8" w:color="auto"/>
            </w:tcBorders>
            <w:gridSpan w:val="2"/>
          </w:tcPr>
          <w:p>
            <w:pPr>
              <w:jc w:val="right"/>
              <w:spacing w:after="0"/>
              <w:rPr>
                <w:sz w:val="20"/>
                <w:szCs w:val="20"/>
                <w:color w:val="auto"/>
              </w:rPr>
            </w:pPr>
            <w:r>
              <w:rPr>
                <w:rFonts w:ascii="Courier New" w:cs="Courier New" w:eastAsia="Courier New" w:hAnsi="Courier New"/>
                <w:sz w:val="12"/>
                <w:szCs w:val="12"/>
                <w:color w:val="auto"/>
              </w:rPr>
              <w:t>2,940,000,000.</w:t>
            </w:r>
            <w:r>
              <w:rPr>
                <w:rFonts w:ascii="Courier New" w:cs="Courier New" w:eastAsia="Courier New" w:hAnsi="Courier New"/>
                <w:sz w:val="12"/>
                <w:szCs w:val="12"/>
                <w:u w:val="single" w:color="auto"/>
                <w:color w:val="auto"/>
              </w:rPr>
              <w:t>00</w:t>
            </w:r>
          </w:p>
        </w:tc>
      </w:tr>
      <w:tr>
        <w:trPr>
          <w:trHeight w:val="897"/>
        </w:trPr>
        <w:tc>
          <w:tcPr>
            <w:tcW w:w="1720" w:type="dxa"/>
            <w:vAlign w:val="bottom"/>
          </w:tcPr>
          <w:p>
            <w:pPr>
              <w:spacing w:after="0"/>
              <w:rPr>
                <w:sz w:val="24"/>
                <w:szCs w:val="24"/>
                <w:color w:val="auto"/>
              </w:rPr>
            </w:pPr>
          </w:p>
        </w:tc>
        <w:tc>
          <w:tcPr>
            <w:tcW w:w="1740" w:type="dxa"/>
            <w:vAlign w:val="bottom"/>
            <w:gridSpan w:val="3"/>
          </w:tcPr>
          <w:p>
            <w:pPr>
              <w:jc w:val="center"/>
              <w:ind w:right="80"/>
              <w:spacing w:after="0"/>
              <w:rPr>
                <w:sz w:val="20"/>
                <w:szCs w:val="20"/>
                <w:color w:val="auto"/>
              </w:rPr>
            </w:pPr>
            <w:r>
              <w:rPr>
                <w:rFonts w:ascii="Courier New" w:cs="Courier New" w:eastAsia="Courier New" w:hAnsi="Courier New"/>
                <w:sz w:val="12"/>
                <w:szCs w:val="12"/>
                <w:color w:val="auto"/>
              </w:rPr>
              <w:t>PRIOR AMOUNT</w:t>
            </w:r>
          </w:p>
        </w:tc>
        <w:tc>
          <w:tcPr>
            <w:tcW w:w="2400" w:type="dxa"/>
            <w:vAlign w:val="bottom"/>
            <w:gridSpan w:val="3"/>
          </w:tcPr>
          <w:p>
            <w:pPr>
              <w:jc w:val="center"/>
              <w:spacing w:after="0"/>
              <w:rPr>
                <w:sz w:val="20"/>
                <w:szCs w:val="20"/>
                <w:color w:val="auto"/>
              </w:rPr>
            </w:pPr>
            <w:r>
              <w:rPr>
                <w:rFonts w:ascii="Courier New" w:cs="Courier New" w:eastAsia="Courier New" w:hAnsi="Courier New"/>
                <w:sz w:val="12"/>
                <w:szCs w:val="12"/>
                <w:color w:val="auto"/>
              </w:rPr>
              <w:t>INCREASE/DECREASE</w:t>
            </w:r>
          </w:p>
        </w:tc>
        <w:tc>
          <w:tcPr>
            <w:tcW w:w="2960" w:type="dxa"/>
            <w:vAlign w:val="bottom"/>
            <w:gridSpan w:val="4"/>
          </w:tcPr>
          <w:p>
            <w:pPr>
              <w:jc w:val="center"/>
              <w:ind w:left="78"/>
              <w:spacing w:after="0"/>
              <w:rPr>
                <w:sz w:val="20"/>
                <w:szCs w:val="20"/>
                <w:color w:val="auto"/>
              </w:rPr>
            </w:pPr>
            <w:r>
              <w:rPr>
                <w:rFonts w:ascii="Courier New" w:cs="Courier New" w:eastAsia="Courier New" w:hAnsi="Courier New"/>
                <w:sz w:val="12"/>
                <w:szCs w:val="12"/>
                <w:color w:val="auto"/>
              </w:rPr>
              <w:t>CUMULATIVE</w:t>
            </w:r>
          </w:p>
        </w:tc>
      </w:tr>
      <w:tr>
        <w:trPr>
          <w:trHeight w:val="177"/>
        </w:trPr>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center"/>
              <w:ind w:right="660"/>
              <w:spacing w:after="0"/>
              <w:rPr>
                <w:sz w:val="20"/>
                <w:szCs w:val="20"/>
                <w:color w:val="auto"/>
              </w:rPr>
            </w:pPr>
            <w:r>
              <w:rPr>
                <w:rFonts w:ascii="Courier New" w:cs="Courier New" w:eastAsia="Courier New" w:hAnsi="Courier New"/>
                <w:sz w:val="12"/>
                <w:szCs w:val="12"/>
                <w:color w:val="auto"/>
              </w:rPr>
              <w:t>OF WARD</w:t>
            </w:r>
          </w:p>
        </w:tc>
        <w:tc>
          <w:tcPr>
            <w:tcW w:w="1000" w:type="dxa"/>
            <w:vAlign w:val="bottom"/>
          </w:tcPr>
          <w:p>
            <w:pPr>
              <w:spacing w:after="0"/>
              <w:rPr>
                <w:sz w:val="15"/>
                <w:szCs w:val="15"/>
                <w:color w:val="auto"/>
              </w:rPr>
            </w:pPr>
          </w:p>
        </w:tc>
        <w:tc>
          <w:tcPr>
            <w:tcW w:w="1400" w:type="dxa"/>
            <w:vAlign w:val="bottom"/>
            <w:gridSpan w:val="2"/>
          </w:tcPr>
          <w:p>
            <w:pPr>
              <w:jc w:val="center"/>
              <w:ind w:right="960"/>
              <w:spacing w:after="0"/>
              <w:rPr>
                <w:sz w:val="20"/>
                <w:szCs w:val="20"/>
                <w:color w:val="auto"/>
              </w:rPr>
            </w:pPr>
            <w:r>
              <w:rPr>
                <w:rFonts w:ascii="Courier New" w:cs="Courier New" w:eastAsia="Courier New" w:hAnsi="Courier New"/>
                <w:sz w:val="12"/>
                <w:szCs w:val="12"/>
                <w:color w:val="auto"/>
              </w:rPr>
              <w:t>AMOUNT</w:t>
            </w:r>
          </w:p>
        </w:tc>
        <w:tc>
          <w:tcPr>
            <w:tcW w:w="1200" w:type="dxa"/>
            <w:vAlign w:val="bottom"/>
          </w:tcPr>
          <w:p>
            <w:pPr>
              <w:spacing w:after="0"/>
              <w:rPr>
                <w:sz w:val="15"/>
                <w:szCs w:val="15"/>
                <w:color w:val="auto"/>
              </w:rPr>
            </w:pPr>
          </w:p>
        </w:tc>
        <w:tc>
          <w:tcPr>
            <w:tcW w:w="1760" w:type="dxa"/>
            <w:vAlign w:val="bottom"/>
            <w:gridSpan w:val="3"/>
          </w:tcPr>
          <w:p>
            <w:pPr>
              <w:jc w:val="center"/>
              <w:ind w:right="1080"/>
              <w:spacing w:after="0"/>
              <w:rPr>
                <w:sz w:val="20"/>
                <w:szCs w:val="20"/>
                <w:color w:val="auto"/>
              </w:rPr>
            </w:pPr>
            <w:r>
              <w:rPr>
                <w:rFonts w:ascii="Courier New" w:cs="Courier New" w:eastAsia="Courier New" w:hAnsi="Courier New"/>
                <w:sz w:val="12"/>
                <w:szCs w:val="12"/>
                <w:color w:val="auto"/>
              </w:rPr>
              <w:t>OBLIG AMT</w:t>
            </w:r>
          </w:p>
        </w:tc>
      </w:tr>
      <w:tr>
        <w:trPr>
          <w:trHeight w:val="20"/>
        </w:trPr>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720" w:type="dxa"/>
            <w:vAlign w:val="bottom"/>
          </w:tcPr>
          <w:p>
            <w:pPr>
              <w:spacing w:after="0"/>
              <w:rPr>
                <w:sz w:val="20"/>
                <w:szCs w:val="20"/>
                <w:color w:val="auto"/>
              </w:rPr>
            </w:pPr>
            <w:r>
              <w:rPr>
                <w:rFonts w:ascii="Courier New" w:cs="Courier New" w:eastAsia="Courier New" w:hAnsi="Courier New"/>
                <w:sz w:val="12"/>
                <w:szCs w:val="12"/>
                <w:color w:val="auto"/>
              </w:rPr>
              <w:t>NET CHANGE FOR AWARD:</w:t>
            </w:r>
          </w:p>
        </w:tc>
        <w:tc>
          <w:tcPr>
            <w:tcW w:w="1740" w:type="dxa"/>
            <w:vAlign w:val="bottom"/>
            <w:gridSpan w:val="3"/>
          </w:tcPr>
          <w:p>
            <w:pPr>
              <w:jc w:val="center"/>
              <w:ind w:right="100"/>
              <w:spacing w:after="0"/>
              <w:rPr>
                <w:sz w:val="20"/>
                <w:szCs w:val="20"/>
                <w:color w:val="auto"/>
              </w:rPr>
            </w:pPr>
            <w:r>
              <w:rPr>
                <w:rFonts w:ascii="Courier New" w:cs="Courier New" w:eastAsia="Courier New" w:hAnsi="Courier New"/>
                <w:sz w:val="12"/>
                <w:szCs w:val="12"/>
                <w:color w:val="auto"/>
              </w:rPr>
              <w:t>$ 2,625,000,000.00</w:t>
            </w:r>
          </w:p>
        </w:tc>
        <w:tc>
          <w:tcPr>
            <w:tcW w:w="2400" w:type="dxa"/>
            <w:vAlign w:val="bottom"/>
            <w:gridSpan w:val="3"/>
          </w:tcPr>
          <w:p>
            <w:pPr>
              <w:jc w:val="right"/>
              <w:ind w:right="820"/>
              <w:spacing w:after="0"/>
              <w:rPr>
                <w:sz w:val="20"/>
                <w:szCs w:val="20"/>
                <w:color w:val="auto"/>
              </w:rPr>
            </w:pPr>
            <w:r>
              <w:rPr>
                <w:rFonts w:ascii="Courier New" w:cs="Courier New" w:eastAsia="Courier New" w:hAnsi="Courier New"/>
                <w:sz w:val="12"/>
                <w:szCs w:val="12"/>
                <w:color w:val="auto"/>
              </w:rPr>
              <w:t>$ 2,940,000,000.00</w:t>
            </w:r>
          </w:p>
        </w:tc>
        <w:tc>
          <w:tcPr>
            <w:tcW w:w="2960" w:type="dxa"/>
            <w:vAlign w:val="bottom"/>
            <w:gridSpan w:val="4"/>
          </w:tcPr>
          <w:p>
            <w:pPr>
              <w:jc w:val="center"/>
              <w:ind w:left="78"/>
              <w:spacing w:after="0"/>
              <w:rPr>
                <w:sz w:val="20"/>
                <w:szCs w:val="20"/>
                <w:color w:val="auto"/>
              </w:rPr>
            </w:pPr>
            <w:r>
              <w:rPr>
                <w:rFonts w:ascii="Courier New" w:cs="Courier New" w:eastAsia="Courier New" w:hAnsi="Courier New"/>
                <w:sz w:val="12"/>
                <w:szCs w:val="12"/>
                <w:color w:val="auto"/>
              </w:rPr>
              <w:t>$ 5,565,000,000.00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820" w:type="dxa"/>
            <w:vAlign w:val="bottom"/>
            <w:gridSpan w:val="2"/>
          </w:tcPr>
          <w:p>
            <w:pPr>
              <w:spacing w:after="0"/>
              <w:rPr>
                <w:sz w:val="20"/>
                <w:szCs w:val="20"/>
                <w:color w:val="auto"/>
              </w:rPr>
            </w:pPr>
            <w:r>
              <w:rPr>
                <w:rFonts w:ascii="Courier New" w:cs="Courier New" w:eastAsia="Courier New" w:hAnsi="Courier New"/>
                <w:sz w:val="12"/>
                <w:szCs w:val="12"/>
                <w:color w:val="auto"/>
              </w:rPr>
              <w:t>LINE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2"/>
                <w:szCs w:val="12"/>
                <w:color w:val="auto"/>
              </w:rPr>
              <w:t>ITEM</w:t>
            </w:r>
          </w:p>
        </w:tc>
        <w:tc>
          <w:tcPr>
            <w:tcW w:w="460" w:type="dxa"/>
            <w:vAlign w:val="bottom"/>
            <w:vMerge w:val="restart"/>
          </w:tcPr>
          <w:p>
            <w:pPr>
              <w:ind w:left="160"/>
              <w:spacing w:after="0"/>
              <w:rPr>
                <w:sz w:val="20"/>
                <w:szCs w:val="20"/>
                <w:color w:val="auto"/>
              </w:rPr>
            </w:pPr>
            <w:r>
              <w:rPr>
                <w:rFonts w:ascii="Courier New" w:cs="Courier New" w:eastAsia="Courier New" w:hAnsi="Courier New"/>
                <w:sz w:val="12"/>
                <w:szCs w:val="12"/>
                <w:color w:val="auto"/>
                <w:w w:val="97"/>
              </w:rPr>
              <w:t>ACRN</w:t>
            </w:r>
          </w:p>
        </w:tc>
        <w:tc>
          <w:tcPr>
            <w:tcW w:w="200" w:type="dxa"/>
            <w:vAlign w:val="bottom"/>
            <w:vMerge w:val="restart"/>
          </w:tcPr>
          <w:p>
            <w:pPr>
              <w:spacing w:after="0"/>
              <w:rPr>
                <w:sz w:val="15"/>
                <w:szCs w:val="15"/>
                <w:color w:val="auto"/>
              </w:rPr>
            </w:pPr>
          </w:p>
        </w:tc>
        <w:tc>
          <w:tcPr>
            <w:tcW w:w="2840" w:type="dxa"/>
            <w:vAlign w:val="bottom"/>
            <w:gridSpan w:val="2"/>
            <w:vMerge w:val="restart"/>
          </w:tcPr>
          <w:p>
            <w:pPr>
              <w:spacing w:after="0"/>
              <w:rPr>
                <w:sz w:val="20"/>
                <w:szCs w:val="20"/>
                <w:color w:val="auto"/>
              </w:rPr>
            </w:pPr>
            <w:r>
              <w:rPr>
                <w:rFonts w:ascii="Courier New" w:cs="Courier New" w:eastAsia="Courier New" w:hAnsi="Courier New"/>
                <w:sz w:val="12"/>
                <w:szCs w:val="12"/>
                <w:color w:val="auto"/>
              </w:rPr>
              <w:t>EDI/SFIS ACCOUNTING CLASSIFICATION</w:t>
            </w:r>
          </w:p>
        </w:tc>
        <w:tc>
          <w:tcPr>
            <w:tcW w:w="1060" w:type="dxa"/>
            <w:vAlign w:val="bottom"/>
            <w:vMerge w:val="restart"/>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bottom w:val="single" w:sz="8" w:color="auto"/>
            </w:tcBorders>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840" w:type="dxa"/>
            <w:vAlign w:val="bottom"/>
            <w:tcBorders>
              <w:bottom w:val="single" w:sz="8" w:color="auto"/>
            </w:tcBorders>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0003AA</w:t>
            </w:r>
          </w:p>
        </w:tc>
        <w:tc>
          <w:tcPr>
            <w:tcW w:w="6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AD</w:t>
            </w:r>
          </w:p>
        </w:tc>
        <w:tc>
          <w:tcPr>
            <w:tcW w:w="186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021 202120222040</w:t>
            </w:r>
          </w:p>
        </w:tc>
        <w:tc>
          <w:tcPr>
            <w:tcW w:w="204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A5XAH 643627E79RG04</w:t>
            </w:r>
          </w:p>
        </w:tc>
        <w:tc>
          <w:tcPr>
            <w:tcW w:w="740" w:type="dxa"/>
            <w:vAlign w:val="bottom"/>
          </w:tcPr>
          <w:p>
            <w:pPr>
              <w:jc w:val="right"/>
              <w:ind w:right="58"/>
              <w:spacing w:after="0"/>
              <w:rPr>
                <w:sz w:val="20"/>
                <w:szCs w:val="20"/>
                <w:color w:val="auto"/>
              </w:rPr>
            </w:pPr>
            <w:r>
              <w:rPr>
                <w:rFonts w:ascii="Courier New" w:cs="Courier New" w:eastAsia="Courier New" w:hAnsi="Courier New"/>
                <w:sz w:val="12"/>
                <w:szCs w:val="12"/>
                <w:color w:val="auto"/>
              </w:rPr>
              <w:t>2550</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L074890014</w:t>
            </w:r>
          </w:p>
        </w:tc>
        <w:tc>
          <w:tcPr>
            <w:tcW w:w="1420" w:type="dxa"/>
            <w:vAlign w:val="bottom"/>
          </w:tcPr>
          <w:p>
            <w:pPr>
              <w:ind w:left="80"/>
              <w:spacing w:after="0"/>
              <w:rPr>
                <w:sz w:val="20"/>
                <w:szCs w:val="20"/>
                <w:color w:val="auto"/>
              </w:rPr>
            </w:pPr>
            <w:r>
              <w:rPr>
                <w:rFonts w:ascii="Courier New" w:cs="Courier New" w:eastAsia="Courier New" w:hAnsi="Courier New"/>
                <w:sz w:val="12"/>
                <w:szCs w:val="12"/>
                <w:color w:val="auto"/>
              </w:rPr>
              <w:t>S.0074658.7.4.1.1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021001</w:t>
            </w:r>
          </w:p>
        </w:tc>
        <w:tc>
          <w:tcPr>
            <w:tcW w:w="0" w:type="dxa"/>
            <w:vAlign w:val="bottom"/>
          </w:tcPr>
          <w:p>
            <w:pPr>
              <w:spacing w:after="0"/>
              <w:rPr>
                <w:sz w:val="1"/>
                <w:szCs w:val="1"/>
                <w:color w:val="auto"/>
              </w:rPr>
            </w:pPr>
          </w:p>
        </w:tc>
      </w:tr>
      <w:tr>
        <w:trPr>
          <w:trHeight w:val="227"/>
        </w:trPr>
        <w:tc>
          <w:tcPr>
            <w:tcW w:w="8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0003AB</w:t>
            </w:r>
          </w:p>
        </w:tc>
        <w:tc>
          <w:tcPr>
            <w:tcW w:w="6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AE</w:t>
            </w:r>
          </w:p>
        </w:tc>
        <w:tc>
          <w:tcPr>
            <w:tcW w:w="186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021 202120222040</w:t>
            </w:r>
          </w:p>
        </w:tc>
        <w:tc>
          <w:tcPr>
            <w:tcW w:w="204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A5XAH 643627E79RG04</w:t>
            </w:r>
          </w:p>
        </w:tc>
        <w:tc>
          <w:tcPr>
            <w:tcW w:w="740" w:type="dxa"/>
            <w:vAlign w:val="bottom"/>
          </w:tcPr>
          <w:p>
            <w:pPr>
              <w:jc w:val="right"/>
              <w:ind w:right="58"/>
              <w:spacing w:after="0"/>
              <w:rPr>
                <w:sz w:val="20"/>
                <w:szCs w:val="20"/>
                <w:color w:val="auto"/>
              </w:rPr>
            </w:pPr>
            <w:r>
              <w:rPr>
                <w:rFonts w:ascii="Courier New" w:cs="Courier New" w:eastAsia="Courier New" w:hAnsi="Courier New"/>
                <w:sz w:val="12"/>
                <w:szCs w:val="12"/>
                <w:color w:val="auto"/>
              </w:rPr>
              <w:t>2550</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L074890022</w:t>
            </w:r>
          </w:p>
        </w:tc>
        <w:tc>
          <w:tcPr>
            <w:tcW w:w="1420" w:type="dxa"/>
            <w:vAlign w:val="bottom"/>
          </w:tcPr>
          <w:p>
            <w:pPr>
              <w:ind w:left="80"/>
              <w:spacing w:after="0"/>
              <w:rPr>
                <w:sz w:val="20"/>
                <w:szCs w:val="20"/>
                <w:color w:val="auto"/>
              </w:rPr>
            </w:pPr>
            <w:r>
              <w:rPr>
                <w:rFonts w:ascii="Courier New" w:cs="Courier New" w:eastAsia="Courier New" w:hAnsi="Courier New"/>
                <w:sz w:val="12"/>
                <w:szCs w:val="12"/>
                <w:color w:val="auto"/>
              </w:rPr>
              <w:t>S.0074658.7.4.1.2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021001</w:t>
            </w:r>
          </w:p>
        </w:tc>
        <w:tc>
          <w:tcPr>
            <w:tcW w:w="0" w:type="dxa"/>
            <w:vAlign w:val="bottom"/>
          </w:tcPr>
          <w:p>
            <w:pPr>
              <w:spacing w:after="0"/>
              <w:rPr>
                <w:sz w:val="1"/>
                <w:szCs w:val="1"/>
                <w:color w:val="auto"/>
              </w:rPr>
            </w:pPr>
          </w:p>
        </w:tc>
      </w:tr>
      <w:tr>
        <w:trPr>
          <w:trHeight w:val="213"/>
        </w:trPr>
        <w:tc>
          <w:tcPr>
            <w:tcW w:w="8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0003AC</w:t>
            </w:r>
          </w:p>
        </w:tc>
        <w:tc>
          <w:tcPr>
            <w:tcW w:w="66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AF</w:t>
            </w:r>
          </w:p>
        </w:tc>
        <w:tc>
          <w:tcPr>
            <w:tcW w:w="186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021 202120222040</w:t>
            </w:r>
          </w:p>
        </w:tc>
        <w:tc>
          <w:tcPr>
            <w:tcW w:w="204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A5XAH 643627E79RG04</w:t>
            </w:r>
          </w:p>
        </w:tc>
        <w:tc>
          <w:tcPr>
            <w:tcW w:w="740" w:type="dxa"/>
            <w:vAlign w:val="bottom"/>
          </w:tcPr>
          <w:p>
            <w:pPr>
              <w:jc w:val="right"/>
              <w:ind w:right="58"/>
              <w:spacing w:after="0"/>
              <w:rPr>
                <w:sz w:val="20"/>
                <w:szCs w:val="20"/>
                <w:color w:val="auto"/>
              </w:rPr>
            </w:pPr>
            <w:r>
              <w:rPr>
                <w:rFonts w:ascii="Courier New" w:cs="Courier New" w:eastAsia="Courier New" w:hAnsi="Courier New"/>
                <w:sz w:val="12"/>
                <w:szCs w:val="12"/>
                <w:color w:val="auto"/>
              </w:rPr>
              <w:t>2550</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L074890199</w:t>
            </w:r>
          </w:p>
        </w:tc>
        <w:tc>
          <w:tcPr>
            <w:tcW w:w="1420" w:type="dxa"/>
            <w:vAlign w:val="bottom"/>
          </w:tcPr>
          <w:p>
            <w:pPr>
              <w:ind w:left="80"/>
              <w:spacing w:after="0"/>
              <w:rPr>
                <w:sz w:val="20"/>
                <w:szCs w:val="20"/>
                <w:color w:val="auto"/>
              </w:rPr>
            </w:pPr>
            <w:r>
              <w:rPr>
                <w:rFonts w:ascii="Courier New" w:cs="Courier New" w:eastAsia="Courier New" w:hAnsi="Courier New"/>
                <w:sz w:val="12"/>
                <w:szCs w:val="12"/>
                <w:color w:val="auto"/>
              </w:rPr>
              <w:t>S.0074658.7.4.1.3</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021001</w:t>
            </w:r>
          </w:p>
        </w:tc>
        <w:tc>
          <w:tcPr>
            <w:tcW w:w="0" w:type="dxa"/>
            <w:vAlign w:val="bottom"/>
          </w:tcPr>
          <w:p>
            <w:pPr>
              <w:spacing w:after="0"/>
              <w:rPr>
                <w:sz w:val="1"/>
                <w:szCs w:val="1"/>
                <w:color w:val="auto"/>
              </w:rPr>
            </w:pPr>
          </w:p>
        </w:tc>
      </w:tr>
    </w:tbl>
    <w:p>
      <w:pPr>
        <w:sectPr>
          <w:pgSz w:w="11900" w:h="16838" w:orient="portrait"/>
          <w:cols w:equalWidth="0" w:num="1">
            <w:col w:w="10980"/>
          </w:cols>
          <w:pgMar w:left="560" w:top="1107" w:right="35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368300</wp:posOffset>
            </wp:positionH>
            <wp:positionV relativeFrom="page">
              <wp:posOffset>715645</wp:posOffset>
            </wp:positionV>
            <wp:extent cx="67443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4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080" w:type="dxa"/>
            <w:vAlign w:val="bottom"/>
            <w:gridSpan w:val="4"/>
          </w:tcPr>
          <w:p>
            <w:pPr>
              <w:ind w:left="440"/>
              <w:spacing w:after="0"/>
              <w:rPr>
                <w:sz w:val="20"/>
                <w:szCs w:val="20"/>
                <w:color w:val="auto"/>
              </w:rPr>
            </w:pPr>
            <w:r>
              <w:rPr>
                <w:rFonts w:ascii="Arial" w:cs="Arial" w:eastAsia="Arial" w:hAnsi="Arial"/>
                <w:sz w:val="20"/>
                <w:szCs w:val="20"/>
                <w:b w:val="1"/>
                <w:bCs w:val="1"/>
                <w:color w:val="auto"/>
              </w:rPr>
              <w:t>CONTINUATION SHEET</w:t>
            </w:r>
          </w:p>
        </w:tc>
        <w:tc>
          <w:tcPr>
            <w:tcW w:w="4080" w:type="dxa"/>
            <w:vAlign w:val="bottom"/>
            <w:gridSpan w:val="4"/>
          </w:tcPr>
          <w:p>
            <w:pPr>
              <w:jc w:val="center"/>
              <w:ind w:left="1133"/>
              <w:spacing w:after="0"/>
              <w:rPr>
                <w:sz w:val="20"/>
                <w:szCs w:val="20"/>
                <w:color w:val="auto"/>
              </w:rPr>
            </w:pPr>
            <w:r>
              <w:rPr>
                <w:rFonts w:ascii="Arial" w:cs="Arial" w:eastAsia="Arial" w:hAnsi="Arial"/>
                <w:sz w:val="14"/>
                <w:szCs w:val="14"/>
                <w:b w:val="1"/>
                <w:bCs w:val="1"/>
                <w:color w:val="auto"/>
                <w:w w:val="90"/>
              </w:rPr>
              <w:t>Reference No. of Document Being Continued</w:t>
            </w:r>
          </w:p>
        </w:tc>
        <w:tc>
          <w:tcPr>
            <w:tcW w:w="128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auto"/>
              </w:rPr>
              <w:t>Page 11 of 12</w:t>
            </w:r>
          </w:p>
        </w:tc>
      </w:tr>
      <w:tr>
        <w:trPr>
          <w:trHeight w:val="140"/>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60" w:type="dxa"/>
            <w:vAlign w:val="bottom"/>
            <w:gridSpan w:val="3"/>
          </w:tcPr>
          <w:p>
            <w:pPr>
              <w:jc w:val="center"/>
              <w:ind w:right="755"/>
              <w:spacing w:after="0"/>
              <w:rPr>
                <w:sz w:val="20"/>
                <w:szCs w:val="20"/>
                <w:color w:val="auto"/>
              </w:rPr>
            </w:pPr>
            <w:r>
              <w:rPr>
                <w:rFonts w:ascii="Courier New" w:cs="Courier New" w:eastAsia="Courier New" w:hAnsi="Courier New"/>
                <w:sz w:val="12"/>
                <w:szCs w:val="12"/>
                <w:color w:val="auto"/>
              </w:rPr>
              <w:t>W15QKN-21-C-0014</w:t>
            </w:r>
          </w:p>
        </w:tc>
        <w:tc>
          <w:tcPr>
            <w:tcW w:w="128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1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ind w:left="480"/>
              <w:spacing w:after="0"/>
              <w:rPr>
                <w:sz w:val="20"/>
                <w:szCs w:val="20"/>
                <w:color w:val="auto"/>
              </w:rPr>
            </w:pPr>
            <w:r>
              <w:rPr>
                <w:rFonts w:ascii="Arial" w:cs="Arial" w:eastAsia="Arial" w:hAnsi="Arial"/>
                <w:sz w:val="14"/>
                <w:szCs w:val="14"/>
                <w:b w:val="1"/>
                <w:bCs w:val="1"/>
                <w:color w:val="auto"/>
              </w:rPr>
              <w:t>PIIN/SIIN</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MOD/AMD</w:t>
            </w:r>
          </w:p>
        </w:tc>
        <w:tc>
          <w:tcPr>
            <w:tcW w:w="1280" w:type="dxa"/>
            <w:vAlign w:val="bottom"/>
          </w:tcPr>
          <w:p>
            <w:pPr>
              <w:ind w:left="80"/>
              <w:spacing w:after="0"/>
              <w:rPr>
                <w:sz w:val="20"/>
                <w:szCs w:val="20"/>
                <w:color w:val="auto"/>
              </w:rPr>
            </w:pPr>
            <w:r>
              <w:rPr>
                <w:rFonts w:ascii="Courier New" w:cs="Courier New" w:eastAsia="Courier New" w:hAnsi="Courier New"/>
                <w:sz w:val="12"/>
                <w:szCs w:val="12"/>
                <w:color w:val="auto"/>
              </w:rPr>
              <w:t>P00005</w:t>
            </w:r>
          </w:p>
        </w:tc>
        <w:tc>
          <w:tcPr>
            <w:tcW w:w="2160" w:type="dxa"/>
            <w:vAlign w:val="bottom"/>
          </w:tcPr>
          <w:p>
            <w:pPr>
              <w:spacing w:after="0"/>
              <w:rPr>
                <w:sz w:val="19"/>
                <w:szCs w:val="19"/>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3080" w:type="dxa"/>
            <w:vAlign w:val="bottom"/>
            <w:gridSpan w:val="4"/>
          </w:tcPr>
          <w:p>
            <w:pPr>
              <w:ind w:left="40"/>
              <w:spacing w:after="0" w:line="167" w:lineRule="exact"/>
              <w:rPr>
                <w:sz w:val="20"/>
                <w:szCs w:val="20"/>
                <w:color w:val="auto"/>
              </w:rPr>
            </w:pPr>
            <w:r>
              <w:rPr>
                <w:rFonts w:ascii="Arial" w:cs="Arial" w:eastAsia="Arial" w:hAnsi="Arial"/>
                <w:sz w:val="18"/>
                <w:szCs w:val="18"/>
                <w:b w:val="1"/>
                <w:bCs w:val="1"/>
                <w:color w:val="auto"/>
              </w:rPr>
              <w:t>Name of Offeror or Contractor:</w:t>
            </w:r>
          </w:p>
        </w:tc>
        <w:tc>
          <w:tcPr>
            <w:tcW w:w="2620" w:type="dxa"/>
            <w:vAlign w:val="bottom"/>
            <w:tcBorders>
              <w:bottom w:val="single" w:sz="8" w:color="auto"/>
            </w:tcBorders>
            <w:gridSpan w:val="2"/>
          </w:tcPr>
          <w:p>
            <w:pPr>
              <w:spacing w:after="0"/>
              <w:rPr>
                <w:sz w:val="20"/>
                <w:szCs w:val="20"/>
                <w:color w:val="auto"/>
              </w:rPr>
            </w:pPr>
            <w:r>
              <w:rPr>
                <w:rFonts w:ascii="Courier New" w:cs="Courier New" w:eastAsia="Courier New" w:hAnsi="Courier New"/>
                <w:sz w:val="12"/>
                <w:szCs w:val="12"/>
                <w:color w:val="auto"/>
              </w:rPr>
              <w:t>REGENERON PHARMACEUTICALS, INC.</w:t>
            </w:r>
          </w:p>
        </w:tc>
        <w:tc>
          <w:tcPr>
            <w:tcW w:w="146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bottom w:val="single" w:sz="8" w:color="auto"/>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SECTION J - LIST OF ATTACHMENTS</w:t>
            </w:r>
          </w:p>
        </w:tc>
        <w:tc>
          <w:tcPr>
            <w:tcW w:w="2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80"/>
        </w:trPr>
        <w:tc>
          <w:tcPr>
            <w:tcW w:w="2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2"/>
                <w:szCs w:val="12"/>
                <w:color w:val="auto"/>
              </w:rPr>
              <w:t>List of</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2"/>
                <w:szCs w:val="12"/>
                <w:color w:val="auto"/>
              </w:rPr>
              <w:t>Addenda</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ind w:left="60"/>
              <w:spacing w:after="0"/>
              <w:rPr>
                <w:sz w:val="20"/>
                <w:szCs w:val="20"/>
                <w:color w:val="auto"/>
              </w:rPr>
            </w:pPr>
            <w:r>
              <w:rPr>
                <w:rFonts w:ascii="Courier New" w:cs="Courier New" w:eastAsia="Courier New" w:hAnsi="Courier New"/>
                <w:sz w:val="12"/>
                <w:szCs w:val="12"/>
                <w:color w:val="auto"/>
              </w:rPr>
              <w:t>Title</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2"/>
                <w:szCs w:val="12"/>
                <w:color w:val="auto"/>
              </w:rPr>
              <w:t>Date</w:t>
            </w:r>
          </w:p>
        </w:tc>
        <w:tc>
          <w:tcPr>
            <w:tcW w:w="1280" w:type="dxa"/>
            <w:vAlign w:val="bottom"/>
          </w:tcPr>
          <w:p>
            <w:pPr>
              <w:ind w:left="100"/>
              <w:spacing w:after="0"/>
              <w:rPr>
                <w:sz w:val="20"/>
                <w:szCs w:val="20"/>
                <w:color w:val="auto"/>
              </w:rPr>
            </w:pPr>
            <w:r>
              <w:rPr>
                <w:rFonts w:ascii="Courier New" w:cs="Courier New" w:eastAsia="Courier New" w:hAnsi="Courier New"/>
                <w:sz w:val="12"/>
                <w:szCs w:val="12"/>
                <w:color w:val="auto"/>
              </w:rPr>
              <w:t>Number of Pages</w:t>
            </w:r>
          </w:p>
        </w:tc>
        <w:tc>
          <w:tcPr>
            <w:tcW w:w="2160" w:type="dxa"/>
            <w:vAlign w:val="bottom"/>
          </w:tcPr>
          <w:p>
            <w:pPr>
              <w:ind w:left="580"/>
              <w:spacing w:after="0"/>
              <w:rPr>
                <w:sz w:val="20"/>
                <w:szCs w:val="20"/>
                <w:color w:val="auto"/>
              </w:rPr>
            </w:pPr>
            <w:r>
              <w:rPr>
                <w:rFonts w:ascii="Courier New" w:cs="Courier New" w:eastAsia="Courier New" w:hAnsi="Courier New"/>
                <w:sz w:val="12"/>
                <w:szCs w:val="12"/>
                <w:color w:val="auto"/>
              </w:rPr>
              <w:t>Transmitted By</w:t>
            </w:r>
          </w:p>
        </w:tc>
      </w:tr>
      <w:tr>
        <w:trPr>
          <w:trHeight w:val="31"/>
        </w:trPr>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2"/>
                <w:szCs w:val="12"/>
                <w:color w:val="auto"/>
              </w:rPr>
              <w:t>Attachment 003</w:t>
            </w:r>
          </w:p>
        </w:tc>
        <w:tc>
          <w:tcPr>
            <w:tcW w:w="3820" w:type="dxa"/>
            <w:vAlign w:val="bottom"/>
            <w:gridSpan w:val="4"/>
          </w:tcPr>
          <w:p>
            <w:pPr>
              <w:ind w:left="280"/>
              <w:spacing w:after="0"/>
              <w:rPr>
                <w:sz w:val="20"/>
                <w:szCs w:val="20"/>
                <w:color w:val="auto"/>
              </w:rPr>
            </w:pPr>
            <w:r>
              <w:rPr>
                <w:rFonts w:ascii="Courier New" w:cs="Courier New" w:eastAsia="Courier New" w:hAnsi="Courier New"/>
                <w:sz w:val="12"/>
                <w:szCs w:val="12"/>
                <w:color w:val="auto"/>
              </w:rPr>
              <w:t>CONTINGENCIES AND OPERATIONAL REQUIREMENTS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2"/>
                <w:szCs w:val="12"/>
                <w:color w:val="auto"/>
              </w:rPr>
              <w:t>13-SEP-2021</w:t>
            </w:r>
          </w:p>
        </w:tc>
        <w:tc>
          <w:tcPr>
            <w:tcW w:w="1280" w:type="dxa"/>
            <w:vAlign w:val="bottom"/>
          </w:tcPr>
          <w:p>
            <w:pPr>
              <w:jc w:val="right"/>
              <w:ind w:right="798"/>
              <w:spacing w:after="0"/>
              <w:rPr>
                <w:sz w:val="20"/>
                <w:szCs w:val="20"/>
                <w:color w:val="auto"/>
              </w:rPr>
            </w:pPr>
            <w:r>
              <w:rPr>
                <w:rFonts w:ascii="Courier New" w:cs="Courier New" w:eastAsia="Courier New" w:hAnsi="Courier New"/>
                <w:sz w:val="12"/>
                <w:szCs w:val="12"/>
                <w:color w:val="auto"/>
              </w:rPr>
              <w:t>002</w:t>
            </w:r>
          </w:p>
        </w:tc>
        <w:tc>
          <w:tcPr>
            <w:tcW w:w="2160" w:type="dxa"/>
            <w:vAlign w:val="bottom"/>
          </w:tcPr>
          <w:p>
            <w:pPr>
              <w:ind w:left="400"/>
              <w:spacing w:after="0"/>
              <w:rPr>
                <w:sz w:val="20"/>
                <w:szCs w:val="20"/>
                <w:color w:val="auto"/>
              </w:rPr>
            </w:pPr>
            <w:r>
              <w:rPr>
                <w:rFonts w:ascii="Courier New" w:cs="Courier New" w:eastAsia="Courier New" w:hAnsi="Courier New"/>
                <w:sz w:val="12"/>
                <w:szCs w:val="12"/>
                <w:color w:val="auto"/>
              </w:rPr>
              <w:t>EMAIL</w:t>
            </w:r>
          </w:p>
        </w:tc>
      </w:tr>
    </w:tbl>
    <w:p>
      <w:pPr>
        <w:sectPr>
          <w:pgSz w:w="11900" w:h="16838" w:orient="portrait"/>
          <w:cols w:equalWidth="0" w:num="1">
            <w:col w:w="10620"/>
          </w:cols>
          <w:pgMar w:left="580" w:top="1144" w:right="699" w:bottom="1440" w:gutter="0" w:footer="0" w:header="0"/>
        </w:sectPr>
      </w:pPr>
    </w:p>
    <w:bookmarkStart w:id="107" w:name="page108"/>
    <w:bookmarkEnd w:id="107"/>
    <w:p>
      <w:pPr>
        <w:jc w:val="right"/>
        <w:ind w:right="360"/>
        <w:spacing w:after="0"/>
        <w:rPr>
          <w:sz w:val="20"/>
          <w:szCs w:val="20"/>
          <w:color w:val="auto"/>
        </w:rPr>
      </w:pPr>
      <w:r>
        <w:rPr>
          <w:rFonts w:ascii="Arial" w:cs="Arial" w:eastAsia="Arial" w:hAnsi="Arial"/>
          <w:sz w:val="21"/>
          <w:szCs w:val="21"/>
          <w:color w:val="auto"/>
        </w:rPr>
        <w:t>W15QKN-21-C-0014</w:t>
      </w:r>
    </w:p>
    <w:p>
      <w:pPr>
        <w:spacing w:after="0" w:line="30" w:lineRule="exact"/>
        <w:rPr>
          <w:sz w:val="20"/>
          <w:szCs w:val="20"/>
          <w:color w:val="auto"/>
        </w:rPr>
      </w:pPr>
    </w:p>
    <w:p>
      <w:pPr>
        <w:jc w:val="right"/>
        <w:ind w:right="360"/>
        <w:spacing w:after="0"/>
        <w:rPr>
          <w:sz w:val="20"/>
          <w:szCs w:val="20"/>
          <w:color w:val="auto"/>
        </w:rPr>
      </w:pPr>
      <w:r>
        <w:rPr>
          <w:rFonts w:ascii="Arial" w:cs="Arial" w:eastAsia="Arial" w:hAnsi="Arial"/>
          <w:sz w:val="21"/>
          <w:szCs w:val="21"/>
          <w:color w:val="auto"/>
        </w:rPr>
        <w:t>Attachment 0003</w:t>
      </w:r>
    </w:p>
    <w:p>
      <w:pPr>
        <w:spacing w:after="0" w:line="12"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Dated 13 September 2021</w:t>
      </w:r>
    </w:p>
    <w:p>
      <w:pPr>
        <w:sectPr>
          <w:pgSz w:w="11900" w:h="16838" w:orient="portrait"/>
          <w:cols w:equalWidth="0" w:num="1">
            <w:col w:w="9882"/>
          </w:cols>
          <w:pgMar w:left="1198" w:top="19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82"/>
        <w:spacing w:after="0"/>
        <w:rPr>
          <w:sz w:val="20"/>
          <w:szCs w:val="20"/>
          <w:color w:val="auto"/>
        </w:rPr>
      </w:pPr>
      <w:r>
        <w:rPr>
          <w:rFonts w:ascii="Arial" w:cs="Arial" w:eastAsia="Arial" w:hAnsi="Arial"/>
          <w:sz w:val="14"/>
          <w:szCs w:val="14"/>
          <w:b w:val="1"/>
          <w:bCs w:val="1"/>
          <w:color w:val="auto"/>
        </w:rPr>
        <w:t>PIIN/SIIN</w:t>
      </w:r>
    </w:p>
    <w:p>
      <w:pPr>
        <w:spacing w:after="0" w:line="52" w:lineRule="exact"/>
        <w:rPr>
          <w:sz w:val="20"/>
          <w:szCs w:val="20"/>
          <w:color w:val="auto"/>
        </w:rPr>
      </w:pPr>
    </w:p>
    <w:p>
      <w:pPr>
        <w:ind w:left="7482"/>
        <w:spacing w:after="0"/>
        <w:rPr>
          <w:sz w:val="20"/>
          <w:szCs w:val="20"/>
          <w:color w:val="auto"/>
        </w:rPr>
      </w:pPr>
      <w:r>
        <w:rPr>
          <w:rFonts w:ascii="Arial" w:cs="Arial" w:eastAsia="Arial" w:hAnsi="Arial"/>
          <w:sz w:val="14"/>
          <w:szCs w:val="14"/>
          <w:b w:val="1"/>
          <w:bCs w:val="1"/>
          <w:color w:val="auto"/>
        </w:rPr>
        <w:t>MOD/AMD</w:t>
      </w:r>
    </w:p>
    <w:p>
      <w:pPr>
        <w:spacing w:after="0" w:line="52" w:lineRule="exact"/>
        <w:rPr>
          <w:sz w:val="20"/>
          <w:szCs w:val="20"/>
          <w:color w:val="auto"/>
        </w:rPr>
      </w:pPr>
    </w:p>
    <w:p>
      <w:pPr>
        <w:ind w:left="7482"/>
        <w:spacing w:after="0"/>
        <w:rPr>
          <w:sz w:val="20"/>
          <w:szCs w:val="20"/>
          <w:color w:val="auto"/>
        </w:rPr>
      </w:pPr>
      <w:r>
        <w:rPr>
          <w:rFonts w:ascii="Arial" w:cs="Arial" w:eastAsia="Arial" w:hAnsi="Arial"/>
          <w:sz w:val="14"/>
          <w:szCs w:val="14"/>
          <w:b w:val="1"/>
          <w:bCs w:val="1"/>
          <w:color w:val="auto"/>
        </w:rPr>
        <w:t>ATT/EXH ID</w:t>
      </w:r>
    </w:p>
    <w:p>
      <w:pPr>
        <w:spacing w:after="0" w:line="52" w:lineRule="exact"/>
        <w:rPr>
          <w:sz w:val="20"/>
          <w:szCs w:val="20"/>
          <w:color w:val="auto"/>
        </w:rPr>
      </w:pPr>
    </w:p>
    <w:p>
      <w:pPr>
        <w:ind w:left="7482"/>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W15QKN-21-C-0014</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P00005</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Attachment 0003</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ectPr>
          <w:pgSz w:w="11900" w:h="16838" w:orient="portrait"/>
          <w:cols w:equalWidth="0" w:num="2">
            <w:col w:w="8302" w:space="340"/>
            <w:col w:w="1240"/>
          </w:cols>
          <w:pgMar w:left="1198" w:top="198"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22"/>
        <w:spacing w:after="0"/>
        <w:rPr>
          <w:sz w:val="20"/>
          <w:szCs w:val="20"/>
          <w:color w:val="auto"/>
        </w:rPr>
      </w:pPr>
      <w:r>
        <w:rPr>
          <w:rFonts w:ascii="Arial" w:cs="Arial" w:eastAsia="Arial" w:hAnsi="Arial"/>
          <w:sz w:val="21"/>
          <w:szCs w:val="21"/>
          <w:color w:val="auto"/>
        </w:rPr>
        <w:t>Contingencies and Operational Requirements Goal Delivery</w:t>
      </w:r>
    </w:p>
    <w:p>
      <w:pPr>
        <w:spacing w:after="0" w:line="212" w:lineRule="exact"/>
        <w:rPr>
          <w:sz w:val="20"/>
          <w:szCs w:val="20"/>
          <w:color w:val="auto"/>
        </w:rPr>
      </w:pPr>
    </w:p>
    <w:p>
      <w:pPr>
        <w:ind w:left="3082"/>
        <w:spacing w:after="0"/>
        <w:rPr>
          <w:sz w:val="20"/>
          <w:szCs w:val="20"/>
          <w:color w:val="auto"/>
        </w:rPr>
      </w:pPr>
      <w:r>
        <w:rPr>
          <w:rFonts w:ascii="Arial" w:cs="Arial" w:eastAsia="Arial" w:hAnsi="Arial"/>
          <w:sz w:val="21"/>
          <w:szCs w:val="21"/>
          <w:color w:val="auto"/>
        </w:rPr>
        <w:t>Schedule*</w:t>
      </w:r>
    </w:p>
    <w:p>
      <w:pPr>
        <w:spacing w:after="0" w:line="145" w:lineRule="exact"/>
        <w:rPr>
          <w:sz w:val="20"/>
          <w:szCs w:val="20"/>
          <w:color w:val="auto"/>
        </w:rPr>
      </w:pPr>
    </w:p>
    <w:p>
      <w:pPr>
        <w:ind w:left="522"/>
        <w:spacing w:after="0"/>
        <w:rPr>
          <w:sz w:val="20"/>
          <w:szCs w:val="20"/>
          <w:color w:val="auto"/>
        </w:rPr>
      </w:pPr>
      <w:r>
        <w:rPr>
          <w:rFonts w:ascii="Arial" w:cs="Arial" w:eastAsia="Arial" w:hAnsi="Arial"/>
          <w:sz w:val="21"/>
          <w:szCs w:val="21"/>
          <w:color w:val="auto"/>
        </w:rPr>
        <w:t xml:space="preserve">Approximately </w:t>
      </w:r>
      <w:r>
        <w:rPr>
          <w:rFonts w:ascii="Courier New" w:cs="Courier New" w:eastAsia="Courier New" w:hAnsi="Courier New"/>
          <w:sz w:val="12"/>
          <w:szCs w:val="12"/>
          <w:color w:val="auto"/>
        </w:rPr>
        <w:t>[* * *]</w:t>
      </w:r>
      <w:r>
        <w:rPr>
          <w:rFonts w:ascii="Arial" w:cs="Arial" w:eastAsia="Arial" w:hAnsi="Arial"/>
          <w:sz w:val="21"/>
          <w:szCs w:val="21"/>
          <w:color w:val="auto"/>
        </w:rPr>
        <w:t xml:space="preserve"> doses delivered in </w:t>
      </w:r>
      <w:r>
        <w:rPr>
          <w:rFonts w:ascii="Courier New" w:cs="Courier New" w:eastAsia="Courier New" w:hAnsi="Courier New"/>
          <w:sz w:val="12"/>
          <w:szCs w:val="12"/>
          <w:color w:val="auto"/>
        </w:rPr>
        <w:t>[* * *]</w:t>
      </w:r>
    </w:p>
    <w:p>
      <w:pPr>
        <w:spacing w:after="0" w:line="79" w:lineRule="exact"/>
        <w:rPr>
          <w:sz w:val="20"/>
          <w:szCs w:val="20"/>
          <w:color w:val="auto"/>
        </w:rPr>
      </w:pPr>
    </w:p>
    <w:p>
      <w:pPr>
        <w:ind w:left="522"/>
        <w:spacing w:after="0"/>
        <w:rPr>
          <w:sz w:val="20"/>
          <w:szCs w:val="20"/>
          <w:color w:val="auto"/>
        </w:rPr>
      </w:pPr>
      <w:r>
        <w:rPr>
          <w:rFonts w:ascii="Arial" w:cs="Arial" w:eastAsia="Arial" w:hAnsi="Arial"/>
          <w:sz w:val="21"/>
          <w:szCs w:val="21"/>
          <w:color w:val="auto"/>
        </w:rPr>
        <w:t xml:space="preserve">Approximately </w:t>
      </w:r>
      <w:r>
        <w:rPr>
          <w:rFonts w:ascii="Courier New" w:cs="Courier New" w:eastAsia="Courier New" w:hAnsi="Courier New"/>
          <w:sz w:val="12"/>
          <w:szCs w:val="12"/>
          <w:color w:val="auto"/>
        </w:rPr>
        <w:t>[* * *]</w:t>
      </w:r>
      <w:r>
        <w:rPr>
          <w:rFonts w:ascii="Arial" w:cs="Arial" w:eastAsia="Arial" w:hAnsi="Arial"/>
          <w:sz w:val="21"/>
          <w:szCs w:val="21"/>
          <w:color w:val="auto"/>
        </w:rPr>
        <w:t xml:space="preserve"> doses delivered in </w:t>
      </w:r>
      <w:r>
        <w:rPr>
          <w:rFonts w:ascii="Courier New" w:cs="Courier New" w:eastAsia="Courier New" w:hAnsi="Courier New"/>
          <w:sz w:val="12"/>
          <w:szCs w:val="12"/>
          <w:color w:val="auto"/>
        </w:rPr>
        <w:t>[* * *]</w:t>
      </w:r>
    </w:p>
    <w:p>
      <w:pPr>
        <w:spacing w:after="0" w:line="79" w:lineRule="exact"/>
        <w:rPr>
          <w:sz w:val="20"/>
          <w:szCs w:val="20"/>
          <w:color w:val="auto"/>
        </w:rPr>
      </w:pPr>
    </w:p>
    <w:p>
      <w:pPr>
        <w:ind w:left="522"/>
        <w:spacing w:after="0"/>
        <w:rPr>
          <w:sz w:val="20"/>
          <w:szCs w:val="20"/>
          <w:color w:val="auto"/>
        </w:rPr>
      </w:pPr>
      <w:r>
        <w:rPr>
          <w:rFonts w:ascii="Arial" w:cs="Arial" w:eastAsia="Arial" w:hAnsi="Arial"/>
          <w:sz w:val="21"/>
          <w:szCs w:val="21"/>
          <w:color w:val="auto"/>
        </w:rPr>
        <w:t xml:space="preserve">Approximately </w:t>
      </w:r>
      <w:r>
        <w:rPr>
          <w:rFonts w:ascii="Courier New" w:cs="Courier New" w:eastAsia="Courier New" w:hAnsi="Courier New"/>
          <w:sz w:val="12"/>
          <w:szCs w:val="12"/>
          <w:color w:val="auto"/>
        </w:rPr>
        <w:t>[* * *]</w:t>
      </w:r>
      <w:r>
        <w:rPr>
          <w:rFonts w:ascii="Arial" w:cs="Arial" w:eastAsia="Arial" w:hAnsi="Arial"/>
          <w:sz w:val="21"/>
          <w:szCs w:val="21"/>
          <w:color w:val="auto"/>
        </w:rPr>
        <w:t xml:space="preserve"> doses delivered in </w:t>
      </w:r>
      <w:r>
        <w:rPr>
          <w:rFonts w:ascii="Courier New" w:cs="Courier New" w:eastAsia="Courier New" w:hAnsi="Courier New"/>
          <w:sz w:val="12"/>
          <w:szCs w:val="12"/>
          <w:color w:val="auto"/>
        </w:rPr>
        <w:t>[* * *]</w:t>
      </w:r>
    </w:p>
    <w:p>
      <w:pPr>
        <w:spacing w:after="0" w:line="79" w:lineRule="exact"/>
        <w:rPr>
          <w:sz w:val="20"/>
          <w:szCs w:val="20"/>
          <w:color w:val="auto"/>
        </w:rPr>
      </w:pPr>
    </w:p>
    <w:p>
      <w:pPr>
        <w:ind w:left="522"/>
        <w:spacing w:after="0"/>
        <w:rPr>
          <w:sz w:val="20"/>
          <w:szCs w:val="20"/>
          <w:color w:val="auto"/>
        </w:rPr>
      </w:pPr>
      <w:r>
        <w:rPr>
          <w:rFonts w:ascii="Arial" w:cs="Arial" w:eastAsia="Arial" w:hAnsi="Arial"/>
          <w:sz w:val="21"/>
          <w:szCs w:val="21"/>
          <w:color w:val="auto"/>
        </w:rPr>
        <w:t xml:space="preserve">Approximately </w:t>
      </w:r>
      <w:r>
        <w:rPr>
          <w:rFonts w:ascii="Courier New" w:cs="Courier New" w:eastAsia="Courier New" w:hAnsi="Courier New"/>
          <w:sz w:val="12"/>
          <w:szCs w:val="12"/>
          <w:color w:val="auto"/>
        </w:rPr>
        <w:t>[* * *]</w:t>
      </w:r>
      <w:r>
        <w:rPr>
          <w:rFonts w:ascii="Arial" w:cs="Arial" w:eastAsia="Arial" w:hAnsi="Arial"/>
          <w:sz w:val="21"/>
          <w:szCs w:val="21"/>
          <w:color w:val="auto"/>
        </w:rPr>
        <w:t xml:space="preserve"> doses delivered in </w:t>
      </w:r>
      <w:r>
        <w:rPr>
          <w:rFonts w:ascii="Courier New" w:cs="Courier New" w:eastAsia="Courier New" w:hAnsi="Courier New"/>
          <w:sz w:val="12"/>
          <w:szCs w:val="12"/>
          <w:color w:val="auto"/>
        </w:rPr>
        <w:t>[* * *]</w:t>
      </w:r>
    </w:p>
    <w:p>
      <w:pPr>
        <w:spacing w:after="0" w:line="266" w:lineRule="exact"/>
        <w:rPr>
          <w:sz w:val="20"/>
          <w:szCs w:val="20"/>
          <w:color w:val="auto"/>
        </w:rPr>
      </w:pPr>
    </w:p>
    <w:p>
      <w:pPr>
        <w:ind w:left="2" w:right="860" w:hanging="2"/>
        <w:spacing w:after="0" w:line="282" w:lineRule="auto"/>
        <w:tabs>
          <w:tab w:leader="none" w:pos="162"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delivery schedule is non-binding and for illustrative purposes only and it is subject to the following contingencies and operational requirements:</w:t>
      </w:r>
    </w:p>
    <w:p>
      <w:pPr>
        <w:spacing w:after="0" w:line="174" w:lineRule="exact"/>
        <w:rPr>
          <w:sz w:val="20"/>
          <w:szCs w:val="20"/>
          <w:color w:val="auto"/>
        </w:rPr>
      </w:pPr>
    </w:p>
    <w:p>
      <w:pPr>
        <w:ind w:left="742" w:hanging="422"/>
        <w:spacing w:after="0"/>
        <w:tabs>
          <w:tab w:leader="none" w:pos="742"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FDA action on submissions currently under review</w:t>
      </w:r>
      <w:r>
        <w:rPr>
          <w:rFonts w:ascii="Arial" w:cs="Arial" w:eastAsia="Arial" w:hAnsi="Arial"/>
          <w:sz w:val="21"/>
          <w:szCs w:val="21"/>
          <w:color w:val="auto"/>
        </w:rPr>
        <w:t>:</w:t>
      </w:r>
    </w:p>
    <w:p>
      <w:pPr>
        <w:spacing w:after="0" w:line="29" w:lineRule="exact"/>
        <w:rPr>
          <w:sz w:val="20"/>
          <w:szCs w:val="20"/>
          <w:color w:val="auto"/>
        </w:rPr>
      </w:pPr>
    </w:p>
    <w:p>
      <w:pPr>
        <w:ind w:left="962"/>
        <w:spacing w:after="0"/>
        <w:rPr>
          <w:sz w:val="20"/>
          <w:szCs w:val="20"/>
          <w:color w:val="auto"/>
        </w:rPr>
      </w:pPr>
      <w:r>
        <w:rPr>
          <w:rFonts w:ascii="Courier New" w:cs="Courier New" w:eastAsia="Courier New" w:hAnsi="Courier New"/>
          <w:sz w:val="12"/>
          <w:szCs w:val="12"/>
          <w:color w:val="auto"/>
        </w:rPr>
        <w:t>[* * *]</w:t>
      </w:r>
    </w:p>
    <w:p>
      <w:pPr>
        <w:spacing w:after="0" w:line="247" w:lineRule="exact"/>
        <w:rPr>
          <w:sz w:val="20"/>
          <w:szCs w:val="20"/>
          <w:color w:val="auto"/>
        </w:rPr>
      </w:pPr>
    </w:p>
    <w:p>
      <w:pPr>
        <w:ind w:left="322"/>
        <w:spacing w:after="0"/>
        <w:tabs>
          <w:tab w:leader="none" w:pos="702" w:val="left"/>
        </w:tabs>
        <w:rPr>
          <w:sz w:val="20"/>
          <w:szCs w:val="20"/>
          <w:color w:val="auto"/>
        </w:rPr>
      </w:pPr>
      <w:r>
        <w:rPr>
          <w:rFonts w:ascii="Arial" w:cs="Arial" w:eastAsia="Arial" w:hAnsi="Arial"/>
          <w:sz w:val="21"/>
          <w:szCs w:val="21"/>
          <w:b w:val="1"/>
          <w:bCs w:val="1"/>
          <w:color w:val="auto"/>
        </w:rPr>
        <w:t>B.</w:t>
      </w:r>
      <w:r>
        <w:rPr>
          <w:sz w:val="20"/>
          <w:szCs w:val="20"/>
          <w:color w:val="auto"/>
        </w:rPr>
        <w:tab/>
      </w:r>
      <w:r>
        <w:rPr>
          <w:rFonts w:ascii="Arial" w:cs="Arial" w:eastAsia="Arial" w:hAnsi="Arial"/>
          <w:sz w:val="19"/>
          <w:szCs w:val="19"/>
          <w:b w:val="1"/>
          <w:bCs w:val="1"/>
          <w:color w:val="auto"/>
        </w:rPr>
        <w:t>Additional Regulatory Actions</w:t>
      </w:r>
      <w:r>
        <w:rPr>
          <w:rFonts w:ascii="Courier New" w:cs="Courier New" w:eastAsia="Courier New" w:hAnsi="Courier New"/>
          <w:sz w:val="11"/>
          <w:szCs w:val="11"/>
          <w:color w:val="auto"/>
        </w:rPr>
        <w:t>[* * *]</w:t>
      </w:r>
      <w:r>
        <w:rPr>
          <w:rFonts w:ascii="Arial" w:cs="Arial" w:eastAsia="Arial" w:hAnsi="Arial"/>
          <w:sz w:val="19"/>
          <w:szCs w:val="19"/>
          <w:color w:val="auto"/>
        </w:rPr>
        <w:t>:</w:t>
      </w:r>
    </w:p>
    <w:p>
      <w:pPr>
        <w:spacing w:after="0" w:line="29" w:lineRule="exact"/>
        <w:rPr>
          <w:sz w:val="20"/>
          <w:szCs w:val="20"/>
          <w:color w:val="auto"/>
        </w:rPr>
      </w:pPr>
    </w:p>
    <w:p>
      <w:pPr>
        <w:ind w:left="962"/>
        <w:spacing w:after="0"/>
        <w:rPr>
          <w:sz w:val="20"/>
          <w:szCs w:val="20"/>
          <w:color w:val="auto"/>
        </w:rPr>
      </w:pPr>
      <w:r>
        <w:rPr>
          <w:rFonts w:ascii="Courier New" w:cs="Courier New" w:eastAsia="Courier New" w:hAnsi="Courier New"/>
          <w:sz w:val="12"/>
          <w:szCs w:val="12"/>
          <w:color w:val="auto"/>
        </w:rPr>
        <w:t>[* * *]</w:t>
      </w:r>
    </w:p>
    <w:p>
      <w:pPr>
        <w:spacing w:after="0" w:line="247" w:lineRule="exact"/>
        <w:rPr>
          <w:sz w:val="20"/>
          <w:szCs w:val="20"/>
          <w:color w:val="auto"/>
        </w:rPr>
      </w:pPr>
    </w:p>
    <w:p>
      <w:pPr>
        <w:ind w:left="322"/>
        <w:spacing w:after="0"/>
        <w:tabs>
          <w:tab w:leader="none" w:pos="722" w:val="left"/>
        </w:tabs>
        <w:rPr>
          <w:sz w:val="20"/>
          <w:szCs w:val="20"/>
          <w:color w:val="auto"/>
        </w:rPr>
      </w:pPr>
      <w:r>
        <w:rPr>
          <w:rFonts w:ascii="Arial" w:cs="Arial" w:eastAsia="Arial" w:hAnsi="Arial"/>
          <w:sz w:val="21"/>
          <w:szCs w:val="21"/>
          <w:b w:val="1"/>
          <w:bCs w:val="1"/>
          <w:color w:val="auto"/>
        </w:rPr>
        <w:t>C.</w:t>
      </w:r>
      <w:r>
        <w:rPr>
          <w:sz w:val="20"/>
          <w:szCs w:val="20"/>
          <w:color w:val="auto"/>
        </w:rPr>
        <w:tab/>
      </w:r>
      <w:r>
        <w:rPr>
          <w:rFonts w:ascii="Arial" w:cs="Arial" w:eastAsia="Arial" w:hAnsi="Arial"/>
          <w:sz w:val="19"/>
          <w:szCs w:val="19"/>
          <w:b w:val="1"/>
          <w:bCs w:val="1"/>
          <w:color w:val="auto"/>
        </w:rPr>
        <w:t>Operational Requirements</w:t>
      </w:r>
      <w:r>
        <w:rPr>
          <w:rFonts w:ascii="Arial" w:cs="Arial" w:eastAsia="Arial" w:hAnsi="Arial"/>
          <w:sz w:val="19"/>
          <w:szCs w:val="19"/>
          <w:color w:val="auto"/>
        </w:rPr>
        <w:t>:</w:t>
      </w:r>
    </w:p>
    <w:p>
      <w:pPr>
        <w:spacing w:after="0" w:line="29" w:lineRule="exact"/>
        <w:rPr>
          <w:sz w:val="20"/>
          <w:szCs w:val="20"/>
          <w:color w:val="auto"/>
        </w:rPr>
      </w:pPr>
    </w:p>
    <w:p>
      <w:pPr>
        <w:ind w:left="962"/>
        <w:spacing w:after="0"/>
        <w:rPr>
          <w:sz w:val="20"/>
          <w:szCs w:val="20"/>
          <w:color w:val="auto"/>
        </w:rPr>
      </w:pPr>
      <w:r>
        <w:rPr>
          <w:rFonts w:ascii="Courier New" w:cs="Courier New" w:eastAsia="Courier New" w:hAnsi="Courier New"/>
          <w:sz w:val="12"/>
          <w:szCs w:val="12"/>
          <w:color w:val="auto"/>
        </w:rPr>
        <w:t>[* * *]</w:t>
      </w:r>
    </w:p>
    <w:p>
      <w:pPr>
        <w:sectPr>
          <w:pgSz w:w="11900" w:h="16838" w:orient="portrait"/>
          <w:cols w:equalWidth="0" w:num="1">
            <w:col w:w="9882"/>
          </w:cols>
          <w:pgMar w:left="1198" w:top="198" w:right="81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00" w:lineRule="exact"/>
        <w:rPr>
          <w:sz w:val="20"/>
          <w:szCs w:val="20"/>
          <w:color w:val="auto"/>
        </w:rPr>
      </w:pPr>
    </w:p>
    <w:p>
      <w:pPr>
        <w:ind w:left="320" w:hanging="313"/>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86"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320" w:right="40" w:hanging="313"/>
        <w:spacing w:after="0" w:line="258"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8"/>
          <w:szCs w:val="18"/>
          <w:color w:val="auto"/>
        </w:rPr>
      </w:pPr>
    </w:p>
    <w:p>
      <w:pPr>
        <w:ind w:left="960" w:right="200" w:hanging="313"/>
        <w:spacing w:after="0" w:line="258" w:lineRule="auto"/>
        <w:tabs>
          <w:tab w:leader="none" w:pos="95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960" w:right="500" w:hanging="313"/>
        <w:spacing w:after="0" w:line="258" w:lineRule="auto"/>
        <w:tabs>
          <w:tab w:leader="none" w:pos="9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960" w:right="660" w:hanging="313"/>
        <w:spacing w:after="0" w:line="377" w:lineRule="auto"/>
        <w:tabs>
          <w:tab w:leader="none" w:pos="951" w:val="left"/>
        </w:tabs>
        <w:numPr>
          <w:ilvl w:val="1"/>
          <w:numId w:val="5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220" w:hanging="313"/>
        <w:spacing w:after="0" w:line="258" w:lineRule="auto"/>
        <w:tabs>
          <w:tab w:leader="none" w:pos="9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20" w:right="480" w:hanging="313"/>
        <w:spacing w:after="0" w:line="333"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6"/>
          <w:szCs w:val="16"/>
          <w:color w:val="auto"/>
        </w:rPr>
      </w:pPr>
    </w:p>
    <w:p>
      <w:pPr>
        <w:ind w:left="960" w:right="100" w:hanging="313"/>
        <w:spacing w:after="0" w:line="300" w:lineRule="auto"/>
        <w:tabs>
          <w:tab w:leader="none" w:pos="95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7"/>
          <w:szCs w:val="17"/>
          <w:color w:val="auto"/>
        </w:rPr>
      </w:pPr>
    </w:p>
    <w:p>
      <w:pPr>
        <w:ind w:left="960" w:right="80" w:hanging="313"/>
        <w:spacing w:after="0" w:line="270" w:lineRule="auto"/>
        <w:tabs>
          <w:tab w:leader="none" w:pos="9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vMerge w:val="restart"/>
          </w:tcPr>
          <w:p>
            <w:pPr>
              <w:ind w:left="320"/>
              <w:spacing w:after="0"/>
              <w:rPr>
                <w:sz w:val="20"/>
                <w:szCs w:val="20"/>
                <w:color w:val="auto"/>
              </w:rPr>
            </w:pPr>
            <w:r>
              <w:rPr>
                <w:rFonts w:ascii="Arial" w:cs="Arial" w:eastAsia="Arial" w:hAnsi="Arial"/>
                <w:sz w:val="18"/>
                <w:szCs w:val="18"/>
                <w:color w:val="auto"/>
              </w:rPr>
              <w:t>Date: November 4, 2021</w:t>
            </w:r>
          </w:p>
        </w:tc>
        <w:tc>
          <w:tcPr>
            <w:tcW w:w="108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 Leonard S. Schleifer</w:t>
            </w: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140" w:type="dxa"/>
            <w:vAlign w:val="bottom"/>
            <w:vMerge w:val="continue"/>
          </w:tcPr>
          <w:p>
            <w:pPr>
              <w:spacing w:after="0"/>
              <w:rPr>
                <w:sz w:val="7"/>
                <w:szCs w:val="7"/>
                <w:color w:val="auto"/>
              </w:rPr>
            </w:pPr>
          </w:p>
        </w:tc>
        <w:tc>
          <w:tcPr>
            <w:tcW w:w="108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8060" w:type="dxa"/>
            <w:vAlign w:val="bottom"/>
            <w:gridSpan w:val="3"/>
          </w:tcPr>
          <w:p>
            <w:pPr>
              <w:ind w:left="10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8060" w:type="dxa"/>
            <w:vAlign w:val="bottom"/>
            <w:gridSpan w:val="3"/>
          </w:tcPr>
          <w:p>
            <w:pPr>
              <w:ind w:left="10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88"/>
        </w:trPr>
        <w:tc>
          <w:tcPr>
            <w:tcW w:w="314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00" w:lineRule="exact"/>
        <w:rPr>
          <w:sz w:val="20"/>
          <w:szCs w:val="20"/>
          <w:color w:val="auto"/>
        </w:rPr>
      </w:pPr>
    </w:p>
    <w:p>
      <w:pPr>
        <w:ind w:left="320" w:hanging="313"/>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86"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320" w:right="40" w:hanging="313"/>
        <w:spacing w:after="0" w:line="258"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8"/>
          <w:szCs w:val="18"/>
          <w:color w:val="auto"/>
        </w:rPr>
      </w:pPr>
    </w:p>
    <w:p>
      <w:pPr>
        <w:ind w:left="960" w:right="200" w:hanging="313"/>
        <w:spacing w:after="0" w:line="258" w:lineRule="auto"/>
        <w:tabs>
          <w:tab w:leader="none" w:pos="95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960" w:right="500" w:hanging="313"/>
        <w:spacing w:after="0" w:line="258" w:lineRule="auto"/>
        <w:tabs>
          <w:tab w:leader="none" w:pos="9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960" w:right="660" w:hanging="313"/>
        <w:spacing w:after="0" w:line="377" w:lineRule="auto"/>
        <w:tabs>
          <w:tab w:leader="none" w:pos="951"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220" w:hanging="313"/>
        <w:spacing w:after="0" w:line="258" w:lineRule="auto"/>
        <w:tabs>
          <w:tab w:leader="none" w:pos="9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20" w:right="480" w:hanging="313"/>
        <w:spacing w:after="0" w:line="333"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6"/>
          <w:szCs w:val="16"/>
          <w:color w:val="auto"/>
        </w:rPr>
      </w:pPr>
    </w:p>
    <w:p>
      <w:pPr>
        <w:ind w:left="960" w:right="100" w:hanging="313"/>
        <w:spacing w:after="0" w:line="300" w:lineRule="auto"/>
        <w:tabs>
          <w:tab w:leader="none" w:pos="951"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7"/>
          <w:szCs w:val="17"/>
          <w:color w:val="auto"/>
        </w:rPr>
      </w:pPr>
    </w:p>
    <w:p>
      <w:pPr>
        <w:ind w:left="960" w:right="80" w:hanging="313"/>
        <w:spacing w:after="0" w:line="270" w:lineRule="auto"/>
        <w:tabs>
          <w:tab w:leader="none" w:pos="9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vMerge w:val="restart"/>
          </w:tcPr>
          <w:p>
            <w:pPr>
              <w:ind w:left="320"/>
              <w:spacing w:after="0"/>
              <w:rPr>
                <w:sz w:val="20"/>
                <w:szCs w:val="20"/>
                <w:color w:val="auto"/>
              </w:rPr>
            </w:pPr>
            <w:r>
              <w:rPr>
                <w:rFonts w:ascii="Arial" w:cs="Arial" w:eastAsia="Arial" w:hAnsi="Arial"/>
                <w:sz w:val="18"/>
                <w:szCs w:val="18"/>
                <w:color w:val="auto"/>
              </w:rPr>
              <w:t>Date: November 4, 2021</w:t>
            </w:r>
          </w:p>
        </w:tc>
        <w:tc>
          <w:tcPr>
            <w:tcW w:w="108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E. Landry</w:t>
            </w: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3140" w:type="dxa"/>
            <w:vAlign w:val="bottom"/>
            <w:vMerge w:val="continue"/>
          </w:tcPr>
          <w:p>
            <w:pPr>
              <w:spacing w:after="0"/>
              <w:rPr>
                <w:sz w:val="7"/>
                <w:szCs w:val="7"/>
                <w:color w:val="auto"/>
              </w:rPr>
            </w:pPr>
          </w:p>
        </w:tc>
        <w:tc>
          <w:tcPr>
            <w:tcW w:w="8060" w:type="dxa"/>
            <w:vAlign w:val="bottom"/>
            <w:gridSpan w:val="3"/>
            <w:vMerge w:val="restart"/>
          </w:tcPr>
          <w:p>
            <w:pPr>
              <w:ind w:left="1080"/>
              <w:spacing w:after="0"/>
              <w:rPr>
                <w:sz w:val="20"/>
                <w:szCs w:val="20"/>
                <w:color w:val="auto"/>
              </w:rPr>
            </w:pPr>
            <w:r>
              <w:rPr>
                <w:rFonts w:ascii="Arial" w:cs="Arial" w:eastAsia="Arial" w:hAnsi="Arial"/>
                <w:sz w:val="18"/>
                <w:szCs w:val="18"/>
                <w:color w:val="auto"/>
              </w:rPr>
              <w:t>Robert E. Landry</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8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8060" w:type="dxa"/>
            <w:vAlign w:val="bottom"/>
            <w:gridSpan w:val="3"/>
          </w:tcPr>
          <w:p>
            <w:pPr>
              <w:ind w:left="1080"/>
              <w:spacing w:after="0" w:line="175" w:lineRule="exact"/>
              <w:rPr>
                <w:sz w:val="20"/>
                <w:szCs w:val="20"/>
                <w:color w:val="auto"/>
              </w:rPr>
            </w:pPr>
            <w:r>
              <w:rPr>
                <w:rFonts w:ascii="Arial" w:cs="Arial" w:eastAsia="Arial" w:hAnsi="Arial"/>
                <w:sz w:val="18"/>
                <w:szCs w:val="18"/>
                <w:color w:val="auto"/>
              </w:rPr>
              <w:t>Executive Vice President, Finance and Chief</w:t>
            </w: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8060" w:type="dxa"/>
            <w:vAlign w:val="bottom"/>
            <w:gridSpan w:val="3"/>
          </w:tcPr>
          <w:p>
            <w:pPr>
              <w:ind w:left="108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8060" w:type="dxa"/>
            <w:vAlign w:val="bottom"/>
            <w:gridSpan w:val="3"/>
          </w:tcPr>
          <w:p>
            <w:pPr>
              <w:ind w:left="10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88"/>
        </w:trPr>
        <w:tc>
          <w:tcPr>
            <w:tcW w:w="3140" w:type="dxa"/>
            <w:vAlign w:val="bottom"/>
            <w:tcBorders>
              <w:bottom w:val="single" w:sz="8" w:color="666666"/>
            </w:tcBorders>
          </w:tcPr>
          <w:p>
            <w:pPr>
              <w:spacing w:after="0"/>
              <w:rPr>
                <w:sz w:val="24"/>
                <w:szCs w:val="24"/>
                <w:color w:val="auto"/>
              </w:rPr>
            </w:pPr>
          </w:p>
        </w:tc>
        <w:tc>
          <w:tcPr>
            <w:tcW w:w="1080" w:type="dxa"/>
            <w:vAlign w:val="bottom"/>
            <w:tcBorders>
              <w:bottom w:val="single" w:sz="8" w:color="666666"/>
            </w:tcBorders>
          </w:tcPr>
          <w:p>
            <w:pPr>
              <w:spacing w:after="0"/>
              <w:rPr>
                <w:sz w:val="24"/>
                <w:szCs w:val="24"/>
                <w:color w:val="auto"/>
              </w:rPr>
            </w:pPr>
          </w:p>
        </w:tc>
        <w:tc>
          <w:tcPr>
            <w:tcW w:w="1460" w:type="dxa"/>
            <w:vAlign w:val="bottom"/>
            <w:tcBorders>
              <w:bottom w:val="single" w:sz="8" w:color="666666"/>
            </w:tcBorders>
          </w:tcPr>
          <w:p>
            <w:pPr>
              <w:spacing w:after="0"/>
              <w:rPr>
                <w:sz w:val="24"/>
                <w:szCs w:val="24"/>
                <w:color w:val="auto"/>
              </w:rPr>
            </w:pPr>
          </w:p>
        </w:tc>
        <w:tc>
          <w:tcPr>
            <w:tcW w:w="552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2021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5" w:lineRule="exact"/>
        <w:rPr>
          <w:sz w:val="20"/>
          <w:szCs w:val="20"/>
          <w:color w:val="auto"/>
        </w:rPr>
      </w:pPr>
    </w:p>
    <w:p>
      <w:pPr>
        <w:ind w:left="640" w:hanging="313"/>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6" w:lineRule="exact"/>
        <w:rPr>
          <w:rFonts w:ascii="Arial" w:cs="Arial" w:eastAsia="Arial" w:hAnsi="Arial"/>
          <w:sz w:val="18"/>
          <w:szCs w:val="18"/>
          <w:color w:val="auto"/>
        </w:rPr>
      </w:pPr>
    </w:p>
    <w:p>
      <w:pPr>
        <w:ind w:left="640" w:hanging="313"/>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Leonard S. Schleifer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Leonard S. Schleifer, M.D., Ph.D.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Robert E. Landry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 Landry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Finance and Chief</w:t>
      </w:r>
    </w:p>
    <w:p>
      <w:pPr>
        <w:ind w:left="20"/>
        <w:spacing w:after="0"/>
        <w:rPr>
          <w:sz w:val="20"/>
          <w:szCs w:val="20"/>
          <w:color w:val="auto"/>
        </w:rPr>
      </w:pPr>
      <w:r>
        <w:rPr>
          <w:rFonts w:ascii="Arial" w:cs="Arial" w:eastAsia="Arial" w:hAnsi="Arial"/>
          <w:sz w:val="18"/>
          <w:szCs w:val="18"/>
          <w:color w:val="auto"/>
        </w:rPr>
        <w:t>Financial Officer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4, 2021</w:t>
      </w:r>
    </w:p>
    <w:sectPr>
      <w:pgSz w:w="11900" w:h="16838" w:orient="portrait"/>
      <w:cols w:equalWidth="0" w:num="1">
        <w:col w:w="11240"/>
      </w:cols>
      <w:pgMar w:left="320" w:top="9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decimal"/>
      <w:start w:val="32"/>
    </w:lvl>
  </w:abstractNum>
  <w:abstractNum w:abstractNumId="35">
    <w:nsid w:val="542289EC"/>
    <w:multiLevelType w:val="hybridMultilevel"/>
    <w:lvl w:ilvl="0">
      <w:lvlJc w:val="left"/>
      <w:lvlText w:val="%1"/>
      <w:numFmt w:val="decimal"/>
      <w:start w:val="101"/>
    </w:lvl>
  </w:abstractNum>
  <w:abstractNum w:abstractNumId="36">
    <w:nsid w:val="6DE91B18"/>
    <w:multiLevelType w:val="hybridMultilevel"/>
    <w:lvl w:ilvl="0">
      <w:lvlJc w:val="left"/>
      <w:lvlText w:val="%1"/>
      <w:numFmt w:val="decimal"/>
      <w:start w:val="104"/>
    </w:lvl>
    <w:lvl w:ilvl="1">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2"/>
    </w:lvl>
  </w:abstractNum>
  <w:abstractNum w:abstractNumId="40">
    <w:nsid w:val="684A481A"/>
    <w:multiLevelType w:val="hybridMultilevel"/>
    <w:lvl w:ilvl="0">
      <w:lvlJc w:val="left"/>
      <w:lvlText w:val="%1."/>
      <w:numFmt w:val="decimal"/>
      <w:start w:val="14"/>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lvl w:ilvl="1">
      <w:lvlJc w:val="left"/>
      <w:lvlText w:val="☐"/>
      <w:numFmt w:val="bullet"/>
      <w:start w:val="1"/>
    </w:lvl>
    <w:lvl w:ilvl="2">
      <w:lvlJc w:val="left"/>
      <w:lvlText w:val="%3."/>
      <w:numFmt w:val="decimal"/>
      <w:start w:val="11"/>
    </w:lvl>
  </w:abstractNum>
  <w:abstractNum w:abstractNumId="44">
    <w:nsid w:val="1BA026FA"/>
    <w:multiLevelType w:val="hybridMultilevel"/>
    <w:lvl w:ilvl="0">
      <w:lvlJc w:val="left"/>
      <w:lvlText w:val="%1."/>
      <w:numFmt w:val="decimal"/>
      <w:start w:val="12"/>
    </w:lvl>
    <w:lvl w:ilvl="1">
      <w:lvlJc w:val="left"/>
      <w:lvlText w:val="%2."/>
      <w:numFmt w:val="decimal"/>
      <w:start w:val="13"/>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upperLetter"/>
      <w:start w:val="1"/>
    </w:lvl>
    <w:lvl w:ilvl="1">
      <w:lvlJc w:val="left"/>
      <w:lvlText w:val="☐"/>
      <w:numFmt w:val="bullet"/>
      <w:start w:val="1"/>
    </w:lvl>
  </w:abstractNum>
  <w:abstractNum w:abstractNumId="48">
    <w:nsid w:val="70C6A529"/>
    <w:multiLevelType w:val="hybridMultilevel"/>
    <w:lvl w:ilvl="0">
      <w:lvlJc w:val="left"/>
      <w:lvlText w:val="%1."/>
      <w:numFmt w:val="decimal"/>
      <w:start w:val="14"/>
    </w:lvl>
  </w:abstractNum>
  <w:abstractNum w:abstractNumId="49">
    <w:nsid w:val="520EEDD1"/>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50">
    <w:nsid w:val="374A3FE6"/>
    <w:multiLevelType w:val="hybridMultilevel"/>
    <w:lvl w:ilvl="0">
      <w:lvlJc w:val="left"/>
      <w:lvlText w:val="%1)"/>
      <w:numFmt w:val="decimal"/>
      <w:start w:val="7"/>
    </w:lvl>
    <w:lvl w:ilvl="1">
      <w:lvlJc w:val="left"/>
      <w:lvlText w:val="%2"/>
      <w:numFmt w:val="decimal"/>
      <w:start w:val="1"/>
    </w:lvl>
    <w:lvl w:ilvl="2">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upp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2021-11-04T06:24:12Z</dcterms:created>
  <dcterms:modified xsi:type="dcterms:W3CDTF">2021-11-04T06:24:12Z</dcterms:modified>
</cp:coreProperties>
</file>