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2017</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80"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0-19034</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940" w:type="dxa"/>
            <w:vAlign w:val="bottom"/>
            <w:gridSpan w:val="3"/>
          </w:tcPr>
          <w:p>
            <w:pPr>
              <w:jc w:val="center"/>
              <w:ind w:right="2220"/>
              <w:spacing w:after="0"/>
              <w:rPr>
                <w:sz w:val="20"/>
                <w:szCs w:val="20"/>
                <w:color w:val="auto"/>
              </w:rPr>
            </w:pPr>
            <w:r>
              <w:rPr>
                <w:rFonts w:ascii="Arial" w:cs="Arial" w:eastAsia="Arial" w:hAnsi="Arial"/>
                <w:sz w:val="18"/>
                <w:szCs w:val="18"/>
                <w:color w:val="auto"/>
                <w:w w:val="92"/>
              </w:rPr>
              <w:t>New York</w:t>
            </w: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4"/>
              </w:rPr>
              <w:t>(State or other jurisdiction of</w:t>
            </w:r>
          </w:p>
        </w:tc>
        <w:tc>
          <w:tcPr>
            <w:tcW w:w="1120" w:type="dxa"/>
            <w:vAlign w:val="bottom"/>
          </w:tcPr>
          <w:p>
            <w:pPr>
              <w:spacing w:after="0"/>
              <w:rPr>
                <w:sz w:val="24"/>
                <w:szCs w:val="24"/>
                <w:color w:val="auto"/>
              </w:rPr>
            </w:pPr>
          </w:p>
        </w:tc>
        <w:tc>
          <w:tcPr>
            <w:tcW w:w="3860" w:type="dxa"/>
            <w:vAlign w:val="bottom"/>
            <w:gridSpan w:val="3"/>
          </w:tcPr>
          <w:p>
            <w:pPr>
              <w:jc w:val="center"/>
              <w:ind w:left="11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70"/>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5"/>
              </w:rPr>
              <w:t>incorporation or organization)</w:t>
            </w:r>
          </w:p>
        </w:tc>
        <w:tc>
          <w:tcPr>
            <w:tcW w:w="1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660" w:type="dxa"/>
            <w:vAlign w:val="bottom"/>
          </w:tcPr>
          <w:p>
            <w:pPr>
              <w:spacing w:after="0"/>
              <w:rPr>
                <w:sz w:val="24"/>
                <w:szCs w:val="24"/>
                <w:color w:val="auto"/>
              </w:rPr>
            </w:pP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86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(914) 847-7000</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Emerging growth company</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17145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-162560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-342265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9" w:lineRule="exact"/>
        <w:rPr>
          <w:sz w:val="24"/>
          <w:szCs w:val="24"/>
          <w:color w:val="auto"/>
        </w:rPr>
      </w:pPr>
    </w:p>
    <w:p>
      <w:pPr>
        <w:ind w:left="40" w:right="1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-1905</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13, 2017:</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1,911,456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104,379,152</w:t>
            </w:r>
          </w:p>
        </w:tc>
      </w:tr>
    </w:tbl>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March 31, 2017 and 2016</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2016</w:t>
              </w:r>
            </w:hyperlink>
          </w:p>
        </w:tc>
        <w:tc>
          <w:tcPr>
            <w:tcW w:w="1040" w:type="dxa"/>
            <w:vAlign w:val="bottom"/>
            <w:tcBorders>
              <w:top w:val="single" w:sz="8" w:color="CCEEFF"/>
            </w:tcBorders>
            <w:gridSpan w:val="2"/>
            <w:shd w:val="clear" w:color="auto" w:fill="CCEEFF"/>
          </w:tcPr>
          <w:p>
            <w:pPr>
              <w:spacing w:after="0"/>
              <w:rPr>
                <w:sz w:val="21"/>
                <w:szCs w:val="21"/>
                <w:color w:val="auto"/>
              </w:rPr>
            </w:pPr>
          </w:p>
        </w:tc>
        <w:tc>
          <w:tcPr>
            <w:tcW w:w="660" w:type="dxa"/>
            <w:vAlign w:val="bottom"/>
            <w:tcBorders>
              <w:top w:val="single" w:sz="8" w:color="CCEEFF"/>
            </w:tcBorders>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40"/>
          </w:cols>
          <w:pgMar w:left="280" w:top="364"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535,203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495,311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503,481</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92,989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175,263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466,576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399,356</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130,528</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3,669,263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3,180,188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2"/>
        </w:trPr>
        <w:tc>
          <w:tcPr>
            <w:tcW w:w="8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967,695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864,260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2,083,421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866,291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825,303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20,294</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7,817,365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02"/>
        </w:trPr>
        <w:tc>
          <w:tcPr>
            <w:tcW w:w="8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1,061,777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879,096</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and facility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129,557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115,267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116,397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1,241,495</w:t>
            </w:r>
          </w:p>
        </w:tc>
      </w:tr>
      <w:tr>
        <w:trPr>
          <w:trHeight w:val="122"/>
        </w:trPr>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503,474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316,227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327,298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and facility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351,569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100,385</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2,951,344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2,524,221</w:t>
            </w:r>
          </w:p>
        </w:tc>
      </w:tr>
      <w:tr>
        <w:trPr>
          <w:trHeight w:val="277"/>
        </w:trPr>
        <w:tc>
          <w:tcPr>
            <w:tcW w:w="8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1,911,456 in 2017 and 2016</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- 108,117,258 in 2017 and</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107,860,567 in 2016</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3,029,993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1,997,153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1,748,222</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3,763,868 shares in 2017 and 2016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(316,240)</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4,866,021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4,449,245</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7,817,365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732"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73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color w:val="0000EE"/>
              </w:rPr>
              <w:t>Table of Contents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(Unaudited)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858,245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784,182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210,367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219,694</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193,939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179,592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56,440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17,381</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1,318,991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1,200,849</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507,435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470,112</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296,846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289,677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61,253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78,942</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32,810</w:t>
            </w: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888,449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871,541</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430,542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329,308</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432,289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330,151</w:t>
            </w: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(183,358)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(148,766)</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248,931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181,385</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105,572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104,290</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114,228</w:t>
            </w: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248,931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181,385</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marketable securities, net of tax</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255,887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177,177</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sz w:val="20"/>
                <w:szCs w:val="20"/>
                <w:color w:val="auto"/>
              </w:rPr>
            </w:pPr>
            <w:r>
              <w:rPr>
                <w:rFonts w:ascii="Arial" w:cs="Arial" w:eastAsia="Arial" w:hAnsi="Arial"/>
                <w:sz w:val="16"/>
                <w:szCs w:val="16"/>
                <w:color w:val="0000EE"/>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248,931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181,385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22,977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142,250</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3,957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(79,785)</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(397,428)</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(62,263)</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39,260</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deferred revenue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91,205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103,431</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106,970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(136,396)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44,989</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(208,694)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60,409</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(104,094)</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(43,685)</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39,304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60,812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(206,192)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276,570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(204,888)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535,203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809,102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811,773</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604,214</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2016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2016.</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addition, the previously issued Condensed Consolidated Statement of Operations and Comprehensive Income for the three months ended March 31, 2016 and Condensed Consolidated Statement of Cash Flows for the three months ended March 31, 2016 contained in the Company's Quarterly Report on Form 10-Q for the quarterly period ended March 31, 2016, have each been revised in this Quarterly Report on Form 10-Q. These revisions resulted from the Company's adoption of Accounting Standards Update 2016-09 ("ASU 2016-09"), </w:t>
      </w:r>
      <w:r>
        <w:rPr>
          <w:rFonts w:ascii="Arial" w:cs="Arial" w:eastAsia="Arial" w:hAnsi="Arial"/>
          <w:sz w:val="17"/>
          <w:szCs w:val="17"/>
          <w:i w:val="1"/>
          <w:iCs w:val="1"/>
          <w:color w:val="auto"/>
        </w:rPr>
        <w:t>Compensation - Stock Compensation, Improvements to Employee Share-Based Payment Accounting</w:t>
      </w:r>
      <w:r>
        <w:rPr>
          <w:rFonts w:ascii="Arial" w:cs="Arial" w:eastAsia="Arial" w:hAnsi="Arial"/>
          <w:sz w:val="17"/>
          <w:szCs w:val="17"/>
          <w:color w:val="auto"/>
        </w:rPr>
        <w:t>, as issued by the Financial Accounting Standards Board ("FASB"), during the second quarter of 2016. The Company revised its</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from the amounts originally reported for the quarterly period ended March 31, 2016 to include a $15.6 million income tax benefit, which was originally recorded as additional paid-in capital. This revision resulted in an increase to diluted net income per share of $0.14 from the amount originally reported for the quarterly period ended March 31, 2016. Furthermore, the Company reclassified excess tax benefits in its Condensed Consolidated Statement of Cash Flows for the quarterly period ended March 31, 2016 as an operating activity (such amounts were originally included as a financing activity in the Condensed Consolidated Statement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$854.4 million and $780.9 million for the three months ended March 31, 2017 and 2016,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$3.8 million and $3.3 million for the three months ended March 31, 2017 and 2016, respectively.</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Sales to each of these customers as a percentage of the Company's total gross product revenue are as follows:</w:t>
      </w:r>
    </w:p>
    <w:p>
      <w:pPr>
        <w:spacing w:after="0" w:line="200" w:lineRule="exact"/>
        <w:rPr>
          <w:sz w:val="20"/>
          <w:szCs w:val="20"/>
          <w:color w:val="auto"/>
        </w:rPr>
      </w:pPr>
    </w:p>
    <w:p>
      <w:pPr>
        <w:spacing w:after="0" w:line="2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 Corporation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Curascript SD Specialty Distribution, a subsidiary of Express Scripts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594"/>
        </w:trPr>
        <w:tc>
          <w:tcPr>
            <w:tcW w:w="5960" w:type="dxa"/>
            <w:vAlign w:val="bottom"/>
          </w:tcPr>
          <w:p>
            <w:pPr>
              <w:jc w:val="right"/>
              <w:ind w:right="113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during the three months ended March 31,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45,851</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38,908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89,603</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(79,421)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56,033</w:t>
            </w:r>
          </w:p>
        </w:tc>
        <w:tc>
          <w:tcPr>
            <w:tcW w:w="0" w:type="dxa"/>
            <w:vAlign w:val="bottom"/>
          </w:tcPr>
          <w:p>
            <w:pPr>
              <w:spacing w:after="0"/>
              <w:rPr>
                <w:sz w:val="1"/>
                <w:szCs w:val="1"/>
                <w:color w:val="auto"/>
              </w:rPr>
            </w:pPr>
          </w:p>
        </w:tc>
      </w:tr>
      <w:tr>
        <w:trPr>
          <w:trHeight w:val="311"/>
        </w:trPr>
        <w:tc>
          <w:tcPr>
            <w:tcW w:w="620" w:type="dxa"/>
            <w:vAlign w:val="bottom"/>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55,249</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57,583</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(70,367)</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Collaboration Agreements</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 Sanofi</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80" w:type="dxa"/>
            <w:vAlign w:val="bottom"/>
            <w:gridSpan w:val="5"/>
          </w:tcPr>
          <w:p>
            <w:pPr>
              <w:ind w:left="340"/>
              <w:spacing w:after="0"/>
              <w:rPr>
                <w:sz w:val="20"/>
                <w:szCs w:val="20"/>
                <w:color w:val="auto"/>
              </w:rPr>
            </w:pPr>
            <w:r>
              <w:rPr>
                <w:rFonts w:ascii="Arial" w:cs="Arial" w:eastAsia="Arial" w:hAnsi="Arial"/>
                <w:sz w:val="18"/>
                <w:szCs w:val="18"/>
                <w:color w:val="auto"/>
                <w:w w:val="90"/>
              </w:rPr>
              <w:t>The collaboration revenue the Company earned from Sanofi is detailed below:</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155,245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193,602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68,722</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(108,402)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(99,422)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7,517</w:t>
            </w: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131,688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170,419</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29,275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78,679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49,275</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19"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19"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Sanofi has the right to extend antibody development and preclinical activities relating to selected programs for up to an additional three years after 2017. Sanofi must identify any programs to be extended by June 30, 2017, and the Company and Sanofi must then agree on a plan and budget for the extended activities. During the extended period, the Company will use commercially reasonable efforts to develop such antibodies and conduct preclinical activities through the preparation of an Investigational New Drug application. After 2017, funding from Sanofi under the Antibody Discovery Agreement will cease to continue, except with regard to the programs for which Sanofi has exercised its extension right.</w:t>
      </w:r>
    </w:p>
    <w:p>
      <w:pPr>
        <w:spacing w:after="0" w:line="251"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color w:val="auto"/>
        </w:rPr>
        <w:t>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the Company recognized as research and development expense $25.0 million and $21.7 million during the three months ended March 31, 2017 and 2016, respectively, of antibody development expenses that the Company was obligated to reimburse to Sanofi related to Praluent</w:t>
      </w:r>
      <w:r>
        <w:rPr>
          <w:rFonts w:ascii="Arial" w:cs="Arial" w:eastAsia="Arial" w:hAnsi="Arial"/>
          <w:sz w:val="23"/>
          <w:szCs w:val="23"/>
          <w:color w:val="auto"/>
          <w:vertAlign w:val="superscript"/>
        </w:rPr>
        <w:t>®</w:t>
      </w:r>
      <w:r>
        <w:rPr>
          <w:rFonts w:ascii="Arial" w:cs="Arial" w:eastAsia="Arial" w:hAnsi="Arial"/>
          <w:sz w:val="17"/>
          <w:szCs w:val="17"/>
          <w:color w:val="auto"/>
        </w:rPr>
        <w:t>, Kevzara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(sarilumab), and Dupixent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(dupilumab).</w:t>
      </w:r>
    </w:p>
    <w:p>
      <w:pPr>
        <w:spacing w:after="0" w:line="1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"Reimbursement of Regeneron commercialization-related expenses" in the table above represents reimbursement of internal and external costs in connection with preparing to commercialize or commercializing, as applicable, Praluent, Kevzara, and Dupixent. During the same periods that the Company recorded reimbursements from Sanofi related to the Company's commercialization expenses, the Company also recorded its share of losses in connection with the companies preparing to commercialize or commercializing, as applicable, Praluent, Kevzara, and Dupixent within Sanofi collaboration revenue.</w:t>
      </w:r>
    </w:p>
    <w:p>
      <w:pPr>
        <w:spacing w:after="0" w:line="20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January 2017, Health Canada approved Kevzara for the treatment of adult patients with moderately to severely active rheumatoid arthritis who have an inadequate response to or intolerance to one or more biologic or non-biologic disease modifying anti-rheumatic drugs ("DMARDs"). This is the first approval of Kevzara worldwide. In March 2017, the U.S. Food and Drug Administration ("FDA") approved Dupixent for the treatment of adult patients with moderate-to-severe atopic dermatitis whose disease is not adequately controlled with topical prescription therapies or when those therapies are not advisable. Therefore, commencing in the first quarter of 2017, the Company's share of losses in connection with commercialization of antibodies also included the Company's share of revenue in connection with Sanofi's sales of Kevzara and Dupixent, which were not material in the first quarter of 2017.</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$200.0 million in 2017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("REGN2810"). The parties share equally, on an ongoing basis, development expenses for REGN2810.</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19"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128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w w:val="99"/>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174,876</w:t>
            </w:r>
          </w:p>
        </w:tc>
        <w:tc>
          <w:tcPr>
            <w:tcW w:w="100" w:type="dxa"/>
            <w:vAlign w:val="bottom"/>
          </w:tcPr>
          <w:p>
            <w:pPr>
              <w:spacing w:after="0"/>
              <w:rPr>
                <w:sz w:val="20"/>
                <w:szCs w:val="20"/>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145,835</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26,492</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175,070</w:t>
            </w:r>
          </w:p>
        </w:tc>
      </w:tr>
      <w:tr>
        <w:trPr>
          <w:trHeight w:val="237"/>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PDGFR-beta antibody:</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rinucumab/aflibercept (REGN2176-3)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37"/>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Ang2 antibody:</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nesvacumab/aflibercept (REGN910-3)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gridSpan w:val="3"/>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193,939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179,592</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all agreed-upon EYLEA development costs incurred by the Company and Bayer are shared equally.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The agreement provides that the Company would conduct the initial development of the PDGFR-beta antibody through completion of the first proof-of-concept study, upon which Bayer would have a right to opt-in to license and collaborate on further development and commercialization outside the United States. Effective in the first quarter of 2017, the Company has discontinued clinical development of REGN2176-3.</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March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$50.0 million up-front payment was initially recorded as deferred revenue, and is being recognized ratably as revenue over the related performance period.</w:t>
      </w:r>
    </w:p>
    <w:p>
      <w:pPr>
        <w:sectPr>
          <w:pgSz w:w="11900" w:h="16838" w:orient="portrait"/>
          <w:cols w:equalWidth="0" w:num="1">
            <w:col w:w="11420"/>
          </w:cols>
          <w:pgMar w:left="240" w:top="319"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19"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 payment. In the first quarter of 2016, MTPC made additional payments of $45.0 million and $15.0 million to the Company, which were recorded as deferred revenue and are being recognized ratably as revenue over the same performance period as the up-front payment.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Teva</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September 2016, the Company and Teva entered into a collaboration agreement (the "Teva Collaboration Agreement") to develop and commercialize fasinumab globally, excluding certain Asian countries that are subject to the Company's collaboration agreement with MTPC (as described above). In connection with the Teva Collaboration Agreement, Teva made a $250.0 million non-refundable up-front payment in September 2016. The Company will lead global development activities, and the parties will share development costs equally on an ongoing basis. The $250.0 million up-front payment was initially recorded as deferred revenue, and is being recognized ratably as revenue over the related performance period.</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recognized $33.1 million of revenue for the three months ended March 31, 2017 in connection with the Teva Collaboration Agreement.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181,385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Convertible senior notes - interest expense related to contractual coupon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and amortization 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181,441</w:t>
            </w:r>
          </w:p>
        </w:tc>
      </w:tr>
      <w:tr>
        <w:trPr>
          <w:trHeight w:val="311"/>
        </w:trPr>
        <w:tc>
          <w:tcPr>
            <w:tcW w:w="5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104,290</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115,106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114,228</w:t>
            </w:r>
          </w:p>
        </w:tc>
      </w:tr>
      <w:tr>
        <w:trPr>
          <w:trHeight w:val="203"/>
        </w:trPr>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5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1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19"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08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3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Marketable securities as of March 31, 2017 and December 31, 2016 consist of both debt securities of investment grade issuers as well as equity securities.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March 31, 2017</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1,205,974</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126,082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125,492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32,620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39,645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54,650</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1,468,798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2016</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1,076,964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42,612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49,219</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1,380,487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1,367,741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classifies its debt security investments based on their contractual maturity dates. The debt securities listed as of March 31, 2017 mature at various dates through April 2022. The fair values of debt security investments by contractual maturity consist of the following:</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503,482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898,045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815,040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Maturities after five years through ten years</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1,408,356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1,318,522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2017</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105,566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105,566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894,533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759,222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795,629</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(4,743)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883,950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920,357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realized losses on sales of marketable securities, and realized gains were not material, for the three months ended March 31, 2017. There were no realized gains and losses on sales of marketable securities for the three months ended March 31, 2016.</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three months ended March 31, 2017 and 2016 related to unrealized gains and losses on available-for-sale marketable securities. For the three months ended March 31, 2017, amounts reclassified from accumulated other comprehensive income (loss) into other income (expense), net were related to realized gains on sales of marketable securities; there were no such amounts reclassified during the three months ended March 31,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1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2017</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1,205,974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1,205,974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125,492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4,625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39,645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1,463,006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1,408,356</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1,367,741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1,318,522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months ended March 31, 2017 and 2016.</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months ended March 31, 2017 and 2016. There were no transfers of marketable securities between Levels 1, 2, or 3 classifications during the three months ended March 31, 2017 and 2016.</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1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202,301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91,434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399,356</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March 31, 2017 and 2016, cost of goods sold included inventory write-downs and reserves totaling $6.4 million and $4.3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134,984</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91,753</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159,985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103,512</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879,096</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first quarter of 2016, the Company settled conversion obligations for $1.7 million principal amount of the Company's Notes that was previously surrendered for conversion. Consequently, in the first quarter of 2016, the Company paid $1.7 million in cash and issued 16,774 shares of Common Stock. In addition, the Company allocated $6.7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the first quarter of 2016 was not material. As a result of these Note conversions, in the first quarter of 2016, the Company also exercised a proportionate amount of its convertible note hedges, for which the Company received 16,768 shares of Common Stock, which was approximately equal to the number of shares the Company was required to issue to settle the non-cash portion of the related Note conversions. The Company recorded the cost of the shares received, or $1.4 million, as Treasury Stock during the first quarter of 2016.</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19"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 did not effect any purchases at a price per share exceeding $535.00 per share, during the period starting on November 16, 2015 and ending no later than February 9, 2016. The Company was able to settle, at its option, any payments due under the amendment agreement in cash or by delivering shares of Common Stock. As a result of the warrant holder closing out a portion of its hedge position in the first quarter of 2016, the Company paid a total of $135.2 million to reduce the number of warrants held by such warrant holder by 360,406.</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February 2016,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during the first quarter of 2016, the Company paid a total of $106.9 million to reduce the number of warrants held by such warrant holder by 403,665.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the Company entered into an agreement with a syndicate of lenders which provides for a $750.0 million senior unsecured five-year revolving credit facility. As of March 31, 2017, the Company had no borrowings outstanding under the credit facility and was in compliance with all credit facility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leases laboratory and office facilities in Tarrytown, New York (the "Tarrytown Leases"). Prior to December 30, 2016, certain of the premises under the Tarrytown Leases had been accounted for as operating leases, while for certain other buildings the Company leased, the Company was deemed, in substance, to be the owner of the landlord's buildings (collectively, the "Build-to-Suit Buildings") in accordance with the application of FASB authoritative guidance. On December 30, 2016, the Company entered into a Purchase Agreement with BMR-Landmark at Eastview LLC and BMR-Landmark at Eastview IV LLC (collectively, "BMR"), pursuant to which the Company agreed to purchase BMR's Tarrytown, New York facilities (the "Facility") for a purchase price of $720.0 million. The Company occupies a significant portion of the Facility, with the remaining rentable area under leases to third-party tenants. In accordance with the terms of the Purchase Agreement, the Company paid $57.0 million toward the purchase price to BMR in December 2016.</w:t>
      </w: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Upon entering into the December 30, 2016 Purchase Agreement with BMR, the premises under the Company's Tarrytown Leases that were historically accounted for as operating leases were deemed to be modified, as the Company now had the option to purchase the Facility under terms that made it reasonably assured to be exercised. Consequently, the leases for such premises were re-classified as a capital lease upon execution of the Purchase Agreement, and a proportionate amount of the $57.0 million payment was recorded as reduction of the initial capital lease liability. The execution of the Purchase Agreement did not impact the balance sheet classification for the Build-to-Suit Buildings; however, a proportionate amount of the $57.0 million payment was recorded as a reduction to the related facility lease obligation.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3, 2017, the Company entered into a Participation Agreement with Banc of America Leasing &amp; Capital LLC ("BAL"), as lessor, and a syndicate of lenders (collectively, the "Participants"). The Participation Agreement provided for lease financing in connection with the acquisition by BAL of the Facility and the Company's lease of the Facility from BAL. On March 3, 2017, the right to take title to the Facility under the Purchase Agreement was assigned by the Company to BAL, and the Participants advanced $720.0 million, which was used by BAL to finance the purchase price for the Facility and to reimburse the Company for the $57.0 million payment made to BMR in December 2016. The $57.0 million reimbursement was recorded by the Company in March 2017 as an increase to capital and facility lease obligations in amounts equal to those initially recorded upon making such payment to BMR in December 2016.</w:t>
      </w:r>
    </w:p>
    <w:p>
      <w:pPr>
        <w:spacing w:after="0" w:line="24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March 3, 2017, the Company entered into a lease agreement (the "Lease") with BAL, pursuant to which the Company has leased the Facility from BAL for a five-year term. As a result of entering into the lease agreement, certain parts of the Facility became subleased from the Company by existing third-party tenants. The Lease requires the Company to pay all maintenance, insurance, taxes, and other costs arising out of the use of the Facility. The Company is also required to make monthly payments of basic rent during the term of the Lease in an amount equal to a variable rate per annum based on the one-month London Interbank Offered Rate ("LIBOR"), plus an applicable margin that varies with the Company’s debt rating and total leverage ratio.</w:t>
      </w:r>
    </w:p>
    <w:p>
      <w:pPr>
        <w:sectPr>
          <w:pgSz w:w="11900" w:h="16838" w:orient="portrait"/>
          <w:cols w:equalWidth="0" w:num="1">
            <w:col w:w="11420"/>
          </w:cols>
          <w:pgMar w:left="240" w:top="319"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19"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Participation Agreement and the Lease include an option for the Company to elect to extend the maturity date of the Participation Agreement and the term of the Lease for an additional five-year period, subject to the consent of all the Participants and certain other conditions. The Company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1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a result of entering into the lease agreement with BAL, the premises that were classified as a capital lease as of December 31, 2016 were reassessed. As described above, the Company has the option to purchase the Facility, and as a result, the Company is deemed to have continuing involvement in such premises. Accordingly, these premises continue to be classified as a capital lease, with the related property, plant, and equipment and capital lease liability remaining on the Company's Condensed Consolidated Balance Sheet. In addition, as described above, upon entering into the lease agreement, the Company began to lease space occupied by third-party tenants. The lease of such premises is also classified as a capital lease. The execution of the March 2017 lease agreement did not impact the balance sheet classification for the Build-to-Suit Buildings. In the aggregate, the Company recorded $720.0 million of capital and facility lease obligations upon execution of the lease agreement for the Facility.</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the Company's credit facility (see Note 9). The Company was in compliance with all covenants of the Participation Agreement and the Lease as of March 31,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is subject to U.S. federal, state, and foreign income taxes. The Company recorded an income tax provision in its Statement of Operations of $183.4 million and $148.8 million for the three months ended March 31, 2017 and 2016, respectively. The Company's effective tax rate was 42.4% and 45.1% for the three months ended March 31, 2017 and 2016, respectively. The Company's effective tax rate for the three months ended March 31, 2017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the domestic manufacturing deduction, and the federal tax credit for research activities.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effective tax rate for the three months ended March 31, 2016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(see Note 1), the domestic manufacturing deduction, and the federal tax credit for increased research activities.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recorded an income tax benefit in its Statement of Comprehensive Income of $2.0 million for the three months ended March 31, 2016 in connection with unrealized gains (losses) on available-for-sale marketable securities. There was no such income tax benefit or provision recorded for the three months ended March 31,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March 31, 2017 and December 31, 2016 were $32.3 million and $28.2 million, respectively, of accrued capital expenditures. Included in accounts payable and accrued expenses as of March 31, 2016 and December 31, 2015 were $84.1 million and $56.2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three months ended March 31, 2017 (see Note 10). No such amount was recognized during the three months ended March 31,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1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estimate possible gain or a range of possible loss, if any, related to, these proceedings.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the Company and the Sanofi defendants' motions for new trial and judgment as a matter of law. The court also denied as moot Amgen's motion to strike the Company and the Sanofi defendants' request to obtain a judgment as a matter of law, which allows the U.S. Court of Appeals for the Federal Circuit to address the Company and the Sanofi defendants' patent invalidity arguments on appeal. On January 12, 2017, the Company and the Sanofi defendants filed a notice of appeal with the U.S. Court of Appeals for the Federal Circuit. On January 18, 2017, the U.S. Court of Appeals for the Federal Circuit ordered an expedited briefing schedule of the appeal on the merits. On January 31, 2017, Amgen filed a motion with the United States District Court for the District of Delaware to amend the court's final judgment to include an award of supplemental damages (including interest) and enhancement of such damages following the resolution of the appeal. The briefing relating to the appeal to the U.S. Court of Appeals for the Federal Circuit was completed on March 31, 2017, and oral argument on the appeal is currently scheduled for June 6, 2017.</w:t>
      </w:r>
    </w:p>
    <w:p>
      <w:pPr>
        <w:spacing w:after="0" w:line="24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the Company and the Sanofi defendants filed an emergency motion for stay of the permanent injunction pending appeal with the U.S. Court of Appeals for the Federal Circuit; and, on February 8, 2017, the court granted the stay pending appeal.</w:t>
      </w:r>
    </w:p>
    <w:p>
      <w:pPr>
        <w:spacing w:after="0" w:line="22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19"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0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is currently scheduled for October 19, 2017.</w:t>
      </w:r>
    </w:p>
    <w:p>
      <w:pPr>
        <w:spacing w:after="0" w:line="24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and Sanofi Winthrop Industrie.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Oral hearing on this infringement lawsuit is currently scheduled for June 29, 2018.</w:t>
      </w:r>
    </w:p>
    <w:p>
      <w:pPr>
        <w:spacing w:after="0" w:line="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'124 Patent is also subject to opposition proceedings in the European Patent Office seeking to invalidate certain of its claims, which were initiated by the Company on November 24, 2016.</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complaint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United States Patent and Trademark Office seeking a declaration of invalidity of the '487 Patent.</w:t>
      </w:r>
    </w:p>
    <w:p>
      <w:pPr>
        <w:spacing w:after="0" w:line="224"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On April 5, 2017, Immunex Corporation filed a complaint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1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 On August 16, 2016, the court heard oral argument on defendants' motion to dismiss.</w:t>
      </w:r>
    </w:p>
    <w:p>
      <w:pPr>
        <w:spacing w:after="0" w:line="23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Recently Issued Accounting Standards</w:t>
      </w:r>
    </w:p>
    <w:p>
      <w:pPr>
        <w:spacing w:after="0" w:line="28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In May 2014, the FASB issued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The Company does not expect the new standard to have a material impact on the recognition of revenue from product sales. However, the Company continues to evaluate the impact that this guidance will have on its financial statements in connection with collaboration and license agreements.</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an entity's net income; however,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1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 is not currently able to estimate the impact of adopting these amendments, as the significance of the impact will depend on the Company's equity investment balance upon adoption.</w:t>
      </w:r>
    </w:p>
    <w:p>
      <w:pPr>
        <w:spacing w:after="0" w:line="22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requires a lessee to recognize in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The Company is evaluating the impact that this guidance will have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19"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REGN2810, fasinumab, and suptavumab;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Kevzara (sarilumab), Dupixent (dupilumab), REGN2810, fasinumab, and suptavumab; ongoing regulatory obligations and oversight impacting our marketed products (such as EYLEA, Praluent, and Dupixent),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Praluent and Dupixent described further in Part II, Item 1. "Legal Proceedings" of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atopic dermatitis, and a rare inflammatory condition and have product candidates in development in other areas of high unmet medical need, including rheumatoid arthritis (RA), asthma, pain, cancer, and infectious diseases.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total revenues were $1,319.0 million in the first quarter of 2017, compared to $1,200.8 million in the first quarter of 2016. Our net income was $248.9 million, or $2.16 per diluted share, in the first quarter of 2017, compared to net income of $181.4 million, or $1.59 per diluted share, in the first quarter of 2016. Refer to the "Results of Operations" section below for further details of our financial results.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75"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which is available in the United States, European Union</w:t>
      </w:r>
      <w:r>
        <w:rPr>
          <w:rFonts w:ascii="Arial" w:cs="Arial" w:eastAsia="Arial" w:hAnsi="Arial"/>
          <w:sz w:val="17"/>
          <w:szCs w:val="17"/>
          <w:b w:val="1"/>
          <w:bCs w:val="1"/>
          <w:color w:val="auto"/>
        </w:rPr>
        <w:t xml:space="preserve"> </w:t>
      </w:r>
      <w:r>
        <w:rPr>
          <w:rFonts w:ascii="Arial" w:cs="Arial" w:eastAsia="Arial" w:hAnsi="Arial"/>
          <w:sz w:val="17"/>
          <w:szCs w:val="17"/>
          <w:color w:val="auto"/>
        </w:rPr>
        <w:t>(EU), 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We are collaborating with Bayer on the development and commercialization of EYLEA outside the United States.</w:t>
      </w:r>
    </w:p>
    <w:p>
      <w:pPr>
        <w:spacing w:after="0" w:line="64"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Praluent (alirocumab) Injection</w:t>
      </w:r>
      <w:r>
        <w:rPr>
          <w:rFonts w:ascii="Arial" w:cs="Arial" w:eastAsia="Arial" w:hAnsi="Arial"/>
          <w:sz w:val="16"/>
          <w:szCs w:val="16"/>
          <w:color w:val="auto"/>
        </w:rPr>
        <w:t>, which is available in the United States where it is indicated as an adjunct to diet and maximally tolerated statin</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(heterozygous familial hypercholesterolemia (HeFH) and non-familial) or mixed dyslipidemia as an adjunct to diet:</w:t>
      </w:r>
    </w:p>
    <w:p>
      <w:pPr>
        <w:spacing w:after="0" w:line="2" w:lineRule="exact"/>
        <w:rPr>
          <w:rFonts w:ascii="Arial" w:cs="Arial" w:eastAsia="Arial" w:hAnsi="Arial"/>
          <w:sz w:val="16"/>
          <w:szCs w:val="16"/>
          <w:color w:val="auto"/>
        </w:rPr>
      </w:pPr>
    </w:p>
    <w:p>
      <w:pPr>
        <w:jc w:val="both"/>
        <w:ind w:left="660" w:hanging="4"/>
        <w:spacing w:after="0" w:line="290" w:lineRule="auto"/>
        <w:tabs>
          <w:tab w:leader="none" w:pos="937"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and in Japan for the treatment of uncontrolled LDL cholesterol, in certain adult patients with hypercholesterolemia at high cardiovascular risk. The effect of Praluent on cardiovascular morbidity and mortality has not been determined. We are collaborating with Sanofi on the global development and commercialization of Praluent. See Part II, Item 1. "Legal Proceedings" for information regarding the patent infringement proceedings relating to Praluent, which may impact Praluent's commercial availability in the United States and other jurisdictions.</w:t>
      </w:r>
    </w:p>
    <w:p>
      <w:pPr>
        <w:spacing w:after="0" w:line="52" w:lineRule="exact"/>
        <w:rPr>
          <w:rFonts w:ascii="Arial" w:cs="Arial" w:eastAsia="Arial" w:hAnsi="Arial"/>
          <w:sz w:val="16"/>
          <w:szCs w:val="16"/>
          <w:color w:val="auto"/>
        </w:rPr>
      </w:pPr>
    </w:p>
    <w:p>
      <w:pPr>
        <w:jc w:val="both"/>
        <w:ind w:left="660" w:hanging="328"/>
        <w:spacing w:after="0" w:line="22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89" w:lineRule="exact"/>
        <w:rPr>
          <w:rFonts w:ascii="Arial" w:cs="Arial" w:eastAsia="Arial" w:hAnsi="Arial"/>
          <w:sz w:val="18"/>
          <w:szCs w:val="18"/>
          <w:color w:val="auto"/>
        </w:rPr>
      </w:pPr>
    </w:p>
    <w:p>
      <w:pPr>
        <w:jc w:val="both"/>
        <w:ind w:left="660" w:right="2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Kevzara (sarilumab) Solution for Subcutaneous Injection</w:t>
      </w:r>
      <w:r>
        <w:rPr>
          <w:rFonts w:ascii="Arial" w:cs="Arial" w:eastAsia="Arial" w:hAnsi="Arial"/>
          <w:sz w:val="18"/>
          <w:szCs w:val="18"/>
          <w:color w:val="auto"/>
        </w:rPr>
        <w:t>. In January 2017, Health Canada approved Kevzara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moderately to severely active rheumatoid arthritis who have an inadequate response to or intolerance to one or more biologic or non-biologic disease modifying anti-rheumatic drugs (DMARDs). This is the first approval of Kevzara worldwide.</w:t>
      </w:r>
    </w:p>
    <w:p>
      <w:pPr>
        <w:spacing w:after="0" w:line="68"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Dupixent (dupilumab) Injection. </w:t>
      </w:r>
      <w:r>
        <w:rPr>
          <w:rFonts w:ascii="Arial" w:cs="Arial" w:eastAsia="Arial" w:hAnsi="Arial"/>
          <w:sz w:val="18"/>
          <w:szCs w:val="18"/>
          <w:color w:val="auto"/>
        </w:rPr>
        <w:t>In March 2017, the U.S. Food and Drug Administration (FDA) approved Dupixent for the treatment of adult</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moderate-to-severe atopic dermatitis whose disease is not adequately controlled with topical prescription therapies or when those therapies are not advisable.</w:t>
      </w:r>
    </w:p>
    <w:p>
      <w:pPr>
        <w:spacing w:after="0" w:line="68"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ZALTRAP</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(ziv-aflibercept) Injection for Intravenous Infusion</w:t>
      </w:r>
      <w:r>
        <w:rPr>
          <w:rFonts w:ascii="Arial" w:cs="Arial" w:eastAsia="Arial" w:hAnsi="Arial"/>
          <w:sz w:val="18"/>
          <w:szCs w:val="18"/>
          <w:color w:val="auto"/>
        </w:rPr>
        <w:t>, known in the scientific literature as VEGF Trap, which is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Sanofi is solely responsible for the development and commercialization of ZALTRAP, and Sanofi pays us a percentage of aggregate net sales of ZALTRAP.</w:t>
      </w:r>
    </w:p>
    <w:p>
      <w:pPr>
        <w:spacing w:after="0" w:line="25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8"/>
          <w:szCs w:val="18"/>
          <w:color w:val="auto"/>
        </w:rPr>
        <w:t xml:space="preserve">We have 16 product candidates in clinical development, all of which were discovered in our research laboratories. These consist of a Trap-based clinical program and 15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180340</wp:posOffset>
            </wp:positionV>
            <wp:extent cx="71437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Trap-based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120" w:right="420"/>
        <w:spacing w:after="0" w:line="264" w:lineRule="auto"/>
        <w:rPr>
          <w:sz w:val="20"/>
          <w:szCs w:val="20"/>
          <w:color w:val="auto"/>
        </w:rPr>
      </w:pPr>
      <w:r>
        <w:rPr>
          <w:rFonts w:ascii="Arial" w:cs="Arial" w:eastAsia="Arial" w:hAnsi="Arial"/>
          <w:sz w:val="18"/>
          <w:szCs w:val="18"/>
          <w:color w:val="auto"/>
        </w:rPr>
        <w:t>Phase 3 study for the treatment of Neovascular Glaucoma (NVG) (in Japan) was completed in 2016 (in collaboration with Bayer). In Phase 3 clinical development for the treatment of non-proliferative diabetic retinopathy (NPDR) in patients without DME. As described below, aflibercept is also being studied in combination with nesvacumab, an antibody to angiopoietin-2 (Ang2).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455295</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Praluent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Kevzara (sarilumab/REGN88)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Antibody to the interleukin-6 receptor (IL-6R). In clinical development in rheumatoid arthritis (Phase 3) and Polyarticular-course Juvenile Idiopathic Arthritis (pcJIA) (Phase 2).</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Dupixent (dupilumab/REGN668)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Antibody to the interleukin-4 receptor (IL-4R) alpha subunit. In clinical development in atopic dermatitis in adults (Phase 3), atopic dermatitis in pediatric patients ages 6 to 11 (Phase 2), asthma in adults and adolescents (Phase 3), nasal polyps (Phase 3), and eosinophilic esophagitis (EoE) (Phase 2). Phase 3 study in atopic dermatitis in adolescents (12-17 years of age) initiated in the first quarter of 2017. Phase 3 study in asthma in pediatrics (6-11 years of age) initiated in the second quarter of 2017.</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120" w:right="320"/>
        <w:spacing w:after="0" w:line="264" w:lineRule="auto"/>
        <w:rPr>
          <w:sz w:val="20"/>
          <w:szCs w:val="20"/>
          <w:color w:val="auto"/>
        </w:rPr>
      </w:pPr>
      <w:r>
        <w:rPr>
          <w:rFonts w:ascii="Arial" w:cs="Arial" w:eastAsia="Arial" w:hAnsi="Arial"/>
          <w:sz w:val="18"/>
          <w:szCs w:val="18"/>
          <w:color w:val="auto"/>
        </w:rPr>
        <w:t>Antibody to programmed cell death protein 1 (PD-1). In clinical development in solid tumors and advanced hematologic malignancies (Phase 1) and advanced cutaneous squamous cell carcinoma (potentially pivotal Phase 2). REGN2810 is also being studied in combination with other antibodies and treatments.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Antibody to interleukin-33 receptor (IL-33) being developed for inflammatory diseases. In Phase 1 clinical development in healthy volunteers. Phase 1 study in patients with asthma initiated in the first quarter of 2017.</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Antibody to Lymphocyte Activation Gene 3 (LAG-3) protein. In Phase 1 clinical development (administered alone or in combination with REGN2810) in advanced malignancies.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ind w:left="120" w:right="80"/>
        <w:spacing w:after="0" w:line="254"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In Phase 2 clinical development for the treatment of wet AMD and DME. Fast track designation received from the FDA for the treatment of patients with wet AMD, DME, and diabetic retinopathy.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 in Collaboration with Teva and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120" w:right="400"/>
        <w:spacing w:after="0" w:line="259" w:lineRule="auto"/>
        <w:rPr>
          <w:sz w:val="20"/>
          <w:szCs w:val="20"/>
          <w:color w:val="auto"/>
        </w:rPr>
      </w:pPr>
      <w:r>
        <w:rPr>
          <w:rFonts w:ascii="Arial" w:cs="Arial" w:eastAsia="Arial" w:hAnsi="Arial"/>
          <w:sz w:val="18"/>
          <w:szCs w:val="18"/>
          <w:color w:val="auto"/>
        </w:rPr>
        <w:t>Antibody to Nerve Growth Factor (NGF). In Phase 3 clinical development in osteoarthritis of knee and hip. Phase 2b study for chronic low back pain initiated in the first quarter of 2016, and placed on clinical hold by the FDA in October 2016.</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Suptavumab (REGN2222)</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8"/>
          <w:szCs w:val="18"/>
          <w:color w:val="auto"/>
        </w:rPr>
        <w:t>Antibody to the Respiratory Syncytial Virus-F (RSV-F) protein. In Phase 3 clinical development for prevention of RSV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ind w:left="120" w:right="340"/>
        <w:spacing w:after="0" w:line="254" w:lineRule="auto"/>
        <w:rPr>
          <w:sz w:val="20"/>
          <w:szCs w:val="20"/>
          <w:color w:val="auto"/>
        </w:rPr>
      </w:pPr>
      <w:r>
        <w:rPr>
          <w:rFonts w:ascii="Arial" w:cs="Arial" w:eastAsia="Arial" w:hAnsi="Arial"/>
          <w:sz w:val="18"/>
          <w:szCs w:val="18"/>
          <w:color w:val="auto"/>
        </w:rPr>
        <w:t>Antibody to Angptl-3. In Phase 2 clinical development for the treatment of homozygous familial hypercholesterolemia (HoFH) and severe forms of hyperlipidemia. FDA granted orphan drug designation for the treatment of HoFH. In the first quarter of 2017, the FDA granted Breakthrough Therapy designation for the treatment of hypercholesterolemia in patients with HoFH.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Trevogrumab (REGN1033)</w:t>
      </w:r>
      <w:r>
        <w:rPr>
          <w:rFonts w:ascii="Arial" w:cs="Arial" w:eastAsia="Arial" w:hAnsi="Arial"/>
          <w:sz w:val="25"/>
          <w:szCs w:val="25"/>
          <w:b w:val="1"/>
          <w:bCs w:val="1"/>
          <w:i w:val="1"/>
          <w:iCs w:val="1"/>
          <w:color w:val="auto"/>
          <w:vertAlign w:val="superscript"/>
        </w:rPr>
        <w:t>*</w:t>
      </w:r>
    </w:p>
    <w:p>
      <w:pPr>
        <w:ind w:left="120"/>
        <w:spacing w:after="0" w:line="259" w:lineRule="auto"/>
        <w:rPr>
          <w:sz w:val="20"/>
          <w:szCs w:val="20"/>
          <w:color w:val="auto"/>
        </w:rPr>
      </w:pPr>
      <w:r>
        <w:rPr>
          <w:rFonts w:ascii="Arial" w:cs="Arial" w:eastAsia="Arial" w:hAnsi="Arial"/>
          <w:sz w:val="18"/>
          <w:szCs w:val="18"/>
          <w:color w:val="auto"/>
        </w:rPr>
        <w:t>Antibody to myostatin (GDF8). Phase 2 monotherapy study in patients with sarcopenia completed. In Phase 1 in combination with REGN2477 for muscle-wasting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wp:posOffset>
            </wp:positionV>
            <wp:extent cx="71437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Feld1. In Phase 1 clinical development for the treatment of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29210</wp:posOffset>
            </wp:positionV>
            <wp:extent cx="71437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Bispecific antibody against CD20 and CD3. In Phase 1 clinical development for Non-Hodgkin's Lymphoma, Chronic Lymphocytic Leukemia, and Acute Lymphoblastic Leukemia. REGN1979 is also being studied in combination with REGN2810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REGN3470-3471-3479</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8"/>
          <w:szCs w:val="18"/>
          <w:color w:val="auto"/>
        </w:rPr>
        <w:t>Antibody to Ebola virus. In Phase 1 clinical development. FDA granted orphan drug designation for the treatment of Ebola virus infection.</w:t>
      </w:r>
    </w:p>
    <w:p>
      <w:pPr>
        <w:sectPr>
          <w:pgSz w:w="11900" w:h="16838" w:orient="portrait"/>
          <w:cols w:equalWidth="0" w:num="1">
            <w:col w:w="11280"/>
          </w:cols>
          <w:pgMar w:left="24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240" w:top="130"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455295</wp:posOffset>
            </wp:positionV>
            <wp:extent cx="71437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Antibody-based Clinical Programs Developing Independently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REGN2477</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Antibody to Activin A being developed for Fibrodysplasia Ossificans Progressiva (FOP). FDA granted orphan drug designation for the treatment of FOP.</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Phase 1 clinical development in combination with trevogrumab for muscle-wasting diseases.</w:t>
      </w:r>
    </w:p>
    <w:p>
      <w:pPr>
        <w:spacing w:after="0" w:line="200" w:lineRule="exact"/>
        <w:rPr>
          <w:sz w:val="20"/>
          <w:szCs w:val="20"/>
          <w:color w:val="auto"/>
        </w:rPr>
      </w:pPr>
    </w:p>
    <w:p>
      <w:pPr>
        <w:spacing w:after="0" w:line="304" w:lineRule="exact"/>
        <w:rPr>
          <w:sz w:val="20"/>
          <w:szCs w:val="20"/>
          <w:color w:val="auto"/>
        </w:rPr>
      </w:pPr>
    </w:p>
    <w:p>
      <w:pPr>
        <w:ind w:left="40" w:right="280" w:firstLine="9"/>
        <w:spacing w:after="0" w:line="253" w:lineRule="auto"/>
        <w:tabs>
          <w:tab w:leader="none" w:pos="121" w:val="left"/>
        </w:tabs>
        <w:numPr>
          <w:ilvl w:val="0"/>
          <w:numId w:val="4"/>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2" w:lineRule="exact"/>
        <w:rPr>
          <w:sz w:val="20"/>
          <w:szCs w:val="20"/>
          <w:color w:val="auto"/>
        </w:rPr>
      </w:pPr>
    </w:p>
    <w:p>
      <w:pPr>
        <w:ind w:left="40" w:right="180" w:firstLine="9"/>
        <w:spacing w:after="0" w:line="253" w:lineRule="auto"/>
        <w:tabs>
          <w:tab w:leader="none" w:pos="158" w:val="left"/>
        </w:tabs>
        <w:numPr>
          <w:ilvl w:val="0"/>
          <w:numId w:val="5"/>
        </w:numPr>
        <w:rPr>
          <w:rFonts w:ascii="Arial" w:cs="Arial" w:eastAsia="Arial" w:hAnsi="Arial"/>
          <w:sz w:val="9"/>
          <w:szCs w:val="9"/>
          <w:color w:val="auto"/>
        </w:rPr>
      </w:pPr>
      <w:r>
        <w:rPr>
          <w:rFonts w:ascii="Arial" w:cs="Arial" w:eastAsia="Arial" w:hAnsi="Arial"/>
          <w:sz w:val="14"/>
          <w:szCs w:val="14"/>
          <w:color w:val="auto"/>
        </w:rPr>
        <w:t>Antibodies targeting the Ang2 receptor and ligand in ophthalmology were previously included in our antibody collaboration with Sanofi. Under the terms of our agreement, Sanofi is entitled to receive royalties on any future global sales of the product candidate and a potential development milestone.</w:t>
      </w:r>
    </w:p>
    <w:p>
      <w:pPr>
        <w:spacing w:after="0" w:line="11" w:lineRule="exact"/>
        <w:rPr>
          <w:rFonts w:ascii="Arial" w:cs="Arial" w:eastAsia="Arial" w:hAnsi="Arial"/>
          <w:sz w:val="9"/>
          <w:szCs w:val="9"/>
          <w:color w:val="auto"/>
        </w:rPr>
      </w:pPr>
    </w:p>
    <w:p>
      <w:pPr>
        <w:ind w:left="40" w:right="60" w:firstLine="9"/>
        <w:spacing w:after="0" w:line="238" w:lineRule="auto"/>
        <w:tabs>
          <w:tab w:leader="none" w:pos="211" w:val="left"/>
        </w:tabs>
        <w:numPr>
          <w:ilvl w:val="0"/>
          <w:numId w:val="6"/>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In 2015, we and the Biomedical Advanced Research Development Authority (BARDA) of the U.S. Department of Health and Human Services (HHS) entered into an agreement whereby HHS provides certain funding to support research, development, and manufacturing of a monoclonal antibody therapy for the treatment of Ebola virus infection.</w:t>
      </w: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approved EYLEA for the treatment of wet AMD in 2011, macular edema following CRVO in 2012, DME and macular edema following RVO in 2014, and diabetic retinopathy in patients with DME in 2015. Outside the United States, EYLEA was approved for the treatment of wet AMD in 2012, macular edema secondary to CRVO in 2013, and visual impairment due to DME and mCNV (in Japan) in 2014. In 2015, the European Commission and the Japanese Ministry of Health, Labour and Welfare (MHLW) approved EYLEA for the treatment of macular edema following RVO, which includes macular edema following BRVO. In addition, the European Commission approved EYLEA for the treatment of visual impairment due to mCNV in 2015. Bayer has additional regulatory applications for EYLEA for various indications pending in other countries, including EYLEA for the treatment of wet AMD in China.</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of EYLEA in the United States were $854.4 million in the first quarter of 2017, compared to $780.9 million in the first quarter of 2016. Bayer records net product sales of EYLEA outside the United States, which were $483.9 million in the first quarter of 2017, compared to $418.9 million in the first quarter of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Injection</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2015, the FDA approved Praluent as an adjunct to diet and maximally tolerated statin therapy for the treatment of adults with heterozygous familial hypercholesterolemia or clinical ASCVD, who require additional lowering of LDL cholesterol. Also in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2016, the Japanese Ministry of Health, Labour and Welfare (MHLW) granted marketing and manufacturing authorization for Praluent for the treatment of uncontrolled LDL cholesterol, in certain adult patients with hypercholesterolemia at high cardiovascular risk. Also in 2016, the European Commission approved a Praluent dosing regimen of 300 milligrams (mg) every 4 weeks. In April 2017, the FDA approved the supplemental Biologics License Application (sBLA) for a once-monthly (every four weeks), 300 mg dose of Praluent. The effect of Praluent on cardiovascular morbidity and mortality has not been determined. We are collaborating with Sanofi on the global development and commercialization of Praluent. See Part II, Item 1. "Legal Proceedings" for information regarding the patent infringement proceedings relating to Praluent, which may impact Praluent's commercial availability in the United States and other jurisdictions.</w:t>
      </w:r>
    </w:p>
    <w:p>
      <w:pPr>
        <w:spacing w:after="0" w:line="23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our antibody collaboration agreement, Sanofi records product sales and cost of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 In the first quarter of 2017, net product sales of Praluent in the United States were $25.4 million and net product sales of Praluent outside of the United States were $10.5 million. In the first quarter of 2016, net product sales of Praluent in the United States were $9.8 million and net product sales of Praluent outside of the United States were $3.2 million.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product sales of ARCALYST were $3.8 million in the first quarter of 2017, compared to $3.3 million in the first quarter of 2016.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Kevzara (sarilumab) Injection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January 2017, Health Canada approved Kevzara for the treatment of adult patients with moderately to severely active rheumatoid arthritis who have had an inadequate response or intolerance to one or more biologic or non-biologic DMARDs. Sanofi records product sales and cost of sales for Kevzara, and we and Sanofi share profits and losses from sales of Kevzara.</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March 2017, we and Sanofi resubmitted the BLA for Kevzara, which the FDA has accepted for review with a target action date of May 22, 2017. In April 2017, the European Medicine Agency's Committee for Medicinal Products for Human Use (CHMP) adopted a positive opinion for the marketing authorization of Kevzara, recommending its approval for use in adult patients with moderately to severely active rheumatoid arthritis. Sanofi has additional regulatory applications for Kevzara for RA pending in other countries. We have exercised our option to co-promote Kevzara (sarilumab) in the United States and thus far have not exercised our option to co-promote Kevzara (sarilumab) outside the United States.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 Injection</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28, 2017, the FDA approved Dupixent for the treatment of adult patients with moderate-to-severe atopic dermatitis whose disease is not adequately controlled with topical prescription therapies, or when those therapies are not advisable. The launch of Dupixent commenced in March following the FDA approval. Sanofi records product sales and cost of sales for Dupixent, and we and Sanofi share profits and losses from sales of Dupixent. We have exercised our option to co-promote Dupixent (dupilumab) in the United States and thus far have not exercised our option to co-promote Dupixent (dupilumab) outside the United States.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Sanofi has additional regulatory applications for Dupixent for use in adult patients with atopic dermatitis pending in other countries.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Ophthalmologic Diseases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 NVG meets the criteria for an orphan indication in Japan where the estimated number of NVG patients is 30,000 to 40,000.</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There is currently no standard treatment for non-proliferative diabetic retinopathy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2016, a Phase 3 trial (PANORAMA) was initiated to assess the efficacy and safety of intravitreal aflibercept in patients with moderately severe to severe NPDR without DME.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Combination Product with Nesvacumab</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two Phase 2 studies, RUBY (for the treatment of DME) and ONYX (for the treatment of wet AMD), were initiated. Both studies are investigating nesvacumab, an antibody to Ang2 co-formulated with aflibercept, as a single, intravitreal injection. Efficacy and safety data from both the RUBY and ONYX studies will be analyzed through week 36.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3 ODYSSEY Program</w:t>
      </w:r>
      <w:r>
        <w:rPr>
          <w:rFonts w:ascii="Arial" w:cs="Arial" w:eastAsia="Arial" w:hAnsi="Arial"/>
          <w:sz w:val="17"/>
          <w:szCs w:val="17"/>
          <w:color w:val="auto"/>
        </w:rPr>
        <w:t>. The potential of Praluent to demonstrate cardiovascular benefit is being prospectively assessed in the ongoing 18,000-patient</w:t>
      </w:r>
      <w:r>
        <w:rPr>
          <w:rFonts w:ascii="Arial" w:cs="Arial" w:eastAsia="Arial" w:hAnsi="Arial"/>
          <w:sz w:val="17"/>
          <w:szCs w:val="17"/>
          <w:i w:val="1"/>
          <w:iCs w:val="1"/>
          <w:color w:val="auto"/>
        </w:rPr>
        <w:t xml:space="preserve"> </w:t>
      </w:r>
      <w:r>
        <w:rPr>
          <w:rFonts w:ascii="Arial" w:cs="Arial" w:eastAsia="Arial" w:hAnsi="Arial"/>
          <w:sz w:val="17"/>
          <w:szCs w:val="17"/>
          <w:color w:val="auto"/>
        </w:rPr>
        <w:t>ODYSSEY OUTCOMES trial, which is fully enrolled and is expected to be completed in 2017. All patients who entered the ODYSSEY OUTCOMES trial had experienced a heart attack or unstable angina requiring hospitalization within the previous year before entering the trial, and experienced inadequately controlled LDL cholesterol despite receiving maximally-tolerated statins and potentially other lipid-lowering therapies. In 2016, an independent Data Monitoring Committee (DMC) of the ODYSSEY OUTCOMES study completed the first and second interim analyses. Based on the recommendation of the independent DMC, the ODYSSEY OUTCOMES trial continues as planned. Regeneron remains blinded to the actual results of the first and second interim analyses, and the DMC will continue to monitor the ongoing safety and efficacy of Praluent as planned.</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2016, as a post-marketing commitment to the FDA, a Phase 4 randomized, placebo-controlled, long-term trial that prospectively evaluates the effect of Praluent on neurocognitive function was initiated.</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Kevzara (sarilumab/REGN88;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Phase 3 Program</w:t>
      </w:r>
      <w:r>
        <w:rPr>
          <w:rFonts w:ascii="Arial" w:cs="Arial" w:eastAsia="Arial" w:hAnsi="Arial"/>
          <w:sz w:val="17"/>
          <w:szCs w:val="17"/>
          <w:color w:val="auto"/>
        </w:rPr>
        <w:t>. Based on positive results from the Phase 3 studies of Kevzara in adult patients with active RA, we and Sanofi submitted a BLA for U.S.</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approval of Kevzara, which was accepted for review by the FDA in December 2015. The target date for an FDA decision on the BLA was October 30, 2016. However, on October 28, 2016, we and Sanofi announced that the FDA issued a Complete Response Letter (CRL) regarding the BLA for Kevzara due to certain deficiencies relating to the Sanofi facility in Le Trait, France. The FDA subsequently reclassified the Sanofi Le Trait fill-and-finish facility as "acceptable" based on review of responses to an FDA Form 483, as well as proposed corrective actions. In March 2017, we and Sanofi resubmitted the BLA for Kevzara, which the FDA has accepted for review with a target action date of May 22, 2017.</w:t>
      </w:r>
    </w:p>
    <w:p>
      <w:pPr>
        <w:spacing w:after="0" w:line="23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July 2016, the European Medicines Agency (EMA) accepted for review the Marketing Authorization Application (MAA) for Kevzara, and in April 2017, the CHMP adopted a positive opinion for the marketing authorization of Kevzara, recommending its approval for use in adult patients with moderately to severely active rheumatoid arthritis. In addition, in October 2016, an application for marketing approval for Kevzara was submitted in Japan.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SARIL-NIU-SATURN was a small Phase 2, randomized double-masked, placebo-controlled study (n=58)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assess the effect of sarilumab on non-infectious uveitis of the posterior ocular segment. Based on the results of this study, no further development is currently planned in this indication.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Polyarticular-course Juvenile Idiopathic Arthritis (pcJIA)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pcJIA Study</w:t>
      </w:r>
      <w:r>
        <w:rPr>
          <w:rFonts w:ascii="Arial" w:cs="Arial" w:eastAsia="Arial" w:hAnsi="Arial"/>
          <w:sz w:val="18"/>
          <w:szCs w:val="18"/>
          <w:color w:val="auto"/>
        </w:rPr>
        <w:t>. A Phase 2 study of sarilumab in pcJIA was initiated in 2016.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Phase 3 Program</w:t>
      </w:r>
      <w:r>
        <w:rPr>
          <w:rFonts w:ascii="Arial" w:cs="Arial" w:eastAsia="Arial" w:hAnsi="Arial"/>
          <w:sz w:val="18"/>
          <w:szCs w:val="18"/>
          <w:color w:val="auto"/>
        </w:rPr>
        <w:t>. The LIBERTY AD Phase 3 clinical program consisted of five trials of patients with moderate-to-severe atopic dermatitis at sites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Patients from the LIBERTY AD CHRONOS, LIBERTY AD SOLO 1, and LIBERTY AD SOLO 2 studies were transitioned to either the LIBERTY CONTINUE or LIBERTY AD Open label Extension trials.</w:t>
      </w:r>
    </w:p>
    <w:p>
      <w:pPr>
        <w:spacing w:after="0" w:line="2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December 2016, the EMA accepted for review the MAA for Dupixent for the treatment of adults with moderate-to-severe atopic dermatitis who are candidates for systemic therapy. In 2015, the United Kingdom (UK) Medicines &amp; Healthcare products Regulatory Agency (MHRA) granted Promising Innovative Medicine (PIM) Designation to Dupixent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Dupixent in advance of formal regulatory approval. In addition, in the first quarter of 2017, an application for marketing approval for Dupixent was submitted in Japan.</w:t>
      </w:r>
    </w:p>
    <w:p>
      <w:pPr>
        <w:spacing w:after="0" w:line="24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2016, the Phase 3 LIBERTY AD CAFÉ study of Dupixent in severe atopic dermatitis was initiated, investigating two dose regimens of Dupixent (300 mg weekly and 300 mg every two weeks) with concomitant topical corticosteroids in adult patients with severe atopic dermatitis who are not adequately controlled with, or are intolerant to or ineligible for, oral cyclosporine A therapy. The primary endpoint of this study is the proportion of patients with a 75% or greater improvement from baseline in their EASI score. In April 2017, we and Sanofi announced that the results of the LIBERTY AD CAFÉ study were positive and demonstrated an acceptable safety profile. These results will be submitted to the EMA and presented at an upcoming medical conference.</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at the Annual Meeting of the American Academy of Dermatology, we and Sanofi presented additional detailed results from the Phase 3 LIBERTY AD CHRONOS study. This study met its primary and secondary endpoints, with patients receiving Dupixent with topical corticosteroids (TCS) achieving significantly improved measures of overall disease severity at 16 and 52 weeks, compared to TCS alone in adults with uncontrolled moderate-to-severe atopic dermatitis.</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Phase 3 Study in Adolescent Patients. </w:t>
      </w:r>
      <w:r>
        <w:rPr>
          <w:rFonts w:ascii="Arial" w:cs="Arial" w:eastAsia="Arial" w:hAnsi="Arial"/>
          <w:sz w:val="18"/>
          <w:szCs w:val="18"/>
          <w:color w:val="auto"/>
        </w:rPr>
        <w:t>In the first quarter of 2017, a Phase 3 study in adolescent patients (12-17 years of age) with moderate-to-severe</w:t>
      </w:r>
      <w:r>
        <w:rPr>
          <w:rFonts w:ascii="Arial" w:cs="Arial" w:eastAsia="Arial" w:hAnsi="Arial"/>
          <w:sz w:val="18"/>
          <w:szCs w:val="18"/>
          <w:i w:val="1"/>
          <w:iCs w:val="1"/>
          <w:color w:val="auto"/>
        </w:rPr>
        <w:t xml:space="preserve"> </w:t>
      </w:r>
      <w:r>
        <w:rPr>
          <w:rFonts w:ascii="Arial" w:cs="Arial" w:eastAsia="Arial" w:hAnsi="Arial"/>
          <w:sz w:val="18"/>
          <w:szCs w:val="18"/>
          <w:color w:val="auto"/>
        </w:rPr>
        <w:t>atopic dermatitis was initiated.</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the FDA granted Breakthrough Therapy designation for dupilumab for the treatment of moderate to severe (12 to less than 18 years of age) and severe (6 months to less than 12 years of age) atopic dermatitis in patients who are not adequately controlled with, or who are intolerant to, topical medication.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A Phase 3 trial, LIBERTY ASTHMA QUEST, in adult and adolescent patients with uncontrolled persistent asthma is fully enrolled.</w:t>
      </w:r>
      <w:r>
        <w:rPr>
          <w:rFonts w:ascii="Arial" w:cs="Arial" w:eastAsia="Arial" w:hAnsi="Arial"/>
          <w:sz w:val="16"/>
          <w:szCs w:val="16"/>
          <w:i w:val="1"/>
          <w:iCs w:val="1"/>
          <w:color w:val="auto"/>
        </w:rPr>
        <w:t xml:space="preserve"> </w:t>
      </w:r>
      <w:r>
        <w:rPr>
          <w:rFonts w:ascii="Arial" w:cs="Arial" w:eastAsia="Arial" w:hAnsi="Arial"/>
          <w:sz w:val="16"/>
          <w:szCs w:val="16"/>
          <w:color w:val="auto"/>
        </w:rPr>
        <w:t>LIBERTY ASTHMA QUEST is expected to serve as the second required pivotal efficacy study, since, based on discussions with the FDA, the Phase 2b study will also be considered a pivotal efficacy study. LIBERTY ASTHMA QUEST is a global, placebo-controlled Phase 3 study that enrolled more than 1,900 patients with uncontrolled persistent asthma and is evaluating two doses of dupilumab, 200 mg and 300 mg, subcutaneously administered every other week.</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Study in Pediatric Patients. </w:t>
      </w:r>
      <w:r>
        <w:rPr>
          <w:rFonts w:ascii="Arial" w:cs="Arial" w:eastAsia="Arial" w:hAnsi="Arial"/>
          <w:sz w:val="18"/>
          <w:szCs w:val="18"/>
          <w:color w:val="auto"/>
        </w:rPr>
        <w:t>In the second quarter of 2017, a Phase 3 study in pediatric patients (6-11 years of age) with uncontrolled persistent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was initiated.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study, LIBERTY NP SINUS, in adult patients with bilateral nasal polyps on a background therapy with intranasal corticosteroids</w:t>
      </w:r>
      <w:r>
        <w:rPr>
          <w:rFonts w:ascii="Arial" w:cs="Arial" w:eastAsia="Arial" w:hAnsi="Arial"/>
          <w:sz w:val="18"/>
          <w:szCs w:val="18"/>
          <w:i w:val="1"/>
          <w:iCs w:val="1"/>
          <w:color w:val="auto"/>
        </w:rPr>
        <w:t xml:space="preserve"> </w:t>
      </w:r>
      <w:r>
        <w:rPr>
          <w:rFonts w:ascii="Arial" w:cs="Arial" w:eastAsia="Arial" w:hAnsi="Arial"/>
          <w:sz w:val="18"/>
          <w:szCs w:val="18"/>
          <w:color w:val="auto"/>
        </w:rPr>
        <w:t>was initiated in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EoE is a chronic allergic inflammatory disease that is considered a major cause of gastrointestinal illness. Eosinophils are a type of white</w:t>
      </w:r>
      <w:r>
        <w:rPr>
          <w:rFonts w:ascii="Arial" w:cs="Arial" w:eastAsia="Arial" w:hAnsi="Arial"/>
          <w:sz w:val="18"/>
          <w:szCs w:val="18"/>
          <w:i w:val="1"/>
          <w:iCs w:val="1"/>
          <w:color w:val="auto"/>
        </w:rPr>
        <w:t xml:space="preserve"> </w:t>
      </w:r>
      <w:r>
        <w:rPr>
          <w:rFonts w:ascii="Arial" w:cs="Arial" w:eastAsia="Arial" w:hAnsi="Arial"/>
          <w:sz w:val="18"/>
          <w:szCs w:val="18"/>
          <w:color w:val="auto"/>
        </w:rPr>
        <w:t>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10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recently completed a positive primary analysis from a Phase 2 proof-of-concept study of dupilumab in patients with active, moderate-to-severe EoE. Detailed data from this study will be presented at an upcoming medical conference. We and Sanofi plan to meet with the FDA and other regulators to determine next steps for development of dupilumab in this indication.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Suptavumab (REGN2222; RSV-F Antibody) for RSV</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Suptavumab is a fully human monoclonal antibody to the RSV-F protein. Suptavumab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Phase 3 study of suptavumab (NURSERY Pre-Term) was initiated in 2015. The study finished enrolling patients in the first quarter of 2017 subsequent to the completion of the Northern Hemisphere RSV season; final enrollment was approximately 1,200 patients.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2015, the FDA granted Fast Track designation to suptavumab for the prevention of serious lower respiratory tract disease caused by RSV.</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 frequent reason for physician visits, a common reason for taking prescription medications (including opioids), and a major cause of work disability and impaired quality of life. Targeting NGF is a potential advance in pain management. NGF expression is elevated in many acute and chronic painful conditions and NGF blockade has demonstrated efficacy in clinical trials.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clinical development program is expected to consist of approximately 10,000 patients treated with fasinumab.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Osteoarthritis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Phase 2/3 Study</w:t>
      </w:r>
      <w:r>
        <w:rPr>
          <w:rFonts w:ascii="Arial" w:cs="Arial" w:eastAsia="Arial" w:hAnsi="Arial"/>
          <w:sz w:val="16"/>
          <w:szCs w:val="16"/>
          <w:color w:val="auto"/>
        </w:rPr>
        <w:t>. In the second quarter of 2016, we announced positive, 16-week top-line data from a Phase 2/3 study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osteoarthritis pain of the hip or knee who have a history of inadequate pain relief or intolerance to current analgesic therapies. In the fourth quarter of 2016, we and Teva announced that at the 36-week analysis of the Phase 2/3 clinical study in patients with moderate-to-severe osteoarthritis pain of the hip or knee, the incidence of adjudicated arthropathies was found to be potentially dose-dependent, with a higher rate of patients experiencing arthropathies in the higher dose groups (12% (9mg), 7% (6mg), 5% (3mg), 2% (1mg), and 1% (placebo)). In the ongoing fasinumab osteoarthritis pivotal Phase 3 program (further described below), we and our collaborators are planning to advance only the lower doses from the Phase 2/3 study.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A Phase 3 long-term safety study in patients with pain due to osteoarthritis of the knee or hip was initiated in the first quarter of 2016.</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Chronic Low Back Pain</w:t>
      </w:r>
    </w:p>
    <w:p>
      <w:pPr>
        <w:spacing w:after="0" w:line="27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A Phase 2b study in chronic low back pain was initiated in 2016. In October 2016, the FDA placed the Phase 2b study in chronic low back pain on clinical hold and requested an amendment of the study protocol; this was based on the FDA's recommendation that patients with advanced osteoarthritis at baseline not receive higher doses of fasinumab. Following this development, we completed an unplanned interim review of results and stopped dosing in the study. The unplanned analysis showed clear evidence of efficacy with improvement in pain scores in all fasinumab groups compared to placebo at the 8- and 12-week time points (nominal p&lt;0.01). Preliminary safety results are generally consistent with what has been previously reported with the class. The Phase 2b chronic low back pain study enrolled approximately 70% of the targeted 800 patients in four dose groups: placebo, 6mg subcutaneously monthly, 9mg subcutaneously monthly, and 9mg intravenously every two months. Patients will continue to be followed for up to 36 weeks.</w:t>
      </w:r>
    </w:p>
    <w:p>
      <w:pPr>
        <w:spacing w:after="0" w:line="194"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and Teva plan to design pivotal Phase 3 studies in chronic low back pain. The companies plan to submit a pivotal program plan for review with the FDA and other health authorities.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REGN2810 (PD-1 Antibody) for cancer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14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PD-1/PD-L1 pathway has emerged as a critical regulator of effective immune responses to a variety of cancers, and a number of agents blocking either PD-1 or PD-L1 have been approved. REGN2810 is a high-affinity anti-PD-1 human antibody that was generated using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REGN2810 is being developed to provide a foundational component for a planned, diverse immune-oncology portfolio. Initial efforts for approval are expected to be as monotherapy in selected indications, and subsequent development is expected to be focused on combinations with other anti-cancer agents.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REGN2810 is in Phase 1 clinical development in a variety of malignancies as monotherapy or in combination with other anti-cancer modalities. Data from a cohort of patients with cutaneous squamous cell carcinoma from our Phase 1 trial will be presented at the upcoming American Society of Clinical Oncology (ASCO) conference in June 2017. A potentially pivotal Phase 2 study for the treatment of advanced cutaneous squamous cell carcinoma was initiated in the second quarter of 2016. A Phase 3 study in first-line non-small cell lung cancer is expected to be initiated in the first half of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2015, we and BARDA entered into an agreement to develop, test, and manufacture a monoclonal antibody therapy for the treatment of Ebola virus infection. Under the terms of the agreement, HHS provides funding to support our preclinical development, antibody manufacturing, and for a Phase 1 study in healthy volunteers, and has the option to provide additional funding for further manufacturing and development studies. In addition, in 2016, we and BARDA of the HHS entered into an agreement whereby HHS will provide certain funding to manufacture and study two antibody therapies for the potential treatment of Middle East Respiratory Syndrome (MERS).</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first quarter of 2017, the Regeneron Genetics Center (RGC) entered into an agreement with U.K. Biobank and GlaxoSmithKline (GSK) to generate genetic sequence data from the volunteer participants in the U.K. Biobank resource. RGC ultimately plans to generate genetic sequence data from the 500,000 volunteer participants in the U.K. Biobank resource, and RGC and GSK have committed an initial investment to enable the sequencing of 50,000 samples. The sequencing of U.K. Biobank's samples will be performed at the RGC facility. These sequence data will be incorporated back into U.K. Biobank's resource following a standard exclusivity period for GSK and Regeneron and made openly available to the broader scientific community.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2017 to identify and validate potential drug discovery targets and develop fully human monoclonal antibodies against these targets. We lead the design and conduct of research activities under the</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Antibody Discovery Agreement, including target identification and validation, antibody development, research and preclinical activities through filing of an Investigational New Drug application (IND) or its equivalent, toxicology studies, and manufacture of preclinical and clinical supplies. Sanofi has the right to extend antibody development and preclinical activities relating to selected programs for up to an additional three years after 2017. Sanofi must identify any programs to be extended by June 30, 2017, and we and Sanofi must then agree on a plan and budget for the extended activities. During the extended period, we will use commercially reasonable efforts to develop such antibodies and conduct preclinical activities through IND preparation. After 2017, funding from Sanofi under the Antibody Discovery Agreement will cease to continue, except with regard to the programs for which Sanofi has exercised its extension right.</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each drug candidate identified through discovery research under the Antibody Discovery Agreement (including drug candidates developed during the extended period of up to an additional three years described above),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5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and cost of sales for commercialized products, and Regeneron has the right to co-promote such products. We have exercised our option to co-promote Praluent, Kevzara (sarilumab), and Dupixent (dupilumab) in the United States. We have not exercised our option to co-promote any of these antibodies outside the United States; however, we retain the right to do so at a future date subject to the terms of the collaboration agreement. We and Sanofi will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global strategic collaboration to discover, develop, and commercialize antibody-based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(up to $200.0 million for 2017).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00" w:lineRule="exact"/>
        <w:rPr>
          <w:sz w:val="20"/>
          <w:szCs w:val="20"/>
          <w:color w:val="auto"/>
        </w:rPr>
      </w:pP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lead commercialization activities in the United States, while Sanofi will lead commercialization activities outside of the United States and the parties will equally share profits from worldwide sales. Sanofi has exercised its option to co-promote REGN2810 in the United States.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b w:val="1"/>
          <w:bCs w:val="1"/>
          <w:i w:val="1"/>
          <w:iCs w:val="1"/>
          <w:color w:val="auto"/>
        </w:rPr>
        <w:t xml:space="preserve">Ang2 antibody outside the United States. </w:t>
      </w:r>
      <w:r>
        <w:rPr>
          <w:rFonts w:ascii="Arial" w:cs="Arial" w:eastAsia="Arial" w:hAnsi="Arial"/>
          <w:sz w:val="17"/>
          <w:szCs w:val="17"/>
          <w:color w:val="auto"/>
        </w:rPr>
        <w:t>In March 2016,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up to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Fasinumab Asia. </w:t>
      </w:r>
      <w:r>
        <w:rPr>
          <w:rFonts w:ascii="Arial" w:cs="Arial" w:eastAsia="Arial" w:hAnsi="Arial"/>
          <w:sz w:val="18"/>
          <w:szCs w:val="18"/>
          <w:color w:val="auto"/>
        </w:rPr>
        <w:t>In September 2015, we entered into a collaboration agreement with Mitsubishi Tanabe Pharma Corporation (MTPC) providing MTPC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2016, MTPC made additional payments of $45.0 million and $15.0 million to us. We are also entitled to receive up to an aggregate of $155.0 million in development milestone and other contingent payments.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i w:val="1"/>
          <w:iCs w:val="1"/>
          <w:color w:val="auto"/>
        </w:rPr>
        <w:t>Fasinumab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2016, we entered into a collaboration agreement with Teva to develop and commercialize fasinumab globally, excluding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Asian countries that are subject to our collaboration agreement with MTPC (as described above). In connection with the agreement, Teva made a $250.0 million non-refundable up-front payment in 2016. We will lead global development activities, and the parties will share equally, on an ongoing basis, development costs under a global development plan. In addition, we are entitled to receive up to an aggregate of $460.0 million in development milestones and up to an aggregate of $1,890.0 million in contingent payments upon achievement of specified annual net sales amounts. We are responsible for the manufacture and supply of fasinumab globally.</w:t>
      </w:r>
    </w:p>
    <w:p>
      <w:pPr>
        <w:spacing w:after="0" w:line="24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Dupixent, and preparation for potential commercialization of Kevzara and other indications of dupilumab,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2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2017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Arial" w:cs="Arial" w:eastAsia="Arial" w:hAnsi="Arial"/>
                <w:sz w:val="18"/>
                <w:szCs w:val="18"/>
                <w:b w:val="1"/>
                <w:bCs w:val="1"/>
                <w:color w:val="auto"/>
              </w:rPr>
              <w:t>2017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Bayer received regulatory approval for EYLEA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Regulatory agency decisions on applications outside</w:t>
            </w:r>
          </w:p>
        </w:tc>
      </w:tr>
      <w:tr>
        <w:trPr>
          <w:trHeight w:val="270"/>
        </w:trPr>
        <w:tc>
          <w:tcPr>
            <w:tcW w:w="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shd w:val="clear" w:color="auto" w:fill="CCEEFF"/>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United States for various indications</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Continue patient enrollment in Phase 3 study for the</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treatment of NPDR in patients without DME</w:t>
            </w:r>
          </w:p>
        </w:tc>
      </w:tr>
      <w:tr>
        <w:trPr>
          <w:trHeight w:val="804"/>
        </w:trPr>
        <w:tc>
          <w:tcPr>
            <w:tcW w:w="2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ind w:left="1140"/>
              <w:spacing w:after="0"/>
              <w:rPr>
                <w:sz w:val="20"/>
                <w:szCs w:val="20"/>
                <w:color w:val="auto"/>
              </w:rPr>
            </w:pPr>
            <w:r>
              <w:rPr>
                <w:rFonts w:ascii="Arial" w:cs="Arial" w:eastAsia="Arial" w:hAnsi="Arial"/>
                <w:sz w:val="18"/>
                <w:szCs w:val="18"/>
                <w:b w:val="1"/>
                <w:bCs w:val="1"/>
                <w:color w:val="auto"/>
              </w:rPr>
              <w:t>2017 Events to Date</w:t>
            </w:r>
          </w:p>
        </w:tc>
        <w:tc>
          <w:tcPr>
            <w:tcW w:w="260" w:type="dxa"/>
            <w:vAlign w:val="bottom"/>
          </w:tcPr>
          <w:p>
            <w:pPr>
              <w:spacing w:after="0"/>
              <w:rPr>
                <w:sz w:val="24"/>
                <w:szCs w:val="24"/>
                <w:color w:val="auto"/>
              </w:rPr>
            </w:pPr>
          </w:p>
        </w:tc>
        <w:tc>
          <w:tcPr>
            <w:tcW w:w="3820" w:type="dxa"/>
            <w:vAlign w:val="bottom"/>
          </w:tcPr>
          <w:p>
            <w:pPr>
              <w:ind w:left="640"/>
              <w:spacing w:after="0"/>
              <w:rPr>
                <w:sz w:val="20"/>
                <w:szCs w:val="20"/>
                <w:color w:val="auto"/>
              </w:rPr>
            </w:pPr>
            <w:r>
              <w:rPr>
                <w:rFonts w:ascii="Arial" w:cs="Arial" w:eastAsia="Arial" w:hAnsi="Arial"/>
                <w:sz w:val="18"/>
                <w:szCs w:val="18"/>
                <w:b w:val="1"/>
                <w:bCs w:val="1"/>
                <w:color w:val="auto"/>
              </w:rPr>
              <w:t>2017-2018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Praluent (PCSK9 Antibody)</w:t>
            </w: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Court issued a permanent injunction barring</w:t>
            </w: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Complete and report results from ODYSSEY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4"/>
              </w:rPr>
              <w:t>commercialization of Praluent in the United States</w:t>
            </w:r>
          </w:p>
        </w:tc>
        <w:tc>
          <w:tcPr>
            <w:tcW w:w="2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OUTCOMES study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1"/>
              </w:rPr>
              <w:t>beginning February 21, 2017. On February 8, 2017,</w:t>
            </w:r>
          </w:p>
        </w:tc>
        <w:tc>
          <w:tcPr>
            <w:tcW w:w="260" w:type="dxa"/>
            <w:vAlign w:val="bottom"/>
          </w:tcPr>
          <w:p>
            <w:pPr>
              <w:ind w:left="8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4"/>
              </w:rPr>
              <w:t>Submit for additional regulatory approvals outside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an emergency motion to stay (suspend) the</w:t>
            </w:r>
          </w:p>
        </w:tc>
        <w:tc>
          <w:tcPr>
            <w:tcW w:w="2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the United States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injunction pending appeal was granted.</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Ÿ</w:t>
            </w:r>
          </w:p>
        </w:tc>
        <w:tc>
          <w:tcPr>
            <w:tcW w:w="3820" w:type="dxa"/>
            <w:vAlign w:val="bottom"/>
            <w:vMerge w:val="restart"/>
          </w:tcPr>
          <w:p>
            <w:pPr>
              <w:ind w:left="6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9"/>
              </w:rPr>
              <w:t>Ÿ FDA approved sBLA for monthly dosing regimen</w:t>
            </w:r>
          </w:p>
        </w:tc>
        <w:tc>
          <w:tcPr>
            <w:tcW w:w="260" w:type="dxa"/>
            <w:vAlign w:val="bottom"/>
          </w:tcPr>
          <w:p>
            <w:pPr>
              <w:spacing w:after="0"/>
              <w:rPr>
                <w:sz w:val="24"/>
                <w:szCs w:val="24"/>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outside the United States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9"/>
              </w:rPr>
              <w:t>Kevzara (sarilumab; IL-6R Antibody)</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applications submitted in various</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FDA target action date of May 22, 2017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jurisdictions outside the United States</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Health Canada approved Kevzara for the treatment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Submit for additional regulatory approvals outside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adult patients with RA</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the United States</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CHMP recommended approval of Kevzara for use</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adult patients with RA</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outside of the United States</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Resubmitted BLA and FDA accepted for review</w:t>
            </w: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360"/>
          </w:cols>
          <w:pgMar w:left="240" w:top="130" w:right="299" w:bottom="1440" w:gutter="0" w:footer="0" w:header="0"/>
        </w:sectPr>
      </w:pPr>
    </w:p>
    <w:p>
      <w:pPr>
        <w:ind w:left="100"/>
        <w:spacing w:after="0"/>
        <w:tabs>
          <w:tab w:leader="none" w:pos="3240" w:val="left"/>
        </w:tabs>
        <w:rPr>
          <w:sz w:val="20"/>
          <w:szCs w:val="20"/>
          <w:color w:val="auto"/>
        </w:rPr>
      </w:pPr>
      <w:r>
        <w:rPr>
          <w:rFonts w:ascii="Arial" w:cs="Arial" w:eastAsia="Arial" w:hAnsi="Arial"/>
          <w:sz w:val="18"/>
          <w:szCs w:val="18"/>
          <w:b w:val="1"/>
          <w:bCs w:val="1"/>
          <w:i w:val="1"/>
          <w:iCs w:val="1"/>
          <w:color w:val="auto"/>
        </w:rPr>
        <w:t>Dupixent (dupilumab; IL-4R Antibody)</w:t>
      </w:r>
      <w:r>
        <w:rPr>
          <w:sz w:val="20"/>
          <w:szCs w:val="20"/>
          <w:color w:val="auto"/>
        </w:rPr>
        <w:tab/>
      </w:r>
      <w:r>
        <w:rPr>
          <w:rFonts w:ascii="Arial" w:cs="Arial" w:eastAsia="Arial" w:hAnsi="Arial"/>
          <w:sz w:val="16"/>
          <w:szCs w:val="16"/>
          <w:color w:val="auto"/>
        </w:rPr>
        <w:t>Ÿ Presented detailed results from one-year Phase 3</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CHRONOS study at the Annual Meeting of the</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American Academy of Dermatology</w:t>
      </w:r>
    </w:p>
    <w:p>
      <w:pPr>
        <w:spacing w:after="0" w:line="20" w:lineRule="exact"/>
        <w:rPr>
          <w:sz w:val="20"/>
          <w:szCs w:val="20"/>
          <w:color w:val="auto"/>
        </w:rPr>
      </w:pPr>
      <w:r>
        <w:rPr>
          <w:sz w:val="20"/>
          <w:szCs w:val="20"/>
          <w:color w:val="auto"/>
        </w:rPr>
        <w:br w:type="column"/>
      </w:r>
    </w:p>
    <w:p>
      <w:pPr>
        <w:ind w:left="243" w:right="20" w:hanging="243"/>
        <w:spacing w:after="0" w:line="277" w:lineRule="auto"/>
        <w:tabs>
          <w:tab w:leader="none" w:pos="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for additional regulatory approvals in atopic dermatitis outside the United States</w:t>
      </w:r>
    </w:p>
    <w:p>
      <w:pPr>
        <w:spacing w:after="0" w:line="224" w:lineRule="exact"/>
        <w:rPr>
          <w:sz w:val="20"/>
          <w:szCs w:val="20"/>
          <w:color w:val="auto"/>
        </w:rPr>
      </w:pPr>
    </w:p>
    <w:p>
      <w:pPr>
        <w:sectPr>
          <w:pgSz w:w="11900" w:h="16838" w:orient="portrait"/>
          <w:cols w:equalWidth="0" w:num="2">
            <w:col w:w="7000" w:space="357"/>
            <w:col w:w="4003"/>
          </w:cols>
          <w:pgMar w:left="240" w:top="130" w:right="299" w:bottom="1440" w:gutter="0" w:footer="0" w:header="0"/>
          <w:type w:val="continuous"/>
        </w:sectPr>
      </w:pPr>
    </w:p>
    <w:p>
      <w:pPr>
        <w:ind w:left="3500" w:hanging="235"/>
        <w:spacing w:after="0" w:line="298" w:lineRule="auto"/>
        <w:tabs>
          <w:tab w:leader="none" w:pos="3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FDA approved Dupixent for the treatment of adults with moderate-to-severe atopic dermatitis</w:t>
      </w:r>
    </w:p>
    <w:p>
      <w:pPr>
        <w:spacing w:after="0" w:line="20" w:lineRule="exact"/>
        <w:rPr>
          <w:sz w:val="20"/>
          <w:szCs w:val="20"/>
          <w:color w:val="auto"/>
        </w:rPr>
      </w:pPr>
      <w:r>
        <w:rPr>
          <w:sz w:val="20"/>
          <w:szCs w:val="20"/>
          <w:color w:val="auto"/>
        </w:rPr>
        <w:br w:type="column"/>
      </w:r>
    </w:p>
    <w:p>
      <w:pPr>
        <w:ind w:left="243" w:right="220" w:hanging="243"/>
        <w:spacing w:after="0" w:line="317"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agency decisions on atopic dermatitis applications outside of the United States</w:t>
      </w:r>
    </w:p>
    <w:p>
      <w:pPr>
        <w:spacing w:after="0" w:line="1" w:lineRule="exact"/>
        <w:rPr>
          <w:sz w:val="20"/>
          <w:szCs w:val="20"/>
          <w:color w:val="auto"/>
        </w:rPr>
      </w:pPr>
    </w:p>
    <w:p>
      <w:pPr>
        <w:sectPr>
          <w:pgSz w:w="11900" w:h="16838" w:orient="portrait"/>
          <w:cols w:equalWidth="0" w:num="2">
            <w:col w:w="7200" w:space="157"/>
            <w:col w:w="4003"/>
          </w:cols>
          <w:pgMar w:left="240" w:top="130" w:right="29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w w:val="92"/>
              </w:rPr>
              <w:t>Ÿ Initiated Phase 3 study in adolescent patients (12-17</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Report results from Phase 3 asthma study</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years of age) with atopic dermatitis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6"/>
        </w:trPr>
        <w:tc>
          <w:tcPr>
            <w:tcW w:w="2760" w:type="dxa"/>
            <w:vAlign w:val="bottom"/>
          </w:tcPr>
          <w:p>
            <w:pPr>
              <w:spacing w:after="0"/>
              <w:rPr>
                <w:sz w:val="22"/>
                <w:szCs w:val="22"/>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Ÿ Regulatory applications submitted for atopic</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Submit sBLA for asthma in adults</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w w:val="95"/>
              </w:rPr>
              <w:t>dermatitis in Japan and various other jurisdictions</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9"/>
              </w:rPr>
              <w:t>Continue patient enrollment in Phase 3 study in</w:t>
            </w:r>
          </w:p>
        </w:tc>
      </w:tr>
      <w:tr>
        <w:trPr>
          <w:trHeight w:val="270"/>
        </w:trPr>
        <w:tc>
          <w:tcPr>
            <w:tcW w:w="2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outside the United States</w:t>
            </w:r>
          </w:p>
        </w:tc>
        <w:tc>
          <w:tcPr>
            <w:tcW w:w="240" w:type="dxa"/>
            <w:vAlign w:val="bottom"/>
          </w:tcPr>
          <w:p>
            <w:pPr>
              <w:spacing w:after="0"/>
              <w:rPr>
                <w:sz w:val="23"/>
                <w:szCs w:val="23"/>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nasal polyps</w:t>
            </w:r>
          </w:p>
        </w:tc>
      </w:tr>
      <w:tr>
        <w:trPr>
          <w:trHeight w:val="256"/>
        </w:trPr>
        <w:tc>
          <w:tcPr>
            <w:tcW w:w="2760" w:type="dxa"/>
            <w:vAlign w:val="bottom"/>
          </w:tcPr>
          <w:p>
            <w:pPr>
              <w:spacing w:after="0"/>
              <w:rPr>
                <w:sz w:val="22"/>
                <w:szCs w:val="22"/>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Ÿ Reported that the results from the LIBERTY AD</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2"/>
              </w:rPr>
              <w:t>Initiate Phase 3 study in pediatric patients in atopic</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CAFÉ study in atopic dermatitis were positive</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dermatitis</w:t>
            </w:r>
          </w:p>
        </w:tc>
      </w:tr>
      <w:tr>
        <w:trPr>
          <w:trHeight w:val="256"/>
        </w:trPr>
        <w:tc>
          <w:tcPr>
            <w:tcW w:w="2760" w:type="dxa"/>
            <w:vAlign w:val="bottom"/>
          </w:tcPr>
          <w:p>
            <w:pPr>
              <w:spacing w:after="0"/>
              <w:rPr>
                <w:sz w:val="22"/>
                <w:szCs w:val="22"/>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w w:val="98"/>
              </w:rPr>
              <w:t>Ÿ Initiated Phase 3 study in pediatric patients (6-11</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Initiate Phase 2 study in food allergies</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years of age) with asthma</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6"/>
        </w:trPr>
        <w:tc>
          <w:tcPr>
            <w:tcW w:w="2760" w:type="dxa"/>
            <w:vAlign w:val="bottom"/>
          </w:tcPr>
          <w:p>
            <w:pPr>
              <w:spacing w:after="0"/>
              <w:rPr>
                <w:sz w:val="22"/>
                <w:szCs w:val="22"/>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Ÿ</w:t>
            </w:r>
          </w:p>
        </w:tc>
        <w:tc>
          <w:tcPr>
            <w:tcW w:w="3860" w:type="dxa"/>
            <w:vAlign w:val="bottom"/>
          </w:tcPr>
          <w:p>
            <w:pPr>
              <w:ind w:left="60"/>
              <w:spacing w:after="0"/>
              <w:rPr>
                <w:sz w:val="20"/>
                <w:szCs w:val="20"/>
                <w:color w:val="auto"/>
              </w:rPr>
            </w:pPr>
            <w:r>
              <w:rPr>
                <w:rFonts w:ascii="Arial" w:cs="Arial" w:eastAsia="Arial" w:hAnsi="Arial"/>
                <w:sz w:val="18"/>
                <w:szCs w:val="18"/>
                <w:color w:val="auto"/>
              </w:rPr>
              <w:t>Reported positive results from Phase 2 study in</w:t>
            </w:r>
          </w:p>
        </w:tc>
        <w:tc>
          <w:tcPr>
            <w:tcW w:w="2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EoE</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Suptavumab (RSV-F Antibody)</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Ÿ</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Patient enrollment in Phase 3 study ended</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 results from Phase 3 study</w:t>
            </w:r>
          </w:p>
        </w:tc>
      </w:tr>
      <w:tr>
        <w:trPr>
          <w:trHeight w:val="216"/>
        </w:trPr>
        <w:tc>
          <w:tcPr>
            <w:tcW w:w="2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following completion of the Northern Hemisphere</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62"/>
        </w:trPr>
        <w:tc>
          <w:tcPr>
            <w:tcW w:w="2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RSV season</w:t>
            </w:r>
          </w:p>
        </w:tc>
        <w:tc>
          <w:tcPr>
            <w:tcW w:w="24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Fasinumab (NGF Antibody)</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Ÿ</w:t>
            </w:r>
          </w:p>
        </w:tc>
        <w:tc>
          <w:tcPr>
            <w:tcW w:w="3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4"/>
              </w:rPr>
              <w:t>Continued patient enrollment in Phase 3 long-term</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Continue patient enrollment in Phase 3 long-term</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safety study in osteoarthritis</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safety study in osteoarthritis</w:t>
            </w:r>
          </w:p>
        </w:tc>
      </w:tr>
      <w:tr>
        <w:trPr>
          <w:trHeight w:val="256"/>
        </w:trPr>
        <w:tc>
          <w:tcPr>
            <w:tcW w:w="2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Report additional data from Phase 2/3 study in</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patients with osteoarthritis pain</w:t>
            </w:r>
          </w:p>
        </w:tc>
      </w:tr>
      <w:tr>
        <w:trPr>
          <w:trHeight w:val="256"/>
        </w:trPr>
        <w:tc>
          <w:tcPr>
            <w:tcW w:w="2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8"/>
              </w:rPr>
              <w:t>Initiate additional Phase 3 study in patients with</w:t>
            </w:r>
          </w:p>
        </w:tc>
      </w:tr>
      <w:tr>
        <w:trPr>
          <w:trHeight w:val="230"/>
        </w:trPr>
        <w:tc>
          <w:tcPr>
            <w:tcW w:w="2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osteoarthritis pain</w:t>
            </w:r>
          </w:p>
        </w:tc>
      </w:tr>
      <w:tr>
        <w:trPr>
          <w:trHeight w:val="270"/>
        </w:trPr>
        <w:tc>
          <w:tcPr>
            <w:tcW w:w="2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Initiate Phase 3 study in chronic low back pain</w:t>
            </w:r>
          </w:p>
        </w:tc>
      </w:tr>
      <w:tr>
        <w:trPr>
          <w:trHeight w:val="27"/>
        </w:trPr>
        <w:tc>
          <w:tcPr>
            <w:tcW w:w="2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30" w:right="2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0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60" w:type="dxa"/>
            <w:vAlign w:val="bottom"/>
          </w:tcPr>
          <w:p>
            <w:pPr>
              <w:ind w:left="960"/>
              <w:spacing w:after="0"/>
              <w:rPr>
                <w:sz w:val="20"/>
                <w:szCs w:val="20"/>
                <w:color w:val="auto"/>
              </w:rPr>
            </w:pPr>
            <w:r>
              <w:rPr>
                <w:rFonts w:ascii="Arial" w:cs="Arial" w:eastAsia="Arial" w:hAnsi="Arial"/>
                <w:sz w:val="18"/>
                <w:szCs w:val="18"/>
                <w:b w:val="1"/>
                <w:bCs w:val="1"/>
                <w:color w:val="auto"/>
              </w:rPr>
              <w:t>2017 Events to Date</w:t>
            </w:r>
          </w:p>
        </w:tc>
        <w:tc>
          <w:tcPr>
            <w:tcW w:w="24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Arial" w:cs="Arial" w:eastAsia="Arial" w:hAnsi="Arial"/>
                <w:sz w:val="18"/>
                <w:szCs w:val="18"/>
                <w:b w:val="1"/>
                <w:bCs w:val="1"/>
                <w:color w:val="auto"/>
              </w:rPr>
              <w:t>2017-2018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REGN2810 (PD-1 Antibody)</w:t>
            </w: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Ÿ Continued patient enrollment in Phase 1 and Phase</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Continue patient enrollment in Phase 1 and Phase 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studies</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studies</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4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Ÿ Initiate Phase 3 study in first-line non-small cell</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lung cancer</w:t>
            </w:r>
          </w:p>
        </w:tc>
        <w:tc>
          <w:tcPr>
            <w:tcW w:w="0" w:type="dxa"/>
            <w:vAlign w:val="bottom"/>
          </w:tcPr>
          <w:p>
            <w:pPr>
              <w:spacing w:after="0"/>
              <w:rPr>
                <w:sz w:val="1"/>
                <w:szCs w:val="1"/>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Initiate Phase 2 study in basal cell carcinoma</w:t>
            </w: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3"/>
              </w:rPr>
              <w:t>Ÿ FDA granted Breakthrough Therapy designation for</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Report additional results from Phase 2 HoFH study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7"/>
              </w:rPr>
              <w:t>the treatment of hypercholesterolemia in patients</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Ÿ</w:t>
            </w:r>
          </w:p>
        </w:tc>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Initiate Phase 3 study in HoFH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with HoFH</w:t>
            </w:r>
          </w:p>
        </w:tc>
        <w:tc>
          <w:tcPr>
            <w:tcW w:w="240" w:type="dxa"/>
            <w:vAlign w:val="bottom"/>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89"/>
              </w:rPr>
              <w:t>Nesvacumab/aflibercept (Ang2 Antibody</w:t>
            </w: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2 ONYX</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Phase 2 studies</w:t>
            </w: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2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study in wet AMD</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9"/>
              </w:rPr>
              <w:t>Ÿ Initiated Phase 1 combination therapy study with</w:t>
            </w:r>
          </w:p>
        </w:tc>
        <w:tc>
          <w:tcPr>
            <w:tcW w:w="24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REGN2477</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Completed patient enrollment in Phase 1</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combination therapy study</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Continue early stage development</w:t>
            </w:r>
          </w:p>
        </w:tc>
        <w:tc>
          <w:tcPr>
            <w:tcW w:w="0" w:type="dxa"/>
            <w:vAlign w:val="bottom"/>
          </w:tcPr>
          <w:p>
            <w:pPr>
              <w:spacing w:after="0"/>
              <w:rPr>
                <w:sz w:val="1"/>
                <w:szCs w:val="1"/>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w w:val="98"/>
              </w:rPr>
              <w:t>REGN1979 (CD20 and CD3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Complete patient enrollment in Phase 1 study</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REGN3470-3471-3479 (Antibody to</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 additional healthy volunteer study</w:t>
            </w: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Ebola virus)</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Ÿ FDA granted orphan drug designation for the</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Initiate Phase 2 study in FOP patients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treatment of FOP</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REGN3500 (IL-33 Antibody)</w:t>
            </w:r>
          </w:p>
        </w:tc>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Ÿ Initiated Phase 1 study in patients with asthma</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Initiate Phase 2 study</w:t>
            </w:r>
          </w:p>
        </w:tc>
        <w:tc>
          <w:tcPr>
            <w:tcW w:w="0" w:type="dxa"/>
            <w:vAlign w:val="bottom"/>
          </w:tcPr>
          <w:p>
            <w:pPr>
              <w:spacing w:after="0"/>
              <w:rPr>
                <w:sz w:val="1"/>
                <w:szCs w:val="1"/>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REGN3767 (LAG-3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Continue patient enrollment in Phase 1 study</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24"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7"/>
                <w:szCs w:val="17"/>
                <w:color w:val="auto"/>
              </w:rPr>
            </w:pPr>
          </w:p>
        </w:tc>
        <w:tc>
          <w:tcPr>
            <w:tcW w:w="26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w:t>
            </w: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20" w:type="dxa"/>
            <w:vAlign w:val="bottom"/>
          </w:tcPr>
          <w:p>
            <w:pPr>
              <w:spacing w:after="0"/>
              <w:rPr>
                <w:sz w:val="20"/>
                <w:szCs w:val="20"/>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330.2</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97"/>
        </w:trPr>
        <w:tc>
          <w:tcPr>
            <w:tcW w:w="2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181.4</w:t>
            </w:r>
          </w:p>
        </w:tc>
      </w:tr>
      <w:tr>
        <w:trPr>
          <w:trHeight w:val="311"/>
        </w:trPr>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7"/>
                <w:szCs w:val="17"/>
                <w:color w:val="auto"/>
              </w:rPr>
            </w:pPr>
          </w:p>
        </w:tc>
        <w:tc>
          <w:tcPr>
            <w:tcW w:w="25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43"/>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Sanofi</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r>
      <w:tr>
        <w:trPr>
          <w:trHeight w:val="243"/>
        </w:trPr>
        <w:tc>
          <w:tcPr>
            <w:tcW w:w="20" w:type="dxa"/>
            <w:vAlign w:val="bottom"/>
          </w:tcPr>
          <w:p>
            <w:pPr>
              <w:spacing w:after="0"/>
              <w:rPr>
                <w:sz w:val="21"/>
                <w:szCs w:val="21"/>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Bayer</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43"/>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consist of U.S. sales of EYLEA and ARCALYST. For the three months ended March 31, 2017, EYLEA net product sales increased to $854.4 million from $780.9 million for the three months ended March 31, 2016 due to higher sales volume, partly offset by an increase in sales-related deductions primarily due to payer sales mix and new rebate programs. For the three months ended March 31, 2017 and 2016, we also recognized ARCALYST net product sales of $3.8 million and $3.3 million, respectively.</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color w:val="auto"/>
              </w:rPr>
              <w:t>Sanofi Collaboration Revenue</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the first quarter of 2017, Sanofi's reimbursement of our antibody research and development expenses consisted of $48.1 million under our Antibody Discovery Agreement and $107.1 million under our License and Collaboration Agreement, compared to $57.4 million and $136.2 million, respectively, in the first quarter of 2016. The lower reimbursement of research and development costs in the first quarter of 2017, compared to the same period in 2016, was primarily due to decreased collaboration development activities for Dupixent (dupilumab) as some later-stage studies had been completed.</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Kevzara, and Dupixent.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During the three months ended March 31, 2017 and 2016,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preparing to commercialize or commercializing, as applicable, Praluent, Kevzara, and Dupixent within Sanofi collaboration revenue. Sanofi provides us with an estimate of our share of the losses from preparing to commercialize, or commercialization (as applicable), of antibodies for the most recent fiscal quarter; these estimates are reconciled to actual results in the subsequent fiscal quarter, and our portion of the profit or loss is adjusted accordingly, as necessary. For the three months ended March 31, 2017, net product sales of Praluent in the United States were $25.4 million and net product sales of Praluent outside of the United States were $10.5 million. For the three months ended March 31, 2016, net product sales of Praluent in the United States were $9.8 million and net product sales of Praluent outside of the United States were $3.2 million. In January 2017, Health Canada approved Kevzara for the treatment of rheumatoid arthritis and on March 28, 2017, the FDA approved Dupixent for the treatment of adult patients with moderate-to-severe atopic dermatitis.</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quarter of 2017, Sanofi's reimbursement of our immuno-oncology research and development expenses consisted of $38.2 million under our IO Discovery Agreement, and $20.5 million under our IO License and Collaboration Agreement related to REGN2810, compared to $20.1 million and $9.2 million, respectively, in the first quarter of 2016. The higher reimbursement of immuno-oncology research and development costs in the first quarter of 2017, compared to the same period in 2016, was primarily due to increased pre-clinical research and development activities, as well as additional clinical studies and continued enrollment in the REGN2810 clinical program.</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2015 in connection with the execution of the IO Collaboration agreements.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21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Bayer Collaboration Revenue</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48"/>
        </w:trPr>
        <w:tc>
          <w:tcPr>
            <w:tcW w:w="21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1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2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140" w:type="dxa"/>
            <w:vAlign w:val="bottom"/>
            <w:tcBorders>
              <w:right w:val="single" w:sz="8" w:color="CCEEFF"/>
            </w:tcBorders>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14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7"/>
        </w:trPr>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140" w:type="dxa"/>
            <w:vAlign w:val="bottom"/>
            <w:tcBorders>
              <w:right w:val="single" w:sz="8" w:color="CCEEFF"/>
            </w:tcBorders>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14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2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140" w:type="dxa"/>
            <w:vAlign w:val="bottom"/>
            <w:tcBorders>
              <w:right w:val="single" w:sz="8" w:color="CCEEFF"/>
            </w:tcBorders>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37"/>
        </w:trPr>
        <w:tc>
          <w:tcPr>
            <w:tcW w:w="21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140" w:type="dxa"/>
            <w:vAlign w:val="bottom"/>
            <w:tcBorders>
              <w:right w:val="single" w:sz="8" w:color="CCEEFF"/>
            </w:tcBorders>
          </w:tcPr>
          <w:p>
            <w:pPr>
              <w:spacing w:after="0"/>
              <w:rPr>
                <w:sz w:val="19"/>
                <w:szCs w:val="19"/>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rinucumab/aflibercept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140" w:type="dxa"/>
            <w:vAlign w:val="bottom"/>
            <w:tcBorders>
              <w:right w:val="single" w:sz="8" w:color="CCEEFF"/>
            </w:tcBorders>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14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140" w:type="dxa"/>
            <w:vAlign w:val="bottom"/>
            <w:tcBorders>
              <w:right w:val="single" w:sz="8" w:color="CCEEFF"/>
            </w:tcBorders>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21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Ang2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140" w:type="dxa"/>
            <w:vAlign w:val="bottom"/>
            <w:tcBorders>
              <w:right w:val="single" w:sz="8" w:color="CCEEFF"/>
            </w:tcBorders>
          </w:tcPr>
          <w:p>
            <w:pPr>
              <w:spacing w:after="0"/>
              <w:rPr>
                <w:sz w:val="19"/>
                <w:szCs w:val="19"/>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nesvacumab/aflibercept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140" w:type="dxa"/>
            <w:vAlign w:val="bottom"/>
            <w:tcBorders>
              <w:right w:val="single" w:sz="8" w:color="CCEEFF"/>
            </w:tcBorders>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14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140" w:type="dxa"/>
            <w:vAlign w:val="bottom"/>
            <w:tcBorders>
              <w:right w:val="single" w:sz="8" w:color="CCEEFF"/>
            </w:tcBorders>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14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2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Regeneron's Net Profit from EYLEA Sales Outside the</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gridSpan w:val="3"/>
            <w:vMerge w:val="restart"/>
          </w:tcPr>
          <w:p>
            <w:pPr>
              <w:spacing w:after="0"/>
              <w:rPr>
                <w:sz w:val="20"/>
                <w:szCs w:val="20"/>
                <w:color w:val="auto"/>
              </w:rPr>
            </w:pPr>
            <w:r>
              <w:rPr>
                <w:rFonts w:ascii="Arial" w:cs="Arial" w:eastAsia="Arial" w:hAnsi="Arial"/>
                <w:sz w:val="18"/>
                <w:szCs w:val="18"/>
                <w:color w:val="auto"/>
                <w:w w:val="95"/>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Reimbursement of EYLEA development expenses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in accordance with Regeneron's payment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w w:val="95"/>
              </w:rPr>
              <w:t>Regeneron's net profit in connection with commercialization</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color w:val="auto"/>
              </w:rPr>
              <w:t>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Bayer records revenue from sales of EYLEA outside the United States. Bayer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EYLEA revenue primarily consists of reimbursement of other Regeneron EYLEA expenses, including reimbursements for producing EYLEA commercial supplies for Bayer. In addition, other EYLEA revenue in the first quarter of 2016 includes Bayer's share of royalties payable to Genentech pursuant to a license and settlement agreement in connection with sales of EYLEA outside the United States; the obligation to pay Genentech royalties on such sales ended in May 2016.</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discontinued clinical development of rinucumab/aflibercept in the first quarter of 2017.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which was recorded as deferred revenue and is being recognized as revenue over the related performance period. Bayer is also obligated to pay 25% of global development costs and 50% of development costs exclusively for the territory outside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89"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Other Revenue</w:t>
            </w: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4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Teva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5"/>
              </w:rPr>
              <w:t>Reimbursement of Regeneron research and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Teva collaboration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2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other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Total operating expenses increased to $888.4 million in the first quarter of 2017 from $871.5 million in the first quarter of 2016. Our average headcount in the first quarter of 2017 increased to 5,505 from 4,473 in the same period in 2016, principally in connection with expanding our manufacturing activities.</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first quarter of 2017 and 2016 included a total of $133.8 million and $142.3 million, respectively, of non-cash compensation expense related to employee stock option and restricted stock awards (Non-cash Compensation Expense). The decrease in total Non-cash Compensation Expense in the first quarter of 2017 was primarily attributable to the lower fair market value, on average, of our Common Stock on the date of our employee option grants.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Research and development expenses increased to $507.4 million in the first quarter of 2017 from $470.1 million in the same period of 2016. 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6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72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Three Months Ended March 31,</w:t>
            </w:r>
          </w:p>
        </w:tc>
        <w:tc>
          <w:tcPr>
            <w:tcW w:w="16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64"/>
        </w:trPr>
        <w:tc>
          <w:tcPr>
            <w:tcW w:w="4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44"/>
        </w:trPr>
        <w:tc>
          <w:tcPr>
            <w:tcW w:w="4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Praluent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Dupilumab</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Sarilumab</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Fasinumab</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Suptavumab</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REGN2810</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2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w w:val="94"/>
              </w:rPr>
              <w:t>Other product candidates in clinical development and other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00"/>
              <w:spacing w:after="0"/>
              <w:rPr>
                <w:sz w:val="20"/>
                <w:szCs w:val="20"/>
                <w:color w:val="auto"/>
              </w:rPr>
            </w:pPr>
            <w:r>
              <w:rPr>
                <w:rFonts w:ascii="Arial" w:cs="Arial" w:eastAsia="Arial" w:hAnsi="Arial"/>
                <w:sz w:val="18"/>
                <w:szCs w:val="18"/>
                <w:color w:val="auto"/>
              </w:rPr>
              <w:t>research programs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direct research and development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4600" w:type="dxa"/>
            <w:vAlign w:val="bottom"/>
            <w:gridSpan w:val="3"/>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Payroll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Clinical manufacturing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Research, licensing, and other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indirect research and development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57"/>
        </w:trPr>
        <w:tc>
          <w:tcPr>
            <w:tcW w:w="4600" w:type="dxa"/>
            <w:vAlign w:val="bottom"/>
            <w:gridSpan w:val="3"/>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Direct research and development expenses increased for fasinumab and REGN2810 primarily due to the initiation of additional clinical studies and continued enrollment in clinical studies. Direct research and development expenses decreased for dupilumab as some later-stage clinical studies had been completed. Research and development expenses included Non-Cash Compensation Expense of $73.5 million and $78.1 million for the three months ended March 31, 2017 and 2016, respectively.</w:t>
      </w:r>
    </w:p>
    <w:p>
      <w:pPr>
        <w:spacing w:after="0" w:line="24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(with the approval of our collaborator for joint development programs), thereby extending the period in which we will be developing a product.</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to $296.8 million in the first quarter of 2017 from $289.7 million in the first quarter of 2016 primarily due to higher headcount and commercialization-related expenses associated with EYLEA and preparing to launch Dupixent (dupilumab), partly offset by lower commercialization-related expenses associated with Praluent and lower Non-cash Compensation Expense principally for the reason described under "</w:t>
      </w:r>
      <w:r>
        <w:rPr>
          <w:rFonts w:ascii="Arial" w:cs="Arial" w:eastAsia="Arial" w:hAnsi="Arial"/>
          <w:sz w:val="18"/>
          <w:szCs w:val="18"/>
          <w:i w:val="1"/>
          <w:iCs w:val="1"/>
          <w:color w:val="auto"/>
        </w:rPr>
        <w:t>Expenses</w:t>
      </w:r>
      <w:r>
        <w:rPr>
          <w:rFonts w:ascii="Arial" w:cs="Arial" w:eastAsia="Arial" w:hAnsi="Arial"/>
          <w:sz w:val="18"/>
          <w:szCs w:val="18"/>
          <w:color w:val="auto"/>
        </w:rPr>
        <w:t>" above. Selling, general, and administrative expenses included $53.8 million and $60.1 million of Non-cash Compensation Expense in the first quarter of 2017 and 2016,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goods sold decreased to $61.3 million in the first quarter of 2017 from $78.9 million in the first quarter of 2016. Cost of goods sold decreased principally due to the fact that, effective May 2016, we are no longer obligated to pay royalties to Genentech based on U.S. sales of EYLEA. This decrease was partly offset by an increase in Limerick start-up costs. In addition, in the first quarter of 2017 and 2016, cost of goods sold included inventory write-downs and reserves totaling $6.4 million and $4.3 million,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Cost of collaboration and contract manufacturing, which includes costs we incur in connection with producing commercial drug supplies for Sanofi and Bayer, decreased to $22.9 million in the first quarter of 2017 from $32.8 million in the first quarter of 2016. This decrease was primarily due to lower royalties since our obligation to pay Genentech based on sales of EYLEA outside the United States also ended in May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first quarter of 2017 and 2016, we recorded income tax expense of $183.4 million and $148.8 million, respectively. The effective tax rate was 42.4% and 45.1% for the first quarter of 2017 and 2016, respectively. The first quarter 2017 effective tax rate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the domestic manufacturing deduction, and the federal tax credit for increased research activities. As described in Note 1 of our Condensed Consolidated Financial Statements, during 2016 we adopted Accounting Standards Update 2016-09, which requires an entity to recognize all excess tax benefits and tax deficiencies in connection with stock-based compensation as income tax expense or benefit in the income statement (previously, excess tax benefits were recognized in additional paid-in capital).</w:t>
      </w:r>
    </w:p>
    <w:p>
      <w:pPr>
        <w:spacing w:after="0" w:line="262" w:lineRule="exact"/>
        <w:rPr>
          <w:sz w:val="20"/>
          <w:szCs w:val="20"/>
          <w:color w:val="auto"/>
        </w:rPr>
      </w:pPr>
    </w:p>
    <w:p>
      <w:pPr>
        <w:jc w:val="both"/>
        <w:ind w:firstLine="243"/>
        <w:spacing w:after="0" w:line="336" w:lineRule="auto"/>
        <w:rPr>
          <w:sz w:val="20"/>
          <w:szCs w:val="20"/>
          <w:color w:val="auto"/>
        </w:rPr>
      </w:pPr>
      <w:r>
        <w:rPr>
          <w:rFonts w:ascii="Arial" w:cs="Arial" w:eastAsia="Arial" w:hAnsi="Arial"/>
          <w:sz w:val="17"/>
          <w:szCs w:val="17"/>
          <w:color w:val="auto"/>
        </w:rPr>
        <w:t>The effective tax rate for the first quarter of 2016 was negatively impacted, compared to the U.S. federal statutory rate, by losses incurred in foreign jurisdictions with rates lower than the U.S. federal statutory rate and the non-tax deductible Branded Prescription Drug Fee, partly offset by the tax benefit associated with stock-based compensation, the domestic manufacturing deduction, and the federal tax credit for increased research activities.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276.6</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103.5</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489.1</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422.3</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Additionally, as of March 31, 2017, we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provided by operating activities was $355.9 million in the first quarter of 2017. Our net income of $248.9 million in the first quarter of 2017 included Non-cash Compensation Expense of $133.8 million. Deferred tax assets as of March 31, 2017 increased by $41.0 million, compared to December 31, 2016, primarily due to Non-cash Compensation Expense. Accounts payable, accrued expenses, and other liabilities increased by $187.7 million as of March 31, 2017, compared to December 31, 2016, primarily due to higher tax-related liabilities partly offset by lower payroll-related liabilities as our year-end 2016 employee cash bonuses were paid in the first quarter of 2017.</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provided by operating activities was $45.0 million in the first quarter of 2016. Our net income of $181.4 million in the first quarter of 2016 included Non-cash Compensation Expense of $142.3 million. In addition, deferred tax assets as of March 31, 2016 increased by $79.8 million, compared to December 31, 2015, primarily due to an increase in Non-cash Compensation Expense and deferred revenue. As of March 31, 2016, Sanofi, Bayer, and trade accounts receivable increased by $397.4 million, compared to December 31, 2015, primarily due to (i) higher U.S. EYLEA sales and higher trade accounts receivable resulting from lengthened payment terms to certain of our U.S. EYLEA customers effective in the third quarter of 2015, and (ii) in connection with our March 2016 Ang2 collaboration agreement with Bayer, a $50.0 million non-refundable up-front payment was receivable from Bayer as of March 31, 2016. Deferred revenue increased by $91.2 million as of March 31, 2016, compared to December 31, 2015, primarily due to $60.0 million of payments received from Mitsubishi in connection with the companies' fasinumab Asia collaboration and the $50.0 million up-front payment from Bayer (as described above). Accounts payable, accrued expenses, and other liabilities increased by $103.4 million as of March 31, 2016, compared to December 31, 2015, primarily due to higher tax-related liabilities partly offset by lower payroll-related liabilities as our year-end 2015 employee cash bonuses were paid in the first quarter of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Net cash used in investing activities was $140.1 million and $43.7 million in the first quarter of 2017 and 2016, respectively. Capital expenditures were $50.5 million and $104.1 million in the first quarter of 2017 and 2016, respectively. Capital expenditures in the first quarter of 2017 primarily included costs in connection with renovations and additions to certain buildings at our Rensselaer, New York and Limerick, Ireland manufacturing facilities. Capital expenditures in the first quarter of 2016 primarily included costs in connection with renovations of our Limerick, Ireland manufacturing facility, tenant improvement and associated costs at our leased Tarrytown, New York facilities, renovations to certain areas of our Rensselaer, New York manufacturing facilities, and purchases of equipment. We expect to incur capital expenditures of approximately $250 million to $300 million during the last three quarters of 2017 primarily in connection with continued renovations of our Limerick, Ireland facility, expanding our Tarrytown, New York facilities, and expanding and renovating a portion of our manufacturing facilities at our Rensselaer, New York facility.</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provided by financing activities was $60.8 million in the first quarter of 2017 and net cash used in financing activities was $206.2 million in the first quarter of 2016. In the first quarter of 2017, proceeds in connection with capital and facility lease obligations relate to our receipt of $57.0 million in connection with the March 2017 lease transaction as described below under "Tarrytown, New York Leases". In the first quarter of 2016, we paid an aggregate amount of $242.1 million to warrant holders to reduce the maximum number of shares of Common Stock issuable upon exercise of the warrants. No warrants remained outstanding as of December 31,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March 31, 2017.</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March 31,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lease laboratory and office facilities in Tarrytown, New York. On December 30, 2016, we entered into a Purchase Agreement with BMR-Landmark at Eastview LLC and BMR-Landmark at Eastview IV LLC (collectively, BMR), pursuant to which we agreed to purchase BMR's Tarrytown, New York facilities (the Facility) for a purchase price of $720.0 million. We occupy a significant portion of the Facility, with the remaining rentable area under leases to third-party tenants. In accordance with the terms of the Purchase Agreement, we paid $57.0 million toward the purchase price to BMR in December 2016.</w:t>
      </w:r>
    </w:p>
    <w:p>
      <w:pPr>
        <w:spacing w:after="0" w:line="20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3, 2017, we entered into a Participation Agreement with Banc of America Leasing &amp; Capital LLC (BAL), as lessor, and a syndicate of lenders (collectively, the Participants). The Participation Agreement provided for lease financing in connection with the acquisition by BAL of the Facility and our lease of the Facility from BAL. On March 3, 2017, we assigned our right to take title to the Facility under the Purchase Agreement to BAL, and the Participants advanced $720.0 million, which was used by BAL to finance the purchase price for the Facility and to reimburse us for the $57.0 million payment we made to BMR in December 2016.</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3, 2017, we entered into a lease agreement (the Lease) with BAL, pursuant to which we have leased the Facility from BAL for a five-year term. As a result of entering into the lease agreement, certain parts of the Facility became subleased from us by existing third-party tenants.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March 31,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will enable us to meet our projected operating needs for the foreseeable future.</w:t>
      </w:r>
    </w:p>
    <w:p>
      <w:pPr>
        <w:spacing w:after="0" w:line="24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Pursuant to the Antibody Discovery Agreement, as amended, Sanofi is responsible for funding up to $130.0 million of our antibody discovery activities in 2017. Unless Sanofi, at its option, elects to extend antibody development and preclinical activities relating to selected programs, any future funding after 2017 from Sanofi under the Antibody Discovery Agreement will cease to continue.</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anticipate continuing to incur substantial commercialization costs for EYLEA, Praluent, Kevzara, and Dupixent (dupilumab). Commercialization costs over the next few years will depend on, among other things, whether or not our antibody product candidates in later stage clinical development receive regulatory approval, the market potential for product candidates, the commercialization terms of our collaboration agreements, if applicable (whereby commercialization costs may be shared with our collaborators), and whether we may be required to pay additional royalties or share the profits from sales of products pursuant to our license or collaboration agreements or otherwise.</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 In addition, as described above under Part II., Item 1, "Legal Proceedings - Proceedings Relating to Praluent (alirocumab) Injection," the United States District Court for the District of Delaware issued a permanent injunction, which was stayed (suspended) pending appeal. If the injunction is upheld on appeal, it would prohibit us and the Sanofi defendants from commercializing Praluent in the United States. If we and Sanofi are not able to commercialize Praluent in the United States, our consolidated financial position, results of operations, and cash flows may be materially impacted.</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14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2016 (filed February 9, 2017).</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described in Item 2.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we are now exposed to market risk for changes in interest rates related to our March 2017 variable rate lease of laboratory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office facilities in Tarrytown, New York. Our interest rate exposure as a result of entering into the lease is offset in part by the nature of a portion of our investments in marketable securities. In addition, we continue to monitor this risk and may utilize other strategies in the future to further mitigate our interest rate exposure in connection with the 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2017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in our Annual Report on Form 10-K for the year ended December 31, 2016 (filed February 9, 2017)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'018 Patent and '163 Patent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on March 11, 2014, we commenced patent infringement litigation against Merus B.V. in the United States District Court for the Southern District of New York, asserting our U.S. Patent No. 8,502,018 (the '018 Patent), which concerns genetically engineered mice capable of producing chimeric antibodies that are part human and part mouse. On November 21, 2014, the United States District Court for the Southern District of New York issued its Opinion and Order on Claim Construction in the '018 Patent infringement litigation, in which it held the '018 Patent invalid. On November 2, 2015, the United States District Court for the Southern District of New York issued an opinion and order finding that the '018 Patent was procured by inequitable conduct, thus rendering it unenforceable. On December 17, 2015, we filed a notice of appeal with the U.S. Court of Appeals for the Federal Circuit. Oral argument on the appeal was held on February 13, 2017.</w:t>
      </w:r>
    </w:p>
    <w:p>
      <w:pPr>
        <w:spacing w:after="0" w:line="10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previously reported, on July 8 and July 13, 2016, notices of opposition against our European Patent No. 2,264,163, which concerns genetically engineered mice capable of producing chimeric antibodies that are part human and part mouse, were filed in the European Patent Office (EPO) by Merus and Kymab Ltd and Novo Nordisk A/S, respectively. Oral hearing before the Opposition Division of the EPO is currently scheduled for February 5-7,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previously reported, we are currently a party to patent infringement actions initiated by Amgen Inc. against us and Sanofi (and/or our and Sanofi's respective affiliated entities) in a number of jurisdictions relating to Praluent, which we are jointly developing and commercializing with Sanofi.</w:t>
      </w:r>
    </w:p>
    <w:p>
      <w:pPr>
        <w:spacing w:after="0" w:line="20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previously reported, in the United States, Amgen has asserted a number of U.S. patents, which were subsequently narrowed to U.S. Patent Nos. 8,829,165 (the '165 Patent) and 8,859,741 (the '741 Patent), and seeks a permanent injunction to prevent us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Regeneron and the Sanofi defendants that there was no willful infringement of the asserted patent claims by Regeneron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our and the Sanofi defendants' motions for new trial and judgment as a matter of law. The court also denied as moot Amgen's motion to strike our and the Sanofi defendants' request to obtain a judgment as a matter of law, which allows the U.S. Court of Appeals for the Federal Circuit to address our and the Sanofi defendants' patent invalidity arguments on appeal. On January 12, 2017, we and the Sanofi defendants filed a notice of appeal</w:t>
      </w:r>
    </w:p>
    <w:p>
      <w:pPr>
        <w:sectPr>
          <w:pgSz w:w="11900" w:h="16838" w:orient="portrait"/>
          <w:cols w:equalWidth="0" w:num="1">
            <w:col w:w="11420"/>
          </w:cols>
          <w:pgMar w:left="240" w:top="130"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U.S. Court of Appeals for the Federal Circuit. On January 18, 2017, the U.S. Court of Appeals for the Federal Circuit ordered an expedited briefing schedule of the appeal on the merits. On January 31, 2017, Amgen filed a motion with the United States District Court for the District of Delaware to amend the court's final judgment to include an award of supplemental damages (including interest) and enhancement of such damages following the resolution of the appeal. The briefing relating to the appeal to the U.S. Court of Appeals for the Federal Circuit was completed on March 31, 2017, and oral argument on the appeal is currently scheduled for June 6, 2017.</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previously reported, 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we and the Sanofi defendants filed an emergency motion for stay of the permanent injunction pending appeal with the U.S. Court of Appeals for the Federal Circuit; and, on February 8, 2017, the court granted the stay pending appeal.</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previously reported, on July 25, 2016, Amgen filed a lawsuit against us, Sanofi-Aventis Groupe S.A., Sanofi-Synthelabo Limited, Aventis Pharma Limited, Sanofi Winthrop Industrie S.A., and Sanofi-Aventis Deutschland GmbH in the English High Court of Justice, Chancery Division, Patents Court, in London, seeking, among other things, a declaration of infringement of Amgen's European Patent No. 2,215,124 (the '124 Patent), which pertains to PCSK9 monoclonal antibodies, by Praluent. On February 8, 2017, the court temporarily stayed this litigation on terms mutually agreed by the parties.</w:t>
      </w:r>
    </w:p>
    <w:p>
      <w:pPr>
        <w:spacing w:after="0" w:line="225"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As previously reported, on September 26, 2016, Amgen filed a lawsuit for infringement of the '124 Patent in the Tribunal de grande instance in Paris, France against us, Sanofi-Aventis Groupe S.A., and Sanofi Winthrop Industrie. On April 10, 2017, we and the Sanofi parties filed briefs seeking invalidation of certain of the claims of the '124 Patent. Oral hearing on this infringement lawsuit is currently scheduled for June 29, 2018.</w:t>
      </w:r>
    </w:p>
    <w:p>
      <w:pPr>
        <w:spacing w:after="0" w:line="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'124 Patent is also subject to opposition proceedings in the EPO seeking to invalidate certain of its claims, which were initiated by us on November 24,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Dupixent (dupilumab) Injection</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20, 2017, we, Sanofi-Aventis U.S. LLC, and Genzyme Corporation filed a complaint against Amgen and Immunex Corporation, a wholly owned subsidiary of Amgen, in the United States District Court for the District of Massachusetts seeking a declaratory judgment that our and the other plaintiffs' Commercializing of Dupixent does not directly or indirectly infringe U.S. Patent No. 8,679,487 (the '487 Patent) owned by Immunex Corporation relating to antibodies that bind the human interleukin-4 receptor. On May 1, 2017, we and the other plaintiffs filed a notice of voluntary dismissal of this action without prejudice.</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March 23, 2017, we, Sanofi-Aventis U.S. LLC, and Genzyme Corporation initiated an inter partes review in the United States Patent and Trademark Office (USPTO) seeking a declaration of invalidity of the '487 Patent.</w:t>
      </w:r>
    </w:p>
    <w:p>
      <w:pPr>
        <w:spacing w:after="0" w:line="2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April 5, 2017, Immunex Corporation filed a complaint against us, Sanofi, Sanofi-Aventis U.S. LLC, Genzyme Corporation, and Aventisub LLC in the United States District Court for the Central District of California seeking a judgment of patent infringement of the '487 Patent and a declaratory judgment of infringement of the '487 Patent, in each case by our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Justice Investigation</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previously reported, in January 2017, we received a subpoena from the U.S. Attorney's Office for the District of Massachusetts requesting documents relating to our support of 501(c)(3) organizations that provide financial assistance to patients; documents concerning our provision of financial assistance to patients with respect to products sold or developed by us (including EYLEA, Praluent, ARCALYST, and ZALTRAP); and certain other related documents and communications. We are cooperating with this investigation.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three months ended March 31, 2017 and 2016, EYLEA net sales in the United States represented 65% of our total revenues in each of these periods.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hanging="328"/>
        <w:spacing w:after="0" w:line="18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differentiate EYLEA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and other competitive products, and the willingness of retinal specialists and patients to switch from Lucentis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A reduction in the availability or extent of reimbursement from U.S. government programs could have a material adverse effect on the sales of EYLEA. Economic pressure on state budgets may also have a similar impact.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market for eye disease products is very competitive. For example, Novartis AG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Competitors are also exploring the development of a biosimilar version of Lucentis; in particular, Pfenex Inc. is developing PF582 (a Phase 1b/2a trial in patients with wet AMD has been completed), and Formycon AG (in collaboration with Bioeq GmbH) is developing FYB201 (currently in a Phase 3 trial in patients with wet AMD).</w:t>
      </w:r>
    </w:p>
    <w:p>
      <w:pPr>
        <w:spacing w:after="0" w:line="21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6"/>
          <w:szCs w:val="16"/>
          <w:color w:val="auto"/>
        </w:rPr>
        <w:t>Other competitive or potentially competitive products include Allergan, Plc's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(approved by the FDA for the treatment of macular edema following RVO and for the treatment of DME) and Alimera Sciences, Inc's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ophthalmic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Competitors are also developing eye-drop formulations, oral therapies, and gene/cell therapies for various indications that, if approved, would compete with EYLEA in one or more of its currently approved indications.</w:t>
      </w:r>
    </w:p>
    <w:p>
      <w:pPr>
        <w:spacing w:after="0" w:line="23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may exacerbate the competitive challenge which EYLEA faces in the eye indications for which it is approved.</w:t>
      </w:r>
    </w:p>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wet AMD and other diseases of the eye, which would present a potential low-cost competitive threat to EYLEA for its approved indications. We are aware of one published study claiming that ZALTRAP (ziv-aflibercept) may be safely administered 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our license and collaboration agreement with Bayer (which is terminable by Bayer at any time upon six or twelve months' advance notice),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additional risks to the successful commercialization of EYLEA, particularly outside the United States. For additional information regarding our collaboration with Bayer,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are proposals to legalize the import of pharmaceuticals from outside the United States into the United States. If such proposals were implemented, our future revenues derived from EYLEA sales could be reduced.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Antibody-based Products (Praluent and Dupixent)</w:t>
      </w:r>
    </w:p>
    <w:p>
      <w:pPr>
        <w:spacing w:after="0" w:line="283"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Praluent or Dupixent, our business, prospects, operating results, and financial condition may be materially harmed.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that the commercial success of Praluent and Dupixent will depend on many factors, including the following (as applicable):</w:t>
      </w:r>
    </w:p>
    <w:p>
      <w:pPr>
        <w:spacing w:after="0" w:line="144"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these products,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line="20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and Sanofi's ability to differentiate these products from competitive products, including, in the case of Praluent, Amgen's 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(evolocumab), as well as product candidates currently in clinical development;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Praluent initiated by Amgen against us and Sanofi (described further in Part I, Item 3. "Legal Proceedings" of our Annual Report on Form 10-K for the year ended December 31, 2016 and Part II, Item 1. "Legal Proceedings" of this report), and other risks relating to Praluent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(described further in Part II, Item 1. "Legal Proceedings" of this report), and other risks relating to Dupixent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of post-approval studies, whether conducted by us or by others and whether mandated by regulatory agencies or voluntary (including, in the case of Praluent, the ongoing ODYSSEY OUTCOMES trial prospectively assessing the potential of Praluent to demonstrate cardiovascular benefit), and studies of other products that could implicate an entire class of products or are perceived to do so;</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these products;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these products with parties who perform fill/finish or other steps in the manufacture of these products to ensure that they meet our standards and those of regulatory authorities, including the FDA, which extensively regulate and monitor pharmaceutical manufacturing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More detailed information about the risks related to the commercialization of Praluent and Dupixent is provided in the risk factors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Praluent and Dupixent. If we or Sanofi fail to maintain regulatory compliance for Praluent or Dupixent, the applicable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We and Sanofi are subject to significant ongoing regulatory obligations and oversight with respect to Praluent and Dupixent for their currently approved indications in the United States, EU, and other countries. If we or Sanofi fail to maintain regulatory compliance for Praluent or Dupixent for the currently approved indications (including because the product does not meet the relevant endpoints of any required post-approval studies, such as, in the case of Praluent,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w:t>
      </w:r>
      <w:r>
        <w:rPr>
          <w:rFonts w:ascii="Arial" w:cs="Arial" w:eastAsia="Arial" w:hAnsi="Arial"/>
          <w:sz w:val="17"/>
          <w:szCs w:val="17"/>
          <w:color w:val="auto"/>
        </w:rPr>
        <w:t xml:space="preserve"> </w:t>
      </w:r>
      <w:r>
        <w:rPr>
          <w:rFonts w:ascii="Arial" w:cs="Arial" w:eastAsia="Arial" w:hAnsi="Arial"/>
          <w:sz w:val="17"/>
          <w:szCs w:val="17"/>
          <w:i w:val="1"/>
          <w:iCs w:val="1"/>
          <w:color w:val="auto"/>
        </w:rPr>
        <w:t>and maintaining regulatory approval for drug products is costly, time-consuming, and highly uncertain</w:t>
      </w:r>
      <w:r>
        <w:rPr>
          <w:rFonts w:ascii="Arial" w:cs="Arial" w:eastAsia="Arial" w:hAnsi="Arial"/>
          <w:sz w:val="17"/>
          <w:szCs w:val="17"/>
          <w:color w:val="auto"/>
        </w:rPr>
        <w:t>"), the applicable marketing approval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w:t>
      </w:r>
      <w:r>
        <w:rPr>
          <w:rFonts w:ascii="Arial" w:cs="Arial" w:eastAsia="Arial" w:hAnsi="Arial"/>
          <w:sz w:val="17"/>
          <w:szCs w:val="17"/>
          <w:color w:val="auto"/>
        </w:rPr>
        <w:t xml:space="preserve"> </w:t>
      </w:r>
      <w:r>
        <w:rPr>
          <w:rFonts w:ascii="Arial" w:cs="Arial" w:eastAsia="Arial" w:hAnsi="Arial"/>
          <w:sz w:val="17"/>
          <w:szCs w:val="17"/>
          <w:i w:val="1"/>
          <w:iCs w:val="1"/>
          <w:color w:val="auto"/>
        </w:rPr>
        <w:t>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Praluent or Dupixent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Praluent or Dupixent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w:t>
      </w:r>
      <w:r>
        <w:rPr>
          <w:rFonts w:ascii="Arial" w:cs="Arial" w:eastAsia="Arial" w:hAnsi="Arial"/>
          <w:sz w:val="16"/>
          <w:szCs w:val="16"/>
          <w:color w:val="auto"/>
        </w:rPr>
        <w:t xml:space="preserve"> </w:t>
      </w:r>
      <w:r>
        <w:rPr>
          <w:rFonts w:ascii="Arial" w:cs="Arial" w:eastAsia="Arial" w:hAnsi="Arial"/>
          <w:sz w:val="16"/>
          <w:szCs w:val="16"/>
          <w:i w:val="1"/>
          <w:iCs w:val="1"/>
          <w:color w:val="auto"/>
        </w:rPr>
        <w:t>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Sales of Praluent and Dupixent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1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Praluent and Dupixent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and Dupixent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and Dupixent. If Praluent or Dupixent is not included within an adequate number of formularies, adequate reimbursement levels are not provided, the eligible insured patient population for Praluent or Dupixent is limited, or a key payer refuses to provide reimbursement for Praluent or Dupixent in a particular jurisdiction altogether, this could have a material adverse effect on our and Sanofi's ability to commercialize the applicable product.</w:t>
      </w:r>
    </w:p>
    <w:p>
      <w:pPr>
        <w:spacing w:after="0" w:line="221"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and Dupixent. Since Praluent and Dupixent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the applicable product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 candidates or new indications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Praluent and Dupixent is subject to strong competition.</w:t>
      </w:r>
    </w:p>
    <w:p>
      <w:pPr>
        <w:spacing w:after="0" w:line="293"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There is significant actual and potential future competition for Praluent .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Several other companies, including AstraZeneca PLC and Eli Lilly and Company, also have development programs for antibodies against PCSK9. Alnylam Pharmaceuticals, Inc., in collaboration with The Medicines Company, has a clinical program underway with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 &amp; Co., Inc's anacetrapib, lower LDL-C and may be launched with supporting data from outcomes trials prior to the completion of our own outcomes trial for Praluent. Other oral agents for lowering LDL-C that may potentially compete with Praluent include bempedoic acid, which is being developed by Esperion Therapeutics, Inc.; and gemcabene, which is being developed by Gemphire Therapeutics, Inc.</w:t>
      </w:r>
    </w:p>
    <w:p>
      <w:pPr>
        <w:spacing w:after="0" w:line="223" w:lineRule="exact"/>
        <w:rPr>
          <w:sz w:val="20"/>
          <w:szCs w:val="20"/>
          <w:color w:val="auto"/>
        </w:rPr>
      </w:pPr>
    </w:p>
    <w:p>
      <w:pPr>
        <w:jc w:val="both"/>
        <w:ind w:firstLine="216"/>
        <w:spacing w:after="0" w:line="227" w:lineRule="auto"/>
        <w:rPr>
          <w:sz w:val="20"/>
          <w:szCs w:val="20"/>
          <w:color w:val="auto"/>
        </w:rPr>
      </w:pPr>
      <w:r>
        <w:rPr>
          <w:rFonts w:ascii="Arial" w:cs="Arial" w:eastAsia="Arial" w:hAnsi="Arial"/>
          <w:sz w:val="18"/>
          <w:szCs w:val="18"/>
          <w:color w:val="auto"/>
        </w:rPr>
        <w:t>There also is significant actual and potential future competition for Dupixent. A number of companies are developing antibodies that, if approved, may compete with Dupixent in its current or potential future indications, including Roche (an antibody against IL-13), AstraZeneca (antibodies against IL-4R, IL-5R, and IL-13), Galderma S.A. (an antibody against IL-31R), and Amgen (in collaboration with AstraZeneca) (an antibody against thymic stromal lymphopoietin, or TSLP). GSK's 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 and Teva's 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 both of which are antibodies against IL-5, may also compete with Dupixent in its current or potential future indications. We are also aware of companies developing or marketing small molecules that may compete with Dupixent in its current or potential future indications. These include Pfizer Inc.'s Eucrisa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(crisaborole), which may be a competitor in the atopic dermatitis indication.</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Praluent and Dupixent.</w:t>
      </w:r>
    </w:p>
    <w:p>
      <w:pPr>
        <w:spacing w:after="0" w:line="279"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In accordance with the terms of our Antibody Collaboration with Sanofi, we have elected to co-promote Praluent and Dupixent with Sanofi in the United States. As such, we continue to rely in part on Sanofi's sales and marketing organization in the United States. If we and Sanofi fail to coordinate our United States sales and marketing efforts effectively, sales of Praluent or Dupixent (as applicable) may be materially affected. Sanofi also maintains other important responsibilities relating to Praluent and Dupixent in the United States. For example, Sanofi records product sales and cost of sales for Praluent and Dupixent in the United States, serves as the lead regulatory party for Praluent (</w:t>
      </w:r>
      <w:r>
        <w:rPr>
          <w:rFonts w:ascii="Arial" w:cs="Arial" w:eastAsia="Arial" w:hAnsi="Arial"/>
          <w:sz w:val="16"/>
          <w:szCs w:val="16"/>
          <w:i w:val="1"/>
          <w:iCs w:val="1"/>
          <w:color w:val="auto"/>
        </w:rPr>
        <w:t>e.g.</w:t>
      </w:r>
      <w:r>
        <w:rPr>
          <w:rFonts w:ascii="Arial" w:cs="Arial" w:eastAsia="Arial" w:hAnsi="Arial"/>
          <w:sz w:val="16"/>
          <w:szCs w:val="16"/>
          <w:color w:val="auto"/>
        </w:rPr>
        <w:t xml:space="preserve">, is responsible for regulatory filings and negotiations relating to this product) in the United States, and may lead negotiations with payors relating to these products. We also rely on Sanofi for sales, marketing, and distribution of Praluent and Dupixent in countries outside the United States. If we or Sanofi are unsuccessful in commercializing Praluent or Dupixent,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and Dupixent. Therefore, termination of our Antibody Collaboration would create substantial new and additional risks to the successful commercialization of Praluent and Dupixent, particularly outside the United States. For additional information regarding our Antibody Collaboration with Sanofi, see "Risks Related to Our Reliance on Third Parties - </w:t>
      </w:r>
      <w:r>
        <w:rPr>
          <w:rFonts w:ascii="Arial" w:cs="Arial" w:eastAsia="Arial" w:hAnsi="Arial"/>
          <w:sz w:val="16"/>
          <w:szCs w:val="16"/>
          <w:i w:val="1"/>
          <w:iCs w:val="1"/>
          <w:color w:val="auto"/>
        </w:rPr>
        <w:t>If any</w:t>
      </w:r>
      <w:r>
        <w:rPr>
          <w:rFonts w:ascii="Arial" w:cs="Arial" w:eastAsia="Arial" w:hAnsi="Arial"/>
          <w:sz w:val="16"/>
          <w:szCs w:val="16"/>
          <w:color w:val="auto"/>
        </w:rPr>
        <w:t xml:space="preserve"> </w:t>
      </w:r>
      <w:r>
        <w:rPr>
          <w:rFonts w:ascii="Arial" w:cs="Arial" w:eastAsia="Arial" w:hAnsi="Arial"/>
          <w:sz w:val="16"/>
          <w:szCs w:val="16"/>
          <w:i w:val="1"/>
          <w:iCs w:val="1"/>
          <w:color w:val="auto"/>
        </w:rPr>
        <w:t>of our 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6"/>
          <w:szCs w:val="16"/>
          <w:color w:val="auto"/>
        </w:rPr>
        <w:t>" below.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Sales of Praluent and Dupixent recorded by Sanofi could be reduced by imports from countries where these products may be available at lower prices.</w:t>
      </w:r>
    </w:p>
    <w:p>
      <w:pPr>
        <w:spacing w:after="0" w:line="314"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Sales of Praluent and Dupixent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and Dupixent outside the United States is the responsibility of Sanofi. Prices for Praluent and Dupixent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and Dupixent in the United States that are recorded by Sanofi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Praluent and Dupixent in a particular market or the sales recorded by Sanofi, thereby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adversely affecting our results of operations. In addition, there are proposals to legalize the import of pharmaceuticals from outside the United States into the United States. If such proposals were implemented, our future revenues derived from Praluent or Dupixent sales could be reduced.</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time frame consistent with the FDA's stated review goals or at all, and such designation may not actually lead to a faster development or regulatory review or approval process.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Kevzara, which referred to certain deficiencies identified during a routine cGMP inspection of the Sanofi facility in Le Trait, France where Kevzara is filled and finished; while the BLA for Kevzara has since been resubmitted and accepted for review by the FDA, this has delayed the potential FDA approval of Kevzara. For additional information, see "Risks Related to Manufacturing and Supply - </w:t>
      </w:r>
      <w:r>
        <w:rPr>
          <w:rFonts w:ascii="Arial" w:cs="Arial" w:eastAsia="Arial" w:hAnsi="Arial"/>
          <w:sz w:val="17"/>
          <w:szCs w:val="17"/>
          <w:i w:val="1"/>
          <w:iCs w:val="1"/>
          <w:color w:val="auto"/>
        </w:rPr>
        <w:t>If we fail to meet the stringent requirements of governmental regulation in the manufacture of</w:t>
      </w:r>
      <w:r>
        <w:rPr>
          <w:rFonts w:ascii="Arial" w:cs="Arial" w:eastAsia="Arial" w:hAnsi="Arial"/>
          <w:sz w:val="17"/>
          <w:szCs w:val="17"/>
          <w:color w:val="auto"/>
        </w:rPr>
        <w:t xml:space="preserve"> </w:t>
      </w:r>
      <w:r>
        <w:rPr>
          <w:rFonts w:ascii="Arial" w:cs="Arial" w:eastAsia="Arial" w:hAnsi="Arial"/>
          <w:sz w:val="17"/>
          <w:szCs w:val="17"/>
          <w:i w:val="1"/>
          <w:iCs w:val="1"/>
          <w:color w:val="auto"/>
        </w:rPr>
        <w:t>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prospects, operating results, and financial condition may be materially harmed as a result of noncompliance with the requirements and regulations described in this paragraph.</w:t>
      </w:r>
    </w:p>
    <w:p>
      <w:pPr>
        <w:spacing w:after="0" w:line="2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September 2016, we reported that in the Phase 2 study evaluating aflibercept co-formulated with rinucumab, an antibody to Platelet Derived Growth Factor Receptor Beta (PDGFR-beta), in patients with wet AMD, the combination therapy did not demonstrate an improvement in best corrected visual acuity compared to intravitreal aflibercept injection monotherapy at 12 weeks.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3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reactions, immunogenicity, demyelination, and changes in neurocognitive function.</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Dupilumab is being studied in additional indications, including atopic dermatitis in adolescent patients, asthma in adults and adolescents, and eosinophilic esophagitis. There is no guarantee that marketing approval of dupilumab in any of these indications will be successfully obtained. The side effects previously reported for dupilumab include hypersensitivity reactions, conjunctivitis and keratitis, injection-site reactions, eye and eyelid inflammation, and cold sores. These and other complications or side effects could harm further development and/or commercialization of dupilumab.</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Praluent and Dupixent), such as injection-site reactions (including redness, itching, swelling, pain, and tenderness) and other side effects. These and other complications or side effects could harm further development and/or commercialization of our antibody-based products and product candidates, including Praluent or Dupixent.</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Some of our products and, if approved, product candidates may be used with drug delivery devices, which have their own regulatory and other risks.</w:t>
      </w:r>
    </w:p>
    <w:p>
      <w:pPr>
        <w:spacing w:after="0" w:line="327"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EPO, as described in Part I, Item 3. "Legal Proceedings" of our Annual Report on Form 10-K for the year ended December 31, 2016.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inter partes reexamination under the America Invents Act of 2011 or ex parte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as described in Part I, Item 3. "Legal Proceedings" of our Annual Report on Form 10-K for the year ended December 31, 2016 and Part II, Item 1. "Legal Proceedings" of this report; and patent infringement proceedings relating to Dupixent, as described in Part II, Item 1. "Legal Proceedings" of this report.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2016 and Part II, Item 1. "Legal Proceedings" of this report (as applicable).</w:t>
      </w:r>
    </w:p>
    <w:p>
      <w:pPr>
        <w:spacing w:after="0" w:line="23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are aware of additional patents and pending patent applications owned by others that claim antibodies to PCSK9 and methods of treating hypercholesterolemia with such antibodies. We are also aware of patents and pending patent applications owned by others that respectively claim antibodies to IL-6R and methods of treating conditions including rheumatoid arthritis with such antibodies; antibodies to IL-4R and methods of treating conditions including atopic dermatitis and asthma with such antibodies; and antibodies to PD-1 and methods of treating cancer with such antibodies. In addition to Praluent (alirocumab) and Dupixent (dupilumab), our late-stage antibody-based pipeline includes Kevzara (sarilumab), an antibody to IL-6R, intended for the treatment of rheumatoid arthritis; suptavumab, an antibody targeting RSV-F; fasinumab, an antibody to NGF; and REGN2810, an antibody to PD-1, intended for the treatment of certain cancer indications including advanced cutaneous squamous cell carcinoma. With respect to Dupixent, we are aware of certain patents owned by Immunex Corporation, a wholly owned subsidiary of Amgen. These patents include U.S. Patent No. 8,679,487 (currently subject to the patent infringement proceedings described in Part II, Item 1. "Legal Proceedings" of this report) and European Patent No. 2,292,665 (the '665 Patent) and are generally directed to antibodies that bind to IL-4R. 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 pending the final determination of the currently pending EPO opposition proceedings initiated by us and Sanofi in relation to the '665 Patent. The original patent term of the Immunex patents is set to expire in 2021.</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Dupixent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Praluent, and Dupixent,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Praluent, and Dupixent, and could also delay or require us to discontinue one or more of our clinical development programs. As a result, our business, prospects, operating results, and financial condition could be materially harmed.</w:t>
      </w:r>
    </w:p>
    <w:p>
      <w:pPr>
        <w:spacing w:after="0" w:line="22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ability to continue to manufacture EYLEA, Praluent, Dupixent, ZALTRAP, and ARCALYST in our Rensselaer, New York facilities and our ability to manufacture our marketed products at additional facilities (such as the Limerick, Ireland facility)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sales of EYLEA, Praluent, or Dupixent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Dupixent,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facility in Le Trait, France where Kevzara and dupilumab are filled and finished; satisfactory resolution of these deficiencies is required before the BLA for Kevzara can be approved. While the BLA for Kevzara has since been resubmitted and accepted for review by the FDA, this has delayed the potential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For a description of additional risks relating specifically to the commercialization of EYLEA, Praluent, and Dupixent, see above under "Risks Related to Commercialization of EYLEA" and "Risks Related to Commercialization of Our Antibody-based Products (Praluent and Dupixent)" (as applicable).</w:t>
      </w:r>
    </w:p>
    <w:p>
      <w:pPr>
        <w:spacing w:after="0" w:line="20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Praluent and Dupixent, as described in greater detail above under "Risks Related to Commercialization of Our Antibody-based Products (Praluent and Dupixent) - </w:t>
      </w:r>
      <w:r>
        <w:rPr>
          <w:rFonts w:ascii="Arial" w:cs="Arial" w:eastAsia="Arial" w:hAnsi="Arial"/>
          <w:sz w:val="18"/>
          <w:szCs w:val="18"/>
          <w:i w:val="1"/>
          <w:iCs w:val="1"/>
          <w:color w:val="auto"/>
        </w:rPr>
        <w:t>The commercial success of Praluent and Dupixent is subject to strong</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Genentech/Roche is marketing an antibody against IL-6R (Actemra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 for the treatment of rheumatoid arthritis that would compete with Kevzara, our IL-6R antibody. In addition, several other companies, including Johnson &amp; Johnson (in collaboration with GSK), Alder Biopharmaceuticals, Inc. (in collaboration with Vitaeris Inc.), Ablynx, and R-Pharm, have antibodies against IL-6 or IL-6R in clinical development. For RSV, AstraZeneca (in collaboration with AbbVie Inc.) commercializes an antibody against RSV-F protein, Synagis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(palivizumab); and other antibodies are in clinical development, including by Sanofi Pasteur SA (in collaboration with AstraZeneca). We are also aware of several companies developing or marketing small molecules that may compete with our antibody-based product candidates in various indications, if such product candidates obtain regulatory</w:t>
      </w:r>
    </w:p>
    <w:p>
      <w:pPr>
        <w:sectPr>
          <w:pgSz w:w="11900" w:h="16838" w:orient="portrait"/>
          <w:cols w:equalWidth="0" w:num="1">
            <w:col w:w="11420"/>
          </w:cols>
          <w:pgMar w:left="240" w:top="130"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0"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approval in those indications. For Kevzara, oral, small-molecule JAK inhibitors such as Pfizer's Xeljanz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(tofacitinib) and Eli Lilly's baricitinib (if approved) may pose a competitive threat in the rheumatoid arthritis indication if Kevzara is approved in such indication. For REGN2810, there are several competitors that are marketing or developing antibodies against PD-1 and/or PDL-1, including Bristol-Myers Squibb Company (Opdivo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(nivolumab)), Merck (Keytruda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(pembrolizumab)), Roche (Tecentriq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(atezolizumab)), AstraZeneca (Imfinzi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(durvalumab)), Pfizer (avelumab), and Novartis (PDR001).</w:t>
      </w:r>
    </w:p>
    <w:p>
      <w:pPr>
        <w:spacing w:after="0" w:line="14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our FDA registration and our National Drug Code,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2017, product sales to three customers accounted on a combined basis for 99%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For additional risks relating to commercialization of EYLEA, Praluent, and Dupixent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Our Antibody-based Products (Praluent and Dupixent) - </w:t>
      </w:r>
      <w:r>
        <w:rPr>
          <w:rFonts w:ascii="Arial" w:cs="Arial" w:eastAsia="Arial" w:hAnsi="Arial"/>
          <w:sz w:val="18"/>
          <w:szCs w:val="18"/>
          <w:i w:val="1"/>
          <w:iCs w:val="1"/>
          <w:color w:val="auto"/>
        </w:rPr>
        <w:t>We rely on our Antibody Collaboration with Sanofi for commercializing Praluent and Dupixent</w:t>
      </w:r>
      <w:r>
        <w:rPr>
          <w:rFonts w:ascii="Arial" w:cs="Arial" w:eastAsia="Arial" w:hAnsi="Arial"/>
          <w:sz w:val="18"/>
          <w:szCs w:val="18"/>
          <w:color w:val="auto"/>
        </w:rPr>
        <w:t>" (as applicable).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(including with respect to the possible repeal of all or portions of the PPACA, possible government reimbursement changes,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the British government has begun negotiating the terms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(such as RGC's collaboration with U.K. Biobank and GSK) may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rely heavily on funding from Sanofi to support certain antibody research and development programs, as well as our immuno-oncology research and development programs. Sanofi has committed to reimburse us for up to (i) $130.0 million of the costs of our efforts to identify and validate drug discovery targets and pre-clinically develop fully human monoclonal antibodies against such targets under our Antibody Discovery Agreement in 2017 and (ii)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Dupixent (dupilumab), and Kevzara)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antibody-based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3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antibody-based products. For example, Sanofi has elected not to continue co-development of fasinumab, suptavumab, and trevogrumab, and decided not to opt in to the evinacumab and other programs. In addition, after 2017, we will be required to fund our antibody discovery activities and the research and preclinical development activities of our drug candidates, as Sanofi’s funding obligations under the Antibody Discovery Agreement will cease to continue except with regard to the programs for which Sanofi has exercised its extension right.</w:t>
      </w:r>
    </w:p>
    <w:p>
      <w:pPr>
        <w:spacing w:after="0" w:line="24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and Dupixent (see also "Risks Related to Commercialization of Products - </w:t>
      </w:r>
      <w:r>
        <w:rPr>
          <w:rFonts w:ascii="Arial" w:cs="Arial" w:eastAsia="Arial" w:hAnsi="Arial"/>
          <w:sz w:val="17"/>
          <w:szCs w:val="17"/>
          <w:i w:val="1"/>
          <w:iCs w:val="1"/>
          <w:color w:val="auto"/>
        </w:rPr>
        <w:t>If we need to establish commercial capabilities outside the United States and are</w:t>
      </w:r>
      <w:r>
        <w:rPr>
          <w:rFonts w:ascii="Arial" w:cs="Arial" w:eastAsia="Arial" w:hAnsi="Arial"/>
          <w:sz w:val="17"/>
          <w:szCs w:val="17"/>
          <w:color w:val="auto"/>
        </w:rPr>
        <w:t xml:space="preserve"> </w:t>
      </w:r>
      <w:r>
        <w:rPr>
          <w:rFonts w:ascii="Arial" w:cs="Arial" w:eastAsia="Arial" w:hAnsi="Arial"/>
          <w:sz w:val="17"/>
          <w:szCs w:val="17"/>
          <w:i w:val="1"/>
          <w:iCs w:val="1"/>
          <w:color w:val="auto"/>
        </w:rPr>
        <w:t>unable to do so, our business, prospects, operating results, and financial condition may be adversely affected</w:t>
      </w:r>
      <w:r>
        <w:rPr>
          <w:rFonts w:ascii="Arial" w:cs="Arial" w:eastAsia="Arial" w:hAnsi="Arial"/>
          <w:sz w:val="17"/>
          <w:szCs w:val="17"/>
          <w:color w:val="auto"/>
        </w:rPr>
        <w:t>" above). Termination of our Antibody</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Collaboration would create substantial new and additional risks to the successful development and commercialization of Praluent and Dupixent, particularly outside the United States.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We rely heavily on Bayer to assist with the development, and particularly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 business,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financial condition may be adversely affected</w:t>
      </w:r>
      <w:r>
        <w:rPr>
          <w:rFonts w:ascii="Arial" w:cs="Arial" w:eastAsia="Arial" w:hAnsi="Arial"/>
          <w:sz w:val="16"/>
          <w:szCs w:val="16"/>
          <w:color w:val="auto"/>
        </w:rPr>
        <w:t>" above). Termination of the Bayer collaboration agreement would create substantial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and Praluent and begin to commercialize Dupixent and, assuming the receipt of required regulatory approvals, other products ,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Praluent, and Dupixent and the anticipated commercial launches of our late-stage product candidates, including Kevzara,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4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March 31, 2017, we had $811.8 million in cash and cash equivalents and $1,463.0 million in marketable securities (including $54.7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Praluent,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13, 2017, our five largest shareholders plus Dr. Schleifer, our Chief Executive Officer, beneficially owned approximately 50.8% of our outstanding shares of Common Stock, assuming, in the case of our Chief Executive Officer, the conversion of his Class A Stock into Common Stock and the exercise of all options held by him which are exercisable within 60 days of April 13, 2017. As of April 13, 2017, Sanofi beneficially owned 23,505,694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13, 2017, holders of Class A Stock held 15.5%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13, 2017:</w:t>
      </w:r>
    </w:p>
    <w:p>
      <w:pPr>
        <w:spacing w:after="0" w:line="233" w:lineRule="exact"/>
        <w:rPr>
          <w:sz w:val="20"/>
          <w:szCs w:val="20"/>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10.8% of our outstanding shares of Common Stock, assuming conversion of their Class A Stock into Common Stock and the exercise of all options held by such persons which are exercisable within 60 days of April 13, 2017, and 21.9% of the combined voting power of our outstanding shares of Common Stock and Class A Stock, assuming the exercise of all options held by such persons which are exercisable within 60 days of April 13, 2017;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50.8% of our outstanding shares of Common Stock, assuming, in the case of our Chief Executive Officer, the conversion of his Class A Stock into Common Stock and the exercise of all options held by him which are exercisable within 60 days of April 13, 2017. In addition, these five shareholders plus our Chief Executive Officer held approximately 56.1% of the combined voting power of our outstanding shares of Common Stock and Class A Stock, assuming the exercise of all options held by our Chief Executive Officer which are exercisable within 60 days of April 13, 2017.</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once Sanofi reaches 20% ownership of our outstanding shares of Class A Stock and Common Stock (taken together) (which, as noted below, occurred in April 2014),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outstanding shares of Class A Stock and Common Stock (taken together) and (ii) 25% of our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an initial director designee. Following the election and subsequent resignation of the initial designee, in January 2017, the board of directors elected N. Anthony Coles, M.D. as a successor Sanofi designee. Dr. Coles has been elected as a Class II director with a term expiring at the 2017 annual shareholder meeting.</w:t>
      </w:r>
    </w:p>
    <w:p>
      <w:pPr>
        <w:spacing w:after="0" w:line="23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Similarly, under our 2014 PDGFR-beta license and collaboration agreement and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With respect to each of these agreements,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8"/>
          <w:szCs w:val="18"/>
          <w:i w:val="1"/>
          <w:iCs w:val="1"/>
          <w:color w:val="auto"/>
        </w:rPr>
        <w:t>Our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may be able to exert significant influence over matters requiring shareholder approval and over our management</w:t>
      </w:r>
      <w:r>
        <w:rPr>
          <w:rFonts w:ascii="Arial" w:cs="Arial" w:eastAsia="Arial" w:hAnsi="Arial"/>
          <w:sz w:val="18"/>
          <w:szCs w:val="18"/>
          <w:color w:val="auto"/>
        </w:rPr>
        <w:t>," a Sanofi designee has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past served, and a successor Sanofi</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designee currently serves, on our board of directors. These contractual provisions may also have the effect of deterring, delaying, or preventing an acquisition or other change in control.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(a)</w:t>
        <w:tab/>
        <w:t>Exhibits</w:t>
      </w:r>
    </w:p>
    <w:p>
      <w:pPr>
        <w:spacing w:after="0" w:line="289"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r>
      <w:tr>
        <w:trPr>
          <w:trHeight w:val="229"/>
        </w:trPr>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Consent and Amendment No. 1 Memorandum, dated as of February 2, 2017, by and among Regeneron</w:t>
            </w: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Pharmaceuticals, Inc. (the "Registrant"), as a borrower and guarantor; Regeneron Healthcare Solutions, Inc.,</w:t>
            </w: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Regeneron Genetics Center LLC, Regeneron International Unlimited Company, Regeneron Ireland Holdings</w:t>
            </w: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Unlimited Company, Regeneron Ireland Unlimited Company, and Regeneron Capital International B.V., as</w:t>
            </w: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subsidiary borrowers; JPMorgan Chase Bank, N.A., as administrative agent; and the lenders party thereto.</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(Incorporated by reference from the Form 8-K for the Registrant filed February 7, 2017.)</w:t>
            </w:r>
          </w:p>
        </w:tc>
      </w:tr>
      <w:tr>
        <w:trPr>
          <w:trHeight w:val="229"/>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2"/>
              </w:rPr>
              <w:t>Participation Agreement, dated as of March 3, 2017, by and among Old Saw Mill Holdings LLC, as lessee; Bank of</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2"/>
              </w:rPr>
              <w:t>America, N.A., as administrative agent; BA Leasing BSC, LLC, as lessor; and the lenders party thereto from time to</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time. (Incorporated by reference from the Form 8-K for the Registrant filed March 9, 2017.)</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29"/>
        </w:trPr>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Lease and Remedies Agreement, dated as of March 3, 2017, between Old Saw Mill Holdings LLC, as lessee, and</w:t>
            </w: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BA Leasing BSC, LLC, as lessor. (Incorporated by reference from the Form 8-K for the Registrant filed March 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w:t>
            </w:r>
          </w:p>
        </w:tc>
        <w:tc>
          <w:tcPr>
            <w:tcW w:w="7860" w:type="dxa"/>
            <w:vAlign w:val="bottom"/>
            <w:tcBorders>
              <w:bottom w:val="single" w:sz="8" w:color="CCEEFF"/>
            </w:tcBorders>
            <w:shd w:val="clear" w:color="auto" w:fill="CCEEFF"/>
          </w:tcPr>
          <w:p>
            <w:pPr>
              <w:spacing w:after="0"/>
              <w:rPr>
                <w:sz w:val="20"/>
                <w:szCs w:val="20"/>
                <w:color w:val="auto"/>
              </w:rPr>
            </w:pPr>
          </w:p>
        </w:tc>
      </w:tr>
      <w:tr>
        <w:trPr>
          <w:trHeight w:val="229"/>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0"/>
              </w:rPr>
              <w:t>Guaranty, dated as of March 3, 2017, made by the Registrant, Regeneron Healthcare Solutions, Inc., and Regeneron</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1"/>
              </w:rPr>
              <w:t>Genetics Center LLC, as the initial guarantors. (Incorporated by reference from the Form 8-K for the Registrant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March 9, 2017.)</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43"/>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4"/>
              </w:rPr>
              <w:t>Certification of Principal Financial Officer pursuant to Rule 13a-14(a) under the Securities Exchange Act of 1934.</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Certification of Principal Executive Officer and Principal Financial Officer pursuant to 18 U.S.C. Section 1350.</w:t>
            </w:r>
          </w:p>
        </w:tc>
      </w:tr>
      <w:tr>
        <w:trPr>
          <w:trHeight w:val="243"/>
        </w:trPr>
        <w:tc>
          <w:tcPr>
            <w:tcW w:w="5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Interactive Data File</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43"/>
        </w:trPr>
        <w:tc>
          <w:tcPr>
            <w:tcW w:w="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May 4, 2017</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1" w:name="page82"/>
    <w:bookmarkEnd w:id="81"/>
    <w:p>
      <w:pPr>
        <w:spacing w:after="0"/>
        <w:tabs>
          <w:tab w:leader="none" w:pos="402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u w:val="single" w:color="auto"/>
          <w:color w:val="auto"/>
        </w:rPr>
        <w:t>/s/ Robert E. Landry</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19"/>
          </w:cols>
          <w:pgMar w:left="640" w:top="787"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8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2017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4, 2017</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4, 2017</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Ÿ"/>
      <w:numFmt w:val="bullet"/>
      <w:start w:val="1"/>
    </w:lvl>
  </w:abstractNum>
  <w:abstractNum w:abstractNumId="7">
    <w:nsid w:val="1BEFD79F"/>
    <w:multiLevelType w:val="hybridMultilevel"/>
    <w:lvl w:ilvl="0">
      <w:lvlJc w:val="left"/>
      <w:lvlText w:val="Ÿ"/>
      <w:numFmt w:val="bullet"/>
      <w:start w:val="1"/>
    </w:lvl>
  </w:abstractNum>
  <w:abstractNum w:abstractNumId="8">
    <w:nsid w:val="41A7C4C9"/>
    <w:multiLevelType w:val="hybridMultilevel"/>
    <w:lvl w:ilvl="0">
      <w:lvlJc w:val="left"/>
      <w:lvlText w:val="Ÿ"/>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Roman"/>
      <w:start w:val="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2019-12-29T07:45:25Z</dcterms:created>
  <dcterms:modified xsi:type="dcterms:W3CDTF">2019-12-29T07:45:25Z</dcterms:modified>
</cp:coreProperties>
</file>